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86" w:rsidRDefault="0048256B" w:rsidP="0048256B">
      <w:pPr>
        <w:jc w:val="center"/>
        <w:rPr>
          <w:rFonts w:ascii="Times New Roman" w:hAnsi="Times New Roman" w:cs="Times New Roman"/>
          <w:sz w:val="28"/>
          <w:szCs w:val="28"/>
          <w:lang w:val="lv-LV"/>
        </w:rPr>
      </w:pPr>
      <w:r w:rsidRPr="0048256B">
        <w:rPr>
          <w:rFonts w:ascii="Times New Roman" w:hAnsi="Times New Roman" w:cs="Times New Roman"/>
          <w:lang w:val="lv-LV"/>
        </w:rPr>
        <w:tab/>
      </w:r>
      <w:r w:rsidRPr="0048256B">
        <w:rPr>
          <w:rFonts w:ascii="Times New Roman" w:hAnsi="Times New Roman" w:cs="Times New Roman"/>
          <w:sz w:val="28"/>
          <w:szCs w:val="28"/>
          <w:lang w:val="lv-LV"/>
        </w:rPr>
        <w:t>INF</w:t>
      </w:r>
      <w:r>
        <w:rPr>
          <w:rFonts w:ascii="Times New Roman" w:hAnsi="Times New Roman" w:cs="Times New Roman"/>
          <w:sz w:val="28"/>
          <w:szCs w:val="28"/>
          <w:lang w:val="lv-LV"/>
        </w:rPr>
        <w:t xml:space="preserve">ORMATĪVAIS ZIŅOJUMS </w:t>
      </w:r>
    </w:p>
    <w:p w:rsidR="004513CF" w:rsidRPr="00957485" w:rsidRDefault="004513CF" w:rsidP="004513CF">
      <w:pPr>
        <w:pStyle w:val="Heading1"/>
        <w:spacing w:before="0" w:line="240" w:lineRule="auto"/>
        <w:jc w:val="center"/>
        <w:rPr>
          <w:rFonts w:ascii="Times New Roman" w:hAnsi="Times New Roman"/>
          <w:bCs w:val="0"/>
          <w:lang w:val="lv-LV"/>
        </w:rPr>
      </w:pPr>
      <w:bookmarkStart w:id="0" w:name="OLE_LINK1"/>
      <w:bookmarkStart w:id="1" w:name="OLE_LINK2"/>
      <w:bookmarkStart w:id="2" w:name="_Toc253405085"/>
      <w:r w:rsidRPr="00957485">
        <w:rPr>
          <w:rFonts w:ascii="Times New Roman" w:hAnsi="Times New Roman"/>
          <w:bCs w:val="0"/>
          <w:lang w:val="lv-LV"/>
        </w:rPr>
        <w:t xml:space="preserve">Izvērtējums par stacionāro ārstniecības iestāžu darbību 2011.gada pirmajā ceturksnī. </w:t>
      </w:r>
    </w:p>
    <w:bookmarkEnd w:id="0"/>
    <w:bookmarkEnd w:id="1"/>
    <w:p w:rsidR="004513CF" w:rsidRPr="00957485" w:rsidRDefault="004513CF" w:rsidP="004513CF">
      <w:pPr>
        <w:pStyle w:val="Heading1"/>
        <w:spacing w:before="0" w:line="240" w:lineRule="auto"/>
        <w:jc w:val="center"/>
        <w:rPr>
          <w:rFonts w:ascii="Times New Roman" w:hAnsi="Times New Roman"/>
          <w:bCs w:val="0"/>
          <w:lang w:val="lv-LV"/>
        </w:rPr>
      </w:pPr>
    </w:p>
    <w:p w:rsidR="004513CF" w:rsidRPr="00957485" w:rsidRDefault="004513CF" w:rsidP="004513CF">
      <w:pPr>
        <w:pStyle w:val="Heading1"/>
        <w:spacing w:before="0" w:line="240" w:lineRule="auto"/>
        <w:jc w:val="center"/>
        <w:rPr>
          <w:rFonts w:ascii="Times New Roman" w:hAnsi="Times New Roman"/>
          <w:lang w:val="lv-LV"/>
        </w:rPr>
      </w:pPr>
      <w:r w:rsidRPr="00957485">
        <w:rPr>
          <w:rFonts w:ascii="Times New Roman" w:hAnsi="Times New Roman"/>
          <w:lang w:val="lv-LV"/>
        </w:rPr>
        <w:t>Ievads</w:t>
      </w:r>
      <w:bookmarkEnd w:id="2"/>
    </w:p>
    <w:p w:rsidR="004513CF" w:rsidRPr="00957485" w:rsidRDefault="004513CF" w:rsidP="004513CF">
      <w:pPr>
        <w:spacing w:after="0" w:line="240" w:lineRule="auto"/>
        <w:rPr>
          <w:sz w:val="28"/>
          <w:szCs w:val="28"/>
          <w:lang w:val="lv-LV"/>
        </w:rPr>
      </w:pPr>
    </w:p>
    <w:p w:rsidR="004513CF" w:rsidRPr="00957485" w:rsidRDefault="004513CF" w:rsidP="00662113">
      <w:pPr>
        <w:autoSpaceDE w:val="0"/>
        <w:autoSpaceDN w:val="0"/>
        <w:adjustRightInd w:val="0"/>
        <w:spacing w:after="0" w:line="240" w:lineRule="auto"/>
        <w:ind w:firstLine="851"/>
        <w:jc w:val="both"/>
        <w:rPr>
          <w:rFonts w:ascii="Times New Roman" w:hAnsi="Times New Roman" w:cs="Times New Roman"/>
          <w:sz w:val="28"/>
          <w:szCs w:val="28"/>
          <w:lang w:val="lv-LV"/>
        </w:rPr>
      </w:pPr>
      <w:r w:rsidRPr="00957485">
        <w:rPr>
          <w:rFonts w:ascii="Times New Roman" w:hAnsi="Times New Roman"/>
          <w:sz w:val="28"/>
          <w:szCs w:val="28"/>
          <w:lang w:val="lv-LV"/>
        </w:rPr>
        <w:t>Informatīvais ziņojums „Izvērtējums p</w:t>
      </w:r>
      <w:r w:rsidRPr="00957485">
        <w:rPr>
          <w:rFonts w:ascii="Times New Roman" w:hAnsi="Times New Roman"/>
          <w:bCs/>
          <w:sz w:val="28"/>
          <w:szCs w:val="28"/>
          <w:lang w:val="lv-LV"/>
        </w:rPr>
        <w:t>ar stacionāro ārstniecības iestāžu darbību 2011.gada pirmajā ceturksnī</w:t>
      </w:r>
      <w:r w:rsidRPr="00957485">
        <w:rPr>
          <w:rFonts w:ascii="Times New Roman" w:hAnsi="Times New Roman"/>
          <w:sz w:val="28"/>
          <w:szCs w:val="28"/>
          <w:lang w:val="lv-LV"/>
        </w:rPr>
        <w:t>” (turpmāk − informatīvais ziņojums) izstrādāts, pamatojoties Ministru kabineta 2010.gada 28.decembra sēdes prot.Nr. 75, 4</w:t>
      </w:r>
      <w:r w:rsidRPr="00957485">
        <w:rPr>
          <w:rFonts w:ascii="Times New Roman" w:hAnsi="Times New Roman" w:cs="Times New Roman"/>
          <w:sz w:val="28"/>
          <w:szCs w:val="28"/>
          <w:lang w:val="lv-LV"/>
        </w:rPr>
        <w:t xml:space="preserve">5.§ 3.3. apakšpunktu, kas nosaka, </w:t>
      </w:r>
      <w:r w:rsidR="005D3EF0">
        <w:rPr>
          <w:rFonts w:ascii="Times New Roman" w:hAnsi="Times New Roman" w:cs="Times New Roman"/>
          <w:sz w:val="28"/>
          <w:szCs w:val="28"/>
          <w:lang w:val="lv-LV"/>
        </w:rPr>
        <w:t xml:space="preserve">ka </w:t>
      </w:r>
      <w:r w:rsidRPr="00957485">
        <w:rPr>
          <w:rFonts w:ascii="Times New Roman" w:hAnsi="Times New Roman" w:cs="Times New Roman"/>
          <w:sz w:val="28"/>
          <w:szCs w:val="28"/>
          <w:lang w:val="lv-LV"/>
        </w:rPr>
        <w:t xml:space="preserve">Veselības ministrijai jāiesniedz Ministru kabinetā informācija par sabiedrības ar ierobežotu atbildību „Jūrmalas slimnīca”, sabiedrības ar ierobežotu atbildību „Ogres rajona slimnīca”, sabiedrības ar ierobežotu atbildību „Tukuma slimnīca”, sabiedrības ar ierobežotu atbildību „Kuldīgas slimnīca”, sabiedrības ar ierobežotu atbildību „Preiļu slimnīca”, sabiedrības ar ierobežotu atbildību „Krāslavas slimnīca”, Madonas novada pašvaldības sabiedrības ar ierobežotu atbildību „Madonas slimnīca”, sabiedrības ar ierobežotu atbildību „Balvu un Gulbenes slimnīcu apvienība”, sabiedrības ar ierobežotu atbildību „Cēsu klīnika”, sabiedrības ar ierobežotu atbildību „Alūksnes slimnīca”, sabiedrības ar ierobežotu atbildību „Dobeles un apkārtnes slimnīca” un valsts sabiedrības ar ierobežotu atbildību „Traumatoloģijas un </w:t>
      </w:r>
      <w:r w:rsidR="000F47D5" w:rsidRPr="00957485">
        <w:rPr>
          <w:rFonts w:ascii="Times New Roman" w:hAnsi="Times New Roman" w:cs="Times New Roman"/>
          <w:sz w:val="28"/>
          <w:szCs w:val="28"/>
          <w:lang w:val="lv-LV"/>
        </w:rPr>
        <w:t xml:space="preserve">ortopēdijas slimnīca” darbību 2011.gada pirmajā ceturksnī. </w:t>
      </w:r>
    </w:p>
    <w:p w:rsidR="00D15288" w:rsidRPr="00957485" w:rsidRDefault="00662113" w:rsidP="00D15288">
      <w:pPr>
        <w:autoSpaceDE w:val="0"/>
        <w:autoSpaceDN w:val="0"/>
        <w:adjustRightInd w:val="0"/>
        <w:spacing w:after="0" w:line="240" w:lineRule="auto"/>
        <w:ind w:firstLine="851"/>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Informatīvais ziņojums Veselības ministrijai ir jāiesniedz izskatīšanai Ministru kabinetā vienlaikus ar grozījumiem Ministru kabineta 2006.gada 19.decembra noteikumos Nr.1046 „Veselības aprūpes organizēšanas un finansēšanas kārtība</w:t>
      </w:r>
      <w:r w:rsidR="00D15288" w:rsidRPr="00957485">
        <w:rPr>
          <w:rFonts w:ascii="Times New Roman" w:hAnsi="Times New Roman" w:cs="Times New Roman"/>
          <w:sz w:val="28"/>
          <w:szCs w:val="28"/>
          <w:lang w:val="lv-LV"/>
        </w:rPr>
        <w:t xml:space="preserve">”, kuros jānosaka: </w:t>
      </w:r>
    </w:p>
    <w:p w:rsidR="00D15288" w:rsidRPr="00957485" w:rsidRDefault="00D15288" w:rsidP="00D15288">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 dienas stacionārā sniedzamo veselības aprūpes pakalpojumu veidi, prasības dienas stacionāra darba organizācijai un apmaksas nosacījumi;</w:t>
      </w:r>
    </w:p>
    <w:p w:rsidR="00D15288" w:rsidRPr="00957485" w:rsidRDefault="00D15288" w:rsidP="00D15288">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 aprūpes slimnīcā (nodaļā) sniedzamo veselības aprūpes pakalpojumu veidi, aprūpes līmeņi un aprūpes slimnīcā sniegto veselības aprūpes pakalpojumu apmaksas nosacījumi; </w:t>
      </w:r>
    </w:p>
    <w:p w:rsidR="00D15288" w:rsidRPr="00957485" w:rsidRDefault="00D15288" w:rsidP="00D15288">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 </w:t>
      </w:r>
      <w:r w:rsidR="00662113" w:rsidRPr="00957485">
        <w:rPr>
          <w:rFonts w:ascii="Times New Roman" w:hAnsi="Times New Roman" w:cs="Times New Roman"/>
          <w:sz w:val="28"/>
          <w:szCs w:val="28"/>
          <w:lang w:val="lv-LV"/>
        </w:rPr>
        <w:t>stacionāro ārstniecības iestāžu darba k</w:t>
      </w:r>
      <w:r w:rsidRPr="00957485">
        <w:rPr>
          <w:rFonts w:ascii="Times New Roman" w:hAnsi="Times New Roman" w:cs="Times New Roman"/>
          <w:sz w:val="28"/>
          <w:szCs w:val="28"/>
          <w:lang w:val="lv-LV"/>
        </w:rPr>
        <w:t>valitātes vērtēšanas kritēriji</w:t>
      </w:r>
      <w:r w:rsidR="00662113" w:rsidRPr="00957485">
        <w:rPr>
          <w:rFonts w:ascii="Times New Roman" w:hAnsi="Times New Roman" w:cs="Times New Roman"/>
          <w:sz w:val="28"/>
          <w:szCs w:val="28"/>
          <w:lang w:val="lv-LV"/>
        </w:rPr>
        <w:t xml:space="preserve">, kā arī </w:t>
      </w:r>
      <w:r w:rsidRPr="00957485">
        <w:rPr>
          <w:rFonts w:ascii="Times New Roman" w:hAnsi="Times New Roman" w:cs="Times New Roman"/>
          <w:sz w:val="28"/>
          <w:szCs w:val="28"/>
          <w:lang w:val="lv-LV"/>
        </w:rPr>
        <w:t>ziņojumā minēto stacionāro ārstniecības iestāžu sniedzamo pakalpojumu apjoms un apmaksas kārtība.</w:t>
      </w:r>
    </w:p>
    <w:p w:rsidR="00D15288" w:rsidRPr="00957485" w:rsidRDefault="00D15288" w:rsidP="00D15288">
      <w:pPr>
        <w:autoSpaceDE w:val="0"/>
        <w:autoSpaceDN w:val="0"/>
        <w:adjustRightInd w:val="0"/>
        <w:spacing w:after="0" w:line="240" w:lineRule="auto"/>
        <w:ind w:left="851"/>
        <w:jc w:val="both"/>
        <w:rPr>
          <w:rFonts w:ascii="Times New Roman" w:hAnsi="Times New Roman" w:cs="Times New Roman"/>
          <w:bCs/>
          <w:color w:val="FF0000"/>
          <w:sz w:val="28"/>
          <w:szCs w:val="28"/>
          <w:lang w:val="lv-LV"/>
        </w:rPr>
      </w:pPr>
    </w:p>
    <w:p w:rsidR="00662113" w:rsidRPr="00957485" w:rsidRDefault="009F2AB4" w:rsidP="009F2AB4">
      <w:pPr>
        <w:autoSpaceDE w:val="0"/>
        <w:autoSpaceDN w:val="0"/>
        <w:adjustRightInd w:val="0"/>
        <w:spacing w:after="0" w:line="240" w:lineRule="auto"/>
        <w:ind w:firstLine="567"/>
        <w:jc w:val="both"/>
        <w:rPr>
          <w:rFonts w:ascii="Times New Roman" w:hAnsi="Times New Roman" w:cs="Times New Roman"/>
          <w:bCs/>
          <w:sz w:val="28"/>
          <w:szCs w:val="28"/>
          <w:lang w:val="lv-LV"/>
        </w:rPr>
      </w:pPr>
      <w:r w:rsidRPr="00957485">
        <w:rPr>
          <w:rFonts w:ascii="Times New Roman" w:hAnsi="Times New Roman" w:cs="Times New Roman"/>
          <w:bCs/>
          <w:sz w:val="28"/>
          <w:szCs w:val="28"/>
          <w:lang w:val="lv-LV"/>
        </w:rPr>
        <w:t>Veselības ministrija ir izstrādājusi Ministru kabineta noteikumu projektu „Grozījumi Ministru kabineta 2006.gada 19.decembra noteikumos Nr.1046 „Veselības aprūpes organiz</w:t>
      </w:r>
      <w:r w:rsidR="0086195A" w:rsidRPr="00957485">
        <w:rPr>
          <w:rFonts w:ascii="Times New Roman" w:hAnsi="Times New Roman" w:cs="Times New Roman"/>
          <w:bCs/>
          <w:sz w:val="28"/>
          <w:szCs w:val="28"/>
          <w:lang w:val="lv-LV"/>
        </w:rPr>
        <w:t>ēšanas un finansēšanas kārtība”</w:t>
      </w:r>
      <w:r w:rsidRPr="00957485">
        <w:rPr>
          <w:rFonts w:ascii="Times New Roman" w:hAnsi="Times New Roman" w:cs="Times New Roman"/>
          <w:bCs/>
          <w:sz w:val="28"/>
          <w:szCs w:val="28"/>
          <w:lang w:val="lv-LV"/>
        </w:rPr>
        <w:t xml:space="preserve">, kas ir izsludināts 2011.gada 19.maija Valsts sekretāru sanāksmē (protokols Nr.20, </w:t>
      </w:r>
      <w:bookmarkStart w:id="3" w:name="29"/>
      <w:r w:rsidRPr="00957485">
        <w:rPr>
          <w:rFonts w:ascii="Times New Roman" w:hAnsi="Times New Roman" w:cs="Times New Roman"/>
          <w:sz w:val="28"/>
          <w:szCs w:val="28"/>
          <w:lang w:val="lv-LV"/>
        </w:rPr>
        <w:t>29.§</w:t>
      </w:r>
      <w:bookmarkEnd w:id="3"/>
      <w:r w:rsidRPr="00957485">
        <w:rPr>
          <w:rFonts w:ascii="Times New Roman" w:hAnsi="Times New Roman" w:cs="Times New Roman"/>
          <w:sz w:val="28"/>
          <w:szCs w:val="28"/>
          <w:lang w:val="lv-LV"/>
        </w:rPr>
        <w:t>).</w:t>
      </w:r>
    </w:p>
    <w:p w:rsidR="009F2AB4" w:rsidRDefault="009F2AB4" w:rsidP="009F2AB4">
      <w:pPr>
        <w:autoSpaceDE w:val="0"/>
        <w:autoSpaceDN w:val="0"/>
        <w:adjustRightInd w:val="0"/>
        <w:spacing w:after="0" w:line="240" w:lineRule="auto"/>
        <w:ind w:firstLine="567"/>
        <w:jc w:val="both"/>
        <w:rPr>
          <w:rFonts w:ascii="Times New Roman" w:hAnsi="Times New Roman" w:cs="Times New Roman"/>
          <w:bCs/>
          <w:sz w:val="24"/>
          <w:szCs w:val="24"/>
          <w:lang w:val="lv-LV"/>
        </w:rPr>
      </w:pPr>
    </w:p>
    <w:p w:rsidR="009F2AB4" w:rsidRPr="009F2AB4" w:rsidRDefault="009F2AB4" w:rsidP="009F2AB4">
      <w:pPr>
        <w:autoSpaceDE w:val="0"/>
        <w:autoSpaceDN w:val="0"/>
        <w:adjustRightInd w:val="0"/>
        <w:spacing w:after="0" w:line="240" w:lineRule="auto"/>
        <w:ind w:firstLine="567"/>
        <w:jc w:val="both"/>
        <w:rPr>
          <w:rFonts w:ascii="Times New Roman" w:hAnsi="Times New Roman" w:cs="Times New Roman"/>
          <w:bCs/>
          <w:sz w:val="24"/>
          <w:szCs w:val="24"/>
          <w:lang w:val="lv-LV"/>
        </w:rPr>
      </w:pPr>
    </w:p>
    <w:p w:rsidR="0033562E" w:rsidRDefault="00662113" w:rsidP="00957485">
      <w:pPr>
        <w:pStyle w:val="ListParagraph"/>
        <w:autoSpaceDE w:val="0"/>
        <w:autoSpaceDN w:val="0"/>
        <w:adjustRightInd w:val="0"/>
        <w:spacing w:after="0" w:line="240" w:lineRule="auto"/>
        <w:ind w:left="1287"/>
        <w:jc w:val="center"/>
        <w:rPr>
          <w:rFonts w:ascii="Times New Roman" w:eastAsia="Calibri" w:hAnsi="Times New Roman"/>
          <w:b/>
          <w:sz w:val="28"/>
          <w:szCs w:val="28"/>
          <w:lang w:val="lv-LV" w:eastAsia="lv-LV"/>
        </w:rPr>
      </w:pPr>
      <w:r w:rsidRPr="00957485">
        <w:rPr>
          <w:rFonts w:ascii="Times New Roman" w:eastAsia="Calibri" w:hAnsi="Times New Roman"/>
          <w:b/>
          <w:sz w:val="28"/>
          <w:szCs w:val="28"/>
          <w:lang w:val="lv-LV" w:eastAsia="lv-LV"/>
        </w:rPr>
        <w:t>Situācijas raksturojums</w:t>
      </w:r>
    </w:p>
    <w:p w:rsidR="00957485" w:rsidRPr="00957485" w:rsidRDefault="00957485" w:rsidP="00957485">
      <w:pPr>
        <w:pStyle w:val="ListParagraph"/>
        <w:autoSpaceDE w:val="0"/>
        <w:autoSpaceDN w:val="0"/>
        <w:adjustRightInd w:val="0"/>
        <w:spacing w:after="0" w:line="240" w:lineRule="auto"/>
        <w:ind w:left="1287"/>
        <w:jc w:val="center"/>
        <w:rPr>
          <w:rFonts w:ascii="Times New Roman" w:eastAsia="Calibri" w:hAnsi="Times New Roman"/>
          <w:b/>
          <w:sz w:val="28"/>
          <w:szCs w:val="28"/>
          <w:lang w:val="lv-LV" w:eastAsia="lv-LV"/>
        </w:rPr>
      </w:pPr>
    </w:p>
    <w:p w:rsidR="00A328F2" w:rsidRPr="00957485" w:rsidRDefault="0077059D" w:rsidP="0033562E">
      <w:pPr>
        <w:autoSpaceDE w:val="0"/>
        <w:autoSpaceDN w:val="0"/>
        <w:adjustRightInd w:val="0"/>
        <w:spacing w:after="0" w:line="240" w:lineRule="auto"/>
        <w:ind w:firstLine="720"/>
        <w:jc w:val="both"/>
        <w:rPr>
          <w:rFonts w:ascii="Times New Roman" w:eastAsia="Calibri" w:hAnsi="Times New Roman"/>
          <w:b/>
          <w:sz w:val="28"/>
          <w:szCs w:val="28"/>
          <w:lang w:val="lv-LV" w:eastAsia="lv-LV"/>
        </w:rPr>
      </w:pPr>
      <w:r w:rsidRPr="00957485">
        <w:rPr>
          <w:rFonts w:ascii="Times New Roman" w:eastAsia="Calibri" w:hAnsi="Times New Roman"/>
          <w:b/>
          <w:sz w:val="28"/>
          <w:szCs w:val="28"/>
          <w:lang w:val="lv-LV" w:eastAsia="lv-LV"/>
        </w:rPr>
        <w:t>1</w:t>
      </w:r>
      <w:r w:rsidR="008C586E" w:rsidRPr="00957485">
        <w:rPr>
          <w:rFonts w:ascii="Times New Roman" w:eastAsia="Calibri" w:hAnsi="Times New Roman"/>
          <w:b/>
          <w:sz w:val="28"/>
          <w:szCs w:val="28"/>
          <w:lang w:val="lv-LV" w:eastAsia="lv-LV"/>
        </w:rPr>
        <w:t>. Stacionārās veselības aprūpe</w:t>
      </w:r>
      <w:r w:rsidRPr="00957485">
        <w:rPr>
          <w:rFonts w:ascii="Times New Roman" w:eastAsia="Calibri" w:hAnsi="Times New Roman"/>
          <w:b/>
          <w:sz w:val="28"/>
          <w:szCs w:val="28"/>
          <w:lang w:val="lv-LV" w:eastAsia="lv-LV"/>
        </w:rPr>
        <w:t>s rādītāji</w:t>
      </w:r>
    </w:p>
    <w:p w:rsidR="00957485" w:rsidRDefault="00A328F2" w:rsidP="00A328F2">
      <w:pPr>
        <w:autoSpaceDE w:val="0"/>
        <w:autoSpaceDN w:val="0"/>
        <w:adjustRightInd w:val="0"/>
        <w:spacing w:after="0" w:line="240" w:lineRule="auto"/>
        <w:jc w:val="both"/>
        <w:rPr>
          <w:rFonts w:ascii="Times New Roman" w:eastAsia="Calibri" w:hAnsi="Times New Roman"/>
          <w:bCs/>
          <w:sz w:val="28"/>
          <w:szCs w:val="28"/>
          <w:lang w:val="lv-LV" w:eastAsia="lv-LV"/>
        </w:rPr>
      </w:pPr>
      <w:r w:rsidRPr="00957485">
        <w:rPr>
          <w:rFonts w:ascii="Times New Roman" w:eastAsia="Calibri" w:hAnsi="Times New Roman"/>
          <w:bCs/>
          <w:sz w:val="28"/>
          <w:szCs w:val="28"/>
          <w:lang w:val="lv-LV" w:eastAsia="lv-LV"/>
        </w:rPr>
        <w:tab/>
        <w:t xml:space="preserve">Analizējot ziņojumā minēto slimnīcu stacionārās veselības aprūpes rādītājus, kā viens no būtiskākajiem ir kopējais </w:t>
      </w:r>
      <w:r w:rsidR="00C90074" w:rsidRPr="00957485">
        <w:rPr>
          <w:rFonts w:ascii="Times New Roman" w:eastAsia="Calibri" w:hAnsi="Times New Roman"/>
          <w:b/>
          <w:sz w:val="28"/>
          <w:szCs w:val="28"/>
          <w:lang w:val="lv-LV" w:eastAsia="lv-LV"/>
        </w:rPr>
        <w:t>hospitalizāciju skaits</w:t>
      </w:r>
      <w:r w:rsidR="009F2AB4" w:rsidRPr="00957485">
        <w:rPr>
          <w:rFonts w:ascii="Times New Roman" w:eastAsia="Calibri" w:hAnsi="Times New Roman"/>
          <w:bCs/>
          <w:sz w:val="28"/>
          <w:szCs w:val="28"/>
          <w:lang w:val="lv-LV" w:eastAsia="lv-LV"/>
        </w:rPr>
        <w:t xml:space="preserve"> slimnīcā</w:t>
      </w:r>
      <w:r w:rsidR="00C90074" w:rsidRPr="00957485">
        <w:rPr>
          <w:rFonts w:ascii="Times New Roman" w:eastAsia="Calibri" w:hAnsi="Times New Roman"/>
          <w:bCs/>
          <w:sz w:val="28"/>
          <w:szCs w:val="28"/>
          <w:lang w:val="lv-LV" w:eastAsia="lv-LV"/>
        </w:rPr>
        <w:t>.</w:t>
      </w:r>
      <w:r w:rsidRPr="00957485">
        <w:rPr>
          <w:rFonts w:ascii="Times New Roman" w:eastAsia="Calibri" w:hAnsi="Times New Roman"/>
          <w:bCs/>
          <w:sz w:val="28"/>
          <w:szCs w:val="28"/>
          <w:lang w:val="lv-LV" w:eastAsia="lv-LV"/>
        </w:rPr>
        <w:t xml:space="preserve"> </w:t>
      </w:r>
      <w:r w:rsidR="00C90074" w:rsidRPr="00957485">
        <w:rPr>
          <w:rFonts w:ascii="Times New Roman" w:eastAsia="Calibri" w:hAnsi="Times New Roman"/>
          <w:bCs/>
          <w:sz w:val="28"/>
          <w:szCs w:val="28"/>
          <w:lang w:val="lv-LV" w:eastAsia="lv-LV"/>
        </w:rPr>
        <w:t>Kopējais hospitalizāciju skaits ziņojumā minētajās slimnīcās 2011.gada I ceturksnī (</w:t>
      </w:r>
      <w:r w:rsidR="00511520" w:rsidRPr="00957485">
        <w:rPr>
          <w:rFonts w:ascii="Times New Roman" w:eastAsia="Calibri" w:hAnsi="Times New Roman"/>
          <w:bCs/>
          <w:sz w:val="28"/>
          <w:szCs w:val="28"/>
          <w:lang w:val="lv-LV" w:eastAsia="lv-LV"/>
        </w:rPr>
        <w:t xml:space="preserve">14 852 </w:t>
      </w:r>
      <w:r w:rsidR="00C90074" w:rsidRPr="00957485">
        <w:rPr>
          <w:rFonts w:ascii="Times New Roman" w:eastAsia="Calibri" w:hAnsi="Times New Roman"/>
          <w:bCs/>
          <w:sz w:val="28"/>
          <w:szCs w:val="28"/>
          <w:lang w:val="lv-LV" w:eastAsia="lv-LV"/>
        </w:rPr>
        <w:t>hospitalizācijas) salīdzinājumā ar 2010.gada I ceturksni (</w:t>
      </w:r>
      <w:r w:rsidR="00511520" w:rsidRPr="00957485">
        <w:rPr>
          <w:rFonts w:ascii="Times New Roman" w:eastAsia="Calibri" w:hAnsi="Times New Roman"/>
          <w:bCs/>
          <w:sz w:val="28"/>
          <w:szCs w:val="28"/>
          <w:lang w:val="lv-LV" w:eastAsia="lv-LV"/>
        </w:rPr>
        <w:t>15</w:t>
      </w:r>
      <w:r w:rsidR="005D3EF0">
        <w:rPr>
          <w:rFonts w:ascii="Times New Roman" w:eastAsia="Calibri" w:hAnsi="Times New Roman"/>
          <w:bCs/>
          <w:sz w:val="28"/>
          <w:szCs w:val="28"/>
          <w:lang w:val="lv-LV" w:eastAsia="lv-LV"/>
        </w:rPr>
        <w:t> </w:t>
      </w:r>
      <w:r w:rsidR="00511520" w:rsidRPr="00957485">
        <w:rPr>
          <w:rFonts w:ascii="Times New Roman" w:eastAsia="Calibri" w:hAnsi="Times New Roman"/>
          <w:bCs/>
          <w:sz w:val="28"/>
          <w:szCs w:val="28"/>
          <w:lang w:val="lv-LV" w:eastAsia="lv-LV"/>
        </w:rPr>
        <w:t>232</w:t>
      </w:r>
      <w:r w:rsidR="005D3EF0">
        <w:rPr>
          <w:rFonts w:ascii="Times New Roman" w:eastAsia="Calibri" w:hAnsi="Times New Roman"/>
          <w:bCs/>
          <w:sz w:val="28"/>
          <w:szCs w:val="28"/>
          <w:lang w:val="lv-LV" w:eastAsia="lv-LV"/>
        </w:rPr>
        <w:t xml:space="preserve"> </w:t>
      </w:r>
      <w:r w:rsidR="00C90074" w:rsidRPr="00957485">
        <w:rPr>
          <w:rFonts w:ascii="Times New Roman" w:eastAsia="Calibri" w:hAnsi="Times New Roman"/>
          <w:bCs/>
          <w:sz w:val="28"/>
          <w:szCs w:val="28"/>
          <w:lang w:val="lv-LV" w:eastAsia="lv-LV"/>
        </w:rPr>
        <w:t xml:space="preserve">hospitalizācijas) nav būtiski </w:t>
      </w:r>
      <w:r w:rsidR="009F2AB4" w:rsidRPr="00957485">
        <w:rPr>
          <w:rFonts w:ascii="Times New Roman" w:eastAsia="Calibri" w:hAnsi="Times New Roman"/>
          <w:bCs/>
          <w:sz w:val="28"/>
          <w:szCs w:val="28"/>
          <w:lang w:val="lv-LV" w:eastAsia="lv-LV"/>
        </w:rPr>
        <w:t>mainījies</w:t>
      </w:r>
      <w:r w:rsidR="0054160F" w:rsidRPr="00957485">
        <w:rPr>
          <w:rFonts w:ascii="Times New Roman" w:eastAsia="Calibri" w:hAnsi="Times New Roman"/>
          <w:bCs/>
          <w:sz w:val="28"/>
          <w:szCs w:val="28"/>
          <w:lang w:val="lv-LV" w:eastAsia="lv-LV"/>
        </w:rPr>
        <w:t xml:space="preserve"> (</w:t>
      </w:r>
      <w:r w:rsidR="00511520" w:rsidRPr="00957485">
        <w:rPr>
          <w:rFonts w:ascii="Times New Roman" w:eastAsia="Calibri" w:hAnsi="Times New Roman"/>
          <w:bCs/>
          <w:sz w:val="28"/>
          <w:szCs w:val="28"/>
          <w:lang w:val="lv-LV" w:eastAsia="lv-LV"/>
        </w:rPr>
        <w:t>samazinājies par</w:t>
      </w:r>
      <w:r w:rsidR="0054160F" w:rsidRPr="00957485">
        <w:rPr>
          <w:rFonts w:ascii="Times New Roman" w:eastAsia="Calibri" w:hAnsi="Times New Roman"/>
          <w:bCs/>
          <w:sz w:val="28"/>
          <w:szCs w:val="28"/>
          <w:lang w:val="lv-LV" w:eastAsia="lv-LV"/>
        </w:rPr>
        <w:t xml:space="preserve"> 2,5%)</w:t>
      </w:r>
      <w:r w:rsidR="00511520" w:rsidRPr="00957485">
        <w:rPr>
          <w:rFonts w:ascii="Times New Roman" w:eastAsia="Calibri" w:hAnsi="Times New Roman"/>
          <w:bCs/>
          <w:sz w:val="28"/>
          <w:szCs w:val="28"/>
          <w:lang w:val="lv-LV" w:eastAsia="lv-LV"/>
        </w:rPr>
        <w:t xml:space="preserve">. </w:t>
      </w:r>
    </w:p>
    <w:p w:rsidR="00957485" w:rsidRDefault="00957485" w:rsidP="00A328F2">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957485">
      <w:pPr>
        <w:spacing w:after="0" w:line="240" w:lineRule="auto"/>
        <w:rPr>
          <w:rFonts w:ascii="Times New Roman" w:hAnsi="Times New Roman"/>
          <w:i/>
          <w:sz w:val="24"/>
          <w:szCs w:val="24"/>
          <w:lang w:val="lv-LV"/>
        </w:rPr>
      </w:pPr>
      <w:r w:rsidRPr="00405134">
        <w:rPr>
          <w:rFonts w:ascii="Times New Roman" w:hAnsi="Times New Roman"/>
          <w:b/>
          <w:i/>
          <w:sz w:val="24"/>
          <w:szCs w:val="24"/>
          <w:lang w:val="lv-LV"/>
        </w:rPr>
        <w:t>1.attēls.</w:t>
      </w:r>
      <w:r w:rsidRPr="00405134">
        <w:rPr>
          <w:rFonts w:ascii="Times New Roman" w:hAnsi="Times New Roman"/>
          <w:i/>
          <w:sz w:val="24"/>
          <w:szCs w:val="24"/>
          <w:lang w:val="lv-LV"/>
        </w:rPr>
        <w:t xml:space="preserve"> </w:t>
      </w:r>
      <w:r>
        <w:rPr>
          <w:rFonts w:ascii="Times New Roman" w:hAnsi="Times New Roman"/>
          <w:i/>
          <w:sz w:val="24"/>
          <w:szCs w:val="24"/>
          <w:lang w:val="lv-LV"/>
        </w:rPr>
        <w:t>Hospitalizāciju skaits 2010.gada I ceturksnī salīdzinājumā ar 2011.gada I ceturksni.</w:t>
      </w:r>
    </w:p>
    <w:p w:rsidR="00957485" w:rsidRDefault="00957485" w:rsidP="00A328F2">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957485">
      <w:pPr>
        <w:autoSpaceDE w:val="0"/>
        <w:autoSpaceDN w:val="0"/>
        <w:adjustRightInd w:val="0"/>
        <w:spacing w:after="0" w:line="240" w:lineRule="auto"/>
        <w:jc w:val="center"/>
        <w:rPr>
          <w:rFonts w:ascii="Times New Roman" w:eastAsia="Calibri" w:hAnsi="Times New Roman"/>
          <w:bCs/>
          <w:sz w:val="28"/>
          <w:szCs w:val="28"/>
          <w:lang w:val="lv-LV" w:eastAsia="lv-LV"/>
        </w:rPr>
      </w:pPr>
      <w:r w:rsidRPr="00957485">
        <w:rPr>
          <w:noProof/>
          <w:szCs w:val="28"/>
        </w:rPr>
        <w:drawing>
          <wp:inline distT="0" distB="0" distL="0" distR="0">
            <wp:extent cx="5943600" cy="4083698"/>
            <wp:effectExtent l="19050" t="0" r="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5943600" cy="4083698"/>
                    </a:xfrm>
                    <a:prstGeom prst="rect">
                      <a:avLst/>
                    </a:prstGeom>
                    <a:noFill/>
                    <a:ln w="9525">
                      <a:noFill/>
                      <a:miter lim="800000"/>
                      <a:headEnd/>
                      <a:tailEnd/>
                    </a:ln>
                  </pic:spPr>
                </pic:pic>
              </a:graphicData>
            </a:graphic>
          </wp:inline>
        </w:drawing>
      </w:r>
    </w:p>
    <w:p w:rsidR="00957485" w:rsidRDefault="00957485" w:rsidP="00957485">
      <w:pPr>
        <w:pStyle w:val="CommentText"/>
        <w:spacing w:after="120"/>
        <w:ind w:firstLine="720"/>
        <w:rPr>
          <w:i/>
          <w:sz w:val="20"/>
          <w:szCs w:val="20"/>
          <w:lang w:val="lv-LV"/>
        </w:rPr>
      </w:pPr>
      <w:r w:rsidRPr="0054160F">
        <w:rPr>
          <w:i/>
          <w:sz w:val="20"/>
          <w:szCs w:val="20"/>
          <w:lang w:val="lv-LV"/>
        </w:rPr>
        <w:t>Datu avots: Veselības norēķinu centrs</w:t>
      </w:r>
    </w:p>
    <w:p w:rsidR="00957485" w:rsidRDefault="00957485" w:rsidP="00957485">
      <w:pPr>
        <w:autoSpaceDE w:val="0"/>
        <w:autoSpaceDN w:val="0"/>
        <w:adjustRightInd w:val="0"/>
        <w:spacing w:after="0" w:line="240" w:lineRule="auto"/>
        <w:jc w:val="both"/>
        <w:rPr>
          <w:rFonts w:ascii="Times New Roman" w:eastAsia="Calibri" w:hAnsi="Times New Roman"/>
          <w:bCs/>
          <w:sz w:val="28"/>
          <w:szCs w:val="28"/>
          <w:lang w:val="lv-LV" w:eastAsia="lv-LV"/>
        </w:rPr>
      </w:pPr>
    </w:p>
    <w:p w:rsidR="0054160F" w:rsidRPr="00957485" w:rsidRDefault="00511520" w:rsidP="00957485">
      <w:pPr>
        <w:autoSpaceDE w:val="0"/>
        <w:autoSpaceDN w:val="0"/>
        <w:adjustRightInd w:val="0"/>
        <w:spacing w:after="0" w:line="240" w:lineRule="auto"/>
        <w:ind w:firstLine="720"/>
        <w:jc w:val="both"/>
        <w:rPr>
          <w:rFonts w:ascii="Times New Roman" w:eastAsia="Calibri" w:hAnsi="Times New Roman"/>
          <w:bCs/>
          <w:sz w:val="28"/>
          <w:szCs w:val="28"/>
          <w:lang w:val="lv-LV" w:eastAsia="lv-LV"/>
        </w:rPr>
      </w:pPr>
      <w:r w:rsidRPr="00957485">
        <w:rPr>
          <w:rFonts w:ascii="Times New Roman" w:eastAsia="Calibri" w:hAnsi="Times New Roman"/>
          <w:bCs/>
          <w:sz w:val="28"/>
          <w:szCs w:val="28"/>
          <w:lang w:val="lv-LV" w:eastAsia="lv-LV"/>
        </w:rPr>
        <w:t>Ziņojumā minētajās slimnīcās veiktais hospitalizāciju skaits sastāda 17,5% no kopējā hospitalizāciju ska</w:t>
      </w:r>
      <w:r w:rsidR="00C31AEE">
        <w:rPr>
          <w:rFonts w:ascii="Times New Roman" w:eastAsia="Calibri" w:hAnsi="Times New Roman"/>
          <w:bCs/>
          <w:sz w:val="28"/>
          <w:szCs w:val="28"/>
          <w:lang w:val="lv-LV" w:eastAsia="lv-LV"/>
        </w:rPr>
        <w:t>i</w:t>
      </w:r>
      <w:r w:rsidRPr="00957485">
        <w:rPr>
          <w:rFonts w:ascii="Times New Roman" w:eastAsia="Calibri" w:hAnsi="Times New Roman"/>
          <w:bCs/>
          <w:sz w:val="28"/>
          <w:szCs w:val="28"/>
          <w:lang w:val="lv-LV" w:eastAsia="lv-LV"/>
        </w:rPr>
        <w:t>ta visās stacionārajās ārstniecības iestādēs 2011.gada I ceturksnī (85 021 hospitalizācijas)</w:t>
      </w:r>
      <w:r w:rsidR="009F2AB4" w:rsidRPr="00957485">
        <w:rPr>
          <w:rFonts w:ascii="Times New Roman" w:eastAsia="Calibri" w:hAnsi="Times New Roman"/>
          <w:bCs/>
          <w:sz w:val="28"/>
          <w:szCs w:val="28"/>
          <w:lang w:val="lv-LV" w:eastAsia="lv-LV"/>
        </w:rPr>
        <w:t xml:space="preserve">. Analizējot hospitalizācijas gadījumus pa atsevišķām ziņojumā ietvertajām ārstniecības iestādēm, redzams, ka </w:t>
      </w:r>
      <w:r w:rsidR="00A328F2" w:rsidRPr="00957485">
        <w:rPr>
          <w:rFonts w:ascii="Times New Roman" w:eastAsia="Calibri" w:hAnsi="Times New Roman"/>
          <w:bCs/>
          <w:sz w:val="28"/>
          <w:szCs w:val="28"/>
          <w:lang w:val="lv-LV" w:eastAsia="lv-LV"/>
        </w:rPr>
        <w:t xml:space="preserve"> </w:t>
      </w:r>
      <w:r w:rsidR="00F64167" w:rsidRPr="00957485">
        <w:rPr>
          <w:rFonts w:ascii="Times New Roman" w:eastAsia="Calibri" w:hAnsi="Times New Roman"/>
          <w:bCs/>
          <w:sz w:val="28"/>
          <w:szCs w:val="28"/>
          <w:lang w:val="lv-LV" w:eastAsia="lv-LV"/>
        </w:rPr>
        <w:t xml:space="preserve">tajās slimnīcās, kur 2010.gada I ceturksnī kopējais hospitalizāciju skaits bija salīdzinoši zems, </w:t>
      </w:r>
      <w:r w:rsidR="003E1347" w:rsidRPr="00957485">
        <w:rPr>
          <w:rFonts w:ascii="Times New Roman" w:eastAsia="Calibri" w:hAnsi="Times New Roman"/>
          <w:bCs/>
          <w:sz w:val="28"/>
          <w:szCs w:val="28"/>
          <w:lang w:val="lv-LV" w:eastAsia="lv-LV"/>
        </w:rPr>
        <w:t>arī</w:t>
      </w:r>
      <w:r w:rsidR="00F64167" w:rsidRPr="00957485">
        <w:rPr>
          <w:rFonts w:ascii="Times New Roman" w:eastAsia="Calibri" w:hAnsi="Times New Roman"/>
          <w:bCs/>
          <w:sz w:val="28"/>
          <w:szCs w:val="28"/>
          <w:lang w:val="lv-LV" w:eastAsia="lv-LV"/>
        </w:rPr>
        <w:t xml:space="preserve"> 2011.gada I ceturksnī tas ir</w:t>
      </w:r>
      <w:r w:rsidR="00C31AEE">
        <w:rPr>
          <w:rFonts w:ascii="Times New Roman" w:eastAsia="Calibri" w:hAnsi="Times New Roman"/>
          <w:bCs/>
          <w:sz w:val="28"/>
          <w:szCs w:val="28"/>
          <w:lang w:val="lv-LV" w:eastAsia="lv-LV"/>
        </w:rPr>
        <w:t xml:space="preserve"> zems vai</w:t>
      </w:r>
      <w:r w:rsidR="00F64167" w:rsidRPr="00957485">
        <w:rPr>
          <w:rFonts w:ascii="Times New Roman" w:eastAsia="Calibri" w:hAnsi="Times New Roman"/>
          <w:bCs/>
          <w:sz w:val="28"/>
          <w:szCs w:val="28"/>
          <w:lang w:val="lv-LV" w:eastAsia="lv-LV"/>
        </w:rPr>
        <w:t xml:space="preserve"> būtiski samazinājies </w:t>
      </w:r>
      <w:r w:rsidR="00C90074" w:rsidRPr="00957485">
        <w:rPr>
          <w:rFonts w:ascii="Times New Roman" w:eastAsia="Calibri" w:hAnsi="Times New Roman"/>
          <w:bCs/>
          <w:sz w:val="28"/>
          <w:szCs w:val="28"/>
          <w:lang w:val="lv-LV" w:eastAsia="lv-LV"/>
        </w:rPr>
        <w:t>(skatīt 1.attēlu)</w:t>
      </w:r>
      <w:r w:rsidR="00A328F2" w:rsidRPr="00957485">
        <w:rPr>
          <w:rFonts w:ascii="Times New Roman" w:eastAsia="Calibri" w:hAnsi="Times New Roman"/>
          <w:bCs/>
          <w:sz w:val="28"/>
          <w:szCs w:val="28"/>
          <w:lang w:val="lv-LV" w:eastAsia="lv-LV"/>
        </w:rPr>
        <w:t xml:space="preserve">. </w:t>
      </w:r>
      <w:r w:rsidR="00F64167" w:rsidRPr="00957485">
        <w:rPr>
          <w:rFonts w:ascii="Times New Roman" w:eastAsia="Calibri" w:hAnsi="Times New Roman"/>
          <w:bCs/>
          <w:sz w:val="28"/>
          <w:szCs w:val="28"/>
          <w:lang w:val="lv-LV" w:eastAsia="lv-LV"/>
        </w:rPr>
        <w:lastRenderedPageBreak/>
        <w:t xml:space="preserve">Piemēram, attiecībā pret 2010.gada I ceturksni hospitalizāciju skaits samazinājies SIA „Preiļu slimnīca” par 55,5 %, SIA „Krāslavas slimnīca” par 27,7%, savukārt SIA „Alūksnes slimnīca” hospitalizāciju skaits ir nedaudz </w:t>
      </w:r>
      <w:r w:rsidR="0054160F" w:rsidRPr="00957485">
        <w:rPr>
          <w:rFonts w:ascii="Times New Roman" w:eastAsia="Calibri" w:hAnsi="Times New Roman"/>
          <w:bCs/>
          <w:sz w:val="28"/>
          <w:szCs w:val="28"/>
          <w:lang w:val="lv-LV" w:eastAsia="lv-LV"/>
        </w:rPr>
        <w:t>palielinājies no 797 gadījumiem 2010.gada  I ceturksnī uz 843 2011.gada I ceturksnī. Jāatzīmē, ka par 15,1% hospitalizāciju skaits ir palielinājies Madonas novada pašvaldības SIA „Madonas slimnīca”.</w:t>
      </w:r>
      <w:r w:rsidR="00124EBD" w:rsidRPr="00957485">
        <w:rPr>
          <w:rFonts w:ascii="Times New Roman" w:eastAsia="Calibri" w:hAnsi="Times New Roman"/>
          <w:bCs/>
          <w:sz w:val="28"/>
          <w:szCs w:val="28"/>
          <w:lang w:val="lv-LV" w:eastAsia="lv-LV"/>
        </w:rPr>
        <w:t xml:space="preserve"> Arī kopējais gultas dienu skaits 12 slimnīcās 2011.gada I ceturksnī ir samazinājies par 4 812 gultas dienām salīdzinājumā ar 2010.gada I ceturksni.</w:t>
      </w:r>
      <w:r w:rsidR="006E0B3F">
        <w:rPr>
          <w:i/>
          <w:sz w:val="20"/>
          <w:szCs w:val="20"/>
          <w:lang w:val="lv-LV"/>
        </w:rPr>
        <w:tab/>
      </w:r>
    </w:p>
    <w:p w:rsidR="006E0B3F" w:rsidRDefault="00511520" w:rsidP="006E0B3F">
      <w:pPr>
        <w:autoSpaceDE w:val="0"/>
        <w:autoSpaceDN w:val="0"/>
        <w:adjustRightInd w:val="0"/>
        <w:spacing w:after="0" w:line="240" w:lineRule="auto"/>
        <w:ind w:firstLine="720"/>
        <w:jc w:val="both"/>
        <w:rPr>
          <w:rFonts w:ascii="Times New Roman" w:hAnsi="Times New Roman"/>
          <w:sz w:val="28"/>
          <w:szCs w:val="28"/>
          <w:lang w:val="lv-LV"/>
        </w:rPr>
      </w:pPr>
      <w:r w:rsidRPr="00957485">
        <w:rPr>
          <w:rFonts w:ascii="Times New Roman" w:hAnsi="Times New Roman"/>
          <w:sz w:val="28"/>
          <w:szCs w:val="28"/>
          <w:lang w:val="lv-LV"/>
        </w:rPr>
        <w:t>Ņemot vērā</w:t>
      </w:r>
      <w:r w:rsidR="006E0B3F" w:rsidRPr="00957485">
        <w:rPr>
          <w:rFonts w:ascii="Times New Roman" w:hAnsi="Times New Roman"/>
          <w:sz w:val="28"/>
          <w:szCs w:val="28"/>
          <w:lang w:val="lv-LV"/>
        </w:rPr>
        <w:t xml:space="preserve"> </w:t>
      </w:r>
      <w:r w:rsidR="00C31AEE">
        <w:rPr>
          <w:rFonts w:ascii="Times New Roman" w:hAnsi="Times New Roman"/>
          <w:sz w:val="28"/>
          <w:szCs w:val="28"/>
          <w:lang w:val="lv-LV"/>
        </w:rPr>
        <w:t>kopējo gultas dienu</w:t>
      </w:r>
      <w:r w:rsidRPr="00957485">
        <w:rPr>
          <w:rFonts w:ascii="Times New Roman" w:hAnsi="Times New Roman"/>
          <w:sz w:val="28"/>
          <w:szCs w:val="28"/>
          <w:lang w:val="lv-LV"/>
        </w:rPr>
        <w:t xml:space="preserve"> skaita samazinājumu</w:t>
      </w:r>
      <w:r w:rsidR="006E0B3F" w:rsidRPr="00957485">
        <w:rPr>
          <w:rFonts w:ascii="Times New Roman" w:hAnsi="Times New Roman"/>
          <w:sz w:val="28"/>
          <w:szCs w:val="28"/>
          <w:lang w:val="lv-LV"/>
        </w:rPr>
        <w:t>, kā redzams 1.tabulā,</w:t>
      </w:r>
      <w:r w:rsidRPr="00957485">
        <w:rPr>
          <w:rFonts w:ascii="Times New Roman" w:hAnsi="Times New Roman"/>
          <w:sz w:val="28"/>
          <w:szCs w:val="28"/>
          <w:lang w:val="lv-LV"/>
        </w:rPr>
        <w:t xml:space="preserve"> arī</w:t>
      </w:r>
      <w:r w:rsidR="006E0B3F" w:rsidRPr="00957485">
        <w:rPr>
          <w:rFonts w:ascii="Times New Roman" w:hAnsi="Times New Roman"/>
          <w:sz w:val="28"/>
          <w:szCs w:val="28"/>
          <w:lang w:val="lv-LV"/>
        </w:rPr>
        <w:t xml:space="preserve"> kopējais </w:t>
      </w:r>
      <w:r w:rsidR="006E0B3F" w:rsidRPr="00957485">
        <w:rPr>
          <w:rFonts w:ascii="Times New Roman" w:hAnsi="Times New Roman"/>
          <w:b/>
          <w:bCs/>
          <w:sz w:val="28"/>
          <w:szCs w:val="28"/>
          <w:lang w:val="lv-LV"/>
        </w:rPr>
        <w:t>vidējais ārstēšanās ilgums</w:t>
      </w:r>
      <w:r w:rsidR="006E0B3F" w:rsidRPr="00957485">
        <w:rPr>
          <w:rFonts w:ascii="Times New Roman" w:hAnsi="Times New Roman"/>
          <w:sz w:val="28"/>
          <w:szCs w:val="28"/>
          <w:lang w:val="lv-LV"/>
        </w:rPr>
        <w:t xml:space="preserve"> ziņojumā minētajās </w:t>
      </w:r>
      <w:r w:rsidR="00322498" w:rsidRPr="00957485">
        <w:rPr>
          <w:rFonts w:ascii="Times New Roman" w:hAnsi="Times New Roman"/>
          <w:sz w:val="28"/>
          <w:szCs w:val="28"/>
          <w:lang w:val="lv-LV"/>
        </w:rPr>
        <w:t>slimnīcās ir samazinājies no 6,1</w:t>
      </w:r>
      <w:r w:rsidRPr="00957485">
        <w:rPr>
          <w:rFonts w:ascii="Times New Roman" w:hAnsi="Times New Roman"/>
          <w:sz w:val="28"/>
          <w:szCs w:val="28"/>
          <w:lang w:val="lv-LV"/>
        </w:rPr>
        <w:t xml:space="preserve"> dienas</w:t>
      </w:r>
      <w:r w:rsidR="006E0B3F" w:rsidRPr="00957485">
        <w:rPr>
          <w:rFonts w:ascii="Times New Roman" w:hAnsi="Times New Roman"/>
          <w:sz w:val="28"/>
          <w:szCs w:val="28"/>
          <w:lang w:val="lv-LV"/>
        </w:rPr>
        <w:t xml:space="preserve"> 2010.gada I ceturksnī uz</w:t>
      </w:r>
      <w:r w:rsidR="00322498" w:rsidRPr="00957485">
        <w:rPr>
          <w:rFonts w:ascii="Times New Roman" w:hAnsi="Times New Roman"/>
          <w:sz w:val="28"/>
          <w:szCs w:val="28"/>
          <w:lang w:val="lv-LV"/>
        </w:rPr>
        <w:t xml:space="preserve"> 6 dienām 2011.gada I ceturksnī.</w:t>
      </w:r>
      <w:r w:rsidR="00BF23C4" w:rsidRPr="00957485">
        <w:rPr>
          <w:rFonts w:ascii="Times New Roman" w:hAnsi="Times New Roman"/>
          <w:sz w:val="28"/>
          <w:szCs w:val="28"/>
          <w:lang w:val="lv-LV"/>
        </w:rPr>
        <w:t xml:space="preserve"> </w:t>
      </w:r>
      <w:r w:rsidR="0077059D" w:rsidRPr="00957485">
        <w:rPr>
          <w:rFonts w:ascii="Times New Roman" w:hAnsi="Times New Roman"/>
          <w:sz w:val="28"/>
          <w:szCs w:val="28"/>
          <w:lang w:val="lv-LV"/>
        </w:rPr>
        <w:t>Salīdzinājumā ar pārējo šajā ziņojumā analizēto ārstniecības iestāžu darbu, vidējais ārstēšanās ilgums visvairāk samazinājies SIA „Dobeles un apkā</w:t>
      </w:r>
      <w:r w:rsidR="00F05A72" w:rsidRPr="00957485">
        <w:rPr>
          <w:rFonts w:ascii="Times New Roman" w:hAnsi="Times New Roman"/>
          <w:sz w:val="28"/>
          <w:szCs w:val="28"/>
          <w:lang w:val="lv-LV"/>
        </w:rPr>
        <w:t>rtnes slimnīca” par 0,7 dienām</w:t>
      </w:r>
      <w:r w:rsidR="0077059D" w:rsidRPr="00957485">
        <w:rPr>
          <w:rFonts w:ascii="Times New Roman" w:hAnsi="Times New Roman"/>
          <w:sz w:val="28"/>
          <w:szCs w:val="28"/>
          <w:lang w:val="lv-LV"/>
        </w:rPr>
        <w:t xml:space="preserve">, SIA „Preiļu slimnīca” par 0,6 dienām un SIA „Krāslavas slimnīca” par 0,5 dienām. SIA „Ogres rajona slimnīca” ārstēšanās ilgums 2011.gada pirmajā ceturksnī salīdzinājumā ar 2010.gada I ceturksni palielinājies par 0,4 dienām. </w:t>
      </w:r>
      <w:r w:rsidR="00322498" w:rsidRPr="00957485">
        <w:rPr>
          <w:rFonts w:ascii="Times New Roman" w:hAnsi="Times New Roman"/>
          <w:sz w:val="28"/>
          <w:szCs w:val="28"/>
          <w:lang w:val="lv-LV"/>
        </w:rPr>
        <w:t xml:space="preserve">Ziņojumā ietvertajās slimnīcās kopējais vidējais ārstēšanās ilgums ir būtiski mazāks gan par kopējo visu veidu stacionāro ārstniecības iestāžu vidējo ārstēšanās ilgumu (2011.gada I ceturksnī 8,5 dienas), </w:t>
      </w:r>
      <w:r w:rsidR="00C31AEE">
        <w:rPr>
          <w:rFonts w:ascii="Times New Roman" w:hAnsi="Times New Roman"/>
          <w:sz w:val="28"/>
          <w:szCs w:val="28"/>
          <w:lang w:val="lv-LV"/>
        </w:rPr>
        <w:t>gan</w:t>
      </w:r>
      <w:r w:rsidR="00F05A72" w:rsidRPr="00957485">
        <w:rPr>
          <w:rFonts w:ascii="Times New Roman" w:hAnsi="Times New Roman"/>
          <w:sz w:val="28"/>
          <w:szCs w:val="28"/>
          <w:lang w:val="lv-LV"/>
        </w:rPr>
        <w:t xml:space="preserve"> arī</w:t>
      </w:r>
      <w:r w:rsidR="00322498" w:rsidRPr="00957485">
        <w:rPr>
          <w:rFonts w:ascii="Times New Roman" w:hAnsi="Times New Roman"/>
          <w:sz w:val="28"/>
          <w:szCs w:val="28"/>
          <w:lang w:val="lv-LV"/>
        </w:rPr>
        <w:t xml:space="preserve"> visās stacionārajās ārstniecības iestādēs, kas sniedz neatliekamo medicīnisko palīdzību (6,6 dienas).</w:t>
      </w:r>
      <w:r w:rsidRPr="00957485">
        <w:rPr>
          <w:rFonts w:ascii="Times New Roman" w:hAnsi="Times New Roman"/>
          <w:sz w:val="28"/>
          <w:szCs w:val="28"/>
          <w:lang w:val="lv-LV"/>
        </w:rPr>
        <w:t xml:space="preserve"> </w:t>
      </w:r>
      <w:r w:rsidR="00322498" w:rsidRPr="00957485">
        <w:rPr>
          <w:rFonts w:ascii="Times New Roman" w:hAnsi="Times New Roman"/>
          <w:sz w:val="28"/>
          <w:szCs w:val="28"/>
          <w:lang w:val="lv-LV"/>
        </w:rPr>
        <w:t xml:space="preserve"> </w:t>
      </w:r>
    </w:p>
    <w:p w:rsidR="0033562E" w:rsidRDefault="0033562E" w:rsidP="0077059D">
      <w:pPr>
        <w:autoSpaceDE w:val="0"/>
        <w:autoSpaceDN w:val="0"/>
        <w:adjustRightInd w:val="0"/>
        <w:spacing w:after="0" w:line="240" w:lineRule="auto"/>
        <w:jc w:val="both"/>
        <w:rPr>
          <w:rFonts w:ascii="Times New Roman" w:hAnsi="Times New Roman"/>
          <w:sz w:val="24"/>
          <w:szCs w:val="24"/>
          <w:lang w:val="lv-LV"/>
        </w:rPr>
      </w:pPr>
    </w:p>
    <w:p w:rsidR="0033562E" w:rsidRPr="00957485" w:rsidRDefault="006E0B3F" w:rsidP="00957485">
      <w:pPr>
        <w:autoSpaceDE w:val="0"/>
        <w:autoSpaceDN w:val="0"/>
        <w:adjustRightInd w:val="0"/>
        <w:spacing w:after="0" w:line="240" w:lineRule="auto"/>
        <w:ind w:firstLine="720"/>
        <w:jc w:val="both"/>
        <w:rPr>
          <w:rFonts w:ascii="Times New Roman" w:hAnsi="Times New Roman"/>
          <w:i/>
          <w:iCs/>
          <w:sz w:val="24"/>
          <w:szCs w:val="24"/>
          <w:lang w:val="lv-LV"/>
        </w:rPr>
      </w:pPr>
      <w:r w:rsidRPr="00957485">
        <w:rPr>
          <w:rFonts w:ascii="Times New Roman" w:hAnsi="Times New Roman"/>
          <w:b/>
          <w:bCs/>
          <w:i/>
          <w:iCs/>
          <w:sz w:val="24"/>
          <w:szCs w:val="24"/>
          <w:lang w:val="lv-LV"/>
        </w:rPr>
        <w:t>1.tabula.</w:t>
      </w:r>
      <w:r w:rsidRPr="00957485">
        <w:rPr>
          <w:rFonts w:ascii="Times New Roman" w:hAnsi="Times New Roman"/>
          <w:i/>
          <w:iCs/>
          <w:sz w:val="24"/>
          <w:szCs w:val="24"/>
          <w:lang w:val="lv-LV"/>
        </w:rPr>
        <w:t xml:space="preserve"> Hosp</w:t>
      </w:r>
      <w:r w:rsidR="005D3EF0">
        <w:rPr>
          <w:rFonts w:ascii="Times New Roman" w:hAnsi="Times New Roman"/>
          <w:i/>
          <w:iCs/>
          <w:sz w:val="24"/>
          <w:szCs w:val="24"/>
          <w:lang w:val="lv-LV"/>
        </w:rPr>
        <w:t xml:space="preserve">italizāciju </w:t>
      </w:r>
      <w:r w:rsidRPr="00957485">
        <w:rPr>
          <w:rFonts w:ascii="Times New Roman" w:hAnsi="Times New Roman"/>
          <w:i/>
          <w:iCs/>
          <w:sz w:val="24"/>
          <w:szCs w:val="24"/>
          <w:lang w:val="lv-LV"/>
        </w:rPr>
        <w:t xml:space="preserve">un vidējā ārstēšanās ilguma rādītāji. </w:t>
      </w:r>
    </w:p>
    <w:tbl>
      <w:tblPr>
        <w:tblStyle w:val="TableGrid"/>
        <w:tblW w:w="9923" w:type="dxa"/>
        <w:tblInd w:w="108" w:type="dxa"/>
        <w:tblLayout w:type="fixed"/>
        <w:tblLook w:val="04A0"/>
      </w:tblPr>
      <w:tblGrid>
        <w:gridCol w:w="567"/>
        <w:gridCol w:w="3544"/>
        <w:gridCol w:w="1559"/>
        <w:gridCol w:w="1276"/>
        <w:gridCol w:w="1559"/>
        <w:gridCol w:w="1418"/>
      </w:tblGrid>
      <w:tr w:rsidR="009E6D78" w:rsidTr="00957485">
        <w:tc>
          <w:tcPr>
            <w:tcW w:w="567" w:type="dxa"/>
            <w:vMerge w:val="restart"/>
            <w:vAlign w:val="center"/>
          </w:tcPr>
          <w:p w:rsidR="009E6D78" w:rsidRPr="00957485" w:rsidRDefault="009E6D78" w:rsidP="009E6D78">
            <w:pPr>
              <w:autoSpaceDE w:val="0"/>
              <w:autoSpaceDN w:val="0"/>
              <w:adjustRightInd w:val="0"/>
              <w:jc w:val="center"/>
              <w:rPr>
                <w:rFonts w:ascii="Times New Roman" w:eastAsia="Calibri" w:hAnsi="Times New Roman" w:cs="Times New Roman"/>
                <w:bCs/>
                <w:lang w:val="lv-LV" w:eastAsia="lv-LV"/>
              </w:rPr>
            </w:pPr>
            <w:proofErr w:type="spellStart"/>
            <w:r w:rsidRPr="00957485">
              <w:rPr>
                <w:rFonts w:ascii="Times New Roman" w:eastAsia="Calibri" w:hAnsi="Times New Roman" w:cs="Times New Roman"/>
                <w:bCs/>
                <w:lang w:val="lv-LV" w:eastAsia="lv-LV"/>
              </w:rPr>
              <w:t>Nr.p.k</w:t>
            </w:r>
            <w:proofErr w:type="spellEnd"/>
            <w:r w:rsidRPr="00957485">
              <w:rPr>
                <w:rFonts w:ascii="Times New Roman" w:eastAsia="Calibri" w:hAnsi="Times New Roman" w:cs="Times New Roman"/>
                <w:bCs/>
                <w:lang w:val="lv-LV" w:eastAsia="lv-LV"/>
              </w:rPr>
              <w:t>.</w:t>
            </w:r>
          </w:p>
        </w:tc>
        <w:tc>
          <w:tcPr>
            <w:tcW w:w="3544" w:type="dxa"/>
            <w:vMerge w:val="restart"/>
          </w:tcPr>
          <w:p w:rsidR="009E6D78" w:rsidRPr="00957485" w:rsidRDefault="009E6D78" w:rsidP="0096079C">
            <w:pPr>
              <w:autoSpaceDE w:val="0"/>
              <w:autoSpaceDN w:val="0"/>
              <w:adjustRightInd w:val="0"/>
              <w:rPr>
                <w:rFonts w:ascii="Times New Roman" w:eastAsia="Calibri" w:hAnsi="Times New Roman" w:cs="Times New Roman"/>
                <w:b/>
                <w:lang w:val="lv-LV" w:eastAsia="lv-LV"/>
              </w:rPr>
            </w:pPr>
            <w:r w:rsidRPr="00957485">
              <w:rPr>
                <w:rFonts w:ascii="Times New Roman" w:eastAsia="Calibri" w:hAnsi="Times New Roman" w:cs="Times New Roman"/>
                <w:b/>
                <w:lang w:val="lv-LV" w:eastAsia="lv-LV"/>
              </w:rPr>
              <w:t>Stacionārās ārstniecības iestādes nosaukums</w:t>
            </w:r>
          </w:p>
        </w:tc>
        <w:tc>
          <w:tcPr>
            <w:tcW w:w="2835" w:type="dxa"/>
            <w:gridSpan w:val="2"/>
          </w:tcPr>
          <w:p w:rsidR="009E6D78" w:rsidRPr="00957485" w:rsidRDefault="009E6D78" w:rsidP="0096079C">
            <w:pPr>
              <w:autoSpaceDE w:val="0"/>
              <w:autoSpaceDN w:val="0"/>
              <w:adjustRightInd w:val="0"/>
              <w:jc w:val="center"/>
              <w:rPr>
                <w:rFonts w:ascii="Times New Roman" w:eastAsia="Calibri" w:hAnsi="Times New Roman" w:cs="Times New Roman"/>
                <w:b/>
                <w:lang w:val="lv-LV" w:eastAsia="lv-LV"/>
              </w:rPr>
            </w:pPr>
            <w:r w:rsidRPr="00957485">
              <w:rPr>
                <w:rFonts w:ascii="Times New Roman" w:eastAsia="Calibri" w:hAnsi="Times New Roman" w:cs="Times New Roman"/>
                <w:b/>
                <w:lang w:val="lv-LV" w:eastAsia="lv-LV"/>
              </w:rPr>
              <w:t>2010.gada I ceturksnis</w:t>
            </w:r>
          </w:p>
        </w:tc>
        <w:tc>
          <w:tcPr>
            <w:tcW w:w="2977" w:type="dxa"/>
            <w:gridSpan w:val="2"/>
          </w:tcPr>
          <w:p w:rsidR="009E6D78" w:rsidRPr="00957485" w:rsidRDefault="009E6D78" w:rsidP="0096079C">
            <w:pPr>
              <w:autoSpaceDE w:val="0"/>
              <w:autoSpaceDN w:val="0"/>
              <w:adjustRightInd w:val="0"/>
              <w:jc w:val="center"/>
              <w:rPr>
                <w:rFonts w:ascii="Times New Roman" w:eastAsia="Calibri" w:hAnsi="Times New Roman" w:cs="Times New Roman"/>
                <w:b/>
                <w:lang w:val="lv-LV" w:eastAsia="lv-LV"/>
              </w:rPr>
            </w:pPr>
            <w:r w:rsidRPr="00957485">
              <w:rPr>
                <w:rFonts w:ascii="Times New Roman" w:eastAsia="Calibri" w:hAnsi="Times New Roman" w:cs="Times New Roman"/>
                <w:b/>
                <w:lang w:val="lv-LV" w:eastAsia="lv-LV"/>
              </w:rPr>
              <w:t>2011.gada I ceturksnis</w:t>
            </w:r>
          </w:p>
        </w:tc>
      </w:tr>
      <w:tr w:rsidR="009E6D78" w:rsidTr="00957485">
        <w:tc>
          <w:tcPr>
            <w:tcW w:w="567" w:type="dxa"/>
            <w:vMerge/>
          </w:tcPr>
          <w:p w:rsidR="009E6D78" w:rsidRPr="00957485" w:rsidRDefault="009E6D78" w:rsidP="00A328F2">
            <w:pPr>
              <w:autoSpaceDE w:val="0"/>
              <w:autoSpaceDN w:val="0"/>
              <w:adjustRightInd w:val="0"/>
              <w:jc w:val="both"/>
              <w:rPr>
                <w:rFonts w:ascii="Times New Roman" w:eastAsia="Calibri" w:hAnsi="Times New Roman" w:cs="Times New Roman"/>
                <w:b/>
                <w:lang w:val="lv-LV" w:eastAsia="lv-LV"/>
              </w:rPr>
            </w:pPr>
          </w:p>
        </w:tc>
        <w:tc>
          <w:tcPr>
            <w:tcW w:w="3544" w:type="dxa"/>
            <w:vMerge/>
          </w:tcPr>
          <w:p w:rsidR="009E6D78" w:rsidRPr="00957485" w:rsidRDefault="009E6D78" w:rsidP="00A328F2">
            <w:pPr>
              <w:autoSpaceDE w:val="0"/>
              <w:autoSpaceDN w:val="0"/>
              <w:adjustRightInd w:val="0"/>
              <w:jc w:val="both"/>
              <w:rPr>
                <w:rFonts w:ascii="Times New Roman" w:eastAsia="Calibri" w:hAnsi="Times New Roman" w:cs="Times New Roman"/>
                <w:b/>
                <w:lang w:val="lv-LV" w:eastAsia="lv-LV"/>
              </w:rPr>
            </w:pPr>
          </w:p>
        </w:tc>
        <w:tc>
          <w:tcPr>
            <w:tcW w:w="1559" w:type="dxa"/>
          </w:tcPr>
          <w:p w:rsidR="009E6D78" w:rsidRPr="00957485" w:rsidRDefault="009E6D78" w:rsidP="0096079C">
            <w:pPr>
              <w:autoSpaceDE w:val="0"/>
              <w:autoSpaceDN w:val="0"/>
              <w:adjustRightInd w:val="0"/>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Hospitalizāciju skaits</w:t>
            </w:r>
          </w:p>
        </w:tc>
        <w:tc>
          <w:tcPr>
            <w:tcW w:w="1276" w:type="dxa"/>
          </w:tcPr>
          <w:p w:rsidR="009E6D78" w:rsidRPr="00957485" w:rsidRDefault="009E6D78" w:rsidP="0096079C">
            <w:pPr>
              <w:autoSpaceDE w:val="0"/>
              <w:autoSpaceDN w:val="0"/>
              <w:adjustRightInd w:val="0"/>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Vidējais ārstēšanās ilgums</w:t>
            </w:r>
          </w:p>
        </w:tc>
        <w:tc>
          <w:tcPr>
            <w:tcW w:w="1559" w:type="dxa"/>
          </w:tcPr>
          <w:p w:rsidR="009E6D78" w:rsidRPr="00957485" w:rsidRDefault="009E6D78" w:rsidP="0096079C">
            <w:pPr>
              <w:autoSpaceDE w:val="0"/>
              <w:autoSpaceDN w:val="0"/>
              <w:adjustRightInd w:val="0"/>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Hospitalizāciju skaits</w:t>
            </w:r>
          </w:p>
        </w:tc>
        <w:tc>
          <w:tcPr>
            <w:tcW w:w="1418" w:type="dxa"/>
          </w:tcPr>
          <w:p w:rsidR="009E6D78" w:rsidRPr="00957485" w:rsidRDefault="009E6D78" w:rsidP="0096079C">
            <w:pPr>
              <w:autoSpaceDE w:val="0"/>
              <w:autoSpaceDN w:val="0"/>
              <w:adjustRightInd w:val="0"/>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Vidējais ārstēšanās ilgums</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1.</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"Jūrmalas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1 052</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4,9</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1 076</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5,0</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2.</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"Ogres rajona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1 422</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6,4</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1 478</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6,8</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3.</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"Tukuma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1 439</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6,1</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1 516</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6,0</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4.</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"Kuldīgas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1 378</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6,1</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1 382</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6,1</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5.</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"Preiļu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512</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6,2</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228</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5,6</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6.</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"Krāslavas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576</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7,6</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416</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7,1</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7.</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Madonas novada pašvaldības SIA "Madonas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1 589</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5,3</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1 829</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5,1</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8.</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"Balvu un Gulbenes slimnīcu apvienība"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1 884</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5,7</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1 888</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5,8</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9.</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"Cēsu klīnika"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1 733</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4,9</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1 622</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4,6</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10.</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"Alūksnes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797</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6,2</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843</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6,2</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11.</w:t>
            </w:r>
          </w:p>
        </w:tc>
        <w:tc>
          <w:tcPr>
            <w:tcW w:w="3544" w:type="dxa"/>
            <w:vAlign w:val="bottom"/>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SIA "Dobeles un apkārtnes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1 346</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5,3</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1 183</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4,6</w:t>
            </w:r>
          </w:p>
        </w:tc>
      </w:tr>
      <w:tr w:rsidR="009E6D78" w:rsidRPr="00DF31F2" w:rsidTr="00957485">
        <w:tc>
          <w:tcPr>
            <w:tcW w:w="567" w:type="dxa"/>
          </w:tcPr>
          <w:p w:rsidR="009E6D78" w:rsidRPr="00957485" w:rsidRDefault="009E6D78">
            <w:pPr>
              <w:rPr>
                <w:rFonts w:ascii="Times New Roman" w:hAnsi="Times New Roman" w:cs="Times New Roman"/>
                <w:color w:val="000000"/>
                <w:lang w:val="lv-LV"/>
              </w:rPr>
            </w:pPr>
            <w:r w:rsidRPr="00957485">
              <w:rPr>
                <w:rFonts w:ascii="Times New Roman" w:hAnsi="Times New Roman" w:cs="Times New Roman"/>
                <w:color w:val="000000"/>
                <w:lang w:val="lv-LV"/>
              </w:rPr>
              <w:t>12.</w:t>
            </w:r>
          </w:p>
        </w:tc>
        <w:tc>
          <w:tcPr>
            <w:tcW w:w="3544" w:type="dxa"/>
            <w:vAlign w:val="bottom"/>
          </w:tcPr>
          <w:p w:rsidR="009E6D78" w:rsidRPr="00957485" w:rsidRDefault="006D345F">
            <w:pPr>
              <w:rPr>
                <w:rFonts w:ascii="Times New Roman" w:hAnsi="Times New Roman" w:cs="Times New Roman"/>
                <w:color w:val="000000"/>
                <w:lang w:val="lv-LV"/>
              </w:rPr>
            </w:pPr>
            <w:r w:rsidRPr="00957485">
              <w:rPr>
                <w:rFonts w:ascii="Times New Roman" w:hAnsi="Times New Roman" w:cs="Times New Roman"/>
                <w:color w:val="000000"/>
                <w:lang w:val="lv-LV"/>
              </w:rPr>
              <w:t>V</w:t>
            </w:r>
            <w:r w:rsidR="009E6D78" w:rsidRPr="00957485">
              <w:rPr>
                <w:rFonts w:ascii="Times New Roman" w:hAnsi="Times New Roman" w:cs="Times New Roman"/>
                <w:color w:val="000000"/>
                <w:lang w:val="lv-LV"/>
              </w:rPr>
              <w:t>alsts SIA "Traumatoloģijas un ortopēdijas slimnīca"</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1 504</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9,8</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1 391</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Cs/>
                <w:lang w:val="lv-LV" w:eastAsia="lv-LV"/>
              </w:rPr>
            </w:pPr>
            <w:r w:rsidRPr="00957485">
              <w:rPr>
                <w:rFonts w:ascii="Times New Roman" w:eastAsia="Calibri" w:hAnsi="Times New Roman" w:cs="Times New Roman"/>
                <w:bCs/>
                <w:lang w:val="lv-LV" w:eastAsia="lv-LV"/>
              </w:rPr>
              <w:t>9,3</w:t>
            </w:r>
          </w:p>
        </w:tc>
      </w:tr>
      <w:tr w:rsidR="009E6D78" w:rsidRPr="00DF31F2" w:rsidTr="00957485">
        <w:tc>
          <w:tcPr>
            <w:tcW w:w="567" w:type="dxa"/>
          </w:tcPr>
          <w:p w:rsidR="009E6D78" w:rsidRPr="00957485" w:rsidRDefault="009E6D78" w:rsidP="00BF23C4">
            <w:pPr>
              <w:jc w:val="right"/>
              <w:rPr>
                <w:rFonts w:ascii="Times New Roman" w:hAnsi="Times New Roman" w:cs="Times New Roman"/>
                <w:b/>
                <w:bCs/>
                <w:lang w:val="lv-LV"/>
              </w:rPr>
            </w:pPr>
          </w:p>
        </w:tc>
        <w:tc>
          <w:tcPr>
            <w:tcW w:w="3544" w:type="dxa"/>
            <w:vAlign w:val="bottom"/>
          </w:tcPr>
          <w:p w:rsidR="009E6D78" w:rsidRPr="00957485" w:rsidRDefault="009E6D78" w:rsidP="00BF23C4">
            <w:pPr>
              <w:jc w:val="right"/>
              <w:rPr>
                <w:rFonts w:ascii="Times New Roman" w:hAnsi="Times New Roman" w:cs="Times New Roman"/>
                <w:b/>
                <w:bCs/>
                <w:lang w:val="lv-LV"/>
              </w:rPr>
            </w:pPr>
            <w:r w:rsidRPr="00957485">
              <w:rPr>
                <w:rFonts w:ascii="Times New Roman" w:hAnsi="Times New Roman" w:cs="Times New Roman"/>
                <w:b/>
                <w:bCs/>
                <w:lang w:val="lv-LV"/>
              </w:rPr>
              <w:t>Kopā</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
                <w:bCs/>
                <w:lang w:val="lv-LV" w:eastAsia="lv-LV"/>
              </w:rPr>
            </w:pPr>
            <w:r w:rsidRPr="00957485">
              <w:rPr>
                <w:rFonts w:ascii="Times New Roman" w:eastAsia="Calibri" w:hAnsi="Times New Roman" w:cs="Times New Roman"/>
                <w:b/>
                <w:bCs/>
                <w:lang w:val="lv-LV" w:eastAsia="lv-LV"/>
              </w:rPr>
              <w:t>15 232</w:t>
            </w:r>
          </w:p>
        </w:tc>
        <w:tc>
          <w:tcPr>
            <w:tcW w:w="1276" w:type="dxa"/>
          </w:tcPr>
          <w:p w:rsidR="009E6D78" w:rsidRPr="00957485" w:rsidRDefault="009E6D78" w:rsidP="00A328F2">
            <w:pPr>
              <w:autoSpaceDE w:val="0"/>
              <w:autoSpaceDN w:val="0"/>
              <w:adjustRightInd w:val="0"/>
              <w:jc w:val="both"/>
              <w:rPr>
                <w:rFonts w:ascii="Times New Roman" w:eastAsia="Calibri" w:hAnsi="Times New Roman" w:cs="Times New Roman"/>
                <w:b/>
                <w:bCs/>
                <w:lang w:val="lv-LV" w:eastAsia="lv-LV"/>
              </w:rPr>
            </w:pPr>
            <w:r w:rsidRPr="00957485">
              <w:rPr>
                <w:rFonts w:ascii="Times New Roman" w:eastAsia="Calibri" w:hAnsi="Times New Roman" w:cs="Times New Roman"/>
                <w:b/>
                <w:bCs/>
                <w:lang w:val="lv-LV" w:eastAsia="lv-LV"/>
              </w:rPr>
              <w:t>6,2</w:t>
            </w:r>
          </w:p>
        </w:tc>
        <w:tc>
          <w:tcPr>
            <w:tcW w:w="1559" w:type="dxa"/>
          </w:tcPr>
          <w:p w:rsidR="009E6D78" w:rsidRPr="00957485" w:rsidRDefault="009E6D78" w:rsidP="00A328F2">
            <w:pPr>
              <w:autoSpaceDE w:val="0"/>
              <w:autoSpaceDN w:val="0"/>
              <w:adjustRightInd w:val="0"/>
              <w:jc w:val="both"/>
              <w:rPr>
                <w:rFonts w:ascii="Times New Roman" w:eastAsia="Calibri" w:hAnsi="Times New Roman" w:cs="Times New Roman"/>
                <w:b/>
                <w:bCs/>
                <w:lang w:val="lv-LV" w:eastAsia="lv-LV"/>
              </w:rPr>
            </w:pPr>
            <w:r w:rsidRPr="00957485">
              <w:rPr>
                <w:rFonts w:ascii="Times New Roman" w:eastAsia="Calibri" w:hAnsi="Times New Roman" w:cs="Times New Roman"/>
                <w:b/>
                <w:bCs/>
                <w:lang w:val="lv-LV" w:eastAsia="lv-LV"/>
              </w:rPr>
              <w:t>14 852</w:t>
            </w:r>
          </w:p>
        </w:tc>
        <w:tc>
          <w:tcPr>
            <w:tcW w:w="1418" w:type="dxa"/>
          </w:tcPr>
          <w:p w:rsidR="009E6D78" w:rsidRPr="00957485" w:rsidRDefault="009E6D78" w:rsidP="00A328F2">
            <w:pPr>
              <w:autoSpaceDE w:val="0"/>
              <w:autoSpaceDN w:val="0"/>
              <w:adjustRightInd w:val="0"/>
              <w:jc w:val="both"/>
              <w:rPr>
                <w:rFonts w:ascii="Times New Roman" w:eastAsia="Calibri" w:hAnsi="Times New Roman" w:cs="Times New Roman"/>
                <w:b/>
                <w:bCs/>
                <w:lang w:val="lv-LV" w:eastAsia="lv-LV"/>
              </w:rPr>
            </w:pPr>
            <w:r w:rsidRPr="00957485">
              <w:rPr>
                <w:rFonts w:ascii="Times New Roman" w:eastAsia="Calibri" w:hAnsi="Times New Roman" w:cs="Times New Roman"/>
                <w:b/>
                <w:bCs/>
                <w:lang w:val="lv-LV" w:eastAsia="lv-LV"/>
              </w:rPr>
              <w:t>6,0</w:t>
            </w:r>
          </w:p>
        </w:tc>
      </w:tr>
    </w:tbl>
    <w:p w:rsidR="00DF31F2" w:rsidRDefault="00DF31F2" w:rsidP="00DF31F2">
      <w:pPr>
        <w:pStyle w:val="CommentText"/>
        <w:spacing w:after="120"/>
        <w:ind w:firstLine="720"/>
        <w:rPr>
          <w:i/>
          <w:sz w:val="20"/>
          <w:szCs w:val="20"/>
          <w:lang w:val="lv-LV"/>
        </w:rPr>
      </w:pPr>
      <w:r w:rsidRPr="0054160F">
        <w:rPr>
          <w:i/>
          <w:sz w:val="20"/>
          <w:szCs w:val="20"/>
          <w:lang w:val="lv-LV"/>
        </w:rPr>
        <w:t>Datu avots: Veselības norēķinu centrs</w:t>
      </w:r>
    </w:p>
    <w:p w:rsidR="00493241" w:rsidRPr="00957485" w:rsidRDefault="00493241" w:rsidP="005D1133">
      <w:pPr>
        <w:autoSpaceDE w:val="0"/>
        <w:autoSpaceDN w:val="0"/>
        <w:adjustRightInd w:val="0"/>
        <w:spacing w:after="0" w:line="240" w:lineRule="auto"/>
        <w:ind w:firstLine="720"/>
        <w:jc w:val="both"/>
        <w:rPr>
          <w:rFonts w:ascii="Times New Roman" w:eastAsia="Calibri" w:hAnsi="Times New Roman"/>
          <w:bCs/>
          <w:sz w:val="28"/>
          <w:szCs w:val="28"/>
          <w:lang w:val="lv-LV" w:eastAsia="lv-LV"/>
        </w:rPr>
      </w:pPr>
      <w:r w:rsidRPr="00957485">
        <w:rPr>
          <w:rFonts w:ascii="Times New Roman" w:eastAsia="Calibri" w:hAnsi="Times New Roman"/>
          <w:bCs/>
          <w:sz w:val="28"/>
          <w:szCs w:val="28"/>
          <w:lang w:val="lv-LV" w:eastAsia="lv-LV"/>
        </w:rPr>
        <w:lastRenderedPageBreak/>
        <w:t>Ziņojumā ietverto 12 stacionāro ārstniecības iestāžu kopējais plānotais finansējums par stacionāro</w:t>
      </w:r>
      <w:r w:rsidR="00F05A72" w:rsidRPr="00957485">
        <w:rPr>
          <w:rFonts w:ascii="Times New Roman" w:eastAsia="Calibri" w:hAnsi="Times New Roman"/>
          <w:bCs/>
          <w:sz w:val="28"/>
          <w:szCs w:val="28"/>
          <w:lang w:val="lv-LV" w:eastAsia="lv-LV"/>
        </w:rPr>
        <w:t xml:space="preserve"> darbu</w:t>
      </w:r>
      <w:r w:rsidRPr="00957485">
        <w:rPr>
          <w:rFonts w:ascii="Times New Roman" w:eastAsia="Calibri" w:hAnsi="Times New Roman"/>
          <w:bCs/>
          <w:sz w:val="28"/>
          <w:szCs w:val="28"/>
          <w:lang w:val="lv-LV" w:eastAsia="lv-LV"/>
        </w:rPr>
        <w:t xml:space="preserve"> atbilstoši noslēgtajiem līgumiem ar Veselības norēķinu centru par no valsts budžeta apmaksāto veselības aprūpes pakalpojumu sniegšanu 2011.gada I ceturksnim ir </w:t>
      </w:r>
      <w:r w:rsidRPr="00957485">
        <w:rPr>
          <w:rFonts w:ascii="Times New Roman" w:eastAsia="Calibri" w:hAnsi="Times New Roman"/>
          <w:b/>
          <w:sz w:val="28"/>
          <w:szCs w:val="28"/>
          <w:lang w:val="lv-LV" w:eastAsia="lv-LV"/>
        </w:rPr>
        <w:t>3 089 612 Ls</w:t>
      </w:r>
      <w:r w:rsidR="00033204">
        <w:rPr>
          <w:rFonts w:ascii="Times New Roman" w:eastAsia="Calibri" w:hAnsi="Times New Roman"/>
          <w:b/>
          <w:sz w:val="28"/>
          <w:szCs w:val="28"/>
          <w:lang w:val="lv-LV" w:eastAsia="lv-LV"/>
        </w:rPr>
        <w:t xml:space="preserve"> </w:t>
      </w:r>
      <w:r w:rsidR="00033204" w:rsidRPr="00033204">
        <w:rPr>
          <w:rFonts w:ascii="Times New Roman" w:eastAsia="Calibri" w:hAnsi="Times New Roman"/>
          <w:bCs/>
          <w:sz w:val="28"/>
          <w:szCs w:val="28"/>
          <w:lang w:val="lv-LV" w:eastAsia="lv-LV"/>
        </w:rPr>
        <w:t>un</w:t>
      </w:r>
      <w:r w:rsidR="00033204">
        <w:rPr>
          <w:rFonts w:ascii="Times New Roman" w:eastAsia="Calibri" w:hAnsi="Times New Roman"/>
          <w:b/>
          <w:sz w:val="28"/>
          <w:szCs w:val="28"/>
          <w:lang w:val="lv-LV" w:eastAsia="lv-LV"/>
        </w:rPr>
        <w:t xml:space="preserve"> </w:t>
      </w:r>
      <w:r w:rsidRPr="00957485">
        <w:rPr>
          <w:rFonts w:ascii="Times New Roman" w:eastAsia="Calibri" w:hAnsi="Times New Roman"/>
          <w:bCs/>
          <w:sz w:val="28"/>
          <w:szCs w:val="28"/>
          <w:lang w:val="lv-LV" w:eastAsia="lv-LV"/>
        </w:rPr>
        <w:t>atbilstoši datiem par slimnīcu paveikto darbu attiecīgajā laika periodā</w:t>
      </w:r>
      <w:r w:rsidR="00033204">
        <w:rPr>
          <w:rFonts w:ascii="Times New Roman" w:eastAsia="Calibri" w:hAnsi="Times New Roman"/>
          <w:bCs/>
          <w:sz w:val="28"/>
          <w:szCs w:val="28"/>
          <w:lang w:val="lv-LV" w:eastAsia="lv-LV"/>
        </w:rPr>
        <w:t xml:space="preserve"> vidējās izmaksas par pakalpojuma sniegšanu uz vienu pacientu ir samazinājušās par 15,8%, jo slimnīcas ir nodrošinājušas veselības aprūpes pakalpojumu lielākam pacientu skaitam nekā </w:t>
      </w:r>
      <w:r w:rsidR="001470D0">
        <w:rPr>
          <w:rFonts w:ascii="Times New Roman" w:eastAsia="Calibri" w:hAnsi="Times New Roman"/>
          <w:bCs/>
          <w:sz w:val="28"/>
          <w:szCs w:val="28"/>
          <w:lang w:val="lv-LV" w:eastAsia="lv-LV"/>
        </w:rPr>
        <w:t xml:space="preserve">minimāli </w:t>
      </w:r>
      <w:r w:rsidR="00033204">
        <w:rPr>
          <w:rFonts w:ascii="Times New Roman" w:eastAsia="Calibri" w:hAnsi="Times New Roman"/>
          <w:bCs/>
          <w:sz w:val="28"/>
          <w:szCs w:val="28"/>
          <w:lang w:val="lv-LV" w:eastAsia="lv-LV"/>
        </w:rPr>
        <w:t>plānots.</w:t>
      </w:r>
      <w:r w:rsidRPr="00957485">
        <w:rPr>
          <w:rFonts w:ascii="Times New Roman" w:eastAsia="Calibri" w:hAnsi="Times New Roman"/>
          <w:bCs/>
          <w:sz w:val="28"/>
          <w:szCs w:val="28"/>
          <w:lang w:val="lv-LV" w:eastAsia="lv-LV"/>
        </w:rPr>
        <w:t xml:space="preserve"> Neskatoties uz kopējo plānotā finansējuma pārtēriņu 2011.gada I ceturksnī, SIA „Preiļu slimnīca”</w:t>
      </w:r>
      <w:r w:rsidR="00D109DC" w:rsidRPr="00957485">
        <w:rPr>
          <w:rFonts w:ascii="Times New Roman" w:eastAsia="Calibri" w:hAnsi="Times New Roman"/>
          <w:bCs/>
          <w:sz w:val="28"/>
          <w:szCs w:val="28"/>
          <w:lang w:val="lv-LV" w:eastAsia="lv-LV"/>
        </w:rPr>
        <w:t xml:space="preserve"> un SIA „Krāslavas slimnīca” kopā veido 32 418 Ls plānotā finansējuma neizpildi. </w:t>
      </w:r>
    </w:p>
    <w:p w:rsidR="0054160F" w:rsidRDefault="00957485" w:rsidP="00957485">
      <w:pPr>
        <w:tabs>
          <w:tab w:val="left" w:pos="2520"/>
        </w:tabs>
        <w:autoSpaceDE w:val="0"/>
        <w:autoSpaceDN w:val="0"/>
        <w:adjustRightInd w:val="0"/>
        <w:spacing w:after="0" w:line="240" w:lineRule="auto"/>
        <w:jc w:val="both"/>
        <w:rPr>
          <w:rFonts w:ascii="Times New Roman" w:eastAsia="Calibri" w:hAnsi="Times New Roman"/>
          <w:bCs/>
          <w:sz w:val="28"/>
          <w:szCs w:val="28"/>
          <w:lang w:val="lv-LV" w:eastAsia="lv-LV"/>
        </w:rPr>
      </w:pPr>
      <w:r w:rsidRPr="00957485">
        <w:rPr>
          <w:rFonts w:ascii="Times New Roman" w:eastAsia="Calibri" w:hAnsi="Times New Roman"/>
          <w:bCs/>
          <w:sz w:val="28"/>
          <w:szCs w:val="28"/>
          <w:lang w:val="lv-LV" w:eastAsia="lv-LV"/>
        </w:rPr>
        <w:tab/>
      </w:r>
    </w:p>
    <w:p w:rsidR="00957485" w:rsidRPr="00957485" w:rsidRDefault="00957485" w:rsidP="00957485">
      <w:pPr>
        <w:tabs>
          <w:tab w:val="left" w:pos="2520"/>
        </w:tabs>
        <w:autoSpaceDE w:val="0"/>
        <w:autoSpaceDN w:val="0"/>
        <w:adjustRightInd w:val="0"/>
        <w:spacing w:after="0" w:line="240" w:lineRule="auto"/>
        <w:jc w:val="both"/>
        <w:rPr>
          <w:rFonts w:ascii="Times New Roman" w:eastAsia="Calibri" w:hAnsi="Times New Roman"/>
          <w:bCs/>
          <w:sz w:val="28"/>
          <w:szCs w:val="28"/>
          <w:lang w:val="lv-LV" w:eastAsia="lv-LV"/>
        </w:rPr>
      </w:pPr>
    </w:p>
    <w:p w:rsidR="0077059D" w:rsidRPr="00957485" w:rsidRDefault="0077059D" w:rsidP="0054160F">
      <w:pPr>
        <w:autoSpaceDE w:val="0"/>
        <w:autoSpaceDN w:val="0"/>
        <w:adjustRightInd w:val="0"/>
        <w:spacing w:after="0" w:line="240" w:lineRule="auto"/>
        <w:jc w:val="both"/>
        <w:rPr>
          <w:rFonts w:ascii="Times New Roman" w:eastAsia="Calibri" w:hAnsi="Times New Roman"/>
          <w:b/>
          <w:sz w:val="28"/>
          <w:szCs w:val="28"/>
          <w:lang w:val="lv-LV" w:eastAsia="lv-LV"/>
        </w:rPr>
      </w:pPr>
      <w:r>
        <w:rPr>
          <w:rFonts w:ascii="Times New Roman" w:eastAsia="Calibri" w:hAnsi="Times New Roman"/>
          <w:bCs/>
          <w:color w:val="FF0000"/>
          <w:sz w:val="24"/>
          <w:szCs w:val="24"/>
          <w:lang w:val="lv-LV" w:eastAsia="lv-LV"/>
        </w:rPr>
        <w:tab/>
      </w:r>
      <w:r w:rsidRPr="00957485">
        <w:rPr>
          <w:rFonts w:ascii="Times New Roman" w:eastAsia="Calibri" w:hAnsi="Times New Roman"/>
          <w:b/>
          <w:sz w:val="28"/>
          <w:szCs w:val="28"/>
          <w:lang w:val="lv-LV" w:eastAsia="lv-LV"/>
        </w:rPr>
        <w:t>2.</w:t>
      </w:r>
      <w:r w:rsidR="0096079C" w:rsidRPr="00957485">
        <w:rPr>
          <w:rFonts w:ascii="Times New Roman" w:eastAsia="Calibri" w:hAnsi="Times New Roman"/>
          <w:b/>
          <w:sz w:val="28"/>
          <w:szCs w:val="28"/>
          <w:lang w:val="lv-LV" w:eastAsia="lv-LV"/>
        </w:rPr>
        <w:t xml:space="preserve"> </w:t>
      </w:r>
      <w:r w:rsidR="00046D51" w:rsidRPr="00957485">
        <w:rPr>
          <w:rFonts w:ascii="Times New Roman" w:eastAsia="Calibri" w:hAnsi="Times New Roman"/>
          <w:b/>
          <w:sz w:val="28"/>
          <w:szCs w:val="28"/>
          <w:lang w:val="lv-LV" w:eastAsia="lv-LV"/>
        </w:rPr>
        <w:t>Sekundārās a</w:t>
      </w:r>
      <w:r w:rsidR="0096079C" w:rsidRPr="00957485">
        <w:rPr>
          <w:rFonts w:ascii="Times New Roman" w:eastAsia="Calibri" w:hAnsi="Times New Roman"/>
          <w:b/>
          <w:sz w:val="28"/>
          <w:szCs w:val="28"/>
          <w:lang w:val="lv-LV" w:eastAsia="lv-LV"/>
        </w:rPr>
        <w:t>mbulatorās</w:t>
      </w:r>
      <w:r w:rsidRPr="00957485">
        <w:rPr>
          <w:rFonts w:ascii="Times New Roman" w:eastAsia="Calibri" w:hAnsi="Times New Roman"/>
          <w:b/>
          <w:sz w:val="28"/>
          <w:szCs w:val="28"/>
          <w:lang w:val="lv-LV" w:eastAsia="lv-LV"/>
        </w:rPr>
        <w:t xml:space="preserve"> veselības aprūpes rādītāji</w:t>
      </w:r>
    </w:p>
    <w:p w:rsidR="0077059D" w:rsidRDefault="0077059D" w:rsidP="0054160F">
      <w:pPr>
        <w:autoSpaceDE w:val="0"/>
        <w:autoSpaceDN w:val="0"/>
        <w:adjustRightInd w:val="0"/>
        <w:spacing w:after="0" w:line="240" w:lineRule="auto"/>
        <w:jc w:val="both"/>
        <w:rPr>
          <w:rFonts w:ascii="Times New Roman" w:eastAsia="Calibri" w:hAnsi="Times New Roman"/>
          <w:bCs/>
          <w:sz w:val="28"/>
          <w:szCs w:val="28"/>
          <w:lang w:val="lv-LV" w:eastAsia="lv-LV"/>
        </w:rPr>
      </w:pPr>
      <w:r w:rsidRPr="00957485">
        <w:rPr>
          <w:rFonts w:ascii="Times New Roman" w:eastAsia="Calibri" w:hAnsi="Times New Roman"/>
          <w:bCs/>
          <w:color w:val="FF0000"/>
          <w:sz w:val="28"/>
          <w:szCs w:val="28"/>
          <w:lang w:val="lv-LV" w:eastAsia="lv-LV"/>
        </w:rPr>
        <w:tab/>
        <w:t xml:space="preserve"> </w:t>
      </w:r>
      <w:r w:rsidR="00033FCD" w:rsidRPr="00957485">
        <w:rPr>
          <w:rFonts w:ascii="Times New Roman" w:eastAsia="Calibri" w:hAnsi="Times New Roman"/>
          <w:bCs/>
          <w:sz w:val="28"/>
          <w:szCs w:val="28"/>
          <w:lang w:val="lv-LV" w:eastAsia="lv-LV"/>
        </w:rPr>
        <w:t>Visu 12 slimnīcu kopējais sekundārās ambulatorās veselības aprūpes pakalpojumu skaits</w:t>
      </w:r>
      <w:r w:rsidR="006D345F" w:rsidRPr="00957485">
        <w:rPr>
          <w:rFonts w:ascii="Times New Roman" w:eastAsia="Calibri" w:hAnsi="Times New Roman"/>
          <w:bCs/>
          <w:sz w:val="28"/>
          <w:szCs w:val="28"/>
          <w:lang w:val="lv-LV" w:eastAsia="lv-LV"/>
        </w:rPr>
        <w:t xml:space="preserve"> (164 575 apmeklējumi) sastāda 19 % no valstī kopējā ambulatoro apmeklējumu skaita pie sekundārās ambulatorās veselības aprūpes speciālista 2011.gada I ceturksnī. Kā redzams 2.attēlā, vislielāko ambulatoro apmeklējumu skaitu ziņojuma atskaites periodā ir nodrošinājušas SIA „Cēsu klīnika”, Valsts SIA „Traumatoloģijas un ortopēdijas slimnīca” un SIA „Balvu un Gulbenes slimnīcu apvienība”.</w:t>
      </w: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957485" w:rsidRPr="00957485" w:rsidRDefault="00957485" w:rsidP="0054160F">
      <w:pPr>
        <w:autoSpaceDE w:val="0"/>
        <w:autoSpaceDN w:val="0"/>
        <w:adjustRightInd w:val="0"/>
        <w:spacing w:after="0" w:line="240" w:lineRule="auto"/>
        <w:jc w:val="both"/>
        <w:rPr>
          <w:rFonts w:ascii="Times New Roman" w:eastAsia="Calibri" w:hAnsi="Times New Roman"/>
          <w:bCs/>
          <w:sz w:val="28"/>
          <w:szCs w:val="28"/>
          <w:lang w:val="lv-LV" w:eastAsia="lv-LV"/>
        </w:rPr>
      </w:pPr>
    </w:p>
    <w:p w:rsidR="00046D51" w:rsidRDefault="00046D51" w:rsidP="0054160F">
      <w:pPr>
        <w:autoSpaceDE w:val="0"/>
        <w:autoSpaceDN w:val="0"/>
        <w:adjustRightInd w:val="0"/>
        <w:spacing w:after="0" w:line="240" w:lineRule="auto"/>
        <w:jc w:val="both"/>
        <w:rPr>
          <w:rFonts w:ascii="Times New Roman" w:eastAsia="Calibri" w:hAnsi="Times New Roman"/>
          <w:bCs/>
          <w:sz w:val="24"/>
          <w:szCs w:val="24"/>
          <w:lang w:val="lv-LV" w:eastAsia="lv-LV"/>
        </w:rPr>
      </w:pPr>
    </w:p>
    <w:p w:rsidR="00046D51" w:rsidRDefault="00046D51" w:rsidP="005D1133">
      <w:pPr>
        <w:spacing w:after="0" w:line="240" w:lineRule="auto"/>
        <w:jc w:val="both"/>
        <w:rPr>
          <w:rFonts w:ascii="Times New Roman" w:hAnsi="Times New Roman"/>
          <w:i/>
          <w:sz w:val="24"/>
          <w:szCs w:val="24"/>
          <w:lang w:val="lv-LV"/>
        </w:rPr>
      </w:pPr>
      <w:r>
        <w:rPr>
          <w:rFonts w:ascii="Times New Roman" w:hAnsi="Times New Roman"/>
          <w:b/>
          <w:i/>
          <w:sz w:val="24"/>
          <w:szCs w:val="24"/>
          <w:lang w:val="lv-LV"/>
        </w:rPr>
        <w:lastRenderedPageBreak/>
        <w:t>2</w:t>
      </w:r>
      <w:r w:rsidRPr="00405134">
        <w:rPr>
          <w:rFonts w:ascii="Times New Roman" w:hAnsi="Times New Roman"/>
          <w:b/>
          <w:i/>
          <w:sz w:val="24"/>
          <w:szCs w:val="24"/>
          <w:lang w:val="lv-LV"/>
        </w:rPr>
        <w:t>.attēls.</w:t>
      </w:r>
      <w:r w:rsidRPr="00405134">
        <w:rPr>
          <w:rFonts w:ascii="Times New Roman" w:hAnsi="Times New Roman"/>
          <w:i/>
          <w:sz w:val="24"/>
          <w:szCs w:val="24"/>
          <w:lang w:val="lv-LV"/>
        </w:rPr>
        <w:t xml:space="preserve"> </w:t>
      </w:r>
      <w:r>
        <w:rPr>
          <w:rFonts w:ascii="Times New Roman" w:hAnsi="Times New Roman"/>
          <w:i/>
          <w:sz w:val="24"/>
          <w:szCs w:val="24"/>
          <w:lang w:val="lv-LV"/>
        </w:rPr>
        <w:t>Am</w:t>
      </w:r>
      <w:r w:rsidR="004B0367">
        <w:rPr>
          <w:rFonts w:ascii="Times New Roman" w:hAnsi="Times New Roman"/>
          <w:i/>
          <w:sz w:val="24"/>
          <w:szCs w:val="24"/>
          <w:lang w:val="lv-LV"/>
        </w:rPr>
        <w:t>bulatoro apmeklējumu skaits 2011</w:t>
      </w:r>
      <w:r>
        <w:rPr>
          <w:rFonts w:ascii="Times New Roman" w:hAnsi="Times New Roman"/>
          <w:i/>
          <w:sz w:val="24"/>
          <w:szCs w:val="24"/>
          <w:lang w:val="lv-LV"/>
        </w:rPr>
        <w:t>.gada I ceturksnī (ieskaitot izmeklējumus un apmeklējumu pie sekundārās ambulatorās veselības aprūpes speciālista).</w:t>
      </w:r>
    </w:p>
    <w:p w:rsidR="00046D51" w:rsidRDefault="005D1133" w:rsidP="005D1133">
      <w:pPr>
        <w:autoSpaceDE w:val="0"/>
        <w:autoSpaceDN w:val="0"/>
        <w:adjustRightInd w:val="0"/>
        <w:spacing w:after="0" w:line="240" w:lineRule="auto"/>
        <w:jc w:val="center"/>
        <w:rPr>
          <w:rFonts w:ascii="Times New Roman" w:eastAsia="Calibri" w:hAnsi="Times New Roman"/>
          <w:bCs/>
          <w:sz w:val="24"/>
          <w:szCs w:val="24"/>
          <w:lang w:val="lv-LV" w:eastAsia="lv-LV"/>
        </w:rPr>
      </w:pPr>
      <w:r w:rsidRPr="005D1133">
        <w:rPr>
          <w:noProof/>
          <w:szCs w:val="24"/>
        </w:rPr>
        <w:drawing>
          <wp:inline distT="0" distB="0" distL="0" distR="0">
            <wp:extent cx="5943600" cy="455295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943600" cy="4552950"/>
                    </a:xfrm>
                    <a:prstGeom prst="rect">
                      <a:avLst/>
                    </a:prstGeom>
                    <a:noFill/>
                    <a:ln w="9525">
                      <a:noFill/>
                      <a:miter lim="800000"/>
                      <a:headEnd/>
                      <a:tailEnd/>
                    </a:ln>
                  </pic:spPr>
                </pic:pic>
              </a:graphicData>
            </a:graphic>
          </wp:inline>
        </w:drawing>
      </w:r>
    </w:p>
    <w:p w:rsidR="00046D51" w:rsidRDefault="00046D51" w:rsidP="00046D51">
      <w:pPr>
        <w:pStyle w:val="CommentText"/>
        <w:spacing w:after="120"/>
        <w:ind w:firstLine="720"/>
        <w:rPr>
          <w:i/>
          <w:sz w:val="20"/>
          <w:szCs w:val="20"/>
          <w:lang w:val="lv-LV"/>
        </w:rPr>
      </w:pPr>
      <w:r w:rsidRPr="0054160F">
        <w:rPr>
          <w:i/>
          <w:sz w:val="20"/>
          <w:szCs w:val="20"/>
          <w:lang w:val="lv-LV"/>
        </w:rPr>
        <w:t>Datu avots: Veselības norēķinu centrs</w:t>
      </w:r>
    </w:p>
    <w:p w:rsidR="00033FCD" w:rsidRPr="00957485" w:rsidRDefault="00CB7E7A" w:rsidP="00AC6F14">
      <w:pPr>
        <w:pStyle w:val="CommentText"/>
        <w:ind w:firstLine="720"/>
        <w:rPr>
          <w:rFonts w:eastAsia="Calibri"/>
          <w:bCs/>
          <w:sz w:val="28"/>
          <w:szCs w:val="28"/>
          <w:lang w:val="lv-LV" w:eastAsia="lv-LV"/>
        </w:rPr>
      </w:pPr>
      <w:r w:rsidRPr="00957485">
        <w:rPr>
          <w:rFonts w:eastAsia="Calibri"/>
          <w:bCs/>
          <w:sz w:val="28"/>
          <w:szCs w:val="28"/>
          <w:lang w:val="lv-LV" w:eastAsia="lv-LV"/>
        </w:rPr>
        <w:t xml:space="preserve">Attiecīgi </w:t>
      </w:r>
      <w:r w:rsidR="00F05A72" w:rsidRPr="00957485">
        <w:rPr>
          <w:rFonts w:eastAsia="Calibri"/>
          <w:bCs/>
          <w:sz w:val="28"/>
          <w:szCs w:val="28"/>
          <w:lang w:val="lv-LV" w:eastAsia="lv-LV"/>
        </w:rPr>
        <w:t xml:space="preserve">visas ziņojumā minētās </w:t>
      </w:r>
      <w:r w:rsidRPr="00957485">
        <w:rPr>
          <w:rFonts w:eastAsia="Calibri"/>
          <w:bCs/>
          <w:sz w:val="28"/>
          <w:szCs w:val="28"/>
          <w:lang w:val="lv-LV" w:eastAsia="lv-LV"/>
        </w:rPr>
        <w:t>12 stacionā</w:t>
      </w:r>
      <w:r w:rsidR="00F05A72" w:rsidRPr="00957485">
        <w:rPr>
          <w:rFonts w:eastAsia="Calibri"/>
          <w:bCs/>
          <w:sz w:val="28"/>
          <w:szCs w:val="28"/>
          <w:lang w:val="lv-LV" w:eastAsia="lv-LV"/>
        </w:rPr>
        <w:t>rās ārstniecības iestādes par 28% ir pārsniegušas kopējo plānoto finansējumu par sekundāro ambulatoro veselības aprūpes pakalpojumu sniegšanu (2011.gada I ceturksnī kopējais 12 slimnīcām plānotais finansējums sekundāro ambulatoro veselības aprūpes pakalpojumu nodrošināšanai 1 200 656.25 Ls,  izpildītais virs noteiktā finansējuma ir 338 550,91Ls).</w:t>
      </w:r>
    </w:p>
    <w:p w:rsidR="005D1133" w:rsidRDefault="00AC6F14" w:rsidP="00401233">
      <w:pPr>
        <w:pStyle w:val="CommentText"/>
        <w:ind w:firstLine="720"/>
        <w:rPr>
          <w:rFonts w:eastAsia="Calibri"/>
          <w:bCs/>
          <w:sz w:val="28"/>
          <w:szCs w:val="28"/>
          <w:lang w:val="lv-LV" w:eastAsia="lv-LV"/>
        </w:rPr>
      </w:pPr>
      <w:r w:rsidRPr="00957485">
        <w:rPr>
          <w:rFonts w:eastAsia="Calibri"/>
          <w:bCs/>
          <w:sz w:val="28"/>
          <w:szCs w:val="28"/>
          <w:lang w:val="lv-LV" w:eastAsia="lv-LV"/>
        </w:rPr>
        <w:t>Kā redzams 3.attēlā ziņojumā minētajās 12 slimnīcās sniegto veselības aprūpes pakalpojum</w:t>
      </w:r>
      <w:r w:rsidR="00994C2F" w:rsidRPr="00957485">
        <w:rPr>
          <w:rFonts w:eastAsia="Calibri"/>
          <w:bCs/>
          <w:sz w:val="28"/>
          <w:szCs w:val="28"/>
          <w:lang w:val="lv-LV" w:eastAsia="lv-LV"/>
        </w:rPr>
        <w:t>u apjoms ir ļoti atšķirīgs. P</w:t>
      </w:r>
      <w:r w:rsidRPr="00957485">
        <w:rPr>
          <w:rFonts w:eastAsia="Calibri"/>
          <w:bCs/>
          <w:sz w:val="28"/>
          <w:szCs w:val="28"/>
          <w:lang w:val="lv-LV" w:eastAsia="lv-LV"/>
        </w:rPr>
        <w:t xml:space="preserve">iemēram, SIA „Alūksnes slimnīca” </w:t>
      </w:r>
      <w:r w:rsidR="00401233" w:rsidRPr="00957485">
        <w:rPr>
          <w:rFonts w:eastAsia="Calibri"/>
          <w:bCs/>
          <w:sz w:val="28"/>
          <w:szCs w:val="28"/>
          <w:lang w:val="lv-LV" w:eastAsia="lv-LV"/>
        </w:rPr>
        <w:t xml:space="preserve">un SIA „Jūrmalas slimnīca” </w:t>
      </w:r>
      <w:r w:rsidRPr="00957485">
        <w:rPr>
          <w:rFonts w:eastAsia="Calibri"/>
          <w:bCs/>
          <w:sz w:val="28"/>
          <w:szCs w:val="28"/>
          <w:lang w:val="lv-LV" w:eastAsia="lv-LV"/>
        </w:rPr>
        <w:t xml:space="preserve">gan ambulatoro, gan stacionāro veselības aprūpes pakalpojumu apjoms ir </w:t>
      </w:r>
      <w:r w:rsidR="00401233" w:rsidRPr="00957485">
        <w:rPr>
          <w:rFonts w:eastAsia="Calibri"/>
          <w:bCs/>
          <w:sz w:val="28"/>
          <w:szCs w:val="28"/>
          <w:lang w:val="lv-LV" w:eastAsia="lv-LV"/>
        </w:rPr>
        <w:t>salīdzinoši ļoti zems. Savukārt SIA „Preiļu slimnīca” un SIA „Krāslavas slimnīca”, kur ir izteikti zems hospitalizācijas rādītājs, sekundārie ambulatorie veselības aprūpes pakalpojumi tiek sniegti salīdzinoši vairāk, nekā divās iepriekšminētajās slimnīcās.</w:t>
      </w:r>
    </w:p>
    <w:p w:rsidR="005D3EF0" w:rsidRPr="00957485" w:rsidRDefault="005D3EF0" w:rsidP="00401233">
      <w:pPr>
        <w:pStyle w:val="CommentText"/>
        <w:ind w:firstLine="720"/>
        <w:rPr>
          <w:i/>
          <w:sz w:val="28"/>
          <w:szCs w:val="28"/>
          <w:lang w:val="lv-LV"/>
        </w:rPr>
      </w:pPr>
    </w:p>
    <w:p w:rsidR="005D1133" w:rsidRDefault="005D1133" w:rsidP="005D1133">
      <w:pPr>
        <w:spacing w:after="0" w:line="240" w:lineRule="auto"/>
        <w:jc w:val="both"/>
        <w:rPr>
          <w:rFonts w:ascii="Times New Roman" w:hAnsi="Times New Roman"/>
          <w:b/>
          <w:i/>
          <w:sz w:val="24"/>
          <w:szCs w:val="24"/>
          <w:lang w:val="lv-LV"/>
        </w:rPr>
      </w:pPr>
    </w:p>
    <w:p w:rsidR="005D1133" w:rsidRDefault="005D1133" w:rsidP="005D1133">
      <w:pPr>
        <w:spacing w:after="0" w:line="240" w:lineRule="auto"/>
        <w:jc w:val="both"/>
        <w:rPr>
          <w:rFonts w:ascii="Times New Roman" w:hAnsi="Times New Roman"/>
          <w:i/>
          <w:sz w:val="24"/>
          <w:szCs w:val="24"/>
          <w:lang w:val="lv-LV"/>
        </w:rPr>
      </w:pPr>
      <w:r>
        <w:rPr>
          <w:rFonts w:ascii="Times New Roman" w:hAnsi="Times New Roman"/>
          <w:b/>
          <w:i/>
          <w:sz w:val="24"/>
          <w:szCs w:val="24"/>
          <w:lang w:val="lv-LV"/>
        </w:rPr>
        <w:lastRenderedPageBreak/>
        <w:t>3</w:t>
      </w:r>
      <w:r w:rsidRPr="00405134">
        <w:rPr>
          <w:rFonts w:ascii="Times New Roman" w:hAnsi="Times New Roman"/>
          <w:b/>
          <w:i/>
          <w:sz w:val="24"/>
          <w:szCs w:val="24"/>
          <w:lang w:val="lv-LV"/>
        </w:rPr>
        <w:t>.attēls.</w:t>
      </w:r>
      <w:r>
        <w:rPr>
          <w:rFonts w:ascii="Times New Roman" w:hAnsi="Times New Roman"/>
          <w:b/>
          <w:i/>
          <w:sz w:val="24"/>
          <w:szCs w:val="24"/>
          <w:lang w:val="lv-LV"/>
        </w:rPr>
        <w:t xml:space="preserve"> </w:t>
      </w:r>
      <w:r>
        <w:rPr>
          <w:rFonts w:ascii="Times New Roman" w:hAnsi="Times New Roman"/>
          <w:i/>
          <w:sz w:val="24"/>
          <w:szCs w:val="24"/>
          <w:lang w:val="lv-LV"/>
        </w:rPr>
        <w:t>Hospitalizāciju un kopējais am</w:t>
      </w:r>
      <w:r w:rsidR="004B0367">
        <w:rPr>
          <w:rFonts w:ascii="Times New Roman" w:hAnsi="Times New Roman"/>
          <w:i/>
          <w:sz w:val="24"/>
          <w:szCs w:val="24"/>
          <w:lang w:val="lv-LV"/>
        </w:rPr>
        <w:t>bulatoro apmeklējumu skaits 2011</w:t>
      </w:r>
      <w:r>
        <w:rPr>
          <w:rFonts w:ascii="Times New Roman" w:hAnsi="Times New Roman"/>
          <w:i/>
          <w:sz w:val="24"/>
          <w:szCs w:val="24"/>
          <w:lang w:val="lv-LV"/>
        </w:rPr>
        <w:t>.gada I ceturksnī.</w:t>
      </w:r>
    </w:p>
    <w:p w:rsidR="00401233" w:rsidRPr="00401233" w:rsidRDefault="00401233" w:rsidP="00401233">
      <w:pPr>
        <w:spacing w:after="0" w:line="240" w:lineRule="auto"/>
        <w:ind w:left="720"/>
        <w:rPr>
          <w:rFonts w:ascii="Times New Roman" w:hAnsi="Times New Roman"/>
          <w:i/>
          <w:sz w:val="24"/>
          <w:szCs w:val="24"/>
          <w:lang w:val="lv-LV"/>
        </w:rPr>
      </w:pPr>
      <w:r w:rsidRPr="00401233">
        <w:rPr>
          <w:noProof/>
          <w:szCs w:val="24"/>
        </w:rPr>
        <w:drawing>
          <wp:inline distT="0" distB="0" distL="0" distR="0">
            <wp:extent cx="5943600" cy="4325979"/>
            <wp:effectExtent l="1905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943600" cy="4325979"/>
                    </a:xfrm>
                    <a:prstGeom prst="rect">
                      <a:avLst/>
                    </a:prstGeom>
                    <a:noFill/>
                    <a:ln w="9525">
                      <a:noFill/>
                      <a:miter lim="800000"/>
                      <a:headEnd/>
                      <a:tailEnd/>
                    </a:ln>
                  </pic:spPr>
                </pic:pic>
              </a:graphicData>
            </a:graphic>
          </wp:inline>
        </w:drawing>
      </w:r>
      <w:r w:rsidRPr="00401233">
        <w:rPr>
          <w:rFonts w:ascii="Times New Roman" w:hAnsi="Times New Roman" w:cs="Times New Roman"/>
          <w:i/>
          <w:sz w:val="20"/>
          <w:szCs w:val="20"/>
          <w:lang w:val="lv-LV"/>
        </w:rPr>
        <w:t>Datu avots: Veselības norēķinu centrs</w:t>
      </w:r>
    </w:p>
    <w:p w:rsidR="00401233" w:rsidRDefault="00401233" w:rsidP="00401233">
      <w:pPr>
        <w:autoSpaceDE w:val="0"/>
        <w:autoSpaceDN w:val="0"/>
        <w:adjustRightInd w:val="0"/>
        <w:spacing w:after="0" w:line="240" w:lineRule="auto"/>
        <w:jc w:val="both"/>
        <w:rPr>
          <w:rFonts w:ascii="Times New Roman" w:eastAsia="Calibri" w:hAnsi="Times New Roman"/>
          <w:bCs/>
          <w:sz w:val="24"/>
          <w:szCs w:val="24"/>
          <w:lang w:val="lv-LV" w:eastAsia="lv-LV"/>
        </w:rPr>
      </w:pPr>
    </w:p>
    <w:p w:rsidR="00401233" w:rsidRDefault="0096079C" w:rsidP="0054160F">
      <w:pPr>
        <w:autoSpaceDE w:val="0"/>
        <w:autoSpaceDN w:val="0"/>
        <w:adjustRightInd w:val="0"/>
        <w:spacing w:after="0" w:line="240" w:lineRule="auto"/>
        <w:jc w:val="both"/>
        <w:rPr>
          <w:rFonts w:ascii="Times New Roman" w:eastAsia="Calibri" w:hAnsi="Times New Roman"/>
          <w:b/>
          <w:sz w:val="24"/>
          <w:szCs w:val="24"/>
          <w:lang w:val="lv-LV" w:eastAsia="lv-LV"/>
        </w:rPr>
      </w:pPr>
      <w:r>
        <w:rPr>
          <w:rFonts w:ascii="Times New Roman" w:eastAsia="Calibri" w:hAnsi="Times New Roman"/>
          <w:bCs/>
          <w:sz w:val="24"/>
          <w:szCs w:val="24"/>
          <w:lang w:val="lv-LV" w:eastAsia="lv-LV"/>
        </w:rPr>
        <w:tab/>
      </w:r>
    </w:p>
    <w:p w:rsidR="00401233" w:rsidRPr="00957485" w:rsidRDefault="00401233" w:rsidP="00401233">
      <w:pPr>
        <w:spacing w:after="0" w:line="240" w:lineRule="auto"/>
        <w:jc w:val="both"/>
        <w:rPr>
          <w:rFonts w:ascii="Times New Roman" w:eastAsia="Calibri" w:hAnsi="Times New Roman"/>
          <w:bCs/>
          <w:sz w:val="28"/>
          <w:szCs w:val="28"/>
          <w:lang w:val="lv-LV" w:eastAsia="lv-LV"/>
        </w:rPr>
      </w:pPr>
      <w:r>
        <w:rPr>
          <w:rFonts w:ascii="Times New Roman" w:eastAsia="Calibri" w:hAnsi="Times New Roman"/>
          <w:b/>
          <w:sz w:val="24"/>
          <w:szCs w:val="24"/>
          <w:lang w:val="lv-LV" w:eastAsia="lv-LV"/>
        </w:rPr>
        <w:tab/>
      </w:r>
      <w:r w:rsidRPr="00957485">
        <w:rPr>
          <w:rFonts w:ascii="Times New Roman" w:eastAsia="Calibri" w:hAnsi="Times New Roman"/>
          <w:bCs/>
          <w:sz w:val="28"/>
          <w:szCs w:val="28"/>
          <w:lang w:val="lv-LV" w:eastAsia="lv-LV"/>
        </w:rPr>
        <w:t xml:space="preserve">Ziņojumā minētajās stacionārajās ārstniecības iestādēs </w:t>
      </w:r>
      <w:r w:rsidR="00EA7CA9" w:rsidRPr="00957485">
        <w:rPr>
          <w:rFonts w:ascii="Times New Roman" w:eastAsia="Calibri" w:hAnsi="Times New Roman"/>
          <w:bCs/>
          <w:sz w:val="28"/>
          <w:szCs w:val="28"/>
          <w:lang w:val="lv-LV" w:eastAsia="lv-LV"/>
        </w:rPr>
        <w:t xml:space="preserve">visliekākais kopējais gultas dienu skaits </w:t>
      </w:r>
      <w:r w:rsidR="00EA7CA9" w:rsidRPr="00957485">
        <w:rPr>
          <w:rFonts w:ascii="Times New Roman" w:eastAsia="Calibri" w:hAnsi="Times New Roman"/>
          <w:b/>
          <w:sz w:val="28"/>
          <w:szCs w:val="28"/>
          <w:lang w:val="lv-LV" w:eastAsia="lv-LV"/>
        </w:rPr>
        <w:t>dienas stacionārā</w:t>
      </w:r>
      <w:r w:rsidR="00EA7CA9" w:rsidRPr="00957485">
        <w:rPr>
          <w:rFonts w:ascii="Times New Roman" w:eastAsia="Calibri" w:hAnsi="Times New Roman"/>
          <w:bCs/>
          <w:sz w:val="28"/>
          <w:szCs w:val="28"/>
          <w:lang w:val="lv-LV" w:eastAsia="lv-LV"/>
        </w:rPr>
        <w:t xml:space="preserve"> ir SIA „Dobeles un apkārtnes slimnīca”, SIA „Cēsu klīnika” un SIA „Preiļu slimnīca” (skatīt.4.attēlu).</w:t>
      </w:r>
    </w:p>
    <w:p w:rsidR="00EA7CA9" w:rsidRDefault="00EA7CA9"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80349A" w:rsidRDefault="0080349A" w:rsidP="00401233">
      <w:pPr>
        <w:spacing w:after="0" w:line="240" w:lineRule="auto"/>
        <w:jc w:val="both"/>
        <w:rPr>
          <w:rFonts w:ascii="Times New Roman" w:eastAsia="Calibri" w:hAnsi="Times New Roman"/>
          <w:bCs/>
          <w:sz w:val="24"/>
          <w:szCs w:val="24"/>
          <w:lang w:val="lv-LV" w:eastAsia="lv-LV"/>
        </w:rPr>
      </w:pPr>
    </w:p>
    <w:p w:rsidR="00EA7CA9" w:rsidRPr="00EA7CA9" w:rsidRDefault="00EA7CA9" w:rsidP="00401233">
      <w:pPr>
        <w:spacing w:after="0" w:line="240" w:lineRule="auto"/>
        <w:jc w:val="both"/>
        <w:rPr>
          <w:rFonts w:ascii="Times New Roman" w:eastAsia="Calibri" w:hAnsi="Times New Roman"/>
          <w:bCs/>
          <w:sz w:val="24"/>
          <w:szCs w:val="24"/>
          <w:lang w:val="lv-LV" w:eastAsia="lv-LV"/>
        </w:rPr>
      </w:pPr>
    </w:p>
    <w:p w:rsidR="00401233" w:rsidRDefault="00401233" w:rsidP="00401233">
      <w:pPr>
        <w:spacing w:after="0" w:line="240" w:lineRule="auto"/>
        <w:jc w:val="both"/>
        <w:rPr>
          <w:rFonts w:ascii="Times New Roman" w:eastAsia="Calibri" w:hAnsi="Times New Roman"/>
          <w:b/>
          <w:sz w:val="24"/>
          <w:szCs w:val="24"/>
          <w:lang w:val="lv-LV" w:eastAsia="lv-LV"/>
        </w:rPr>
      </w:pPr>
    </w:p>
    <w:p w:rsidR="00401233" w:rsidRDefault="00401233" w:rsidP="00401233">
      <w:pPr>
        <w:spacing w:after="0" w:line="240" w:lineRule="auto"/>
        <w:jc w:val="both"/>
        <w:rPr>
          <w:rFonts w:ascii="Times New Roman" w:eastAsia="Calibri" w:hAnsi="Times New Roman"/>
          <w:b/>
          <w:sz w:val="24"/>
          <w:szCs w:val="24"/>
          <w:lang w:val="lv-LV" w:eastAsia="lv-LV"/>
        </w:rPr>
      </w:pPr>
    </w:p>
    <w:p w:rsidR="00401233" w:rsidRDefault="00401233" w:rsidP="00401233">
      <w:pPr>
        <w:spacing w:after="0" w:line="240" w:lineRule="auto"/>
        <w:jc w:val="both"/>
        <w:rPr>
          <w:rFonts w:ascii="Times New Roman" w:eastAsia="Calibri" w:hAnsi="Times New Roman"/>
          <w:b/>
          <w:sz w:val="24"/>
          <w:szCs w:val="24"/>
          <w:lang w:val="lv-LV" w:eastAsia="lv-LV"/>
        </w:rPr>
      </w:pPr>
    </w:p>
    <w:p w:rsidR="00401233" w:rsidRDefault="00401233" w:rsidP="00401233">
      <w:pPr>
        <w:spacing w:after="0" w:line="240" w:lineRule="auto"/>
        <w:jc w:val="both"/>
        <w:rPr>
          <w:rFonts w:ascii="Times New Roman" w:hAnsi="Times New Roman"/>
          <w:i/>
          <w:sz w:val="24"/>
          <w:szCs w:val="24"/>
          <w:lang w:val="lv-LV"/>
        </w:rPr>
      </w:pPr>
      <w:r>
        <w:rPr>
          <w:rFonts w:ascii="Times New Roman" w:hAnsi="Times New Roman"/>
          <w:b/>
          <w:i/>
          <w:sz w:val="24"/>
          <w:szCs w:val="24"/>
          <w:lang w:val="lv-LV"/>
        </w:rPr>
        <w:lastRenderedPageBreak/>
        <w:t>4</w:t>
      </w:r>
      <w:r w:rsidRPr="00405134">
        <w:rPr>
          <w:rFonts w:ascii="Times New Roman" w:hAnsi="Times New Roman"/>
          <w:b/>
          <w:i/>
          <w:sz w:val="24"/>
          <w:szCs w:val="24"/>
          <w:lang w:val="lv-LV"/>
        </w:rPr>
        <w:t>.attēls.</w:t>
      </w:r>
      <w:r>
        <w:rPr>
          <w:rFonts w:ascii="Times New Roman" w:hAnsi="Times New Roman"/>
          <w:b/>
          <w:i/>
          <w:sz w:val="24"/>
          <w:szCs w:val="24"/>
          <w:lang w:val="lv-LV"/>
        </w:rPr>
        <w:t xml:space="preserve"> </w:t>
      </w:r>
      <w:r>
        <w:rPr>
          <w:rFonts w:ascii="Times New Roman" w:hAnsi="Times New Roman"/>
          <w:i/>
          <w:sz w:val="24"/>
          <w:szCs w:val="24"/>
          <w:lang w:val="lv-LV"/>
        </w:rPr>
        <w:t>Gultas dienu skaits dienas stacionārā 2010.gada I ceturksnī.</w:t>
      </w:r>
    </w:p>
    <w:p w:rsidR="00401233" w:rsidRDefault="00401233" w:rsidP="0054160F">
      <w:pPr>
        <w:autoSpaceDE w:val="0"/>
        <w:autoSpaceDN w:val="0"/>
        <w:adjustRightInd w:val="0"/>
        <w:spacing w:after="0" w:line="240" w:lineRule="auto"/>
        <w:jc w:val="both"/>
        <w:rPr>
          <w:rFonts w:ascii="Times New Roman" w:eastAsia="Calibri" w:hAnsi="Times New Roman"/>
          <w:b/>
          <w:sz w:val="24"/>
          <w:szCs w:val="24"/>
          <w:lang w:val="lv-LV" w:eastAsia="lv-LV"/>
        </w:rPr>
      </w:pPr>
      <w:r w:rsidRPr="00401233">
        <w:rPr>
          <w:rFonts w:ascii="Times New Roman" w:eastAsia="Calibri" w:hAnsi="Times New Roman"/>
          <w:b/>
          <w:sz w:val="24"/>
          <w:szCs w:val="24"/>
          <w:lang w:val="lv-LV" w:eastAsia="lv-LV"/>
        </w:rPr>
        <w:t xml:space="preserve"> </w:t>
      </w:r>
    </w:p>
    <w:p w:rsidR="00401233" w:rsidRDefault="00957485" w:rsidP="00401233">
      <w:pPr>
        <w:autoSpaceDE w:val="0"/>
        <w:autoSpaceDN w:val="0"/>
        <w:adjustRightInd w:val="0"/>
        <w:spacing w:after="0" w:line="240" w:lineRule="auto"/>
        <w:jc w:val="center"/>
        <w:rPr>
          <w:rFonts w:ascii="Times New Roman" w:eastAsia="Calibri" w:hAnsi="Times New Roman"/>
          <w:b/>
          <w:sz w:val="24"/>
          <w:szCs w:val="24"/>
          <w:lang w:val="lv-LV" w:eastAsia="lv-LV"/>
        </w:rPr>
      </w:pPr>
      <w:r w:rsidRPr="00957485">
        <w:rPr>
          <w:noProof/>
          <w:szCs w:val="24"/>
        </w:rPr>
        <w:drawing>
          <wp:inline distT="0" distB="0" distL="0" distR="0">
            <wp:extent cx="5943600" cy="4191000"/>
            <wp:effectExtent l="19050" t="0" r="0" b="0"/>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943600" cy="4191000"/>
                    </a:xfrm>
                    <a:prstGeom prst="rect">
                      <a:avLst/>
                    </a:prstGeom>
                    <a:noFill/>
                    <a:ln w="9525">
                      <a:noFill/>
                      <a:miter lim="800000"/>
                      <a:headEnd/>
                      <a:tailEnd/>
                    </a:ln>
                  </pic:spPr>
                </pic:pic>
              </a:graphicData>
            </a:graphic>
          </wp:inline>
        </w:drawing>
      </w:r>
    </w:p>
    <w:p w:rsidR="00401233" w:rsidRPr="00401233" w:rsidRDefault="00401233" w:rsidP="0054160F">
      <w:pPr>
        <w:autoSpaceDE w:val="0"/>
        <w:autoSpaceDN w:val="0"/>
        <w:adjustRightInd w:val="0"/>
        <w:spacing w:after="0" w:line="240" w:lineRule="auto"/>
        <w:jc w:val="both"/>
        <w:rPr>
          <w:rFonts w:ascii="Times New Roman" w:eastAsia="Calibri" w:hAnsi="Times New Roman"/>
          <w:b/>
          <w:sz w:val="24"/>
          <w:szCs w:val="24"/>
          <w:lang w:val="lv-LV" w:eastAsia="lv-LV"/>
        </w:rPr>
      </w:pPr>
    </w:p>
    <w:p w:rsidR="00067E42" w:rsidRPr="00957485" w:rsidRDefault="00922F57" w:rsidP="00401233">
      <w:pPr>
        <w:autoSpaceDE w:val="0"/>
        <w:autoSpaceDN w:val="0"/>
        <w:adjustRightInd w:val="0"/>
        <w:spacing w:after="0" w:line="240" w:lineRule="auto"/>
        <w:ind w:firstLine="720"/>
        <w:jc w:val="both"/>
        <w:rPr>
          <w:rFonts w:ascii="Times New Roman" w:eastAsia="Calibri" w:hAnsi="Times New Roman"/>
          <w:bCs/>
          <w:sz w:val="28"/>
          <w:szCs w:val="28"/>
          <w:lang w:val="lv-LV" w:eastAsia="lv-LV"/>
        </w:rPr>
      </w:pPr>
      <w:r w:rsidRPr="00957485">
        <w:rPr>
          <w:rFonts w:ascii="Times New Roman" w:eastAsia="Calibri" w:hAnsi="Times New Roman"/>
          <w:b/>
          <w:sz w:val="28"/>
          <w:szCs w:val="28"/>
          <w:lang w:val="lv-LV" w:eastAsia="lv-LV"/>
        </w:rPr>
        <w:t xml:space="preserve">Mājas aprūpes </w:t>
      </w:r>
      <w:r w:rsidRPr="00957485">
        <w:rPr>
          <w:rFonts w:ascii="Times New Roman" w:eastAsia="Calibri" w:hAnsi="Times New Roman"/>
          <w:bCs/>
          <w:sz w:val="28"/>
          <w:szCs w:val="28"/>
          <w:lang w:val="lv-LV" w:eastAsia="lv-LV"/>
        </w:rPr>
        <w:t xml:space="preserve">pakalpojumus </w:t>
      </w:r>
      <w:r w:rsidR="00C133CA" w:rsidRPr="00957485">
        <w:rPr>
          <w:rFonts w:ascii="Times New Roman" w:eastAsia="Calibri" w:hAnsi="Times New Roman"/>
          <w:bCs/>
          <w:sz w:val="28"/>
          <w:szCs w:val="28"/>
          <w:lang w:val="lv-LV" w:eastAsia="lv-LV"/>
        </w:rPr>
        <w:t>pārskata periodā ir sniegušas 10</w:t>
      </w:r>
      <w:r w:rsidRPr="00957485">
        <w:rPr>
          <w:rFonts w:ascii="Times New Roman" w:eastAsia="Calibri" w:hAnsi="Times New Roman"/>
          <w:bCs/>
          <w:sz w:val="28"/>
          <w:szCs w:val="28"/>
          <w:lang w:val="lv-LV" w:eastAsia="lv-LV"/>
        </w:rPr>
        <w:t xml:space="preserve"> no 12 ziņojumā iekļautajām slimnīcām</w:t>
      </w:r>
      <w:r w:rsidR="007C289B" w:rsidRPr="00957485">
        <w:rPr>
          <w:rFonts w:ascii="Times New Roman" w:eastAsia="Calibri" w:hAnsi="Times New Roman"/>
          <w:bCs/>
          <w:sz w:val="28"/>
          <w:szCs w:val="28"/>
          <w:lang w:val="lv-LV" w:eastAsia="lv-LV"/>
        </w:rPr>
        <w:t xml:space="preserve">. Vidējais apmeklējumu skaits, sniedzot veselības aprūpes pakalpojumus mājās 2011.gada I ceturksnī vienam pacientam šajā slimnīcu grupā ir 8,56 apmeklējumi. </w:t>
      </w:r>
      <w:r w:rsidR="00DA3FFC" w:rsidRPr="00957485">
        <w:rPr>
          <w:rFonts w:ascii="Times New Roman" w:eastAsia="Calibri" w:hAnsi="Times New Roman"/>
          <w:bCs/>
          <w:sz w:val="28"/>
          <w:szCs w:val="28"/>
          <w:lang w:val="lv-LV" w:eastAsia="lv-LV"/>
        </w:rPr>
        <w:t xml:space="preserve">No </w:t>
      </w:r>
      <w:r w:rsidR="00511520" w:rsidRPr="00957485">
        <w:rPr>
          <w:rFonts w:ascii="Times New Roman" w:eastAsia="Calibri" w:hAnsi="Times New Roman"/>
          <w:bCs/>
          <w:sz w:val="28"/>
          <w:szCs w:val="28"/>
          <w:lang w:val="lv-LV" w:eastAsia="lv-LV"/>
        </w:rPr>
        <w:t xml:space="preserve">kopējā visu stacionāro </w:t>
      </w:r>
      <w:r w:rsidR="005D7DBF" w:rsidRPr="00957485">
        <w:rPr>
          <w:rFonts w:ascii="Times New Roman" w:eastAsia="Calibri" w:hAnsi="Times New Roman"/>
          <w:bCs/>
          <w:sz w:val="28"/>
          <w:szCs w:val="28"/>
          <w:lang w:val="lv-LV" w:eastAsia="lv-LV"/>
        </w:rPr>
        <w:t xml:space="preserve">ārstniecības </w:t>
      </w:r>
      <w:r w:rsidR="00511520" w:rsidRPr="00957485">
        <w:rPr>
          <w:rFonts w:ascii="Times New Roman" w:eastAsia="Calibri" w:hAnsi="Times New Roman"/>
          <w:bCs/>
          <w:sz w:val="28"/>
          <w:szCs w:val="28"/>
          <w:lang w:val="lv-LV" w:eastAsia="lv-LV"/>
        </w:rPr>
        <w:t xml:space="preserve">iestāžu </w:t>
      </w:r>
      <w:r w:rsidR="00DA3FFC" w:rsidRPr="00957485">
        <w:rPr>
          <w:rFonts w:ascii="Times New Roman" w:eastAsia="Calibri" w:hAnsi="Times New Roman"/>
          <w:bCs/>
          <w:sz w:val="28"/>
          <w:szCs w:val="28"/>
          <w:lang w:val="lv-LV" w:eastAsia="lv-LV"/>
        </w:rPr>
        <w:t>sniegtā mājas aprūpes apmeklējumu skaita (51 950 apmeklējumi) ziņojumā ietverto slimnīcu mājas aprūpes sniegto pakalpojumu sk</w:t>
      </w:r>
      <w:r w:rsidR="005D7DBF" w:rsidRPr="00957485">
        <w:rPr>
          <w:rFonts w:ascii="Times New Roman" w:eastAsia="Calibri" w:hAnsi="Times New Roman"/>
          <w:bCs/>
          <w:sz w:val="28"/>
          <w:szCs w:val="28"/>
          <w:lang w:val="lv-LV" w:eastAsia="lv-LV"/>
        </w:rPr>
        <w:t>aits sastāda tikai 8,2%, kas ir</w:t>
      </w:r>
      <w:r w:rsidR="00DA3FFC" w:rsidRPr="00957485">
        <w:rPr>
          <w:rFonts w:ascii="Times New Roman" w:eastAsia="Calibri" w:hAnsi="Times New Roman"/>
          <w:bCs/>
          <w:sz w:val="28"/>
          <w:szCs w:val="28"/>
          <w:lang w:val="lv-LV" w:eastAsia="lv-LV"/>
        </w:rPr>
        <w:t xml:space="preserve"> 4276 vizītes ar kopējo unikālo pacientu skaitu </w:t>
      </w:r>
      <w:r w:rsidR="00C133CA" w:rsidRPr="00957485">
        <w:rPr>
          <w:rFonts w:ascii="Times New Roman" w:eastAsia="Calibri" w:hAnsi="Times New Roman"/>
          <w:bCs/>
          <w:sz w:val="28"/>
          <w:szCs w:val="28"/>
          <w:lang w:val="lv-LV" w:eastAsia="lv-LV"/>
        </w:rPr>
        <w:t>618</w:t>
      </w:r>
      <w:r w:rsidR="00DA3FFC" w:rsidRPr="00957485">
        <w:rPr>
          <w:rFonts w:ascii="Times New Roman" w:eastAsia="Calibri" w:hAnsi="Times New Roman"/>
          <w:bCs/>
          <w:sz w:val="28"/>
          <w:szCs w:val="28"/>
          <w:lang w:val="lv-LV" w:eastAsia="lv-LV"/>
        </w:rPr>
        <w:t xml:space="preserve"> pacienti</w:t>
      </w:r>
      <w:r w:rsidR="005D7DBF" w:rsidRPr="00957485">
        <w:rPr>
          <w:rFonts w:ascii="Times New Roman" w:eastAsia="Calibri" w:hAnsi="Times New Roman"/>
          <w:bCs/>
          <w:sz w:val="28"/>
          <w:szCs w:val="28"/>
          <w:lang w:val="lv-LV" w:eastAsia="lv-LV"/>
        </w:rPr>
        <w:t>.</w:t>
      </w:r>
      <w:r w:rsidR="00DA3FFC" w:rsidRPr="00957485">
        <w:rPr>
          <w:rFonts w:ascii="Times New Roman" w:eastAsia="Calibri" w:hAnsi="Times New Roman"/>
          <w:bCs/>
          <w:sz w:val="28"/>
          <w:szCs w:val="28"/>
          <w:lang w:val="lv-LV" w:eastAsia="lv-LV"/>
        </w:rPr>
        <w:t xml:space="preserve"> Lielāko apmeklējumu skaitu ir realizējušas SIA „Jūrmalas slimnīca”, SIA „Tu</w:t>
      </w:r>
      <w:r w:rsidR="00B65DF5" w:rsidRPr="00957485">
        <w:rPr>
          <w:rFonts w:ascii="Times New Roman" w:eastAsia="Calibri" w:hAnsi="Times New Roman"/>
          <w:bCs/>
          <w:sz w:val="28"/>
          <w:szCs w:val="28"/>
          <w:lang w:val="lv-LV" w:eastAsia="lv-LV"/>
        </w:rPr>
        <w:t>kuma slimnīca”</w:t>
      </w:r>
      <w:r w:rsidR="00DA3FFC" w:rsidRPr="00957485">
        <w:rPr>
          <w:rFonts w:ascii="Times New Roman" w:eastAsia="Calibri" w:hAnsi="Times New Roman"/>
          <w:bCs/>
          <w:sz w:val="28"/>
          <w:szCs w:val="28"/>
          <w:lang w:val="lv-LV" w:eastAsia="lv-LV"/>
        </w:rPr>
        <w:t>, SIA „Ogres rajona slimn</w:t>
      </w:r>
      <w:r w:rsidR="00B65DF5" w:rsidRPr="00957485">
        <w:rPr>
          <w:rFonts w:ascii="Times New Roman" w:eastAsia="Calibri" w:hAnsi="Times New Roman"/>
          <w:bCs/>
          <w:sz w:val="28"/>
          <w:szCs w:val="28"/>
          <w:lang w:val="lv-LV" w:eastAsia="lv-LV"/>
        </w:rPr>
        <w:t>īca”</w:t>
      </w:r>
      <w:r w:rsidR="00C31AEE">
        <w:rPr>
          <w:rFonts w:ascii="Times New Roman" w:eastAsia="Calibri" w:hAnsi="Times New Roman"/>
          <w:bCs/>
          <w:sz w:val="28"/>
          <w:szCs w:val="28"/>
          <w:lang w:val="lv-LV" w:eastAsia="lv-LV"/>
        </w:rPr>
        <w:t xml:space="preserve"> un S</w:t>
      </w:r>
      <w:r w:rsidR="00067E42" w:rsidRPr="00957485">
        <w:rPr>
          <w:rFonts w:ascii="Times New Roman" w:eastAsia="Calibri" w:hAnsi="Times New Roman"/>
          <w:bCs/>
          <w:sz w:val="28"/>
          <w:szCs w:val="28"/>
          <w:lang w:val="lv-LV" w:eastAsia="lv-LV"/>
        </w:rPr>
        <w:t>I</w:t>
      </w:r>
      <w:r w:rsidR="00C31AEE">
        <w:rPr>
          <w:rFonts w:ascii="Times New Roman" w:eastAsia="Calibri" w:hAnsi="Times New Roman"/>
          <w:bCs/>
          <w:sz w:val="28"/>
          <w:szCs w:val="28"/>
          <w:lang w:val="lv-LV" w:eastAsia="lv-LV"/>
        </w:rPr>
        <w:t>A</w:t>
      </w:r>
      <w:r w:rsidR="00067E42" w:rsidRPr="00957485">
        <w:rPr>
          <w:rFonts w:ascii="Times New Roman" w:eastAsia="Calibri" w:hAnsi="Times New Roman"/>
          <w:bCs/>
          <w:sz w:val="28"/>
          <w:szCs w:val="28"/>
          <w:lang w:val="lv-LV" w:eastAsia="lv-LV"/>
        </w:rPr>
        <w:t xml:space="preserve"> „B</w:t>
      </w:r>
      <w:r w:rsidR="00DA3FFC" w:rsidRPr="00957485">
        <w:rPr>
          <w:rFonts w:ascii="Times New Roman" w:eastAsia="Calibri" w:hAnsi="Times New Roman"/>
          <w:bCs/>
          <w:sz w:val="28"/>
          <w:szCs w:val="28"/>
          <w:lang w:val="lv-LV" w:eastAsia="lv-LV"/>
        </w:rPr>
        <w:t>alvu un Gulbenes slimnīc</w:t>
      </w:r>
      <w:r w:rsidR="00B65DF5" w:rsidRPr="00957485">
        <w:rPr>
          <w:rFonts w:ascii="Times New Roman" w:eastAsia="Calibri" w:hAnsi="Times New Roman"/>
          <w:bCs/>
          <w:sz w:val="28"/>
          <w:szCs w:val="28"/>
          <w:lang w:val="lv-LV" w:eastAsia="lv-LV"/>
        </w:rPr>
        <w:t>u apvienība”</w:t>
      </w:r>
      <w:r w:rsidR="00EA7CA9" w:rsidRPr="00957485">
        <w:rPr>
          <w:rFonts w:ascii="Times New Roman" w:eastAsia="Calibri" w:hAnsi="Times New Roman"/>
          <w:bCs/>
          <w:sz w:val="28"/>
          <w:szCs w:val="28"/>
          <w:lang w:val="lv-LV" w:eastAsia="lv-LV"/>
        </w:rPr>
        <w:t xml:space="preserve"> (skatīt 5</w:t>
      </w:r>
      <w:r w:rsidR="00067E42" w:rsidRPr="00957485">
        <w:rPr>
          <w:rFonts w:ascii="Times New Roman" w:eastAsia="Calibri" w:hAnsi="Times New Roman"/>
          <w:bCs/>
          <w:sz w:val="28"/>
          <w:szCs w:val="28"/>
          <w:lang w:val="lv-LV" w:eastAsia="lv-LV"/>
        </w:rPr>
        <w:t>.attēlu).</w:t>
      </w:r>
      <w:r w:rsidR="004B0367">
        <w:rPr>
          <w:rFonts w:ascii="Times New Roman" w:eastAsia="Calibri" w:hAnsi="Times New Roman"/>
          <w:bCs/>
          <w:sz w:val="28"/>
          <w:szCs w:val="28"/>
          <w:lang w:val="lv-LV" w:eastAsia="lv-LV"/>
        </w:rPr>
        <w:t xml:space="preserve"> </w:t>
      </w:r>
      <w:r w:rsidR="0080349A">
        <w:rPr>
          <w:rFonts w:ascii="Times New Roman" w:eastAsia="Calibri" w:hAnsi="Times New Roman"/>
          <w:bCs/>
          <w:sz w:val="28"/>
          <w:szCs w:val="28"/>
          <w:lang w:val="lv-LV" w:eastAsia="lv-LV"/>
        </w:rPr>
        <w:t>Mājas aprūpes apmeklējumu skaits</w:t>
      </w:r>
      <w:r w:rsidR="004B0367">
        <w:rPr>
          <w:rFonts w:ascii="Times New Roman" w:eastAsia="Calibri" w:hAnsi="Times New Roman"/>
          <w:bCs/>
          <w:sz w:val="28"/>
          <w:szCs w:val="28"/>
          <w:lang w:val="lv-LV" w:eastAsia="lv-LV"/>
        </w:rPr>
        <w:t xml:space="preserve"> uz vienu pacientu svārstās no 5,4 vizītēm līdz 12,6 vizītēm. Šīs atšķirības daļēji skaidrojamas ar to, ka tajās slimnīcās, kur kopējais ambulatoro apmeklējumu skaits ir mazāks, attiecīgi ir lielāks mājas aprūpes vizīšu skaits uz</w:t>
      </w:r>
      <w:r w:rsidR="00D1269B">
        <w:rPr>
          <w:rFonts w:ascii="Times New Roman" w:eastAsia="Calibri" w:hAnsi="Times New Roman"/>
          <w:bCs/>
          <w:sz w:val="28"/>
          <w:szCs w:val="28"/>
          <w:lang w:val="lv-LV" w:eastAsia="lv-LV"/>
        </w:rPr>
        <w:t xml:space="preserve"> vienu pacientu un otrādi. Veselības aprūpes pakalpojumu sniegšana pacienta dzīvesvietā ir salīdzinoši jauns pakalpojuma veids un pastāv atšķirības minētā pakalpojuma sniegšanā, jo iespējams tajās slimnīcās, kur ir mazāks mājas aprūpes vizīšu skaits uz vienu pacientu, daļu no pacientam nepieciešamā pakalpojuma, j</w:t>
      </w:r>
      <w:r w:rsidR="00F307A4">
        <w:rPr>
          <w:rFonts w:ascii="Times New Roman" w:eastAsia="Calibri" w:hAnsi="Times New Roman"/>
          <w:bCs/>
          <w:sz w:val="28"/>
          <w:szCs w:val="28"/>
          <w:lang w:val="lv-LV" w:eastAsia="lv-LV"/>
        </w:rPr>
        <w:t xml:space="preserve">a to atļauj pacienta </w:t>
      </w:r>
      <w:r w:rsidR="00F307A4">
        <w:rPr>
          <w:rFonts w:ascii="Times New Roman" w:eastAsia="Calibri" w:hAnsi="Times New Roman"/>
          <w:bCs/>
          <w:sz w:val="28"/>
          <w:szCs w:val="28"/>
          <w:lang w:val="lv-LV" w:eastAsia="lv-LV"/>
        </w:rPr>
        <w:lastRenderedPageBreak/>
        <w:t xml:space="preserve">veselības </w:t>
      </w:r>
      <w:r w:rsidR="00D1269B">
        <w:rPr>
          <w:rFonts w:ascii="Times New Roman" w:eastAsia="Calibri" w:hAnsi="Times New Roman"/>
          <w:bCs/>
          <w:sz w:val="28"/>
          <w:szCs w:val="28"/>
          <w:lang w:val="lv-LV" w:eastAsia="lv-LV"/>
        </w:rPr>
        <w:t>stāvoklis</w:t>
      </w:r>
      <w:r w:rsidR="00F307A4">
        <w:rPr>
          <w:rFonts w:ascii="Times New Roman" w:eastAsia="Calibri" w:hAnsi="Times New Roman"/>
          <w:bCs/>
          <w:sz w:val="28"/>
          <w:szCs w:val="28"/>
          <w:lang w:val="lv-LV" w:eastAsia="lv-LV"/>
        </w:rPr>
        <w:t>,</w:t>
      </w:r>
      <w:r w:rsidR="00D1269B">
        <w:rPr>
          <w:rFonts w:ascii="Times New Roman" w:eastAsia="Calibri" w:hAnsi="Times New Roman"/>
          <w:bCs/>
          <w:sz w:val="28"/>
          <w:szCs w:val="28"/>
          <w:lang w:val="lv-LV" w:eastAsia="lv-LV"/>
        </w:rPr>
        <w:t xml:space="preserve"> slimnīca </w:t>
      </w:r>
      <w:r w:rsidR="0080349A">
        <w:rPr>
          <w:rFonts w:ascii="Times New Roman" w:eastAsia="Calibri" w:hAnsi="Times New Roman"/>
          <w:bCs/>
          <w:sz w:val="28"/>
          <w:szCs w:val="28"/>
          <w:lang w:val="lv-LV" w:eastAsia="lv-LV"/>
        </w:rPr>
        <w:t>ir nodrošinājusi</w:t>
      </w:r>
      <w:r w:rsidR="00D1269B">
        <w:rPr>
          <w:rFonts w:ascii="Times New Roman" w:eastAsia="Calibri" w:hAnsi="Times New Roman"/>
          <w:bCs/>
          <w:sz w:val="28"/>
          <w:szCs w:val="28"/>
          <w:lang w:val="lv-LV" w:eastAsia="lv-LV"/>
        </w:rPr>
        <w:t xml:space="preserve"> ambulatori, nevis pacienta dzīvesvietā. </w:t>
      </w:r>
    </w:p>
    <w:p w:rsidR="00B65DF5" w:rsidRPr="00957485" w:rsidRDefault="00B65DF5" w:rsidP="0054160F">
      <w:pPr>
        <w:autoSpaceDE w:val="0"/>
        <w:autoSpaceDN w:val="0"/>
        <w:adjustRightInd w:val="0"/>
        <w:spacing w:after="0" w:line="240" w:lineRule="auto"/>
        <w:jc w:val="both"/>
        <w:rPr>
          <w:rFonts w:ascii="Times New Roman" w:eastAsia="Calibri" w:hAnsi="Times New Roman"/>
          <w:bCs/>
          <w:sz w:val="28"/>
          <w:szCs w:val="28"/>
          <w:lang w:val="lv-LV" w:eastAsia="lv-LV"/>
        </w:rPr>
      </w:pPr>
      <w:r w:rsidRPr="00957485">
        <w:rPr>
          <w:rFonts w:ascii="Times New Roman" w:eastAsia="Calibri" w:hAnsi="Times New Roman"/>
          <w:bCs/>
          <w:sz w:val="28"/>
          <w:szCs w:val="28"/>
          <w:lang w:val="lv-LV" w:eastAsia="lv-LV"/>
        </w:rPr>
        <w:tab/>
        <w:t>A</w:t>
      </w:r>
      <w:r w:rsidR="005D3EF0">
        <w:rPr>
          <w:rFonts w:ascii="Times New Roman" w:eastAsia="Calibri" w:hAnsi="Times New Roman"/>
          <w:bCs/>
          <w:sz w:val="28"/>
          <w:szCs w:val="28"/>
          <w:lang w:val="lv-LV" w:eastAsia="lv-LV"/>
        </w:rPr>
        <w:t>ttiecība uz</w:t>
      </w:r>
      <w:r w:rsidRPr="00957485">
        <w:rPr>
          <w:rFonts w:ascii="Times New Roman" w:eastAsia="Calibri" w:hAnsi="Times New Roman"/>
          <w:bCs/>
          <w:sz w:val="28"/>
          <w:szCs w:val="28"/>
          <w:lang w:val="lv-LV" w:eastAsia="lv-LV"/>
        </w:rPr>
        <w:t xml:space="preserve"> ziņojumā ietverto stacionāro ārstniecības iestāžu finanšu izlietojumu</w:t>
      </w:r>
      <w:r w:rsidR="006D1C13" w:rsidRPr="00957485">
        <w:rPr>
          <w:rFonts w:ascii="Times New Roman" w:eastAsia="Calibri" w:hAnsi="Times New Roman"/>
          <w:bCs/>
          <w:sz w:val="28"/>
          <w:szCs w:val="28"/>
          <w:lang w:val="lv-LV" w:eastAsia="lv-LV"/>
        </w:rPr>
        <w:t>,</w:t>
      </w:r>
      <w:r w:rsidRPr="00957485">
        <w:rPr>
          <w:rFonts w:ascii="Times New Roman" w:eastAsia="Calibri" w:hAnsi="Times New Roman"/>
          <w:bCs/>
          <w:sz w:val="28"/>
          <w:szCs w:val="28"/>
          <w:lang w:val="lv-LV" w:eastAsia="lv-LV"/>
        </w:rPr>
        <w:t xml:space="preserve"> ir slimnīcas, kuras </w:t>
      </w:r>
      <w:r w:rsidR="00D45CAD" w:rsidRPr="00957485">
        <w:rPr>
          <w:rFonts w:ascii="Times New Roman" w:eastAsia="Calibri" w:hAnsi="Times New Roman"/>
          <w:bCs/>
          <w:sz w:val="28"/>
          <w:szCs w:val="28"/>
          <w:lang w:val="lv-LV" w:eastAsia="lv-LV"/>
        </w:rPr>
        <w:t>nav izpildījušas līgumā ar Veselības norēķinu centru par no valsts budžeta apmaksāto veselības aprūpes pakalpojumu sniegšanu mājas aprūpei paredzēto līguma summu, kā piemēram, SIA „Alūksnes slimnīca”, SIA „Cēsu klīniska”, Madonas novada pašvaldības SIA „Madonas slimnīca”, SIA „Tukuma slimnīca” un SIA „Preiļu</w:t>
      </w:r>
      <w:r w:rsidR="00E53058" w:rsidRPr="00957485">
        <w:rPr>
          <w:rFonts w:ascii="Times New Roman" w:eastAsia="Calibri" w:hAnsi="Times New Roman"/>
          <w:bCs/>
          <w:sz w:val="28"/>
          <w:szCs w:val="28"/>
          <w:lang w:val="lv-LV" w:eastAsia="lv-LV"/>
        </w:rPr>
        <w:t xml:space="preserve"> slimnīca”</w:t>
      </w:r>
      <w:r w:rsidR="006D1C13" w:rsidRPr="00957485">
        <w:rPr>
          <w:rFonts w:ascii="Times New Roman" w:eastAsia="Calibri" w:hAnsi="Times New Roman"/>
          <w:bCs/>
          <w:sz w:val="28"/>
          <w:szCs w:val="28"/>
          <w:lang w:val="lv-LV" w:eastAsia="lv-LV"/>
        </w:rPr>
        <w:t>,</w:t>
      </w:r>
      <w:r w:rsidR="00E53058" w:rsidRPr="00957485">
        <w:rPr>
          <w:rFonts w:ascii="Times New Roman" w:eastAsia="Calibri" w:hAnsi="Times New Roman"/>
          <w:bCs/>
          <w:sz w:val="28"/>
          <w:szCs w:val="28"/>
          <w:lang w:val="lv-LV" w:eastAsia="lv-LV"/>
        </w:rPr>
        <w:t xml:space="preserve"> kopā sastādot </w:t>
      </w:r>
      <w:r w:rsidR="00C133CA" w:rsidRPr="00957485">
        <w:rPr>
          <w:rFonts w:ascii="Times New Roman" w:eastAsia="Calibri" w:hAnsi="Times New Roman"/>
          <w:bCs/>
          <w:sz w:val="28"/>
          <w:szCs w:val="28"/>
          <w:lang w:val="lv-LV" w:eastAsia="lv-LV"/>
        </w:rPr>
        <w:t>10 770,07</w:t>
      </w:r>
      <w:r w:rsidR="00E53058" w:rsidRPr="00957485">
        <w:rPr>
          <w:rFonts w:ascii="Times New Roman" w:eastAsia="Calibri" w:hAnsi="Times New Roman"/>
          <w:bCs/>
          <w:sz w:val="28"/>
          <w:szCs w:val="28"/>
          <w:lang w:val="lv-LV" w:eastAsia="lv-LV"/>
        </w:rPr>
        <w:t xml:space="preserve"> Ls neizpildi. Savukārt</w:t>
      </w:r>
      <w:r w:rsidR="006D1C13" w:rsidRPr="00957485">
        <w:rPr>
          <w:rFonts w:ascii="Times New Roman" w:eastAsia="Calibri" w:hAnsi="Times New Roman"/>
          <w:bCs/>
          <w:sz w:val="28"/>
          <w:szCs w:val="28"/>
          <w:lang w:val="lv-LV" w:eastAsia="lv-LV"/>
        </w:rPr>
        <w:t xml:space="preserve"> tādas slimnīcas kā SIA „Balvu un Gulbenes slimnīcu apvienība”, SIA „Krāslavas slimnīca”, SIA „Ogres rajona slimnīca”, SIA „Kuldīgas slimnīca” un SIA „Jūrmalas slimnīca”</w:t>
      </w:r>
      <w:r w:rsidR="00E53058" w:rsidRPr="00957485">
        <w:rPr>
          <w:rFonts w:ascii="Times New Roman" w:eastAsia="Calibri" w:hAnsi="Times New Roman"/>
          <w:bCs/>
          <w:sz w:val="28"/>
          <w:szCs w:val="28"/>
          <w:lang w:val="lv-LV" w:eastAsia="lv-LV"/>
        </w:rPr>
        <w:t xml:space="preserve"> </w:t>
      </w:r>
      <w:r w:rsidR="00B355D7" w:rsidRPr="00957485">
        <w:rPr>
          <w:rFonts w:ascii="Times New Roman" w:eastAsia="Calibri" w:hAnsi="Times New Roman"/>
          <w:bCs/>
          <w:sz w:val="28"/>
          <w:szCs w:val="28"/>
          <w:lang w:val="lv-LV" w:eastAsia="lv-LV"/>
        </w:rPr>
        <w:t>mājas aprūpes pakalpojumus ir sniegušas vairāk par līgumā noteikto apjomu</w:t>
      </w:r>
      <w:r w:rsidR="0080349A">
        <w:rPr>
          <w:rFonts w:ascii="Times New Roman" w:eastAsia="Calibri" w:hAnsi="Times New Roman"/>
          <w:bCs/>
          <w:sz w:val="28"/>
          <w:szCs w:val="28"/>
          <w:lang w:val="lv-LV" w:eastAsia="lv-LV"/>
        </w:rPr>
        <w:t>.</w:t>
      </w:r>
    </w:p>
    <w:p w:rsidR="00B65DF5" w:rsidRDefault="00B65DF5" w:rsidP="0054160F">
      <w:pPr>
        <w:autoSpaceDE w:val="0"/>
        <w:autoSpaceDN w:val="0"/>
        <w:adjustRightInd w:val="0"/>
        <w:spacing w:after="0" w:line="240" w:lineRule="auto"/>
        <w:jc w:val="both"/>
        <w:rPr>
          <w:rFonts w:ascii="Times New Roman" w:eastAsia="Calibri" w:hAnsi="Times New Roman"/>
          <w:bCs/>
          <w:sz w:val="24"/>
          <w:szCs w:val="24"/>
          <w:lang w:val="lv-LV" w:eastAsia="lv-LV"/>
        </w:rPr>
      </w:pPr>
    </w:p>
    <w:p w:rsidR="00C133CA" w:rsidRDefault="00C133CA" w:rsidP="0054160F">
      <w:pPr>
        <w:autoSpaceDE w:val="0"/>
        <w:autoSpaceDN w:val="0"/>
        <w:adjustRightInd w:val="0"/>
        <w:spacing w:after="0" w:line="240" w:lineRule="auto"/>
        <w:jc w:val="both"/>
        <w:rPr>
          <w:rFonts w:ascii="Times New Roman" w:eastAsia="Calibri" w:hAnsi="Times New Roman"/>
          <w:bCs/>
          <w:sz w:val="24"/>
          <w:szCs w:val="24"/>
          <w:lang w:val="lv-LV" w:eastAsia="lv-LV"/>
        </w:rPr>
      </w:pPr>
    </w:p>
    <w:p w:rsidR="00B65DF5" w:rsidRPr="00B65DF5" w:rsidRDefault="00EA7CA9" w:rsidP="0054160F">
      <w:pPr>
        <w:autoSpaceDE w:val="0"/>
        <w:autoSpaceDN w:val="0"/>
        <w:adjustRightInd w:val="0"/>
        <w:spacing w:after="0" w:line="240" w:lineRule="auto"/>
        <w:jc w:val="both"/>
        <w:rPr>
          <w:rFonts w:ascii="Times New Roman" w:eastAsia="Calibri" w:hAnsi="Times New Roman"/>
          <w:bCs/>
          <w:i/>
          <w:iCs/>
          <w:sz w:val="24"/>
          <w:szCs w:val="24"/>
          <w:lang w:val="lv-LV" w:eastAsia="lv-LV"/>
        </w:rPr>
      </w:pPr>
      <w:r>
        <w:rPr>
          <w:rFonts w:ascii="Times New Roman" w:eastAsia="Calibri" w:hAnsi="Times New Roman"/>
          <w:b/>
          <w:i/>
          <w:iCs/>
          <w:sz w:val="24"/>
          <w:szCs w:val="24"/>
          <w:lang w:val="lv-LV" w:eastAsia="lv-LV"/>
        </w:rPr>
        <w:t>5</w:t>
      </w:r>
      <w:r w:rsidR="00B65DF5" w:rsidRPr="00B65DF5">
        <w:rPr>
          <w:rFonts w:ascii="Times New Roman" w:eastAsia="Calibri" w:hAnsi="Times New Roman"/>
          <w:b/>
          <w:i/>
          <w:iCs/>
          <w:sz w:val="24"/>
          <w:szCs w:val="24"/>
          <w:lang w:val="lv-LV" w:eastAsia="lv-LV"/>
        </w:rPr>
        <w:t xml:space="preserve">.attēls. </w:t>
      </w:r>
      <w:r w:rsidR="00B65DF5">
        <w:rPr>
          <w:rFonts w:ascii="Times New Roman" w:eastAsia="Calibri" w:hAnsi="Times New Roman"/>
          <w:bCs/>
          <w:i/>
          <w:iCs/>
          <w:sz w:val="24"/>
          <w:szCs w:val="24"/>
          <w:lang w:val="lv-LV" w:eastAsia="lv-LV"/>
        </w:rPr>
        <w:t>Veselības aprūpes mājās veiktais darba apjoms 2011.gada I ceturksnī.</w:t>
      </w:r>
    </w:p>
    <w:p w:rsidR="005D1133" w:rsidRDefault="00C133CA" w:rsidP="005D1133">
      <w:pPr>
        <w:pStyle w:val="CommentText"/>
        <w:spacing w:after="120"/>
        <w:ind w:firstLine="720"/>
        <w:jc w:val="center"/>
        <w:rPr>
          <w:rFonts w:eastAsia="Calibri"/>
          <w:bCs/>
          <w:sz w:val="24"/>
          <w:szCs w:val="24"/>
          <w:lang w:val="lv-LV" w:eastAsia="lv-LV"/>
        </w:rPr>
      </w:pPr>
      <w:r w:rsidRPr="00C133CA">
        <w:rPr>
          <w:rFonts w:eastAsia="Calibri"/>
          <w:noProof/>
          <w:szCs w:val="24"/>
          <w:lang w:eastAsia="en-US"/>
        </w:rPr>
        <w:drawing>
          <wp:inline distT="0" distB="0" distL="0" distR="0">
            <wp:extent cx="5934075" cy="3667125"/>
            <wp:effectExtent l="19050" t="0" r="9525"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5934075" cy="3667125"/>
                    </a:xfrm>
                    <a:prstGeom prst="rect">
                      <a:avLst/>
                    </a:prstGeom>
                    <a:noFill/>
                    <a:ln w="9525">
                      <a:noFill/>
                      <a:miter lim="800000"/>
                      <a:headEnd/>
                      <a:tailEnd/>
                    </a:ln>
                  </pic:spPr>
                </pic:pic>
              </a:graphicData>
            </a:graphic>
          </wp:inline>
        </w:drawing>
      </w:r>
    </w:p>
    <w:p w:rsidR="00B65DF5" w:rsidRDefault="00031302" w:rsidP="00B65DF5">
      <w:pPr>
        <w:pStyle w:val="CommentText"/>
        <w:spacing w:after="120"/>
        <w:ind w:firstLine="720"/>
        <w:rPr>
          <w:i/>
          <w:sz w:val="20"/>
          <w:szCs w:val="20"/>
          <w:lang w:val="lv-LV"/>
        </w:rPr>
      </w:pPr>
      <w:r>
        <w:rPr>
          <w:rFonts w:eastAsia="Calibri"/>
          <w:bCs/>
          <w:sz w:val="24"/>
          <w:szCs w:val="24"/>
          <w:lang w:val="lv-LV" w:eastAsia="lv-LV"/>
        </w:rPr>
        <w:t xml:space="preserve"> </w:t>
      </w:r>
      <w:r w:rsidR="00B65DF5" w:rsidRPr="0054160F">
        <w:rPr>
          <w:i/>
          <w:sz w:val="20"/>
          <w:szCs w:val="20"/>
          <w:lang w:val="lv-LV"/>
        </w:rPr>
        <w:t>Datu avots: Veselības norēķinu centrs</w:t>
      </w:r>
    </w:p>
    <w:p w:rsidR="0080349A" w:rsidRDefault="0080349A" w:rsidP="00B65DF5">
      <w:pPr>
        <w:pStyle w:val="CommentText"/>
        <w:spacing w:after="120"/>
        <w:ind w:firstLine="720"/>
        <w:rPr>
          <w:i/>
          <w:sz w:val="20"/>
          <w:szCs w:val="20"/>
          <w:lang w:val="lv-LV"/>
        </w:rPr>
      </w:pPr>
    </w:p>
    <w:p w:rsidR="0080349A" w:rsidRDefault="0080349A" w:rsidP="00B65DF5">
      <w:pPr>
        <w:pStyle w:val="CommentText"/>
        <w:spacing w:after="120"/>
        <w:ind w:firstLine="720"/>
        <w:rPr>
          <w:i/>
          <w:sz w:val="20"/>
          <w:szCs w:val="20"/>
          <w:lang w:val="lv-LV"/>
        </w:rPr>
      </w:pPr>
    </w:p>
    <w:p w:rsidR="0080349A" w:rsidRDefault="0080349A" w:rsidP="00B65DF5">
      <w:pPr>
        <w:pStyle w:val="CommentText"/>
        <w:spacing w:after="120"/>
        <w:ind w:firstLine="720"/>
        <w:rPr>
          <w:i/>
          <w:sz w:val="20"/>
          <w:szCs w:val="20"/>
          <w:lang w:val="lv-LV"/>
        </w:rPr>
      </w:pPr>
    </w:p>
    <w:p w:rsidR="0080349A" w:rsidRDefault="0080349A" w:rsidP="00B65DF5">
      <w:pPr>
        <w:pStyle w:val="CommentText"/>
        <w:spacing w:after="120"/>
        <w:ind w:firstLine="720"/>
        <w:rPr>
          <w:i/>
          <w:sz w:val="20"/>
          <w:szCs w:val="20"/>
          <w:lang w:val="lv-LV"/>
        </w:rPr>
      </w:pPr>
    </w:p>
    <w:p w:rsidR="00662113" w:rsidRPr="00957485" w:rsidRDefault="00662113" w:rsidP="00EA7CA9">
      <w:pPr>
        <w:autoSpaceDE w:val="0"/>
        <w:autoSpaceDN w:val="0"/>
        <w:adjustRightInd w:val="0"/>
        <w:spacing w:after="0" w:line="240" w:lineRule="auto"/>
        <w:rPr>
          <w:rFonts w:ascii="Times New Roman" w:eastAsia="Calibri" w:hAnsi="Times New Roman"/>
          <w:b/>
          <w:sz w:val="28"/>
          <w:szCs w:val="28"/>
          <w:lang w:val="lv-LV" w:eastAsia="lv-LV"/>
        </w:rPr>
      </w:pPr>
    </w:p>
    <w:p w:rsidR="00662113" w:rsidRPr="00957485" w:rsidRDefault="00662113" w:rsidP="00662113">
      <w:pPr>
        <w:pStyle w:val="ListParagraph"/>
        <w:autoSpaceDE w:val="0"/>
        <w:autoSpaceDN w:val="0"/>
        <w:adjustRightInd w:val="0"/>
        <w:spacing w:after="0" w:line="240" w:lineRule="auto"/>
        <w:ind w:left="1287"/>
        <w:jc w:val="center"/>
        <w:rPr>
          <w:rFonts w:ascii="Times New Roman" w:eastAsia="Calibri" w:hAnsi="Times New Roman"/>
          <w:b/>
          <w:sz w:val="28"/>
          <w:szCs w:val="28"/>
          <w:lang w:val="lv-LV" w:eastAsia="lv-LV"/>
        </w:rPr>
      </w:pPr>
      <w:r w:rsidRPr="00957485">
        <w:rPr>
          <w:rFonts w:ascii="Times New Roman" w:eastAsia="Calibri" w:hAnsi="Times New Roman"/>
          <w:b/>
          <w:sz w:val="28"/>
          <w:szCs w:val="28"/>
          <w:lang w:val="lv-LV" w:eastAsia="lv-LV"/>
        </w:rPr>
        <w:lastRenderedPageBreak/>
        <w:t>Secinājumi</w:t>
      </w:r>
    </w:p>
    <w:p w:rsidR="00662113" w:rsidRPr="00957485" w:rsidRDefault="00662113" w:rsidP="00EA7CA9">
      <w:pPr>
        <w:pStyle w:val="ListParagraph"/>
        <w:autoSpaceDE w:val="0"/>
        <w:autoSpaceDN w:val="0"/>
        <w:adjustRightInd w:val="0"/>
        <w:spacing w:after="0" w:line="240" w:lineRule="auto"/>
        <w:ind w:left="1287"/>
        <w:jc w:val="both"/>
        <w:rPr>
          <w:rFonts w:ascii="Times New Roman" w:eastAsia="Calibri" w:hAnsi="Times New Roman"/>
          <w:b/>
          <w:sz w:val="28"/>
          <w:szCs w:val="28"/>
          <w:lang w:val="lv-LV" w:eastAsia="lv-LV"/>
        </w:rPr>
      </w:pPr>
    </w:p>
    <w:p w:rsidR="00C133CA" w:rsidRPr="00957485" w:rsidRDefault="00C133CA" w:rsidP="008308FC">
      <w:pPr>
        <w:pStyle w:val="ListParagraph"/>
        <w:numPr>
          <w:ilvl w:val="0"/>
          <w:numId w:val="8"/>
        </w:numPr>
        <w:jc w:val="both"/>
        <w:rPr>
          <w:rFonts w:ascii="Times New Roman" w:hAnsi="Times New Roman" w:cs="Times New Roman"/>
          <w:b/>
          <w:bCs/>
          <w:sz w:val="28"/>
          <w:szCs w:val="28"/>
          <w:lang w:val="lv-LV"/>
        </w:rPr>
      </w:pPr>
      <w:r w:rsidRPr="00957485">
        <w:rPr>
          <w:rFonts w:ascii="Times New Roman" w:hAnsi="Times New Roman" w:cs="Times New Roman"/>
          <w:sz w:val="28"/>
          <w:szCs w:val="28"/>
          <w:lang w:val="lv-LV"/>
        </w:rPr>
        <w:t xml:space="preserve">Ziņojumā minētajās 12 slimnīcās kopējais hospitalizāciju skaits 2011.gada I ceturksnī sastāda </w:t>
      </w:r>
      <w:r w:rsidRPr="00957485">
        <w:rPr>
          <w:rFonts w:ascii="Times New Roman" w:hAnsi="Times New Roman" w:cs="Times New Roman"/>
          <w:b/>
          <w:bCs/>
          <w:sz w:val="28"/>
          <w:szCs w:val="28"/>
          <w:lang w:val="lv-LV"/>
        </w:rPr>
        <w:t>17,5%</w:t>
      </w:r>
      <w:r w:rsidRPr="00957485">
        <w:rPr>
          <w:rFonts w:ascii="Times New Roman" w:hAnsi="Times New Roman" w:cs="Times New Roman"/>
          <w:sz w:val="28"/>
          <w:szCs w:val="28"/>
          <w:lang w:val="lv-LV"/>
        </w:rPr>
        <w:t xml:space="preserve"> no kopējā hospitalizāciju skaita valstī un salīdzinājumā ar 2010.gada I ceturksni ir samazinājies vidēji par </w:t>
      </w:r>
      <w:r w:rsidRPr="00957485">
        <w:rPr>
          <w:rFonts w:ascii="Times New Roman" w:hAnsi="Times New Roman" w:cs="Times New Roman"/>
          <w:b/>
          <w:bCs/>
          <w:sz w:val="28"/>
          <w:szCs w:val="28"/>
          <w:lang w:val="lv-LV"/>
        </w:rPr>
        <w:t>2,5%</w:t>
      </w:r>
      <w:r w:rsidRPr="00957485">
        <w:rPr>
          <w:rFonts w:ascii="Times New Roman" w:hAnsi="Times New Roman" w:cs="Times New Roman"/>
          <w:sz w:val="28"/>
          <w:szCs w:val="28"/>
          <w:lang w:val="lv-LV"/>
        </w:rPr>
        <w:t>.</w:t>
      </w:r>
    </w:p>
    <w:p w:rsidR="00236F53" w:rsidRPr="00CA36C0" w:rsidRDefault="00CA36C0" w:rsidP="00CA36C0">
      <w:pPr>
        <w:pStyle w:val="ListParagraph"/>
        <w:numPr>
          <w:ilvl w:val="0"/>
          <w:numId w:val="8"/>
        </w:numPr>
        <w:tabs>
          <w:tab w:val="left" w:pos="720"/>
          <w:tab w:val="left" w:pos="1440"/>
          <w:tab w:val="left" w:pos="2160"/>
          <w:tab w:val="left" w:pos="2880"/>
          <w:tab w:val="left" w:pos="3600"/>
          <w:tab w:val="left" w:pos="4320"/>
          <w:tab w:val="left" w:pos="5040"/>
          <w:tab w:val="left" w:pos="6420"/>
        </w:tabs>
        <w:spacing w:after="0"/>
        <w:jc w:val="both"/>
        <w:rPr>
          <w:rFonts w:ascii="Times New Roman" w:hAnsi="Times New Roman" w:cs="Times New Roman"/>
          <w:bCs/>
          <w:sz w:val="28"/>
          <w:szCs w:val="28"/>
          <w:lang w:val="lv-LV" w:eastAsia="lv-LV"/>
        </w:rPr>
      </w:pPr>
      <w:r w:rsidRPr="00CA36C0">
        <w:rPr>
          <w:rFonts w:ascii="Times New Roman" w:hAnsi="Times New Roman" w:cs="Times New Roman"/>
          <w:sz w:val="28"/>
          <w:szCs w:val="28"/>
          <w:lang w:val="lv-LV"/>
        </w:rPr>
        <w:t xml:space="preserve">Ziņojumā minētajās 12 slimnīcās kopējais vidējais ārstēšanās ilgums 2011.gada I ceturksnī </w:t>
      </w:r>
      <w:r w:rsidRPr="00CA36C0">
        <w:rPr>
          <w:rFonts w:ascii="Times New Roman" w:hAnsi="Times New Roman" w:cs="Times New Roman"/>
          <w:b/>
          <w:bCs/>
          <w:sz w:val="28"/>
          <w:szCs w:val="28"/>
          <w:lang w:val="lv-LV"/>
        </w:rPr>
        <w:t>(6 dienas)</w:t>
      </w:r>
      <w:r w:rsidRPr="00CA36C0">
        <w:rPr>
          <w:rFonts w:ascii="Times New Roman" w:hAnsi="Times New Roman" w:cs="Times New Roman"/>
          <w:sz w:val="28"/>
          <w:szCs w:val="28"/>
          <w:lang w:val="lv-LV"/>
        </w:rPr>
        <w:t xml:space="preserve"> ir zemāks nekā kopējais ārstēšanās ilgums visās stacionārajās ārstniecības iestādēs 2011.gada I ceturksnī </w:t>
      </w:r>
      <w:r w:rsidRPr="00CA36C0">
        <w:rPr>
          <w:rFonts w:ascii="Times New Roman" w:hAnsi="Times New Roman" w:cs="Times New Roman"/>
          <w:b/>
          <w:bCs/>
          <w:sz w:val="28"/>
          <w:szCs w:val="28"/>
          <w:lang w:val="lv-LV"/>
        </w:rPr>
        <w:t>(8,5 diena)</w:t>
      </w:r>
      <w:r w:rsidRPr="00CA36C0">
        <w:rPr>
          <w:rFonts w:ascii="Times New Roman" w:hAnsi="Times New Roman" w:cs="Times New Roman"/>
          <w:sz w:val="28"/>
          <w:szCs w:val="28"/>
          <w:lang w:val="lv-LV"/>
        </w:rPr>
        <w:t>. Šīs atšķirības skaidrojamas ar to, ka ārstēšanās ilgums 8,5 dienas ietver arī specializēto stacionāro ārstniecības i</w:t>
      </w:r>
      <w:r w:rsidR="0080349A">
        <w:rPr>
          <w:rFonts w:ascii="Times New Roman" w:hAnsi="Times New Roman" w:cs="Times New Roman"/>
          <w:sz w:val="28"/>
          <w:szCs w:val="28"/>
          <w:lang w:val="lv-LV"/>
        </w:rPr>
        <w:t>estāžu rādītājus, piemēram, psihiatrijā</w:t>
      </w:r>
      <w:r w:rsidRPr="00CA36C0">
        <w:rPr>
          <w:rFonts w:ascii="Times New Roman" w:hAnsi="Times New Roman" w:cs="Times New Roman"/>
          <w:sz w:val="28"/>
          <w:szCs w:val="28"/>
          <w:lang w:val="lv-LV"/>
        </w:rPr>
        <w:t xml:space="preserve">, kur ārstēšanās ilgums ir nozīmīgi lielāks. Kā arī  </w:t>
      </w:r>
      <w:r w:rsidRPr="00CA36C0">
        <w:rPr>
          <w:rFonts w:ascii="Times New Roman" w:hAnsi="Times New Roman" w:cs="Times New Roman"/>
          <w:bCs/>
          <w:sz w:val="28"/>
          <w:szCs w:val="28"/>
          <w:lang w:val="lv-LV" w:eastAsia="lv-LV"/>
        </w:rPr>
        <w:t xml:space="preserve">stacionārās veselības aprūpes reformu rezultātā ir vērojama pacientu plūsmas palielināšanās uz neatliekamās medicīniskās palīdzības slimnīcām, kas attiecīgi ir ietekmējis arī </w:t>
      </w:r>
      <w:r>
        <w:rPr>
          <w:rFonts w:ascii="Times New Roman" w:hAnsi="Times New Roman" w:cs="Times New Roman"/>
          <w:bCs/>
          <w:sz w:val="28"/>
          <w:szCs w:val="28"/>
          <w:lang w:val="lv-LV" w:eastAsia="lv-LV"/>
        </w:rPr>
        <w:t>vidējā ārstēšanās ilguma</w:t>
      </w:r>
      <w:r w:rsidRPr="00CA36C0">
        <w:rPr>
          <w:rFonts w:ascii="Times New Roman" w:hAnsi="Times New Roman" w:cs="Times New Roman"/>
          <w:bCs/>
          <w:sz w:val="28"/>
          <w:szCs w:val="28"/>
          <w:lang w:val="lv-LV" w:eastAsia="lv-LV"/>
        </w:rPr>
        <w:t xml:space="preserve"> rādītāju šajās ārstniecības iestādēs.</w:t>
      </w:r>
    </w:p>
    <w:p w:rsidR="00236F53" w:rsidRPr="00957485" w:rsidRDefault="00236F53" w:rsidP="00236F53">
      <w:pPr>
        <w:pStyle w:val="ListParagraph"/>
        <w:numPr>
          <w:ilvl w:val="0"/>
          <w:numId w:val="8"/>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No valstī kopējā sekundārās ambulatorās veselības aprūpes pakalpojumu skaita ziņojumā minēto 12 slimnīcu kopējais sekundārās ambulatorās veselības aprūpes pakalpojumu skaits sastāda </w:t>
      </w:r>
      <w:r w:rsidRPr="00957485">
        <w:rPr>
          <w:rFonts w:ascii="Times New Roman" w:hAnsi="Times New Roman" w:cs="Times New Roman"/>
          <w:b/>
          <w:bCs/>
          <w:sz w:val="28"/>
          <w:szCs w:val="28"/>
          <w:lang w:val="lv-LV"/>
        </w:rPr>
        <w:t>19%</w:t>
      </w:r>
      <w:r w:rsidRPr="00957485">
        <w:rPr>
          <w:rFonts w:ascii="Times New Roman" w:hAnsi="Times New Roman" w:cs="Times New Roman"/>
          <w:sz w:val="28"/>
          <w:szCs w:val="28"/>
          <w:lang w:val="lv-LV"/>
        </w:rPr>
        <w:t xml:space="preserve">. </w:t>
      </w:r>
    </w:p>
    <w:p w:rsidR="00994C2F" w:rsidRPr="00957485" w:rsidRDefault="00994C2F" w:rsidP="00236F53">
      <w:pPr>
        <w:pStyle w:val="ListParagraph"/>
        <w:numPr>
          <w:ilvl w:val="0"/>
          <w:numId w:val="8"/>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Lai gan kopējais ambulatoro veselības aprūpes pakalpojumu apjoms visās 12 slimnīcās būtiski pārsniedz stacionāro veselības aprūpes pakalpojumu apjomu, a</w:t>
      </w:r>
      <w:r w:rsidR="00B210E5" w:rsidRPr="00957485">
        <w:rPr>
          <w:rFonts w:ascii="Times New Roman" w:hAnsi="Times New Roman" w:cs="Times New Roman"/>
          <w:sz w:val="28"/>
          <w:szCs w:val="28"/>
          <w:lang w:val="lv-LV"/>
        </w:rPr>
        <w:t>tsevišķā</w:t>
      </w:r>
      <w:r w:rsidRPr="00957485">
        <w:rPr>
          <w:rFonts w:ascii="Times New Roman" w:hAnsi="Times New Roman" w:cs="Times New Roman"/>
          <w:sz w:val="28"/>
          <w:szCs w:val="28"/>
          <w:lang w:val="lv-LV"/>
        </w:rPr>
        <w:t xml:space="preserve">s slimnīcās sniegto ambulatoro veselības aprūpes pakalpojumu proporcija saglabājas </w:t>
      </w:r>
      <w:r w:rsidR="00B210E5" w:rsidRPr="00957485">
        <w:rPr>
          <w:rFonts w:ascii="Times New Roman" w:hAnsi="Times New Roman" w:cs="Times New Roman"/>
          <w:sz w:val="28"/>
          <w:szCs w:val="28"/>
          <w:lang w:val="lv-LV"/>
        </w:rPr>
        <w:t>salīdzinoši</w:t>
      </w:r>
      <w:r w:rsidRPr="00957485">
        <w:rPr>
          <w:rFonts w:ascii="Times New Roman" w:hAnsi="Times New Roman" w:cs="Times New Roman"/>
          <w:sz w:val="28"/>
          <w:szCs w:val="28"/>
          <w:lang w:val="lv-LV"/>
        </w:rPr>
        <w:t xml:space="preserve"> zema, pi</w:t>
      </w:r>
      <w:r w:rsidR="00B210E5" w:rsidRPr="00957485">
        <w:rPr>
          <w:rFonts w:ascii="Times New Roman" w:hAnsi="Times New Roman" w:cs="Times New Roman"/>
          <w:sz w:val="28"/>
          <w:szCs w:val="28"/>
          <w:lang w:val="lv-LV"/>
        </w:rPr>
        <w:t>emēram, SIA „Alūksnes slimnīca” un</w:t>
      </w:r>
      <w:r w:rsidR="00877150">
        <w:rPr>
          <w:rFonts w:ascii="Times New Roman" w:hAnsi="Times New Roman" w:cs="Times New Roman"/>
          <w:sz w:val="28"/>
          <w:szCs w:val="28"/>
          <w:lang w:val="lv-LV"/>
        </w:rPr>
        <w:t xml:space="preserve"> SIA „Jūrmalas slimnīca”, kā rezultātā</w:t>
      </w:r>
      <w:r w:rsidR="0080349A">
        <w:rPr>
          <w:rFonts w:ascii="Times New Roman" w:hAnsi="Times New Roman" w:cs="Times New Roman"/>
          <w:sz w:val="28"/>
          <w:szCs w:val="28"/>
          <w:lang w:val="lv-LV"/>
        </w:rPr>
        <w:t xml:space="preserve"> padziļināti </w:t>
      </w:r>
      <w:r w:rsidR="00877150">
        <w:rPr>
          <w:rFonts w:ascii="Times New Roman" w:hAnsi="Times New Roman" w:cs="Times New Roman"/>
          <w:sz w:val="28"/>
          <w:szCs w:val="28"/>
          <w:lang w:val="lv-LV"/>
        </w:rPr>
        <w:t xml:space="preserve"> jāvērtē pacientu hospitalizācijas </w:t>
      </w:r>
      <w:r w:rsidR="0080349A">
        <w:rPr>
          <w:rFonts w:ascii="Times New Roman" w:hAnsi="Times New Roman" w:cs="Times New Roman"/>
          <w:sz w:val="28"/>
          <w:szCs w:val="28"/>
          <w:lang w:val="lv-LV"/>
        </w:rPr>
        <w:t>pamatojums.</w:t>
      </w:r>
    </w:p>
    <w:p w:rsidR="005F21F1" w:rsidRPr="00957485" w:rsidRDefault="005F21F1" w:rsidP="00C133CA">
      <w:pPr>
        <w:pStyle w:val="ListParagraph"/>
        <w:numPr>
          <w:ilvl w:val="0"/>
          <w:numId w:val="8"/>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Slimnīcu darbību raksturojošie rādītāji ziņojumā minētajām 12 slimnīcām ir ļoti atšķirīgi, piemēram:</w:t>
      </w:r>
    </w:p>
    <w:p w:rsidR="005F21F1" w:rsidRPr="00957485" w:rsidRDefault="005F21F1" w:rsidP="005F21F1">
      <w:pPr>
        <w:pStyle w:val="ListParagraph"/>
        <w:numPr>
          <w:ilvl w:val="0"/>
          <w:numId w:val="5"/>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Hospitalizāciju skaits SIA „Balvu un Gulbenes slimnīcu apvienība” atskaites periodā ir </w:t>
      </w:r>
      <w:r w:rsidRPr="00957485">
        <w:rPr>
          <w:rFonts w:ascii="Times New Roman" w:hAnsi="Times New Roman" w:cs="Times New Roman"/>
          <w:b/>
          <w:bCs/>
          <w:sz w:val="28"/>
          <w:szCs w:val="28"/>
          <w:lang w:val="lv-LV"/>
        </w:rPr>
        <w:t>1 888</w:t>
      </w:r>
      <w:r w:rsidRPr="00957485">
        <w:rPr>
          <w:rFonts w:ascii="Times New Roman" w:hAnsi="Times New Roman" w:cs="Times New Roman"/>
          <w:sz w:val="28"/>
          <w:szCs w:val="28"/>
          <w:lang w:val="lv-LV"/>
        </w:rPr>
        <w:t xml:space="preserve"> hospitalizācijas, savukārt SIA „Preiļu slimnīca” </w:t>
      </w:r>
      <w:r w:rsidRPr="00957485">
        <w:rPr>
          <w:rFonts w:ascii="Times New Roman" w:hAnsi="Times New Roman" w:cs="Times New Roman"/>
          <w:b/>
          <w:bCs/>
          <w:sz w:val="28"/>
          <w:szCs w:val="28"/>
          <w:lang w:val="lv-LV"/>
        </w:rPr>
        <w:t xml:space="preserve">228 </w:t>
      </w:r>
      <w:r w:rsidRPr="00957485">
        <w:rPr>
          <w:rFonts w:ascii="Times New Roman" w:hAnsi="Times New Roman" w:cs="Times New Roman"/>
          <w:sz w:val="28"/>
          <w:szCs w:val="28"/>
          <w:lang w:val="lv-LV"/>
        </w:rPr>
        <w:t>hospitalizācijas;</w:t>
      </w:r>
    </w:p>
    <w:p w:rsidR="005F21F1" w:rsidRPr="00957485" w:rsidRDefault="005F21F1" w:rsidP="005F21F1">
      <w:pPr>
        <w:pStyle w:val="ListParagraph"/>
        <w:numPr>
          <w:ilvl w:val="0"/>
          <w:numId w:val="5"/>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Vidējais ārstēšanās ilgums „SIA Krāslavas slimnīca” atskaites periodā bija </w:t>
      </w:r>
      <w:r w:rsidRPr="00957485">
        <w:rPr>
          <w:rFonts w:ascii="Times New Roman" w:hAnsi="Times New Roman" w:cs="Times New Roman"/>
          <w:b/>
          <w:bCs/>
          <w:sz w:val="28"/>
          <w:szCs w:val="28"/>
          <w:lang w:val="lv-LV"/>
        </w:rPr>
        <w:t>7,1</w:t>
      </w:r>
      <w:r w:rsidRPr="00957485">
        <w:rPr>
          <w:rFonts w:ascii="Times New Roman" w:hAnsi="Times New Roman" w:cs="Times New Roman"/>
          <w:sz w:val="28"/>
          <w:szCs w:val="28"/>
          <w:lang w:val="lv-LV"/>
        </w:rPr>
        <w:t xml:space="preserve">, savukārt SIA „Dobeles un apkārtnes slimnīca” </w:t>
      </w:r>
      <w:r w:rsidRPr="00957485">
        <w:rPr>
          <w:rFonts w:ascii="Times New Roman" w:hAnsi="Times New Roman" w:cs="Times New Roman"/>
          <w:b/>
          <w:bCs/>
          <w:sz w:val="28"/>
          <w:szCs w:val="28"/>
          <w:lang w:val="lv-LV"/>
        </w:rPr>
        <w:t>4,6</w:t>
      </w:r>
      <w:r w:rsidRPr="00957485">
        <w:rPr>
          <w:rFonts w:ascii="Times New Roman" w:hAnsi="Times New Roman" w:cs="Times New Roman"/>
          <w:sz w:val="28"/>
          <w:szCs w:val="28"/>
          <w:lang w:val="lv-LV"/>
        </w:rPr>
        <w:t xml:space="preserve"> dienas;</w:t>
      </w:r>
    </w:p>
    <w:p w:rsidR="005F21F1" w:rsidRPr="00957485" w:rsidRDefault="005F21F1" w:rsidP="005F21F1">
      <w:pPr>
        <w:pStyle w:val="ListParagraph"/>
        <w:numPr>
          <w:ilvl w:val="0"/>
          <w:numId w:val="5"/>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Ambulatoro apmeklējumu skaits SIA „Cēsu klīnika” atskaites periodā bija </w:t>
      </w:r>
      <w:r w:rsidRPr="00957485">
        <w:rPr>
          <w:rFonts w:ascii="Times New Roman" w:hAnsi="Times New Roman" w:cs="Times New Roman"/>
          <w:b/>
          <w:bCs/>
          <w:sz w:val="28"/>
          <w:szCs w:val="28"/>
          <w:lang w:val="lv-LV"/>
        </w:rPr>
        <w:t>24 893</w:t>
      </w:r>
      <w:r w:rsidRPr="00957485">
        <w:rPr>
          <w:rFonts w:ascii="Times New Roman" w:hAnsi="Times New Roman" w:cs="Times New Roman"/>
          <w:sz w:val="28"/>
          <w:szCs w:val="28"/>
          <w:lang w:val="lv-LV"/>
        </w:rPr>
        <w:t xml:space="preserve"> apmeklējumi, savukārt SIA „Alūksnes slimnīca” </w:t>
      </w:r>
      <w:r w:rsidRPr="00957485">
        <w:rPr>
          <w:rFonts w:ascii="Times New Roman" w:hAnsi="Times New Roman" w:cs="Times New Roman"/>
          <w:b/>
          <w:bCs/>
          <w:sz w:val="28"/>
          <w:szCs w:val="28"/>
          <w:lang w:val="lv-LV"/>
        </w:rPr>
        <w:t>3644</w:t>
      </w:r>
      <w:r w:rsidRPr="00957485">
        <w:rPr>
          <w:rFonts w:ascii="Times New Roman" w:hAnsi="Times New Roman" w:cs="Times New Roman"/>
          <w:sz w:val="28"/>
          <w:szCs w:val="28"/>
          <w:lang w:val="lv-LV"/>
        </w:rPr>
        <w:t xml:space="preserve"> apmeklējumi;</w:t>
      </w:r>
    </w:p>
    <w:p w:rsidR="005F21F1" w:rsidRPr="00957485" w:rsidRDefault="005F21F1" w:rsidP="005F21F1">
      <w:pPr>
        <w:pStyle w:val="ListParagraph"/>
        <w:numPr>
          <w:ilvl w:val="0"/>
          <w:numId w:val="5"/>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lastRenderedPageBreak/>
        <w:t xml:space="preserve">Gultas dienu skaits dienas stacionārā SIA „Dobeles un apkārtnes slimnīca” </w:t>
      </w:r>
      <w:r w:rsidRPr="00957485">
        <w:rPr>
          <w:rFonts w:ascii="Times New Roman" w:hAnsi="Times New Roman" w:cs="Times New Roman"/>
          <w:b/>
          <w:bCs/>
          <w:sz w:val="28"/>
          <w:szCs w:val="28"/>
          <w:lang w:val="lv-LV"/>
        </w:rPr>
        <w:t xml:space="preserve">3288 </w:t>
      </w:r>
      <w:r w:rsidR="001470D0">
        <w:rPr>
          <w:rFonts w:ascii="Times New Roman" w:hAnsi="Times New Roman" w:cs="Times New Roman"/>
          <w:sz w:val="28"/>
          <w:szCs w:val="28"/>
          <w:lang w:val="lv-LV"/>
        </w:rPr>
        <w:t>dienas, S</w:t>
      </w:r>
      <w:r w:rsidRPr="00957485">
        <w:rPr>
          <w:rFonts w:ascii="Times New Roman" w:hAnsi="Times New Roman" w:cs="Times New Roman"/>
          <w:sz w:val="28"/>
          <w:szCs w:val="28"/>
          <w:lang w:val="lv-LV"/>
        </w:rPr>
        <w:t>I</w:t>
      </w:r>
      <w:r w:rsidR="001470D0">
        <w:rPr>
          <w:rFonts w:ascii="Times New Roman" w:hAnsi="Times New Roman" w:cs="Times New Roman"/>
          <w:sz w:val="28"/>
          <w:szCs w:val="28"/>
          <w:lang w:val="lv-LV"/>
        </w:rPr>
        <w:t>A</w:t>
      </w:r>
      <w:r w:rsidRPr="00957485">
        <w:rPr>
          <w:rFonts w:ascii="Times New Roman" w:hAnsi="Times New Roman" w:cs="Times New Roman"/>
          <w:sz w:val="28"/>
          <w:szCs w:val="28"/>
          <w:lang w:val="lv-LV"/>
        </w:rPr>
        <w:t xml:space="preserve"> „Tukuma slimnīca” </w:t>
      </w:r>
      <w:r w:rsidRPr="00957485">
        <w:rPr>
          <w:rFonts w:ascii="Times New Roman" w:hAnsi="Times New Roman" w:cs="Times New Roman"/>
          <w:b/>
          <w:bCs/>
          <w:sz w:val="28"/>
          <w:szCs w:val="28"/>
          <w:lang w:val="lv-LV"/>
        </w:rPr>
        <w:t>86</w:t>
      </w:r>
      <w:r w:rsidRPr="00957485">
        <w:rPr>
          <w:rFonts w:ascii="Times New Roman" w:hAnsi="Times New Roman" w:cs="Times New Roman"/>
          <w:sz w:val="28"/>
          <w:szCs w:val="28"/>
          <w:lang w:val="lv-LV"/>
        </w:rPr>
        <w:t xml:space="preserve"> dienas;</w:t>
      </w:r>
    </w:p>
    <w:p w:rsidR="00236F53" w:rsidRPr="00957485" w:rsidRDefault="005F21F1" w:rsidP="00236F53">
      <w:pPr>
        <w:pStyle w:val="ListParagraph"/>
        <w:numPr>
          <w:ilvl w:val="0"/>
          <w:numId w:val="5"/>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Mājas aprūpes apmeklējumu skaits </w:t>
      </w:r>
      <w:r w:rsidR="00236F53" w:rsidRPr="00957485">
        <w:rPr>
          <w:rFonts w:ascii="Times New Roman" w:hAnsi="Times New Roman" w:cs="Times New Roman"/>
          <w:sz w:val="28"/>
          <w:szCs w:val="28"/>
          <w:lang w:val="lv-LV"/>
        </w:rPr>
        <w:t xml:space="preserve">SIA „Jūrmalas slimnīca” atskaites periodā </w:t>
      </w:r>
      <w:r w:rsidR="00236F53" w:rsidRPr="00957485">
        <w:rPr>
          <w:rFonts w:ascii="Times New Roman" w:hAnsi="Times New Roman" w:cs="Times New Roman"/>
          <w:b/>
          <w:bCs/>
          <w:sz w:val="28"/>
          <w:szCs w:val="28"/>
          <w:lang w:val="lv-LV"/>
        </w:rPr>
        <w:t>931</w:t>
      </w:r>
      <w:r w:rsidR="00236F53" w:rsidRPr="00957485">
        <w:rPr>
          <w:rFonts w:ascii="Times New Roman" w:hAnsi="Times New Roman" w:cs="Times New Roman"/>
          <w:sz w:val="28"/>
          <w:szCs w:val="28"/>
          <w:lang w:val="lv-LV"/>
        </w:rPr>
        <w:t xml:space="preserve"> apmeklējumi, savukārt SIA „Alūksnes slimnīca” </w:t>
      </w:r>
      <w:r w:rsidR="00236F53" w:rsidRPr="00957485">
        <w:rPr>
          <w:rFonts w:ascii="Times New Roman" w:hAnsi="Times New Roman" w:cs="Times New Roman"/>
          <w:b/>
          <w:bCs/>
          <w:sz w:val="28"/>
          <w:szCs w:val="28"/>
          <w:lang w:val="lv-LV"/>
        </w:rPr>
        <w:t xml:space="preserve">27 </w:t>
      </w:r>
      <w:r w:rsidR="00236F53" w:rsidRPr="00957485">
        <w:rPr>
          <w:rFonts w:ascii="Times New Roman" w:hAnsi="Times New Roman" w:cs="Times New Roman"/>
          <w:sz w:val="28"/>
          <w:szCs w:val="28"/>
          <w:lang w:val="lv-LV"/>
        </w:rPr>
        <w:t>apmeklējumi.</w:t>
      </w:r>
    </w:p>
    <w:p w:rsidR="00B210E5" w:rsidRDefault="008308FC" w:rsidP="00957485">
      <w:pPr>
        <w:pStyle w:val="ListParagraph"/>
        <w:numPr>
          <w:ilvl w:val="0"/>
          <w:numId w:val="8"/>
        </w:numPr>
        <w:jc w:val="both"/>
        <w:rPr>
          <w:rFonts w:ascii="Times New Roman" w:hAnsi="Times New Roman" w:cs="Times New Roman"/>
          <w:sz w:val="28"/>
          <w:szCs w:val="28"/>
          <w:lang w:val="lv-LV"/>
        </w:rPr>
      </w:pPr>
      <w:r w:rsidRPr="00957485">
        <w:rPr>
          <w:rFonts w:ascii="Times New Roman" w:hAnsi="Times New Roman" w:cs="Times New Roman"/>
          <w:sz w:val="28"/>
          <w:szCs w:val="28"/>
          <w:lang w:val="lv-LV"/>
        </w:rPr>
        <w:t xml:space="preserve">Kopējais 12 slimnīcu finansējums, kas noteikts līgumā ar Veselības norēķinu centru par no valsts apmaksāto veselības aprūpes pakalpojumu sniegšanu, </w:t>
      </w:r>
      <w:r w:rsidR="00033204">
        <w:rPr>
          <w:rFonts w:ascii="Times New Roman" w:hAnsi="Times New Roman" w:cs="Times New Roman"/>
          <w:sz w:val="28"/>
          <w:szCs w:val="28"/>
          <w:lang w:val="lv-LV"/>
        </w:rPr>
        <w:t xml:space="preserve">ir izpildīts </w:t>
      </w:r>
      <w:r w:rsidRPr="00957485">
        <w:rPr>
          <w:rFonts w:ascii="Times New Roman" w:hAnsi="Times New Roman" w:cs="Times New Roman"/>
          <w:sz w:val="28"/>
          <w:szCs w:val="28"/>
          <w:lang w:val="lv-LV"/>
        </w:rPr>
        <w:t>gan stacionārajiem, gan ambulatorajiem pakalpojumiem, vienlaicīgi atsevišķas stacionārās ārstniecības iestādes līgumā noteikto finansējumu nav izpildījušas.</w:t>
      </w:r>
    </w:p>
    <w:p w:rsidR="001470D0" w:rsidRDefault="001470D0" w:rsidP="00957485">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Nepieciešams turpināt ambulatorās aprūpes pakalpojumu attīstību un pieejamības palielināšanu, jo īpaši tajās ziņojumā minētajās slimnīcās, kur ir izteikti zems hospitalizēto pacietu īpatsvars, pārvirzot pacientu plūsmu uz dienas stacionāru un sekundārās ambulatorās veselības aprūpes speciālistiem. </w:t>
      </w:r>
    </w:p>
    <w:p w:rsidR="00957485" w:rsidRDefault="00957485" w:rsidP="00957485">
      <w:pPr>
        <w:pStyle w:val="ListParagraph"/>
        <w:ind w:left="1080"/>
        <w:jc w:val="both"/>
        <w:rPr>
          <w:rFonts w:ascii="Times New Roman" w:hAnsi="Times New Roman" w:cs="Times New Roman"/>
          <w:sz w:val="28"/>
          <w:szCs w:val="28"/>
          <w:lang w:val="lv-LV"/>
        </w:rPr>
      </w:pPr>
    </w:p>
    <w:p w:rsidR="0080349A" w:rsidRPr="00957485" w:rsidRDefault="0080349A" w:rsidP="00957485">
      <w:pPr>
        <w:pStyle w:val="ListParagraph"/>
        <w:ind w:left="1080"/>
        <w:jc w:val="both"/>
        <w:rPr>
          <w:rFonts w:ascii="Times New Roman" w:hAnsi="Times New Roman" w:cs="Times New Roman"/>
          <w:sz w:val="28"/>
          <w:szCs w:val="28"/>
          <w:lang w:val="lv-LV"/>
        </w:rPr>
      </w:pPr>
    </w:p>
    <w:p w:rsidR="00B210E5" w:rsidRPr="00957485" w:rsidRDefault="00B210E5" w:rsidP="00957485">
      <w:pPr>
        <w:pStyle w:val="BodyText"/>
        <w:tabs>
          <w:tab w:val="left" w:pos="7293"/>
        </w:tabs>
        <w:spacing w:after="0"/>
        <w:ind w:firstLine="0"/>
        <w:rPr>
          <w:sz w:val="28"/>
          <w:szCs w:val="28"/>
        </w:rPr>
      </w:pPr>
      <w:r w:rsidRPr="00957485">
        <w:rPr>
          <w:sz w:val="28"/>
          <w:szCs w:val="28"/>
        </w:rPr>
        <w:t>Veselības ministrs</w:t>
      </w:r>
      <w:r w:rsidRPr="00957485">
        <w:rPr>
          <w:sz w:val="28"/>
          <w:szCs w:val="28"/>
        </w:rPr>
        <w:tab/>
        <w:t xml:space="preserve">          </w:t>
      </w:r>
      <w:r w:rsidR="0080349A">
        <w:rPr>
          <w:sz w:val="28"/>
          <w:szCs w:val="28"/>
        </w:rPr>
        <w:t xml:space="preserve"> </w:t>
      </w:r>
      <w:proofErr w:type="spellStart"/>
      <w:r w:rsidRPr="00957485">
        <w:rPr>
          <w:sz w:val="28"/>
          <w:szCs w:val="28"/>
        </w:rPr>
        <w:t>J.Bārzdiņš</w:t>
      </w:r>
      <w:proofErr w:type="spellEnd"/>
    </w:p>
    <w:p w:rsidR="00B210E5" w:rsidRDefault="00B210E5"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80349A" w:rsidRDefault="0080349A" w:rsidP="00B210E5">
      <w:pPr>
        <w:tabs>
          <w:tab w:val="left" w:pos="825"/>
        </w:tabs>
        <w:spacing w:after="0" w:line="240" w:lineRule="auto"/>
        <w:rPr>
          <w:rFonts w:ascii="Times New Roman" w:hAnsi="Times New Roman"/>
          <w:sz w:val="20"/>
          <w:szCs w:val="20"/>
          <w:lang w:val="lv-LV" w:eastAsia="ar-SA"/>
        </w:rPr>
      </w:pPr>
    </w:p>
    <w:p w:rsidR="00B210E5" w:rsidRDefault="00B210E5" w:rsidP="00B210E5">
      <w:pPr>
        <w:tabs>
          <w:tab w:val="left" w:pos="825"/>
        </w:tabs>
        <w:spacing w:after="0" w:line="240" w:lineRule="auto"/>
        <w:rPr>
          <w:rFonts w:ascii="Times New Roman" w:hAnsi="Times New Roman"/>
          <w:sz w:val="20"/>
          <w:szCs w:val="20"/>
          <w:lang w:val="lv-LV" w:eastAsia="ar-SA"/>
        </w:rPr>
      </w:pPr>
      <w:r>
        <w:rPr>
          <w:rFonts w:ascii="Times New Roman" w:hAnsi="Times New Roman"/>
          <w:sz w:val="20"/>
          <w:szCs w:val="20"/>
          <w:lang w:val="lv-LV" w:eastAsia="ar-SA"/>
        </w:rPr>
        <w:t>1</w:t>
      </w:r>
      <w:r w:rsidR="0044539B">
        <w:rPr>
          <w:rFonts w:ascii="Times New Roman" w:hAnsi="Times New Roman"/>
          <w:sz w:val="20"/>
          <w:szCs w:val="20"/>
          <w:lang w:val="lv-LV" w:eastAsia="ar-SA"/>
        </w:rPr>
        <w:t>7</w:t>
      </w:r>
      <w:r>
        <w:rPr>
          <w:rFonts w:ascii="Times New Roman" w:hAnsi="Times New Roman"/>
          <w:sz w:val="20"/>
          <w:szCs w:val="20"/>
          <w:lang w:val="lv-LV" w:eastAsia="ar-SA"/>
        </w:rPr>
        <w:t>.06</w:t>
      </w:r>
      <w:r w:rsidR="00564A54">
        <w:rPr>
          <w:rFonts w:ascii="Times New Roman" w:hAnsi="Times New Roman"/>
          <w:sz w:val="20"/>
          <w:szCs w:val="20"/>
          <w:lang w:val="lv-LV" w:eastAsia="ar-SA"/>
        </w:rPr>
        <w:t>.2011 10:37</w:t>
      </w:r>
    </w:p>
    <w:p w:rsidR="00B210E5" w:rsidRPr="00565695" w:rsidRDefault="001470D0" w:rsidP="00B210E5">
      <w:pPr>
        <w:tabs>
          <w:tab w:val="left" w:pos="825"/>
        </w:tabs>
        <w:spacing w:after="0" w:line="240" w:lineRule="auto"/>
        <w:rPr>
          <w:rFonts w:ascii="Times New Roman" w:hAnsi="Times New Roman"/>
          <w:sz w:val="20"/>
          <w:szCs w:val="20"/>
          <w:lang w:val="lv-LV"/>
        </w:rPr>
      </w:pPr>
      <w:r>
        <w:rPr>
          <w:rFonts w:ascii="Times New Roman" w:hAnsi="Times New Roman"/>
          <w:sz w:val="20"/>
          <w:szCs w:val="20"/>
          <w:lang w:val="lv-LV"/>
        </w:rPr>
        <w:t>1 7</w:t>
      </w:r>
      <w:r w:rsidR="00564A54">
        <w:rPr>
          <w:rFonts w:ascii="Times New Roman" w:hAnsi="Times New Roman"/>
          <w:sz w:val="20"/>
          <w:szCs w:val="20"/>
          <w:lang w:val="lv-LV"/>
        </w:rPr>
        <w:t>46</w:t>
      </w:r>
    </w:p>
    <w:p w:rsidR="00B210E5" w:rsidRPr="00565695" w:rsidRDefault="00B210E5" w:rsidP="00B210E5">
      <w:pPr>
        <w:spacing w:after="0" w:line="240" w:lineRule="auto"/>
        <w:rPr>
          <w:rFonts w:ascii="Times New Roman" w:hAnsi="Times New Roman"/>
          <w:sz w:val="20"/>
          <w:szCs w:val="20"/>
          <w:lang w:val="lv-LV"/>
        </w:rPr>
      </w:pPr>
      <w:r>
        <w:rPr>
          <w:rFonts w:ascii="Times New Roman" w:hAnsi="Times New Roman"/>
          <w:sz w:val="20"/>
          <w:szCs w:val="20"/>
          <w:lang w:val="lv-LV"/>
        </w:rPr>
        <w:t>K.Kļaviņa</w:t>
      </w:r>
      <w:r w:rsidRPr="00565695">
        <w:rPr>
          <w:rFonts w:ascii="Times New Roman" w:hAnsi="Times New Roman"/>
          <w:sz w:val="20"/>
          <w:szCs w:val="20"/>
          <w:lang w:val="lv-LV"/>
        </w:rPr>
        <w:t>,</w:t>
      </w:r>
      <w:r>
        <w:rPr>
          <w:rFonts w:ascii="Times New Roman" w:hAnsi="Times New Roman"/>
          <w:sz w:val="20"/>
          <w:szCs w:val="20"/>
          <w:lang w:val="lv-LV"/>
        </w:rPr>
        <w:t xml:space="preserve"> 67876095</w:t>
      </w:r>
    </w:p>
    <w:p w:rsidR="00B210E5" w:rsidRPr="00565695" w:rsidRDefault="005E7E48" w:rsidP="00B210E5">
      <w:pPr>
        <w:spacing w:after="0" w:line="240" w:lineRule="auto"/>
        <w:rPr>
          <w:rFonts w:ascii="Times New Roman" w:hAnsi="Times New Roman"/>
          <w:sz w:val="20"/>
          <w:szCs w:val="20"/>
          <w:lang w:val="lv-LV"/>
        </w:rPr>
      </w:pPr>
      <w:hyperlink r:id="rId13" w:history="1">
        <w:r w:rsidR="00B210E5" w:rsidRPr="00015FAF">
          <w:rPr>
            <w:rStyle w:val="Hyperlink"/>
            <w:rFonts w:ascii="Times New Roman" w:hAnsi="Times New Roman"/>
            <w:sz w:val="20"/>
            <w:szCs w:val="20"/>
            <w:lang w:val="lv-LV"/>
          </w:rPr>
          <w:t>kristine.klavina@vm.gov.lv</w:t>
        </w:r>
      </w:hyperlink>
      <w:r w:rsidR="00B210E5">
        <w:rPr>
          <w:rFonts w:ascii="Times New Roman" w:hAnsi="Times New Roman"/>
          <w:sz w:val="20"/>
          <w:szCs w:val="20"/>
          <w:lang w:val="lv-LV"/>
        </w:rPr>
        <w:t xml:space="preserve"> </w:t>
      </w:r>
    </w:p>
    <w:sectPr w:rsidR="00B210E5" w:rsidRPr="00565695" w:rsidSect="00F85E40">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D0" w:rsidRDefault="001470D0" w:rsidP="00F85E40">
      <w:pPr>
        <w:spacing w:after="0" w:line="240" w:lineRule="auto"/>
      </w:pPr>
      <w:r>
        <w:separator/>
      </w:r>
    </w:p>
  </w:endnote>
  <w:endnote w:type="continuationSeparator" w:id="0">
    <w:p w:rsidR="001470D0" w:rsidRDefault="001470D0" w:rsidP="00F8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D0" w:rsidRPr="00F85E40" w:rsidRDefault="001470D0" w:rsidP="002429F4">
    <w:pPr>
      <w:pStyle w:val="Footer"/>
      <w:jc w:val="both"/>
      <w:rPr>
        <w:rFonts w:ascii="Times New Roman" w:hAnsi="Times New Roman" w:cs="Times New Roman"/>
        <w:lang w:val="lv-LV"/>
      </w:rPr>
    </w:pPr>
    <w:r w:rsidRPr="00F85E40">
      <w:rPr>
        <w:rFonts w:ascii="Times New Roman" w:hAnsi="Times New Roman" w:cs="Times New Roman"/>
        <w:lang w:val="lv-LV"/>
      </w:rPr>
      <w:t>VMzin</w:t>
    </w:r>
    <w:r>
      <w:rPr>
        <w:rFonts w:ascii="Times New Roman" w:hAnsi="Times New Roman" w:cs="Times New Roman"/>
        <w:lang w:val="lv-LV"/>
      </w:rPr>
      <w:t>o_170611_slimnic; Informatīvais ziņojums „Izvērtējums par stacionāro ārstniecības iestāžu darbību 2011.gada pirmajā ceturksnī”</w:t>
    </w:r>
  </w:p>
  <w:p w:rsidR="001470D0" w:rsidRDefault="00147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D0" w:rsidRPr="00F85E40" w:rsidRDefault="001470D0" w:rsidP="00F85E40">
    <w:pPr>
      <w:pStyle w:val="Footer"/>
      <w:jc w:val="both"/>
      <w:rPr>
        <w:rFonts w:ascii="Times New Roman" w:hAnsi="Times New Roman" w:cs="Times New Roman"/>
        <w:lang w:val="lv-LV"/>
      </w:rPr>
    </w:pPr>
    <w:r w:rsidRPr="00F85E40">
      <w:rPr>
        <w:rFonts w:ascii="Times New Roman" w:hAnsi="Times New Roman" w:cs="Times New Roman"/>
        <w:lang w:val="lv-LV"/>
      </w:rPr>
      <w:t>VMzin</w:t>
    </w:r>
    <w:r>
      <w:rPr>
        <w:rFonts w:ascii="Times New Roman" w:hAnsi="Times New Roman" w:cs="Times New Roman"/>
        <w:lang w:val="lv-LV"/>
      </w:rPr>
      <w:t>o_170611_slimnic; Informatīvais ziņojums „Izvērtējums par stacionāro ārstniecības iestāžu darbību 2011.gada pirmajā ceturksnī”</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D0" w:rsidRDefault="001470D0" w:rsidP="00F85E40">
      <w:pPr>
        <w:spacing w:after="0" w:line="240" w:lineRule="auto"/>
      </w:pPr>
      <w:r>
        <w:separator/>
      </w:r>
    </w:p>
  </w:footnote>
  <w:footnote w:type="continuationSeparator" w:id="0">
    <w:p w:rsidR="001470D0" w:rsidRDefault="001470D0" w:rsidP="00F85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6001"/>
      <w:docPartObj>
        <w:docPartGallery w:val="Page Numbers (Top of Page)"/>
        <w:docPartUnique/>
      </w:docPartObj>
    </w:sdtPr>
    <w:sdtContent>
      <w:p w:rsidR="001470D0" w:rsidRDefault="005E7E48">
        <w:pPr>
          <w:pStyle w:val="Header"/>
          <w:jc w:val="center"/>
        </w:pPr>
        <w:fldSimple w:instr=" PAGE   \* MERGEFORMAT ">
          <w:r w:rsidR="00E04BC0">
            <w:rPr>
              <w:noProof/>
            </w:rPr>
            <w:t>10</w:t>
          </w:r>
        </w:fldSimple>
      </w:p>
    </w:sdtContent>
  </w:sdt>
  <w:p w:rsidR="001470D0" w:rsidRDefault="001470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88E"/>
    <w:multiLevelType w:val="hybridMultilevel"/>
    <w:tmpl w:val="09AC4EFE"/>
    <w:lvl w:ilvl="0" w:tplc="01E06F16">
      <w:start w:val="1"/>
      <w:numFmt w:val="upperRoman"/>
      <w:lvlText w:val="%1."/>
      <w:lvlJc w:val="left"/>
      <w:pPr>
        <w:ind w:left="1287" w:hanging="720"/>
      </w:pPr>
      <w:rPr>
        <w:rFonts w:eastAsiaTheme="minorHAnsi"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9A7883"/>
    <w:multiLevelType w:val="hybridMultilevel"/>
    <w:tmpl w:val="C10ED5FE"/>
    <w:lvl w:ilvl="0" w:tplc="C4A68DC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29DE6109"/>
    <w:multiLevelType w:val="hybridMultilevel"/>
    <w:tmpl w:val="2DFED5AA"/>
    <w:lvl w:ilvl="0" w:tplc="88B8A2AC">
      <w:start w:val="1"/>
      <w:numFmt w:val="bullet"/>
      <w:lvlText w:val="-"/>
      <w:lvlJc w:val="left"/>
      <w:pPr>
        <w:ind w:left="2007" w:hanging="360"/>
      </w:pPr>
      <w:rPr>
        <w:rFonts w:ascii="Times New Roman" w:eastAsia="Calibri"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nsid w:val="4557626E"/>
    <w:multiLevelType w:val="hybridMultilevel"/>
    <w:tmpl w:val="10E47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631D4"/>
    <w:multiLevelType w:val="multilevel"/>
    <w:tmpl w:val="231A127E"/>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5">
    <w:nsid w:val="6EE9340B"/>
    <w:multiLevelType w:val="hybridMultilevel"/>
    <w:tmpl w:val="24B47E6A"/>
    <w:lvl w:ilvl="0" w:tplc="954CF95E">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76045513"/>
    <w:multiLevelType w:val="hybridMultilevel"/>
    <w:tmpl w:val="34BEB8D2"/>
    <w:lvl w:ilvl="0" w:tplc="C13EE94C">
      <w:start w:val="1"/>
      <w:numFmt w:val="decimal"/>
      <w:lvlText w:val="%1)"/>
      <w:lvlJc w:val="left"/>
      <w:pPr>
        <w:ind w:left="1080" w:hanging="360"/>
      </w:pPr>
      <w:rPr>
        <w:rFonts w:ascii="Times New Roman" w:eastAsiaTheme="minorHAnsi"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A23420"/>
    <w:multiLevelType w:val="hybridMultilevel"/>
    <w:tmpl w:val="FE5805B8"/>
    <w:lvl w:ilvl="0" w:tplc="2ABA8B64">
      <w:start w:val="1"/>
      <w:numFmt w:val="bullet"/>
      <w:lvlText w:val="-"/>
      <w:lvlJc w:val="left"/>
      <w:pPr>
        <w:ind w:left="2007" w:hanging="360"/>
      </w:pPr>
      <w:rPr>
        <w:rFonts w:ascii="Times New Roman" w:eastAsia="Calibri"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256B"/>
    <w:rsid w:val="00031302"/>
    <w:rsid w:val="00033204"/>
    <w:rsid w:val="00033FCD"/>
    <w:rsid w:val="00035896"/>
    <w:rsid w:val="00046D51"/>
    <w:rsid w:val="0005431A"/>
    <w:rsid w:val="00067E42"/>
    <w:rsid w:val="00073FC0"/>
    <w:rsid w:val="000B1F84"/>
    <w:rsid w:val="000F47D5"/>
    <w:rsid w:val="001108A5"/>
    <w:rsid w:val="00124EBD"/>
    <w:rsid w:val="001470D0"/>
    <w:rsid w:val="001868CD"/>
    <w:rsid w:val="001C65F7"/>
    <w:rsid w:val="00236F53"/>
    <w:rsid w:val="002429F4"/>
    <w:rsid w:val="00280778"/>
    <w:rsid w:val="0029490F"/>
    <w:rsid w:val="00322498"/>
    <w:rsid w:val="0033562E"/>
    <w:rsid w:val="003E1347"/>
    <w:rsid w:val="00401233"/>
    <w:rsid w:val="0044539B"/>
    <w:rsid w:val="004513CF"/>
    <w:rsid w:val="0048256B"/>
    <w:rsid w:val="00493241"/>
    <w:rsid w:val="004B0367"/>
    <w:rsid w:val="00506D73"/>
    <w:rsid w:val="00511520"/>
    <w:rsid w:val="0054160F"/>
    <w:rsid w:val="00564A54"/>
    <w:rsid w:val="005D1133"/>
    <w:rsid w:val="005D3EF0"/>
    <w:rsid w:val="005D7DBF"/>
    <w:rsid w:val="005E4BDE"/>
    <w:rsid w:val="005E7E48"/>
    <w:rsid w:val="005F21F1"/>
    <w:rsid w:val="00662113"/>
    <w:rsid w:val="00676A3B"/>
    <w:rsid w:val="006D1C13"/>
    <w:rsid w:val="006D345F"/>
    <w:rsid w:val="006E0B3F"/>
    <w:rsid w:val="0077059D"/>
    <w:rsid w:val="007C289B"/>
    <w:rsid w:val="0080349A"/>
    <w:rsid w:val="008308FC"/>
    <w:rsid w:val="00847D4A"/>
    <w:rsid w:val="0086195A"/>
    <w:rsid w:val="00862D73"/>
    <w:rsid w:val="00877150"/>
    <w:rsid w:val="008C586E"/>
    <w:rsid w:val="008E3C73"/>
    <w:rsid w:val="00922F57"/>
    <w:rsid w:val="00957485"/>
    <w:rsid w:val="0096079C"/>
    <w:rsid w:val="009670EA"/>
    <w:rsid w:val="00985981"/>
    <w:rsid w:val="00994C2F"/>
    <w:rsid w:val="009E6D78"/>
    <w:rsid w:val="009F2AB4"/>
    <w:rsid w:val="00A328F2"/>
    <w:rsid w:val="00A410EA"/>
    <w:rsid w:val="00AC6F14"/>
    <w:rsid w:val="00AD23C3"/>
    <w:rsid w:val="00B210E5"/>
    <w:rsid w:val="00B355D7"/>
    <w:rsid w:val="00B65DF5"/>
    <w:rsid w:val="00BF23C4"/>
    <w:rsid w:val="00C133CA"/>
    <w:rsid w:val="00C31AEE"/>
    <w:rsid w:val="00C608D8"/>
    <w:rsid w:val="00C90074"/>
    <w:rsid w:val="00C96709"/>
    <w:rsid w:val="00CA36C0"/>
    <w:rsid w:val="00CA6BA2"/>
    <w:rsid w:val="00CB7E7A"/>
    <w:rsid w:val="00D109DC"/>
    <w:rsid w:val="00D1269B"/>
    <w:rsid w:val="00D15288"/>
    <w:rsid w:val="00D45CAD"/>
    <w:rsid w:val="00DA3FFC"/>
    <w:rsid w:val="00DC0986"/>
    <w:rsid w:val="00DF31F2"/>
    <w:rsid w:val="00E04BC0"/>
    <w:rsid w:val="00E53058"/>
    <w:rsid w:val="00EA7CA9"/>
    <w:rsid w:val="00F05A72"/>
    <w:rsid w:val="00F307A4"/>
    <w:rsid w:val="00F322DE"/>
    <w:rsid w:val="00F64167"/>
    <w:rsid w:val="00F85E40"/>
    <w:rsid w:val="00FD7271"/>
    <w:rsid w:val="00FF2F1A"/>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6"/>
  </w:style>
  <w:style w:type="paragraph" w:styleId="Heading1">
    <w:name w:val="heading 1"/>
    <w:basedOn w:val="Normal"/>
    <w:next w:val="Normal"/>
    <w:link w:val="Heading1Char"/>
    <w:uiPriority w:val="9"/>
    <w:qFormat/>
    <w:rsid w:val="004513CF"/>
    <w:pPr>
      <w:spacing w:before="480" w:after="0"/>
      <w:ind w:firstLine="567"/>
      <w:contextualSpacing/>
      <w:jc w:val="both"/>
      <w:outlineLvl w:val="0"/>
    </w:pPr>
    <w:rPr>
      <w:rFonts w:ascii="Cambria" w:eastAsia="Times New Roman" w:hAnsi="Cambria"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CF"/>
    <w:rPr>
      <w:rFonts w:ascii="Cambria" w:eastAsia="Times New Roman" w:hAnsi="Cambria" w:cs="Times New Roman"/>
      <w:b/>
      <w:bCs/>
      <w:sz w:val="28"/>
      <w:szCs w:val="28"/>
      <w:lang w:bidi="en-US"/>
    </w:rPr>
  </w:style>
  <w:style w:type="paragraph" w:styleId="ListParagraph">
    <w:name w:val="List Paragraph"/>
    <w:basedOn w:val="Normal"/>
    <w:uiPriority w:val="34"/>
    <w:qFormat/>
    <w:rsid w:val="00662113"/>
    <w:pPr>
      <w:ind w:left="720"/>
      <w:contextualSpacing/>
    </w:pPr>
  </w:style>
  <w:style w:type="paragraph" w:styleId="BalloonText">
    <w:name w:val="Balloon Text"/>
    <w:basedOn w:val="Normal"/>
    <w:link w:val="BalloonTextChar"/>
    <w:uiPriority w:val="99"/>
    <w:semiHidden/>
    <w:unhideWhenUsed/>
    <w:rsid w:val="00A3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F2"/>
    <w:rPr>
      <w:rFonts w:ascii="Tahoma" w:hAnsi="Tahoma" w:cs="Tahoma"/>
      <w:sz w:val="16"/>
      <w:szCs w:val="16"/>
    </w:rPr>
  </w:style>
  <w:style w:type="character" w:customStyle="1" w:styleId="CommentTextChar">
    <w:name w:val="Comment Text Char"/>
    <w:basedOn w:val="DefaultParagraphFont"/>
    <w:link w:val="CommentText"/>
    <w:rsid w:val="00A328F2"/>
    <w:rPr>
      <w:rFonts w:ascii="Times New Roman" w:eastAsia="Times New Roman" w:hAnsi="Times New Roman"/>
      <w:lang w:eastAsia="ar-SA"/>
    </w:rPr>
  </w:style>
  <w:style w:type="paragraph" w:styleId="CommentText">
    <w:name w:val="annotation text"/>
    <w:basedOn w:val="Normal"/>
    <w:link w:val="CommentTextChar"/>
    <w:unhideWhenUsed/>
    <w:rsid w:val="00A328F2"/>
    <w:pPr>
      <w:suppressAutoHyphens/>
      <w:spacing w:after="0" w:line="240" w:lineRule="auto"/>
      <w:ind w:firstLine="567"/>
      <w:jc w:val="both"/>
    </w:pPr>
    <w:rPr>
      <w:rFonts w:ascii="Times New Roman" w:eastAsia="Times New Roman" w:hAnsi="Times New Roman"/>
      <w:lang w:eastAsia="ar-SA"/>
    </w:rPr>
  </w:style>
  <w:style w:type="character" w:customStyle="1" w:styleId="CommentTextChar1">
    <w:name w:val="Comment Text Char1"/>
    <w:basedOn w:val="DefaultParagraphFont"/>
    <w:link w:val="CommentText"/>
    <w:uiPriority w:val="99"/>
    <w:semiHidden/>
    <w:rsid w:val="00A328F2"/>
    <w:rPr>
      <w:sz w:val="20"/>
      <w:szCs w:val="20"/>
    </w:rPr>
  </w:style>
  <w:style w:type="paragraph" w:styleId="Header">
    <w:name w:val="header"/>
    <w:basedOn w:val="Normal"/>
    <w:link w:val="HeaderChar"/>
    <w:uiPriority w:val="99"/>
    <w:unhideWhenUsed/>
    <w:rsid w:val="00F85E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5E40"/>
  </w:style>
  <w:style w:type="paragraph" w:styleId="Footer">
    <w:name w:val="footer"/>
    <w:basedOn w:val="Normal"/>
    <w:link w:val="FooterChar"/>
    <w:uiPriority w:val="99"/>
    <w:semiHidden/>
    <w:unhideWhenUsed/>
    <w:rsid w:val="00F85E4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85E40"/>
  </w:style>
  <w:style w:type="table" w:styleId="TableGrid">
    <w:name w:val="Table Grid"/>
    <w:basedOn w:val="TableNormal"/>
    <w:uiPriority w:val="59"/>
    <w:rsid w:val="00335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520"/>
    <w:rPr>
      <w:sz w:val="20"/>
      <w:szCs w:val="20"/>
    </w:rPr>
  </w:style>
  <w:style w:type="character" w:styleId="FootnoteReference">
    <w:name w:val="footnote reference"/>
    <w:basedOn w:val="DefaultParagraphFont"/>
    <w:uiPriority w:val="99"/>
    <w:semiHidden/>
    <w:unhideWhenUsed/>
    <w:rsid w:val="00511520"/>
    <w:rPr>
      <w:vertAlign w:val="superscript"/>
    </w:rPr>
  </w:style>
  <w:style w:type="paragraph" w:styleId="BodyText">
    <w:name w:val="Body Text"/>
    <w:basedOn w:val="Normal"/>
    <w:link w:val="BodyTextChar"/>
    <w:rsid w:val="00B210E5"/>
    <w:pPr>
      <w:suppressAutoHyphens/>
      <w:spacing w:after="120" w:line="240" w:lineRule="auto"/>
      <w:ind w:firstLine="567"/>
      <w:jc w:val="both"/>
    </w:pPr>
    <w:rPr>
      <w:rFonts w:ascii="Times New Roman" w:eastAsia="Times New Roman" w:hAnsi="Times New Roman" w:cs="Times New Roman"/>
      <w:sz w:val="24"/>
      <w:szCs w:val="24"/>
      <w:lang w:val="lv-LV" w:eastAsia="ar-SA" w:bidi="en-US"/>
    </w:rPr>
  </w:style>
  <w:style w:type="character" w:customStyle="1" w:styleId="BodyTextChar">
    <w:name w:val="Body Text Char"/>
    <w:basedOn w:val="DefaultParagraphFont"/>
    <w:link w:val="BodyText"/>
    <w:rsid w:val="00B210E5"/>
    <w:rPr>
      <w:rFonts w:ascii="Times New Roman" w:eastAsia="Times New Roman" w:hAnsi="Times New Roman" w:cs="Times New Roman"/>
      <w:sz w:val="24"/>
      <w:szCs w:val="24"/>
      <w:lang w:val="lv-LV" w:eastAsia="ar-SA" w:bidi="en-US"/>
    </w:rPr>
  </w:style>
  <w:style w:type="character" w:styleId="Hyperlink">
    <w:name w:val="Hyperlink"/>
    <w:basedOn w:val="DefaultParagraphFont"/>
    <w:uiPriority w:val="99"/>
    <w:unhideWhenUsed/>
    <w:rsid w:val="00B210E5"/>
    <w:rPr>
      <w:color w:val="9C6B56"/>
      <w:u w:val="single"/>
    </w:rPr>
  </w:style>
</w:styles>
</file>

<file path=word/webSettings.xml><?xml version="1.0" encoding="utf-8"?>
<w:webSettings xmlns:r="http://schemas.openxmlformats.org/officeDocument/2006/relationships" xmlns:w="http://schemas.openxmlformats.org/wordprocessingml/2006/main">
  <w:divs>
    <w:div w:id="16532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ristine.klavina@v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E630-A626-485D-BDAB-2B81D67B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1746</Words>
  <Characters>12077</Characters>
  <Application>Microsoft Office Word</Application>
  <DocSecurity>0</DocSecurity>
  <Lines>379</Lines>
  <Paragraphs>136</Paragraphs>
  <ScaleCrop>false</ScaleCrop>
  <HeadingPairs>
    <vt:vector size="2" baseType="variant">
      <vt:variant>
        <vt:lpstr>Title</vt:lpstr>
      </vt:variant>
      <vt:variant>
        <vt:i4>1</vt:i4>
      </vt:variant>
    </vt:vector>
  </HeadingPairs>
  <TitlesOfParts>
    <vt:vector size="1" baseType="lpstr">
      <vt:lpstr>Izvērtējums par stacionāro ārstniecības iestāžu darbību 2011.gada pirmajā ceturksnī. </vt:lpstr>
    </vt:vector>
  </TitlesOfParts>
  <Company>Veselības ministrija</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Izvērtējums par stacionāro ārstniecības iestāžu darbību 2011.gada pirmajā ceturksnī. </dc:title>
  <dc:subject>Informatīvais ziņojums</dc:subject>
  <dc:creator>K.Kļaviņa</dc:creator>
  <cp:keywords/>
  <dc:description>kristine.klavina@vm.gov.lv, 67876095</dc:description>
  <cp:lastModifiedBy>ezorgevica</cp:lastModifiedBy>
  <cp:revision>2</cp:revision>
  <cp:lastPrinted>2011-06-16T13:24:00Z</cp:lastPrinted>
  <dcterms:created xsi:type="dcterms:W3CDTF">2011-06-17T13:12:00Z</dcterms:created>
  <dcterms:modified xsi:type="dcterms:W3CDTF">2011-06-17T13:12:00Z</dcterms:modified>
  <cp:category>Iesniegšanai VK</cp:category>
</cp:coreProperties>
</file>