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15" w:rsidRPr="005E7B77" w:rsidRDefault="00A160CC" w:rsidP="00A96815">
      <w:pPr>
        <w:jc w:val="center"/>
        <w:rPr>
          <w:b/>
          <w:sz w:val="28"/>
        </w:rPr>
      </w:pPr>
      <w:r w:rsidRPr="005E7B77">
        <w:rPr>
          <w:b/>
          <w:sz w:val="28"/>
        </w:rPr>
        <w:t xml:space="preserve">Ministru kabineta noteikumu projekta </w:t>
      </w:r>
      <w:r w:rsidRPr="005E7B77">
        <w:rPr>
          <w:b/>
          <w:bCs/>
          <w:sz w:val="28"/>
        </w:rPr>
        <w:t>„</w:t>
      </w:r>
      <w:r w:rsidR="00A96815" w:rsidRPr="005E7B77">
        <w:rPr>
          <w:b/>
          <w:sz w:val="28"/>
        </w:rPr>
        <w:t>Grozījumi Ministru kabineta 2004.gada 17.februāra noteikumos Nr.83</w:t>
      </w:r>
    </w:p>
    <w:p w:rsidR="00A160CC" w:rsidRPr="005E7B77" w:rsidRDefault="00A96815" w:rsidP="00A96815">
      <w:pPr>
        <w:jc w:val="center"/>
        <w:rPr>
          <w:b/>
          <w:sz w:val="28"/>
        </w:rPr>
      </w:pPr>
      <w:r w:rsidRPr="005E7B77">
        <w:rPr>
          <w:b/>
          <w:sz w:val="28"/>
        </w:rPr>
        <w:t>„</w:t>
      </w:r>
      <w:r w:rsidRPr="005E7B77">
        <w:rPr>
          <w:b/>
          <w:bCs/>
          <w:sz w:val="28"/>
        </w:rPr>
        <w:t>Āfrikas cūku mēra likvidēšanas un draudu novēršanas kārtība</w:t>
      </w:r>
      <w:r w:rsidRPr="005E7B77">
        <w:rPr>
          <w:b/>
          <w:sz w:val="28"/>
        </w:rPr>
        <w:t>”</w:t>
      </w:r>
      <w:r w:rsidR="00A160CC" w:rsidRPr="005E7B77">
        <w:rPr>
          <w:b/>
          <w:bCs/>
          <w:sz w:val="28"/>
        </w:rPr>
        <w:t>”</w:t>
      </w:r>
    </w:p>
    <w:p w:rsidR="00C61DFA" w:rsidRDefault="00A160CC" w:rsidP="00A160CC">
      <w:pPr>
        <w:pStyle w:val="naisc"/>
        <w:widowControl w:val="0"/>
        <w:spacing w:before="0" w:beforeAutospacing="0" w:after="0" w:afterAutospacing="0"/>
        <w:jc w:val="center"/>
        <w:rPr>
          <w:b/>
          <w:bCs/>
          <w:sz w:val="28"/>
        </w:rPr>
      </w:pPr>
      <w:r w:rsidRPr="005E7B77">
        <w:rPr>
          <w:b/>
          <w:bCs/>
          <w:sz w:val="28"/>
        </w:rPr>
        <w:t>sākotnējās ietekmes novērtējuma ziņojums (anotācija)</w:t>
      </w:r>
    </w:p>
    <w:p w:rsidR="00085FDA" w:rsidRPr="005E7B77" w:rsidRDefault="00085FDA" w:rsidP="00A160CC">
      <w:pPr>
        <w:pStyle w:val="naisc"/>
        <w:widowControl w:val="0"/>
        <w:spacing w:before="0" w:beforeAutospacing="0" w:after="0" w:afterAutospacing="0"/>
        <w:jc w:val="center"/>
        <w:rPr>
          <w:b/>
          <w:bCs/>
          <w:sz w:val="28"/>
        </w:rP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6F397A" w:rsidRPr="006F397A" w:rsidTr="002564BE">
        <w:trPr>
          <w:jc w:val="center"/>
        </w:trPr>
        <w:tc>
          <w:tcPr>
            <w:tcW w:w="5000" w:type="pct"/>
            <w:gridSpan w:val="3"/>
          </w:tcPr>
          <w:p w:rsidR="006F397A" w:rsidRPr="006F397A" w:rsidRDefault="006F397A" w:rsidP="006F397A">
            <w:pPr>
              <w:jc w:val="center"/>
            </w:pPr>
            <w:r w:rsidRPr="006F397A">
              <w:rPr>
                <w:b/>
                <w:bCs/>
              </w:rPr>
              <w:t>I. Tiesību akta projekta izstrādes nepieciešamība</w:t>
            </w:r>
          </w:p>
        </w:tc>
      </w:tr>
      <w:tr w:rsidR="006F397A" w:rsidRPr="006F397A" w:rsidTr="002564BE">
        <w:trPr>
          <w:jc w:val="center"/>
        </w:trPr>
        <w:tc>
          <w:tcPr>
            <w:tcW w:w="328" w:type="pct"/>
          </w:tcPr>
          <w:p w:rsidR="006F397A" w:rsidRPr="006F397A" w:rsidRDefault="006F397A" w:rsidP="006F397A">
            <w:pPr>
              <w:tabs>
                <w:tab w:val="left" w:pos="3044"/>
              </w:tabs>
              <w:jc w:val="both"/>
            </w:pPr>
            <w:r w:rsidRPr="006F397A">
              <w:t xml:space="preserve">1. </w:t>
            </w:r>
          </w:p>
        </w:tc>
        <w:tc>
          <w:tcPr>
            <w:tcW w:w="1917" w:type="pct"/>
          </w:tcPr>
          <w:p w:rsidR="006F397A" w:rsidRPr="006F397A" w:rsidRDefault="006F397A" w:rsidP="006F397A">
            <w:pPr>
              <w:tabs>
                <w:tab w:val="left" w:pos="3044"/>
              </w:tabs>
              <w:jc w:val="both"/>
            </w:pPr>
            <w:r w:rsidRPr="006F397A">
              <w:rPr>
                <w:color w:val="000000"/>
              </w:rPr>
              <w:t>Pamatojums</w:t>
            </w:r>
          </w:p>
        </w:tc>
        <w:tc>
          <w:tcPr>
            <w:tcW w:w="2755" w:type="pct"/>
          </w:tcPr>
          <w:p w:rsidR="006F397A" w:rsidRPr="006F397A" w:rsidRDefault="006F397A" w:rsidP="006F397A">
            <w:pPr>
              <w:jc w:val="both"/>
            </w:pPr>
            <w:r w:rsidRPr="006F397A">
              <w:t>Veterinārmedicīnas likuma 26.panta pirmā daļa un 27.panta trešā daļa.</w:t>
            </w:r>
          </w:p>
        </w:tc>
      </w:tr>
      <w:tr w:rsidR="006F397A" w:rsidRPr="006F397A" w:rsidTr="002564BE">
        <w:trPr>
          <w:jc w:val="center"/>
        </w:trPr>
        <w:tc>
          <w:tcPr>
            <w:tcW w:w="328" w:type="pct"/>
          </w:tcPr>
          <w:p w:rsidR="006F397A" w:rsidRPr="006F397A" w:rsidRDefault="006F397A" w:rsidP="006F397A">
            <w:pPr>
              <w:widowControl w:val="0"/>
              <w:jc w:val="both"/>
              <w:rPr>
                <w:lang w:eastAsia="en-US"/>
              </w:rPr>
            </w:pPr>
            <w:r w:rsidRPr="006F397A">
              <w:rPr>
                <w:lang w:eastAsia="en-US"/>
              </w:rPr>
              <w:t xml:space="preserve">2. </w:t>
            </w:r>
          </w:p>
        </w:tc>
        <w:tc>
          <w:tcPr>
            <w:tcW w:w="1917" w:type="pct"/>
          </w:tcPr>
          <w:p w:rsidR="006F397A" w:rsidRPr="006F397A" w:rsidRDefault="006F397A" w:rsidP="006F397A">
            <w:pPr>
              <w:widowControl w:val="0"/>
              <w:jc w:val="both"/>
              <w:rPr>
                <w:lang w:eastAsia="en-US"/>
              </w:rPr>
            </w:pPr>
            <w:r w:rsidRPr="006F397A">
              <w:rPr>
                <w:color w:val="000000"/>
                <w:lang w:eastAsia="en-US"/>
              </w:rPr>
              <w:t>Pašreizējā situācija un problēmas</w:t>
            </w:r>
          </w:p>
        </w:tc>
        <w:tc>
          <w:tcPr>
            <w:tcW w:w="2755" w:type="pct"/>
            <w:tcBorders>
              <w:bottom w:val="single" w:sz="4" w:space="0" w:color="auto"/>
            </w:tcBorders>
          </w:tcPr>
          <w:p w:rsidR="00F576F8" w:rsidRDefault="00F576F8" w:rsidP="00F576F8">
            <w:pPr>
              <w:jc w:val="both"/>
            </w:pPr>
            <w:r>
              <w:t>Baltkrievija 2013.</w:t>
            </w:r>
            <w:r w:rsidRPr="00F576F8">
              <w:t xml:space="preserve">gada jūnijā ziņoja, ka ir apstiprinājies Āfrikas cūku mēra uzliesmojums piemājas saimniecību cūku populācijā </w:t>
            </w:r>
            <w:proofErr w:type="spellStart"/>
            <w:r w:rsidRPr="00F576F8">
              <w:t>Grodņas</w:t>
            </w:r>
            <w:proofErr w:type="spellEnd"/>
            <w:r w:rsidRPr="00F576F8">
              <w:t xml:space="preserve"> rajonā, kas atrodas tuvu Lietuvas un Polijas robežai. </w:t>
            </w:r>
            <w:r w:rsidR="00CB5E2F">
              <w:t>Tā kā</w:t>
            </w:r>
            <w:r w:rsidRPr="00F576F8">
              <w:t xml:space="preserve"> šis reģions atrodas tuvu </w:t>
            </w:r>
            <w:r>
              <w:t xml:space="preserve">Eiropas </w:t>
            </w:r>
            <w:r w:rsidRPr="00F576F8">
              <w:t>Savienībai</w:t>
            </w:r>
            <w:r>
              <w:t xml:space="preserve"> (</w:t>
            </w:r>
            <w:r w:rsidR="00CB5E2F">
              <w:t xml:space="preserve">turpmāk – </w:t>
            </w:r>
            <w:r>
              <w:t>ES)</w:t>
            </w:r>
            <w:r w:rsidRPr="00F576F8">
              <w:t xml:space="preserve">, pastāv risks ienest Āfrikas cūku mēri </w:t>
            </w:r>
            <w:r>
              <w:t>E</w:t>
            </w:r>
            <w:r w:rsidRPr="00F576F8">
              <w:t>S</w:t>
            </w:r>
            <w:r>
              <w:t xml:space="preserve"> dalībvalstu teritorijā. P</w:t>
            </w:r>
            <w:r w:rsidRPr="00F576F8">
              <w:t xml:space="preserve">asākumi, kas noteikti ar </w:t>
            </w:r>
            <w:r w:rsidR="002853A5">
              <w:t>Komisijas 2011.gada 3.februāra</w:t>
            </w:r>
            <w:r w:rsidR="002853A5" w:rsidRPr="002853A5">
              <w:t xml:space="preserve"> </w:t>
            </w:r>
            <w:r w:rsidR="002853A5">
              <w:t xml:space="preserve">Lēmumu </w:t>
            </w:r>
            <w:r w:rsidR="002853A5" w:rsidRPr="00F576F8">
              <w:t>2011/78/ES</w:t>
            </w:r>
            <w:r w:rsidR="002853A5" w:rsidRPr="002853A5">
              <w:t xml:space="preserve"> par konkrētiem pasākumiem, kas veicami, lai novērstu Āfrikas cūku mēra vīrusa pārnešanu no Krievijas uz Savienību</w:t>
            </w:r>
            <w:r w:rsidR="00CB5E2F">
              <w:t>,</w:t>
            </w:r>
            <w:r w:rsidR="002853A5">
              <w:t xml:space="preserve"> (turpmāk – Lēmums 2011/78/ES)</w:t>
            </w:r>
            <w:r w:rsidRPr="00F576F8">
              <w:t xml:space="preserve"> </w:t>
            </w:r>
            <w:r>
              <w:t>ir</w:t>
            </w:r>
            <w:r w:rsidRPr="00F576F8">
              <w:t xml:space="preserve"> jāpiemēro arī attiecībā uz transportlīdzekļiem, kas no Baltkrievijas </w:t>
            </w:r>
            <w:r>
              <w:t xml:space="preserve">Republikas </w:t>
            </w:r>
            <w:r w:rsidRPr="00F576F8">
              <w:t xml:space="preserve">iebrauc </w:t>
            </w:r>
            <w:r>
              <w:t>E</w:t>
            </w:r>
            <w:r w:rsidRPr="00F576F8">
              <w:t>S</w:t>
            </w:r>
            <w:r>
              <w:t xml:space="preserve"> dalībvalstu teritorijā</w:t>
            </w:r>
            <w:r w:rsidRPr="00F576F8">
              <w:t>.</w:t>
            </w:r>
          </w:p>
          <w:p w:rsidR="00F576F8" w:rsidRDefault="00F576F8" w:rsidP="00F576F8">
            <w:pPr>
              <w:jc w:val="both"/>
            </w:pPr>
            <w:r>
              <w:t xml:space="preserve">Stājies spēkā </w:t>
            </w:r>
            <w:r w:rsidRPr="006867B2">
              <w:t xml:space="preserve">Komisijas </w:t>
            </w:r>
            <w:r>
              <w:t>2013.</w:t>
            </w:r>
            <w:r w:rsidRPr="006867B2">
              <w:t>gada 5.</w:t>
            </w:r>
            <w:r>
              <w:t>augusta Īstenošanas lēmums</w:t>
            </w:r>
            <w:r w:rsidRPr="006867B2">
              <w:t xml:space="preserve"> </w:t>
            </w:r>
            <w:r>
              <w:t xml:space="preserve">2013/426/ES </w:t>
            </w:r>
            <w:r w:rsidRPr="006867B2">
              <w:t xml:space="preserve">par pasākumiem, </w:t>
            </w:r>
            <w:r w:rsidR="002853A5">
              <w:t>lai nepieļautu Āfrikas cūku mēra</w:t>
            </w:r>
            <w:r w:rsidRPr="006867B2">
              <w:t xml:space="preserve"> vīrusa ienešanu Savienībā no dažām treš</w:t>
            </w:r>
            <w:r>
              <w:t>aj</w:t>
            </w:r>
            <w:r w:rsidRPr="006867B2">
              <w:t>ām valstīm vai trešo valstu teritoriju daļām, kurās ir apstiprināta minētās slimības klātbūtne, un ar kuru atceļ Lēmumu 2011/78/ES</w:t>
            </w:r>
            <w:r>
              <w:t xml:space="preserve"> (tur</w:t>
            </w:r>
            <w:r w:rsidR="002853A5">
              <w:t>pmāk – L</w:t>
            </w:r>
            <w:r>
              <w:t xml:space="preserve">ēmums 2013/426/ES). </w:t>
            </w:r>
          </w:p>
          <w:p w:rsidR="002853A5" w:rsidRDefault="002853A5" w:rsidP="00D81793">
            <w:pPr>
              <w:jc w:val="both"/>
            </w:pPr>
            <w:r>
              <w:t>L</w:t>
            </w:r>
            <w:r w:rsidR="00D81793">
              <w:t>ēmumā 2013/426/ES noteiktas prasības, kas jā</w:t>
            </w:r>
            <w:r w:rsidR="00CB5E2F">
              <w:t>pilda</w:t>
            </w:r>
            <w:r w:rsidR="00D81793">
              <w:t xml:space="preserve"> transportlīdzekļa vadītājam</w:t>
            </w:r>
            <w:r>
              <w:t xml:space="preserve">, iebraucot ES dalībvalstīs no Krievijas Federācijas vai Baltkrievijas Republikas. </w:t>
            </w:r>
          </w:p>
          <w:p w:rsidR="00D81793" w:rsidRPr="00500666" w:rsidRDefault="002853A5" w:rsidP="00D81793">
            <w:pPr>
              <w:jc w:val="both"/>
            </w:pPr>
            <w:r>
              <w:t>Āfrikas cūku mēra kontroles un apkarošanas prasības noteiktas</w:t>
            </w:r>
            <w:r w:rsidR="00D81793">
              <w:t xml:space="preserve"> Ministru kabineta </w:t>
            </w:r>
            <w:r w:rsidR="00D81793" w:rsidRPr="00500666">
              <w:t>2004.gada 17.februāra noteikumos Nr.83</w:t>
            </w:r>
            <w:r w:rsidR="00500666">
              <w:t xml:space="preserve"> </w:t>
            </w:r>
            <w:r w:rsidR="00D81793" w:rsidRPr="00500666">
              <w:t>„</w:t>
            </w:r>
            <w:r w:rsidR="00D81793" w:rsidRPr="00500666">
              <w:rPr>
                <w:bCs/>
              </w:rPr>
              <w:t>Āfrikas cūku mēra likvidēšanas un draudu novēršanas kārtība</w:t>
            </w:r>
            <w:r w:rsidR="00D81793" w:rsidRPr="00500666">
              <w:t>”</w:t>
            </w:r>
            <w:r w:rsidR="00500666">
              <w:t xml:space="preserve"> (turpmāk – noteikumi</w:t>
            </w:r>
            <w:r>
              <w:t xml:space="preserve"> Nr.83</w:t>
            </w:r>
            <w:r w:rsidR="00500666">
              <w:t>).</w:t>
            </w:r>
            <w:r>
              <w:t xml:space="preserve"> Noteikumos Nr.83 nav noteikti pienākumi transportlīdzekļa vadītājam veikt preventīvus pasākumus, lai nepieļautu Āfrikas cūku mēra izplatību Latvijas teritorijā.</w:t>
            </w:r>
          </w:p>
          <w:p w:rsidR="00F576F8" w:rsidRDefault="002853A5" w:rsidP="00F576F8">
            <w:pPr>
              <w:jc w:val="both"/>
            </w:pPr>
            <w:r>
              <w:t>L</w:t>
            </w:r>
            <w:r w:rsidR="00F576F8" w:rsidRPr="00F576F8">
              <w:t>ēmums 2013/426/ES</w:t>
            </w:r>
            <w:r w:rsidR="00F576F8">
              <w:t xml:space="preserve"> nosaka:</w:t>
            </w:r>
          </w:p>
          <w:p w:rsidR="00F576F8" w:rsidRPr="00F576F8" w:rsidRDefault="00F576F8" w:rsidP="00F576F8">
            <w:pPr>
              <w:jc w:val="both"/>
            </w:pPr>
            <w:r>
              <w:t xml:space="preserve">1) </w:t>
            </w:r>
            <w:r w:rsidRPr="00D81793">
              <w:t>nodrošināt, lai visi transportlīdzekļi, kas pārvadājuši dzīvus dzīv</w:t>
            </w:r>
            <w:r w:rsidRPr="00F576F8">
              <w:t xml:space="preserve">niekus un </w:t>
            </w:r>
            <w:r w:rsidR="002853A5">
              <w:t>dzīvnieku barību</w:t>
            </w:r>
            <w:r w:rsidRPr="00F576F8">
              <w:t xml:space="preserve"> un kas iebrauc </w:t>
            </w:r>
            <w:r>
              <w:t>ES dalībvalstu teritorijā</w:t>
            </w:r>
            <w:r w:rsidRPr="00F576F8">
              <w:t xml:space="preserve"> no inficētajiem apgabaliem</w:t>
            </w:r>
            <w:r>
              <w:t xml:space="preserve"> (Krievijas Federācija</w:t>
            </w:r>
            <w:r w:rsidR="00CB5E2F">
              <w:t>s</w:t>
            </w:r>
            <w:r>
              <w:t xml:space="preserve"> un Baltkrievijas Republika</w:t>
            </w:r>
            <w:r w:rsidR="00CB5E2F">
              <w:t>s</w:t>
            </w:r>
            <w:r>
              <w:t>)</w:t>
            </w:r>
            <w:r w:rsidRPr="00F576F8">
              <w:t>, ti</w:t>
            </w:r>
            <w:r>
              <w:t>ek</w:t>
            </w:r>
            <w:r w:rsidRPr="00F576F8">
              <w:t xml:space="preserve"> </w:t>
            </w:r>
            <w:r>
              <w:t>atbilstoši</w:t>
            </w:r>
            <w:r w:rsidRPr="00F576F8">
              <w:t xml:space="preserve"> iztīrīti un dezinficēti un lai šī tīrīšana un dezinficēšana ti</w:t>
            </w:r>
            <w:r>
              <w:t>ek dokumentēta;</w:t>
            </w:r>
          </w:p>
          <w:p w:rsidR="00D81793" w:rsidRDefault="00F576F8" w:rsidP="00F576F8">
            <w:pPr>
              <w:jc w:val="both"/>
            </w:pPr>
            <w:r>
              <w:t>2) transportlīdzekļa vadītājam</w:t>
            </w:r>
            <w:r w:rsidRPr="00F576F8">
              <w:t xml:space="preserve"> </w:t>
            </w:r>
            <w:r w:rsidR="002853A5">
              <w:t>uzrādīt</w:t>
            </w:r>
            <w:r w:rsidR="00D81793">
              <w:t xml:space="preserve"> un </w:t>
            </w:r>
            <w:r w:rsidR="002853A5">
              <w:t>apliecināt</w:t>
            </w:r>
            <w:r w:rsidR="00D81793">
              <w:t xml:space="preserve"> tīrīšanas, mazgāšanas un dezinfekcijas procedūru veikšana</w:t>
            </w:r>
            <w:r w:rsidR="00095A29">
              <w:t>s</w:t>
            </w:r>
            <w:r w:rsidR="00D81793">
              <w:t xml:space="preserve"> laik</w:t>
            </w:r>
            <w:r w:rsidR="00CB5E2F">
              <w:t>u</w:t>
            </w:r>
            <w:r w:rsidR="00D81793">
              <w:t xml:space="preserve"> un izmantot</w:t>
            </w:r>
            <w:r w:rsidR="00CB5E2F">
              <w:t>os</w:t>
            </w:r>
            <w:r w:rsidR="00D81793">
              <w:t xml:space="preserve"> līdzekļ</w:t>
            </w:r>
            <w:r w:rsidR="00CB5E2F">
              <w:t>us</w:t>
            </w:r>
            <w:r w:rsidR="00D81793">
              <w:t xml:space="preserve">, norādot </w:t>
            </w:r>
            <w:r w:rsidR="00D81793">
              <w:lastRenderedPageBreak/>
              <w:t>informāciju atsevišķā dokumentā;</w:t>
            </w:r>
          </w:p>
          <w:p w:rsidR="00D81793" w:rsidRPr="006F397A" w:rsidRDefault="00D81793" w:rsidP="00F576F8">
            <w:pPr>
              <w:jc w:val="both"/>
            </w:pPr>
            <w:r>
              <w:t>3) informāciju par pārvadājumiem, transportlīdzekļu tīrīšanu, mazgāšanu un dezinfekciju glabā</w:t>
            </w:r>
            <w:r w:rsidR="00095A29">
              <w:t>t</w:t>
            </w:r>
            <w:r>
              <w:t xml:space="preserve"> </w:t>
            </w:r>
            <w:r w:rsidR="00F576F8" w:rsidRPr="00F576F8">
              <w:t>trīs gadus.</w:t>
            </w:r>
          </w:p>
        </w:tc>
      </w:tr>
      <w:tr w:rsidR="006F397A" w:rsidRPr="006F397A" w:rsidTr="002564BE">
        <w:trPr>
          <w:jc w:val="center"/>
        </w:trPr>
        <w:tc>
          <w:tcPr>
            <w:tcW w:w="328" w:type="pct"/>
          </w:tcPr>
          <w:p w:rsidR="006F397A" w:rsidRPr="006F397A" w:rsidRDefault="006F397A" w:rsidP="006F397A">
            <w:pPr>
              <w:widowControl w:val="0"/>
              <w:jc w:val="both"/>
              <w:rPr>
                <w:lang w:eastAsia="en-US"/>
              </w:rPr>
            </w:pPr>
            <w:r w:rsidRPr="006F397A">
              <w:rPr>
                <w:lang w:eastAsia="en-US"/>
              </w:rPr>
              <w:lastRenderedPageBreak/>
              <w:t>3.</w:t>
            </w:r>
            <w:r w:rsidRPr="006F397A">
              <w:rPr>
                <w:color w:val="000000"/>
                <w:lang w:eastAsia="en-US"/>
              </w:rPr>
              <w:t xml:space="preserve"> </w:t>
            </w:r>
          </w:p>
        </w:tc>
        <w:tc>
          <w:tcPr>
            <w:tcW w:w="1917" w:type="pct"/>
          </w:tcPr>
          <w:p w:rsidR="006F397A" w:rsidRPr="006F397A" w:rsidRDefault="006F397A" w:rsidP="006F397A">
            <w:pPr>
              <w:widowControl w:val="0"/>
              <w:jc w:val="both"/>
              <w:rPr>
                <w:lang w:eastAsia="en-US"/>
              </w:rPr>
            </w:pPr>
            <w:r w:rsidRPr="006F397A">
              <w:rPr>
                <w:color w:val="000000"/>
                <w:lang w:eastAsia="en-US"/>
              </w:rPr>
              <w:t>Saistītie politikas ietekmes novērtējumi un pētījumi</w:t>
            </w:r>
          </w:p>
        </w:tc>
        <w:tc>
          <w:tcPr>
            <w:tcW w:w="2755" w:type="pct"/>
            <w:tcBorders>
              <w:bottom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xml:space="preserve">4. </w:t>
            </w:r>
          </w:p>
        </w:tc>
        <w:tc>
          <w:tcPr>
            <w:tcW w:w="1917" w:type="pct"/>
            <w:tcBorders>
              <w:right w:val="single" w:sz="4" w:space="0" w:color="auto"/>
            </w:tcBorders>
          </w:tcPr>
          <w:p w:rsidR="006F397A" w:rsidRPr="006F397A" w:rsidRDefault="006F397A" w:rsidP="006F397A">
            <w:pPr>
              <w:jc w:val="both"/>
            </w:pPr>
            <w:r w:rsidRPr="006F397A">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rPr>
                <w:bCs/>
              </w:rPr>
            </w:pPr>
            <w:r w:rsidRPr="006F397A">
              <w:t xml:space="preserve">Ir sagatavots Ministru kabineta noteikumu projekts </w:t>
            </w:r>
            <w:r w:rsidRPr="006F397A">
              <w:rPr>
                <w:bCs/>
              </w:rPr>
              <w:t>„</w:t>
            </w:r>
            <w:r w:rsidRPr="006F397A">
              <w:t>Grozījumi Ministru kabineta 2004.gada 17.februāra noteikumos Nr.83 „</w:t>
            </w:r>
            <w:r w:rsidRPr="006F397A">
              <w:rPr>
                <w:bCs/>
              </w:rPr>
              <w:t>Āfrikas cūku mēra likvidēšanas un draudu novēršanas kārtība</w:t>
            </w:r>
            <w:r w:rsidRPr="006F397A">
              <w:t>”</w:t>
            </w:r>
            <w:r w:rsidRPr="006F397A">
              <w:rPr>
                <w:bCs/>
              </w:rPr>
              <w:t>” (turpmāk – noteikumu projekts), kas paredz:</w:t>
            </w:r>
          </w:p>
          <w:p w:rsidR="00D81793" w:rsidRPr="00D81793" w:rsidRDefault="00D81793" w:rsidP="00D81793">
            <w:pPr>
              <w:jc w:val="both"/>
              <w:rPr>
                <w:bCs/>
              </w:rPr>
            </w:pPr>
            <w:r w:rsidRPr="00D81793">
              <w:rPr>
                <w:bCs/>
              </w:rPr>
              <w:t xml:space="preserve">1) </w:t>
            </w:r>
            <w:r>
              <w:rPr>
                <w:bCs/>
              </w:rPr>
              <w:t>noteikt</w:t>
            </w:r>
            <w:r w:rsidRPr="00D81793">
              <w:rPr>
                <w:bCs/>
              </w:rPr>
              <w:t>, lai visi tr</w:t>
            </w:r>
            <w:r w:rsidR="00095A29">
              <w:rPr>
                <w:bCs/>
              </w:rPr>
              <w:t>ansportlīdzekļi, kas pārvadāja</w:t>
            </w:r>
            <w:r w:rsidRPr="00D81793">
              <w:rPr>
                <w:bCs/>
              </w:rPr>
              <w:t xml:space="preserve"> dzīvus dzīvniekus un </w:t>
            </w:r>
            <w:r w:rsidR="00095A29">
              <w:rPr>
                <w:bCs/>
              </w:rPr>
              <w:t>dzīvnieku barību</w:t>
            </w:r>
            <w:r w:rsidR="00CB5E2F">
              <w:rPr>
                <w:bCs/>
              </w:rPr>
              <w:t xml:space="preserve"> </w:t>
            </w:r>
            <w:r w:rsidRPr="00D81793">
              <w:rPr>
                <w:bCs/>
              </w:rPr>
              <w:t xml:space="preserve">un kas iebrauc </w:t>
            </w:r>
            <w:r>
              <w:rPr>
                <w:bCs/>
              </w:rPr>
              <w:t>Latvijas Republikas</w:t>
            </w:r>
            <w:r w:rsidRPr="00D81793">
              <w:rPr>
                <w:bCs/>
              </w:rPr>
              <w:t xml:space="preserve"> teritorijā no inficētajiem apgabaliem (Krievijas Federācija</w:t>
            </w:r>
            <w:r w:rsidR="00095A29">
              <w:rPr>
                <w:bCs/>
              </w:rPr>
              <w:t>s</w:t>
            </w:r>
            <w:r w:rsidRPr="00D81793">
              <w:rPr>
                <w:bCs/>
              </w:rPr>
              <w:t xml:space="preserve"> un Baltkrievijas Republika</w:t>
            </w:r>
            <w:r w:rsidR="00095A29">
              <w:rPr>
                <w:bCs/>
              </w:rPr>
              <w:t>s</w:t>
            </w:r>
            <w:r w:rsidRPr="00D81793">
              <w:rPr>
                <w:bCs/>
              </w:rPr>
              <w:t>), tiek atbilstoši</w:t>
            </w:r>
            <w:r>
              <w:rPr>
                <w:bCs/>
              </w:rPr>
              <w:t xml:space="preserve"> iztīrīti un dezinficēti</w:t>
            </w:r>
            <w:r w:rsidRPr="00D81793">
              <w:rPr>
                <w:bCs/>
              </w:rPr>
              <w:t>;</w:t>
            </w:r>
          </w:p>
          <w:p w:rsidR="00D81793" w:rsidRDefault="00D81793" w:rsidP="00D81793">
            <w:pPr>
              <w:jc w:val="both"/>
              <w:rPr>
                <w:bCs/>
              </w:rPr>
            </w:pPr>
            <w:r>
              <w:rPr>
                <w:bCs/>
              </w:rPr>
              <w:t>2) transportlīdzekļa vadītājam</w:t>
            </w:r>
            <w:r w:rsidRPr="00D81793">
              <w:rPr>
                <w:bCs/>
              </w:rPr>
              <w:t xml:space="preserve"> </w:t>
            </w:r>
            <w:r>
              <w:rPr>
                <w:bCs/>
              </w:rPr>
              <w:t xml:space="preserve">uzrādīt un </w:t>
            </w:r>
            <w:r w:rsidRPr="00D81793">
              <w:rPr>
                <w:bCs/>
              </w:rPr>
              <w:t>a</w:t>
            </w:r>
            <w:r>
              <w:rPr>
                <w:bCs/>
              </w:rPr>
              <w:t>pliecināt</w:t>
            </w:r>
            <w:r w:rsidRPr="00D81793">
              <w:rPr>
                <w:bCs/>
              </w:rPr>
              <w:t xml:space="preserve"> </w:t>
            </w:r>
            <w:r w:rsidR="00095A29">
              <w:rPr>
                <w:bCs/>
              </w:rPr>
              <w:t xml:space="preserve">transportlīdzekļa </w:t>
            </w:r>
            <w:r w:rsidRPr="00D81793">
              <w:rPr>
                <w:bCs/>
              </w:rPr>
              <w:t>tīrīšanas, mazgāšanas un dezinfekcijas procedūru veik</w:t>
            </w:r>
            <w:r w:rsidR="00095A29">
              <w:rPr>
                <w:bCs/>
              </w:rPr>
              <w:t>šanas</w:t>
            </w:r>
            <w:r>
              <w:rPr>
                <w:bCs/>
              </w:rPr>
              <w:t xml:space="preserve"> laiku un izmantotos līdzekļus</w:t>
            </w:r>
            <w:r w:rsidRPr="00D81793">
              <w:rPr>
                <w:bCs/>
              </w:rPr>
              <w:t>, norādot informāciju atsevišķā dokumentā</w:t>
            </w:r>
            <w:r>
              <w:rPr>
                <w:bCs/>
              </w:rPr>
              <w:t xml:space="preserve"> (deklarācijā)</w:t>
            </w:r>
            <w:r w:rsidRPr="00D81793">
              <w:rPr>
                <w:bCs/>
              </w:rPr>
              <w:t>;</w:t>
            </w:r>
          </w:p>
          <w:p w:rsidR="00D81793" w:rsidRPr="00D81793" w:rsidRDefault="00D81793" w:rsidP="00D81793">
            <w:pPr>
              <w:jc w:val="both"/>
              <w:rPr>
                <w:bCs/>
              </w:rPr>
            </w:pPr>
            <w:r>
              <w:rPr>
                <w:bCs/>
              </w:rPr>
              <w:t>3) noteikt kārtību</w:t>
            </w:r>
            <w:r w:rsidR="00095A29">
              <w:rPr>
                <w:bCs/>
              </w:rPr>
              <w:t xml:space="preserve"> un rīcību</w:t>
            </w:r>
            <w:r>
              <w:rPr>
                <w:bCs/>
              </w:rPr>
              <w:t>, ja kontroles laikā tiek konstatēts, ka transportlīdzeklis ir nepietiekami tīrīts, mazgāts, dezinficēts;</w:t>
            </w:r>
          </w:p>
          <w:p w:rsidR="006F397A" w:rsidRPr="006F397A" w:rsidRDefault="00D81793" w:rsidP="00D81793">
            <w:pPr>
              <w:jc w:val="both"/>
            </w:pPr>
            <w:r>
              <w:rPr>
                <w:bCs/>
              </w:rPr>
              <w:t>4</w:t>
            </w:r>
            <w:r w:rsidRPr="00D81793">
              <w:rPr>
                <w:bCs/>
              </w:rPr>
              <w:t>) informāciju par pārvadājumiem, transportlīdzekļu tīrīšanu, mazgāšanu un dezinfekciju glabā</w:t>
            </w:r>
            <w:r>
              <w:rPr>
                <w:bCs/>
              </w:rPr>
              <w:t>t</w:t>
            </w:r>
            <w:r w:rsidRPr="00D81793">
              <w:rPr>
                <w:bCs/>
              </w:rPr>
              <w:t xml:space="preserve"> trīs gadus.</w:t>
            </w:r>
            <w:r>
              <w:rPr>
                <w:bCs/>
              </w:rPr>
              <w:t xml:space="preserve"> </w:t>
            </w:r>
            <w:r w:rsidR="006F397A" w:rsidRPr="006F397A">
              <w:t>Šīs anotācijas I sadaļas 2.punktā minētās problēmas noteikumu projekts atrisinās pilnībā.</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xml:space="preserve">5. </w:t>
            </w:r>
          </w:p>
        </w:tc>
        <w:tc>
          <w:tcPr>
            <w:tcW w:w="1917" w:type="pct"/>
            <w:tcBorders>
              <w:right w:val="single" w:sz="4" w:space="0" w:color="auto"/>
            </w:tcBorders>
          </w:tcPr>
          <w:p w:rsidR="006F397A" w:rsidRPr="006F397A" w:rsidRDefault="006F397A" w:rsidP="006F397A">
            <w:pPr>
              <w:jc w:val="both"/>
            </w:pPr>
            <w:r w:rsidRPr="006F397A">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spacing w:before="100" w:beforeAutospacing="1" w:after="100" w:afterAutospacing="1"/>
              <w:rPr>
                <w:color w:val="000000"/>
              </w:rPr>
            </w:pPr>
            <w:r w:rsidRPr="006F397A">
              <w:t>Pārtikas un veterinārais dienests</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rPr>
                <w:color w:val="000000"/>
              </w:rPr>
              <w:t xml:space="preserve">6. </w:t>
            </w:r>
          </w:p>
        </w:tc>
        <w:tc>
          <w:tcPr>
            <w:tcW w:w="1917" w:type="pct"/>
            <w:tcBorders>
              <w:right w:val="single" w:sz="4" w:space="0" w:color="auto"/>
            </w:tcBorders>
          </w:tcPr>
          <w:p w:rsidR="006F397A" w:rsidRPr="006F397A" w:rsidRDefault="006F397A" w:rsidP="006F397A">
            <w:pPr>
              <w:jc w:val="both"/>
            </w:pPr>
            <w:r w:rsidRPr="006F397A">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B1245D" w:rsidP="006F397A">
            <w:pPr>
              <w:jc w:val="both"/>
            </w:pPr>
            <w:r>
              <w:t>Projekts šo jomu neskar.</w:t>
            </w:r>
          </w:p>
        </w:tc>
      </w:tr>
      <w:tr w:rsidR="006F397A" w:rsidRPr="006F397A" w:rsidTr="002564BE">
        <w:trPr>
          <w:trHeight w:val="232"/>
          <w:jc w:val="center"/>
        </w:trPr>
        <w:tc>
          <w:tcPr>
            <w:tcW w:w="328" w:type="pct"/>
          </w:tcPr>
          <w:p w:rsidR="006F397A" w:rsidRPr="006F397A" w:rsidRDefault="006F397A" w:rsidP="006F397A">
            <w:pPr>
              <w:jc w:val="both"/>
            </w:pPr>
            <w:r w:rsidRPr="006F397A">
              <w:t xml:space="preserve">7. </w:t>
            </w:r>
          </w:p>
        </w:tc>
        <w:tc>
          <w:tcPr>
            <w:tcW w:w="1917" w:type="pct"/>
          </w:tcPr>
          <w:p w:rsidR="006F397A" w:rsidRPr="006F397A" w:rsidRDefault="006F397A" w:rsidP="006F397A">
            <w:pPr>
              <w:jc w:val="both"/>
            </w:pPr>
            <w:r w:rsidRPr="006F397A">
              <w:t>Cita informācija</w:t>
            </w:r>
          </w:p>
        </w:tc>
        <w:tc>
          <w:tcPr>
            <w:tcW w:w="2755" w:type="pct"/>
            <w:tcBorders>
              <w:top w:val="single" w:sz="4" w:space="0" w:color="auto"/>
            </w:tcBorders>
          </w:tcPr>
          <w:p w:rsidR="006F397A" w:rsidRPr="006F397A" w:rsidRDefault="006F397A" w:rsidP="006F397A">
            <w:pPr>
              <w:jc w:val="both"/>
            </w:pPr>
            <w:r w:rsidRPr="006F397A">
              <w:t>Nav</w:t>
            </w:r>
          </w:p>
        </w:tc>
      </w:tr>
      <w:tr w:rsidR="006F397A" w:rsidRPr="006F397A" w:rsidTr="002564BE">
        <w:trPr>
          <w:jc w:val="center"/>
        </w:trPr>
        <w:tc>
          <w:tcPr>
            <w:tcW w:w="5000" w:type="pct"/>
            <w:gridSpan w:val="3"/>
          </w:tcPr>
          <w:p w:rsidR="006F397A" w:rsidRPr="006F397A" w:rsidRDefault="006F397A" w:rsidP="006F397A">
            <w:pPr>
              <w:jc w:val="center"/>
            </w:pPr>
            <w:r w:rsidRPr="006F397A">
              <w:rPr>
                <w:b/>
                <w:bCs/>
              </w:rPr>
              <w:t>II. Tiesību akta projekta ietekme uz sabiedrību</w:t>
            </w:r>
          </w:p>
        </w:tc>
      </w:tr>
      <w:tr w:rsidR="006F397A" w:rsidRPr="006F397A" w:rsidTr="002564BE">
        <w:trPr>
          <w:jc w:val="center"/>
        </w:trPr>
        <w:tc>
          <w:tcPr>
            <w:tcW w:w="328" w:type="pct"/>
          </w:tcPr>
          <w:p w:rsidR="006F397A" w:rsidRPr="006F397A" w:rsidRDefault="006F397A" w:rsidP="006F397A">
            <w:pPr>
              <w:tabs>
                <w:tab w:val="left" w:pos="3044"/>
              </w:tabs>
              <w:jc w:val="both"/>
            </w:pPr>
            <w:r w:rsidRPr="006F397A">
              <w:t xml:space="preserve">1. </w:t>
            </w:r>
          </w:p>
        </w:tc>
        <w:tc>
          <w:tcPr>
            <w:tcW w:w="1917" w:type="pct"/>
          </w:tcPr>
          <w:p w:rsidR="006F397A" w:rsidRPr="006F397A" w:rsidRDefault="006F397A" w:rsidP="006F397A">
            <w:pPr>
              <w:tabs>
                <w:tab w:val="left" w:pos="3044"/>
              </w:tabs>
              <w:jc w:val="both"/>
            </w:pPr>
            <w:r w:rsidRPr="006F397A">
              <w:rPr>
                <w:color w:val="000000"/>
              </w:rPr>
              <w:t xml:space="preserve">Sabiedrības </w:t>
            </w:r>
            <w:proofErr w:type="spellStart"/>
            <w:r w:rsidRPr="006F397A">
              <w:rPr>
                <w:color w:val="000000"/>
              </w:rPr>
              <w:t>mērķgrupa</w:t>
            </w:r>
            <w:proofErr w:type="spellEnd"/>
          </w:p>
        </w:tc>
        <w:tc>
          <w:tcPr>
            <w:tcW w:w="2755" w:type="pct"/>
          </w:tcPr>
          <w:p w:rsidR="006F397A" w:rsidRPr="006F397A" w:rsidRDefault="006F397A" w:rsidP="004917AF">
            <w:pPr>
              <w:jc w:val="both"/>
            </w:pPr>
            <w:r w:rsidRPr="006F397A">
              <w:t xml:space="preserve">Noteikumu projekta tiesiskais regulējums attiecas uz </w:t>
            </w:r>
            <w:r w:rsidR="004917AF">
              <w:t>d</w:t>
            </w:r>
            <w:r w:rsidR="004917AF" w:rsidRPr="004917AF">
              <w:t xml:space="preserve">zīvnieku </w:t>
            </w:r>
            <w:r w:rsidR="00500666">
              <w:t xml:space="preserve">lauksaimniecības dzīvnieku un dzīvnieku barības </w:t>
            </w:r>
            <w:r w:rsidR="004917AF" w:rsidRPr="004917AF">
              <w:t>pārvadāšanas t</w:t>
            </w:r>
            <w:r w:rsidR="004917AF">
              <w:t>ransportlīdzekļu vadītājiem</w:t>
            </w:r>
            <w:r w:rsidR="004917AF" w:rsidRPr="004917AF">
              <w:t xml:space="preserve">, </w:t>
            </w:r>
            <w:r w:rsidR="004917AF">
              <w:t>kuri atgrieža</w:t>
            </w:r>
            <w:r w:rsidR="004917AF" w:rsidRPr="004917AF">
              <w:t>s no Krievijas Federācijas vai Baltkrievijas Republikas</w:t>
            </w:r>
            <w:r w:rsidR="00500666">
              <w:t xml:space="preserve"> Latvijas Republikas teritorijā</w:t>
            </w:r>
            <w:r w:rsidRPr="006F397A">
              <w:t>.</w:t>
            </w:r>
          </w:p>
        </w:tc>
      </w:tr>
      <w:tr w:rsidR="006F397A" w:rsidRPr="006F397A" w:rsidTr="002564BE">
        <w:trPr>
          <w:jc w:val="center"/>
        </w:trPr>
        <w:tc>
          <w:tcPr>
            <w:tcW w:w="328" w:type="pct"/>
          </w:tcPr>
          <w:p w:rsidR="006F397A" w:rsidRPr="006F397A" w:rsidRDefault="006F397A" w:rsidP="006F397A">
            <w:pPr>
              <w:jc w:val="both"/>
            </w:pPr>
            <w:r w:rsidRPr="006F397A">
              <w:t xml:space="preserve"> 2. </w:t>
            </w:r>
          </w:p>
        </w:tc>
        <w:tc>
          <w:tcPr>
            <w:tcW w:w="1917" w:type="pct"/>
          </w:tcPr>
          <w:p w:rsidR="006F397A" w:rsidRPr="006F397A" w:rsidRDefault="006F397A" w:rsidP="006F397A">
            <w:pPr>
              <w:jc w:val="both"/>
            </w:pPr>
            <w:r w:rsidRPr="006F397A">
              <w:t xml:space="preserve">Citas sabiedrības grupas (bez </w:t>
            </w:r>
            <w:proofErr w:type="spellStart"/>
            <w:r w:rsidRPr="006F397A">
              <w:t>mērķgrupas</w:t>
            </w:r>
            <w:proofErr w:type="spellEnd"/>
            <w:r w:rsidRPr="006F397A">
              <w:t>), kuras tiesiskais regulējums arī ietekmē vai varētu ietekmēt</w:t>
            </w:r>
          </w:p>
        </w:tc>
        <w:tc>
          <w:tcPr>
            <w:tcW w:w="2755" w:type="pct"/>
            <w:tcBorders>
              <w:bottom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Pr>
          <w:p w:rsidR="006F397A" w:rsidRPr="006F397A" w:rsidRDefault="006F397A" w:rsidP="006F397A">
            <w:pPr>
              <w:jc w:val="both"/>
            </w:pPr>
            <w:r w:rsidRPr="006F397A">
              <w:t xml:space="preserve"> 3. </w:t>
            </w:r>
          </w:p>
        </w:tc>
        <w:tc>
          <w:tcPr>
            <w:tcW w:w="1917" w:type="pct"/>
          </w:tcPr>
          <w:p w:rsidR="006F397A" w:rsidRPr="006F397A" w:rsidRDefault="006F397A" w:rsidP="006F397A">
            <w:pPr>
              <w:jc w:val="both"/>
            </w:pPr>
            <w:r w:rsidRPr="006F397A">
              <w:t>Tiesiskā regulējuma finansiālā ietekme</w:t>
            </w:r>
          </w:p>
        </w:tc>
        <w:tc>
          <w:tcPr>
            <w:tcW w:w="2755" w:type="pct"/>
            <w:tcBorders>
              <w:bottom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xml:space="preserve"> 4. </w:t>
            </w:r>
          </w:p>
        </w:tc>
        <w:tc>
          <w:tcPr>
            <w:tcW w:w="1917" w:type="pct"/>
            <w:tcBorders>
              <w:right w:val="single" w:sz="4" w:space="0" w:color="auto"/>
            </w:tcBorders>
          </w:tcPr>
          <w:p w:rsidR="006F397A" w:rsidRPr="006F397A" w:rsidRDefault="006F397A" w:rsidP="006F397A">
            <w:pPr>
              <w:jc w:val="both"/>
            </w:pPr>
            <w:r w:rsidRPr="006F397A">
              <w:t>Tiesiskā regulējuma nefinansiālā ietekme</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pPr>
            <w:r w:rsidRPr="006F397A">
              <w:t>Projekts šo jomu neskar.</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 5.</w:t>
            </w:r>
          </w:p>
        </w:tc>
        <w:tc>
          <w:tcPr>
            <w:tcW w:w="1917" w:type="pct"/>
            <w:tcBorders>
              <w:right w:val="single" w:sz="4" w:space="0" w:color="auto"/>
            </w:tcBorders>
          </w:tcPr>
          <w:p w:rsidR="006F397A" w:rsidRPr="006F397A" w:rsidRDefault="006F397A" w:rsidP="006F397A">
            <w:pPr>
              <w:jc w:val="both"/>
            </w:pPr>
            <w:r w:rsidRPr="006F397A">
              <w:t>Administratīvās procedūras raksturojums</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pPr>
            <w:r w:rsidRPr="006F397A">
              <w:t>Noteikumu projekta tiesiskais regulējums nemaina līdzšinējo administratīvo procedūru, kas jāpiemēro dzīvnieku apritē iesaistītajām personām.</w:t>
            </w:r>
          </w:p>
        </w:tc>
      </w:tr>
      <w:tr w:rsidR="006F397A" w:rsidRPr="006F397A" w:rsidTr="002564BE">
        <w:trPr>
          <w:jc w:val="center"/>
        </w:trPr>
        <w:tc>
          <w:tcPr>
            <w:tcW w:w="328" w:type="pct"/>
            <w:tcBorders>
              <w:right w:val="single" w:sz="4" w:space="0" w:color="auto"/>
            </w:tcBorders>
          </w:tcPr>
          <w:p w:rsidR="006F397A" w:rsidRPr="006F397A" w:rsidRDefault="006F397A" w:rsidP="006F397A">
            <w:pPr>
              <w:jc w:val="both"/>
            </w:pPr>
            <w:r w:rsidRPr="006F397A">
              <w:t>6.  </w:t>
            </w:r>
          </w:p>
        </w:tc>
        <w:tc>
          <w:tcPr>
            <w:tcW w:w="1917" w:type="pct"/>
            <w:tcBorders>
              <w:right w:val="single" w:sz="4" w:space="0" w:color="auto"/>
            </w:tcBorders>
          </w:tcPr>
          <w:p w:rsidR="006F397A" w:rsidRPr="006F397A" w:rsidRDefault="006F397A" w:rsidP="006F397A">
            <w:pPr>
              <w:jc w:val="both"/>
            </w:pPr>
            <w:r w:rsidRPr="006F397A">
              <w:t xml:space="preserve">Administratīvo izmaksu monetārs </w:t>
            </w:r>
            <w:r w:rsidRPr="006F397A">
              <w:lastRenderedPageBreak/>
              <w:t>novērtējums</w:t>
            </w:r>
          </w:p>
        </w:tc>
        <w:tc>
          <w:tcPr>
            <w:tcW w:w="2755" w:type="pct"/>
            <w:tcBorders>
              <w:top w:val="single" w:sz="4" w:space="0" w:color="auto"/>
              <w:left w:val="single" w:sz="4" w:space="0" w:color="auto"/>
              <w:bottom w:val="single" w:sz="4" w:space="0" w:color="auto"/>
              <w:right w:val="single" w:sz="4" w:space="0" w:color="auto"/>
            </w:tcBorders>
          </w:tcPr>
          <w:p w:rsidR="006F397A" w:rsidRPr="006F397A" w:rsidRDefault="006F397A" w:rsidP="006F397A">
            <w:pPr>
              <w:jc w:val="both"/>
            </w:pPr>
            <w:r w:rsidRPr="006F397A">
              <w:lastRenderedPageBreak/>
              <w:t>Projekts šo jomu neskar.</w:t>
            </w:r>
          </w:p>
        </w:tc>
      </w:tr>
      <w:tr w:rsidR="006F397A" w:rsidRPr="006F397A" w:rsidTr="002564BE">
        <w:trPr>
          <w:trHeight w:val="232"/>
          <w:jc w:val="center"/>
        </w:trPr>
        <w:tc>
          <w:tcPr>
            <w:tcW w:w="328" w:type="pct"/>
          </w:tcPr>
          <w:p w:rsidR="006F397A" w:rsidRPr="006F397A" w:rsidRDefault="006F397A" w:rsidP="006F397A">
            <w:pPr>
              <w:jc w:val="both"/>
            </w:pPr>
            <w:r w:rsidRPr="006F397A">
              <w:lastRenderedPageBreak/>
              <w:t>7.  </w:t>
            </w:r>
          </w:p>
        </w:tc>
        <w:tc>
          <w:tcPr>
            <w:tcW w:w="1917" w:type="pct"/>
          </w:tcPr>
          <w:p w:rsidR="006F397A" w:rsidRPr="006F397A" w:rsidRDefault="006F397A" w:rsidP="006F397A">
            <w:pPr>
              <w:jc w:val="both"/>
            </w:pPr>
            <w:r w:rsidRPr="006F397A">
              <w:t>Cita informācija</w:t>
            </w:r>
          </w:p>
        </w:tc>
        <w:tc>
          <w:tcPr>
            <w:tcW w:w="2755" w:type="pct"/>
            <w:tcBorders>
              <w:top w:val="single" w:sz="4" w:space="0" w:color="auto"/>
            </w:tcBorders>
          </w:tcPr>
          <w:p w:rsidR="006F397A" w:rsidRPr="006F397A" w:rsidRDefault="006F397A" w:rsidP="006F397A">
            <w:pPr>
              <w:jc w:val="both"/>
            </w:pPr>
            <w:r w:rsidRPr="006F397A">
              <w:t>Nav</w:t>
            </w:r>
          </w:p>
        </w:tc>
      </w:tr>
    </w:tbl>
    <w:p w:rsidR="006F397A" w:rsidRPr="006F397A" w:rsidRDefault="006F397A" w:rsidP="006F397A">
      <w:pPr>
        <w:rPr>
          <w:i/>
        </w:rPr>
      </w:pPr>
      <w:r w:rsidRPr="006F397A">
        <w:rPr>
          <w:i/>
        </w:rPr>
        <w:t>Anotācijas III un IV sadaļa – projekts šīs jomas neskar.</w:t>
      </w:r>
    </w:p>
    <w:tbl>
      <w:tblPr>
        <w:tblW w:w="542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234"/>
        <w:gridCol w:w="702"/>
        <w:gridCol w:w="909"/>
        <w:gridCol w:w="52"/>
        <w:gridCol w:w="405"/>
        <w:gridCol w:w="857"/>
        <w:gridCol w:w="548"/>
        <w:gridCol w:w="726"/>
        <w:gridCol w:w="2927"/>
      </w:tblGrid>
      <w:tr w:rsidR="006F397A" w:rsidRPr="006F397A" w:rsidTr="002564BE">
        <w:tc>
          <w:tcPr>
            <w:tcW w:w="5000" w:type="pct"/>
            <w:gridSpan w:val="10"/>
          </w:tcPr>
          <w:p w:rsidR="006F397A" w:rsidRPr="006F397A" w:rsidRDefault="006F397A" w:rsidP="006F397A">
            <w:pPr>
              <w:spacing w:before="100" w:beforeAutospacing="1" w:after="100" w:afterAutospacing="1"/>
              <w:rPr>
                <w:rFonts w:eastAsia="Arial Unicode MS"/>
                <w:b/>
                <w:bCs/>
                <w:lang w:eastAsia="en-US"/>
              </w:rPr>
            </w:pPr>
            <w:r w:rsidRPr="006F397A">
              <w:rPr>
                <w:rFonts w:eastAsia="Arial Unicode MS"/>
                <w:b/>
                <w:bCs/>
                <w:lang w:eastAsia="en-US"/>
              </w:rPr>
              <w:t> V. Tiesību akta projekta atbilstība Latvijas Republikas starptautiskajām saistībām</w:t>
            </w:r>
          </w:p>
        </w:tc>
      </w:tr>
      <w:tr w:rsidR="006F397A" w:rsidRPr="006F397A" w:rsidTr="002564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6F397A" w:rsidRPr="006F397A" w:rsidRDefault="006F397A" w:rsidP="006F397A">
            <w:r w:rsidRPr="006F397A">
              <w:t>1.</w:t>
            </w:r>
          </w:p>
        </w:tc>
        <w:tc>
          <w:tcPr>
            <w:tcW w:w="1933" w:type="pct"/>
            <w:gridSpan w:val="4"/>
            <w:tcBorders>
              <w:top w:val="outset" w:sz="6" w:space="0" w:color="auto"/>
              <w:left w:val="outset" w:sz="6" w:space="0" w:color="auto"/>
              <w:bottom w:val="outset" w:sz="6" w:space="0" w:color="auto"/>
              <w:right w:val="outset" w:sz="6" w:space="0" w:color="auto"/>
            </w:tcBorders>
          </w:tcPr>
          <w:p w:rsidR="006F397A" w:rsidRPr="006F397A" w:rsidRDefault="006F397A" w:rsidP="006F397A">
            <w:r w:rsidRPr="006F397A">
              <w:t>Saistības pret Eiropas Savienību</w:t>
            </w:r>
          </w:p>
        </w:tc>
        <w:tc>
          <w:tcPr>
            <w:tcW w:w="2710" w:type="pct"/>
            <w:gridSpan w:val="5"/>
            <w:tcBorders>
              <w:top w:val="outset" w:sz="6" w:space="0" w:color="auto"/>
              <w:left w:val="outset" w:sz="6" w:space="0" w:color="auto"/>
              <w:bottom w:val="outset" w:sz="6" w:space="0" w:color="auto"/>
            </w:tcBorders>
          </w:tcPr>
          <w:p w:rsidR="006F397A" w:rsidRPr="006F397A" w:rsidRDefault="006F397A" w:rsidP="004917AF">
            <w:pPr>
              <w:jc w:val="both"/>
            </w:pPr>
            <w:r w:rsidRPr="006F397A">
              <w:t>Noteikumu projektā ie</w:t>
            </w:r>
            <w:r w:rsidR="00D0789F">
              <w:t>tver</w:t>
            </w:r>
            <w:r w:rsidR="00500666">
              <w:t xml:space="preserve">tas normas, kas izriet no Komisijas </w:t>
            </w:r>
            <w:r w:rsidR="00500666" w:rsidRPr="00500666">
              <w:t xml:space="preserve">2013.gada 5.augusta Īstenošanas lēmums 2013/426/ES par pasākumiem, </w:t>
            </w:r>
            <w:r w:rsidR="00095A29">
              <w:t>lai nepieļautu Āfrikas cūku mēra</w:t>
            </w:r>
            <w:r w:rsidR="00500666" w:rsidRPr="00500666">
              <w:t xml:space="preserve"> vīrusa ienešanu Savienībā no dažām trešajām valstīm vai trešo valstu teritoriju daļām, kurās ir apstiprināta minētās slimības klātbūtne, un ar kuru atceļ Lēmumu 2011/78/ES</w:t>
            </w:r>
            <w:r w:rsidR="00500666">
              <w:t>.</w:t>
            </w:r>
          </w:p>
        </w:tc>
      </w:tr>
      <w:tr w:rsidR="006F397A" w:rsidRPr="006F397A" w:rsidTr="002564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77"/>
        </w:trPr>
        <w:tc>
          <w:tcPr>
            <w:tcW w:w="357" w:type="pct"/>
            <w:tcBorders>
              <w:top w:val="outset" w:sz="6" w:space="0" w:color="auto"/>
              <w:bottom w:val="outset" w:sz="6" w:space="0" w:color="auto"/>
              <w:right w:val="outset" w:sz="6" w:space="0" w:color="auto"/>
            </w:tcBorders>
          </w:tcPr>
          <w:p w:rsidR="006F397A" w:rsidRPr="006F397A" w:rsidRDefault="006F397A" w:rsidP="006F397A">
            <w:r w:rsidRPr="006F397A">
              <w:t>2.</w:t>
            </w:r>
          </w:p>
        </w:tc>
        <w:tc>
          <w:tcPr>
            <w:tcW w:w="1933" w:type="pct"/>
            <w:gridSpan w:val="4"/>
            <w:tcBorders>
              <w:top w:val="outset" w:sz="6" w:space="0" w:color="auto"/>
              <w:left w:val="outset" w:sz="6" w:space="0" w:color="auto"/>
              <w:bottom w:val="outset" w:sz="6" w:space="0" w:color="auto"/>
              <w:right w:val="outset" w:sz="6" w:space="0" w:color="auto"/>
            </w:tcBorders>
          </w:tcPr>
          <w:p w:rsidR="006F397A" w:rsidRPr="006F397A" w:rsidRDefault="006F397A" w:rsidP="006F397A">
            <w:r w:rsidRPr="006F397A">
              <w:t>Citas starptautiskās saistības</w:t>
            </w:r>
          </w:p>
        </w:tc>
        <w:tc>
          <w:tcPr>
            <w:tcW w:w="2710" w:type="pct"/>
            <w:gridSpan w:val="5"/>
            <w:tcBorders>
              <w:top w:val="outset" w:sz="6" w:space="0" w:color="auto"/>
              <w:left w:val="outset" w:sz="6" w:space="0" w:color="auto"/>
              <w:bottom w:val="outset" w:sz="6" w:space="0" w:color="auto"/>
            </w:tcBorders>
          </w:tcPr>
          <w:p w:rsidR="006F397A" w:rsidRPr="006F397A" w:rsidRDefault="006F397A" w:rsidP="006F397A">
            <w:r w:rsidRPr="006F397A">
              <w:t>Projekts šo jomu neskar.</w:t>
            </w:r>
          </w:p>
        </w:tc>
      </w:tr>
      <w:tr w:rsidR="006F397A" w:rsidRPr="006F397A" w:rsidTr="002564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6F397A" w:rsidRPr="006F397A" w:rsidRDefault="006F397A" w:rsidP="006F397A">
            <w:r w:rsidRPr="006F397A">
              <w:t>3.</w:t>
            </w:r>
          </w:p>
        </w:tc>
        <w:tc>
          <w:tcPr>
            <w:tcW w:w="1933" w:type="pct"/>
            <w:gridSpan w:val="4"/>
            <w:tcBorders>
              <w:top w:val="outset" w:sz="6" w:space="0" w:color="auto"/>
              <w:left w:val="outset" w:sz="6" w:space="0" w:color="auto"/>
              <w:bottom w:val="outset" w:sz="6" w:space="0" w:color="auto"/>
              <w:right w:val="outset" w:sz="6" w:space="0" w:color="auto"/>
            </w:tcBorders>
          </w:tcPr>
          <w:p w:rsidR="006F397A" w:rsidRPr="006F397A" w:rsidRDefault="006F397A" w:rsidP="006F397A">
            <w:r w:rsidRPr="006F397A">
              <w:t>Cita informācija</w:t>
            </w:r>
          </w:p>
        </w:tc>
        <w:tc>
          <w:tcPr>
            <w:tcW w:w="2710" w:type="pct"/>
            <w:gridSpan w:val="5"/>
            <w:tcBorders>
              <w:top w:val="outset" w:sz="6" w:space="0" w:color="auto"/>
              <w:left w:val="outset" w:sz="6" w:space="0" w:color="auto"/>
              <w:bottom w:val="outset" w:sz="6" w:space="0" w:color="auto"/>
            </w:tcBorders>
          </w:tcPr>
          <w:p w:rsidR="006F397A" w:rsidRPr="006F397A" w:rsidRDefault="006F397A" w:rsidP="006F397A">
            <w:r w:rsidRPr="006F397A">
              <w:t>Nav</w:t>
            </w:r>
          </w:p>
        </w:tc>
      </w:tr>
      <w:tr w:rsidR="006F397A" w:rsidRPr="006F397A" w:rsidTr="002564BE">
        <w:tc>
          <w:tcPr>
            <w:tcW w:w="5000" w:type="pct"/>
            <w:gridSpan w:val="10"/>
          </w:tcPr>
          <w:p w:rsidR="006F397A" w:rsidRPr="006F397A" w:rsidRDefault="006F397A" w:rsidP="006F397A">
            <w:pPr>
              <w:jc w:val="center"/>
              <w:rPr>
                <w:b/>
              </w:rPr>
            </w:pPr>
            <w:r w:rsidRPr="006F397A">
              <w:rPr>
                <w:b/>
              </w:rPr>
              <w:t xml:space="preserve">1.tabula </w:t>
            </w:r>
          </w:p>
          <w:p w:rsidR="006F397A" w:rsidRPr="006F397A" w:rsidRDefault="006F397A" w:rsidP="006F397A">
            <w:pPr>
              <w:jc w:val="center"/>
            </w:pPr>
            <w:r w:rsidRPr="006F397A">
              <w:rPr>
                <w:b/>
              </w:rPr>
              <w:t>Tiesību akta projekta atbilstība ES tiesību aktiem</w:t>
            </w:r>
          </w:p>
        </w:tc>
      </w:tr>
      <w:tr w:rsidR="006F397A" w:rsidRPr="006F397A" w:rsidTr="002564BE">
        <w:tc>
          <w:tcPr>
            <w:tcW w:w="2264" w:type="pct"/>
            <w:gridSpan w:val="4"/>
          </w:tcPr>
          <w:p w:rsidR="006F397A" w:rsidRPr="006F397A" w:rsidRDefault="006F397A" w:rsidP="006F397A">
            <w:pPr>
              <w:spacing w:beforeAutospacing="1" w:afterAutospacing="1"/>
              <w:jc w:val="both"/>
            </w:pPr>
            <w:r w:rsidRPr="006F397A">
              <w:t>Attiecīgā Eiropas Savienības tiesību akta datums, numurs un nosaukums</w:t>
            </w:r>
          </w:p>
        </w:tc>
        <w:tc>
          <w:tcPr>
            <w:tcW w:w="2736" w:type="pct"/>
            <w:gridSpan w:val="6"/>
          </w:tcPr>
          <w:p w:rsidR="006F397A" w:rsidRPr="006F397A" w:rsidRDefault="00095A29" w:rsidP="006F397A">
            <w:pPr>
              <w:jc w:val="both"/>
            </w:pPr>
            <w:r w:rsidRPr="00095A29">
              <w:t>Komisijas 2013.gada 5.augusta Īstenošanas lēmums 2013/426/ES par pasākumiem, lai nepieļautu Āfrikas cūku mēra vīrusa ienešanu Savienībā no dažām trešajām valstīm vai trešo valstu teritoriju daļām, kurās ir apstiprināta minētās slimības klātbūtne, un ar kuru atceļ Lēmumu 2011/78/ES.</w:t>
            </w:r>
          </w:p>
        </w:tc>
      </w:tr>
      <w:tr w:rsidR="006F397A" w:rsidRPr="006F397A" w:rsidTr="002564BE">
        <w:tc>
          <w:tcPr>
            <w:tcW w:w="1465" w:type="pct"/>
            <w:gridSpan w:val="2"/>
          </w:tcPr>
          <w:p w:rsidR="006F397A" w:rsidRPr="006F397A" w:rsidRDefault="006F397A" w:rsidP="006F397A">
            <w:pPr>
              <w:spacing w:beforeAutospacing="1" w:afterAutospacing="1"/>
            </w:pPr>
            <w:r w:rsidRPr="006F397A">
              <w:t>A</w:t>
            </w:r>
          </w:p>
        </w:tc>
        <w:tc>
          <w:tcPr>
            <w:tcW w:w="1026" w:type="pct"/>
            <w:gridSpan w:val="4"/>
          </w:tcPr>
          <w:p w:rsidR="006F397A" w:rsidRPr="006F397A" w:rsidRDefault="006F397A" w:rsidP="006F397A">
            <w:pPr>
              <w:spacing w:beforeAutospacing="1" w:afterAutospacing="1"/>
            </w:pPr>
            <w:r w:rsidRPr="006F397A">
              <w:t>B</w:t>
            </w:r>
          </w:p>
        </w:tc>
        <w:tc>
          <w:tcPr>
            <w:tcW w:w="1057" w:type="pct"/>
            <w:gridSpan w:val="3"/>
          </w:tcPr>
          <w:p w:rsidR="006F397A" w:rsidRPr="006F397A" w:rsidRDefault="006F397A" w:rsidP="006F397A">
            <w:pPr>
              <w:spacing w:beforeAutospacing="1" w:afterAutospacing="1"/>
            </w:pPr>
            <w:r w:rsidRPr="006F397A">
              <w:t>C</w:t>
            </w:r>
          </w:p>
        </w:tc>
        <w:tc>
          <w:tcPr>
            <w:tcW w:w="1452" w:type="pct"/>
          </w:tcPr>
          <w:p w:rsidR="006F397A" w:rsidRPr="006F397A" w:rsidRDefault="006F397A" w:rsidP="006F397A">
            <w:pPr>
              <w:spacing w:beforeAutospacing="1" w:afterAutospacing="1"/>
            </w:pPr>
            <w:r w:rsidRPr="006F397A">
              <w:t>D</w:t>
            </w: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Attiecīgā ES tiesību akta panta numurs (uzskaitot katru tiesību akta vienību - pantu, daļu, punktu, apakšpunktu)</w:t>
            </w:r>
          </w:p>
        </w:tc>
        <w:tc>
          <w:tcPr>
            <w:tcW w:w="1026" w:type="pct"/>
            <w:gridSpan w:val="4"/>
          </w:tcPr>
          <w:p w:rsidR="006F397A" w:rsidRPr="006F397A" w:rsidRDefault="006F397A" w:rsidP="006F397A">
            <w:pPr>
              <w:spacing w:beforeAutospacing="1" w:afterAutospacing="1"/>
              <w:jc w:val="both"/>
            </w:pPr>
            <w:r w:rsidRPr="006F397A">
              <w:t>Projekta vienība, kas pārņem vai ievieš katru šī tabulas A ailē minēto ES tiesību akta vienību</w:t>
            </w:r>
          </w:p>
        </w:tc>
        <w:tc>
          <w:tcPr>
            <w:tcW w:w="1057" w:type="pct"/>
            <w:gridSpan w:val="3"/>
          </w:tcPr>
          <w:p w:rsidR="006F397A" w:rsidRPr="006F397A" w:rsidRDefault="006F397A" w:rsidP="006F397A">
            <w:pPr>
              <w:spacing w:beforeAutospacing="1" w:afterAutospacing="1"/>
              <w:jc w:val="both"/>
            </w:pPr>
            <w:r w:rsidRPr="006F397A">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6F397A" w:rsidRPr="006F397A" w:rsidRDefault="006F397A" w:rsidP="006F397A">
            <w:pPr>
              <w:spacing w:beforeAutospacing="1" w:afterAutospacing="1"/>
              <w:jc w:val="both"/>
            </w:pPr>
            <w:r w:rsidRPr="006F397A">
              <w:t>Norāda institūciju, kas ir atbildīga par šo saistību izpildi pilnībā</w:t>
            </w:r>
          </w:p>
        </w:tc>
        <w:tc>
          <w:tcPr>
            <w:tcW w:w="1452" w:type="pct"/>
          </w:tcPr>
          <w:p w:rsidR="006F397A" w:rsidRPr="006F397A" w:rsidRDefault="006F397A" w:rsidP="006F397A">
            <w:pPr>
              <w:spacing w:beforeAutospacing="1" w:afterAutospacing="1"/>
              <w:jc w:val="both"/>
            </w:pPr>
            <w:r w:rsidRPr="006F397A">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text" w:val="akts"/>
                <w:attr w:name="baseform" w:val="akts"/>
                <w:attr w:name="id" w:val="-1"/>
              </w:smartTagPr>
              <w:r w:rsidRPr="006F397A">
                <w:t>akts</w:t>
              </w:r>
            </w:smartTag>
            <w:r w:rsidRPr="006F397A">
              <w:t>,- norāda pamatojumu un samērīgumu.</w:t>
            </w:r>
          </w:p>
          <w:p w:rsidR="006F397A" w:rsidRPr="006F397A" w:rsidRDefault="006F397A" w:rsidP="006F397A">
            <w:pPr>
              <w:spacing w:beforeAutospacing="1" w:afterAutospacing="1"/>
              <w:jc w:val="both"/>
            </w:pPr>
            <w:r w:rsidRPr="006F397A">
              <w:t>Norāda iespējamās alternatīvas (t.sk. alternatīvas, kas neparedz tiesiskā regulējuma izstrādi)- kādos gadījumos būtu iespējams izvairīties no stingrāku prasību noteikšanas, nekā paredzēts attiecīgajos ES tiesību aktos</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500666" w:rsidP="008D56E8">
            <w:pPr>
              <w:spacing w:beforeAutospacing="1" w:afterAutospacing="1"/>
              <w:jc w:val="both"/>
            </w:pPr>
            <w:r w:rsidRPr="00500666">
              <w:t xml:space="preserve">Īstenošanas </w:t>
            </w:r>
            <w:r>
              <w:t>lēmuma</w:t>
            </w:r>
            <w:r w:rsidRPr="00500666">
              <w:t xml:space="preserve"> 2013/426/ES</w:t>
            </w:r>
            <w:r>
              <w:t xml:space="preserve"> 1.pants, </w:t>
            </w:r>
            <w:r>
              <w:lastRenderedPageBreak/>
              <w:t>2.panta 1.punkts</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500666" w:rsidP="00CB5E2F">
            <w:pPr>
              <w:spacing w:beforeAutospacing="1" w:afterAutospacing="1"/>
              <w:jc w:val="both"/>
            </w:pPr>
            <w:r>
              <w:lastRenderedPageBreak/>
              <w:t xml:space="preserve">1.punkts (noteikumu </w:t>
            </w:r>
            <w:r w:rsidR="004A1AFB">
              <w:t>71</w:t>
            </w:r>
            <w:r w:rsidR="00CB5E2F" w:rsidRPr="00500666">
              <w:t>.</w:t>
            </w:r>
            <w:r w:rsidRPr="00500666">
              <w:rPr>
                <w:vertAlign w:val="superscript"/>
              </w:rPr>
              <w:t>1</w:t>
            </w:r>
            <w:r>
              <w:t xml:space="preserve"> </w:t>
            </w:r>
            <w:r>
              <w:lastRenderedPageBreak/>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72214C">
              <w:lastRenderedPageBreak/>
              <w:t xml:space="preserve">ES tiesību akta vienība tiek </w:t>
            </w:r>
            <w:r w:rsidRPr="0072214C">
              <w:lastRenderedPageBreak/>
              <w:t>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72214C">
              <w:lastRenderedPageBreak/>
              <w:t xml:space="preserve">Attiecīgais noteikumu projekta punkts neparedz </w:t>
            </w:r>
            <w:r w:rsidRPr="0072214C">
              <w:lastRenderedPageBreak/>
              <w:t>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500666" w:rsidP="008D56E8">
            <w:pPr>
              <w:spacing w:beforeAutospacing="1" w:afterAutospacing="1"/>
              <w:jc w:val="both"/>
            </w:pPr>
            <w:r w:rsidRPr="00500666">
              <w:lastRenderedPageBreak/>
              <w:t xml:space="preserve">Īstenošanas </w:t>
            </w:r>
            <w:r>
              <w:t>lēmuma</w:t>
            </w:r>
            <w:r w:rsidRPr="00500666">
              <w:t xml:space="preserve"> 2013/426/ES</w:t>
            </w:r>
            <w:r>
              <w:t xml:space="preserve"> 2.panta 2.punkts, 3.punkts</w:t>
            </w:r>
            <w:r w:rsidR="006C785D">
              <w:t>, 3.panta 1.punkts</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D41500" w:rsidRDefault="00500666" w:rsidP="00CB5E2F">
            <w:pPr>
              <w:spacing w:beforeAutospacing="1" w:afterAutospacing="1"/>
              <w:jc w:val="both"/>
            </w:pPr>
            <w:r w:rsidRPr="00500666">
              <w:t>1.punkts</w:t>
            </w:r>
            <w:r>
              <w:t xml:space="preserve"> (noteikumu </w:t>
            </w:r>
            <w:r w:rsidR="004A1AFB">
              <w:t>71</w:t>
            </w:r>
            <w:r w:rsidR="00CB5E2F" w:rsidRPr="00500666">
              <w:t>.</w:t>
            </w:r>
            <w:r w:rsidR="006C785D">
              <w:rPr>
                <w:vertAlign w:val="superscript"/>
              </w:rPr>
              <w:t>2</w:t>
            </w:r>
            <w:r w:rsidR="006C785D">
              <w:t xml:space="preserve"> un </w:t>
            </w:r>
            <w:r w:rsidR="004A1AFB">
              <w:t>71</w:t>
            </w:r>
            <w:r w:rsidR="00CB5E2F" w:rsidRPr="00500666">
              <w:t>.</w:t>
            </w:r>
            <w:r w:rsidR="006C785D">
              <w:rPr>
                <w:vertAlign w:val="superscript"/>
              </w:rPr>
              <w:t>3</w:t>
            </w:r>
            <w:r w:rsidR="006C785D">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500666" w:rsidP="006C785D">
            <w:pPr>
              <w:spacing w:beforeAutospacing="1" w:afterAutospacing="1"/>
              <w:jc w:val="both"/>
            </w:pPr>
            <w:r w:rsidRPr="00500666">
              <w:t xml:space="preserve">Īstenošanas </w:t>
            </w:r>
            <w:r>
              <w:t>lēmuma</w:t>
            </w:r>
            <w:r w:rsidRPr="00500666">
              <w:t xml:space="preserve"> 2013/426/ES</w:t>
            </w:r>
            <w:r w:rsidR="006C785D">
              <w:t xml:space="preserve"> 3.panta </w:t>
            </w:r>
            <w:r>
              <w:t>2.punkts</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500666" w:rsidP="00CB5E2F">
            <w:pPr>
              <w:spacing w:beforeAutospacing="1" w:afterAutospacing="1"/>
              <w:jc w:val="both"/>
            </w:pPr>
            <w:r w:rsidRPr="00500666">
              <w:t>1.punkts</w:t>
            </w:r>
            <w:r>
              <w:t xml:space="preserve"> (noteikumu </w:t>
            </w:r>
            <w:r w:rsidR="004A1AFB">
              <w:t>71</w:t>
            </w:r>
            <w:r w:rsidR="00CB5E2F" w:rsidRPr="00500666">
              <w:t>.</w:t>
            </w:r>
            <w:r w:rsidR="006C785D">
              <w:rPr>
                <w:vertAlign w:val="superscript"/>
              </w:rPr>
              <w:t>4</w:t>
            </w:r>
            <w:r w:rsidR="006C785D">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500666" w:rsidP="00500666">
            <w:pPr>
              <w:spacing w:beforeAutospacing="1" w:afterAutospacing="1"/>
              <w:jc w:val="both"/>
            </w:pPr>
            <w:r w:rsidRPr="00500666">
              <w:t>Īstenošanas lēmum</w:t>
            </w:r>
            <w:r>
              <w:t>a</w:t>
            </w:r>
            <w:r w:rsidRPr="00500666">
              <w:t xml:space="preserve"> 2013/426/ES</w:t>
            </w:r>
            <w:r>
              <w:t xml:space="preserve"> 3.panta 3.punkts</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500666" w:rsidP="00CB5E2F">
            <w:pPr>
              <w:spacing w:beforeAutospacing="1" w:afterAutospacing="1"/>
              <w:jc w:val="both"/>
            </w:pPr>
            <w:r w:rsidRPr="00500666">
              <w:t>1.punkts</w:t>
            </w:r>
            <w:r>
              <w:t xml:space="preserve"> (noteikumu </w:t>
            </w:r>
            <w:r w:rsidR="004A1AFB">
              <w:t>71</w:t>
            </w:r>
            <w:r w:rsidR="00CB5E2F" w:rsidRPr="00500666">
              <w:t>.</w:t>
            </w:r>
            <w:r w:rsidR="006C785D">
              <w:rPr>
                <w:vertAlign w:val="superscript"/>
              </w:rPr>
              <w:t>5</w:t>
            </w:r>
            <w:r w:rsidR="006C785D">
              <w:t>punkts)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6C785D"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6C785D" w:rsidRPr="00500666" w:rsidRDefault="006C785D" w:rsidP="00500666">
            <w:pPr>
              <w:spacing w:beforeAutospacing="1" w:afterAutospacing="1"/>
              <w:jc w:val="both"/>
            </w:pPr>
            <w:r w:rsidRPr="006C785D">
              <w:t>Īstenošanas lēmuma 2013/426/ES 3.panta  4.punkts</w:t>
            </w:r>
          </w:p>
        </w:tc>
        <w:tc>
          <w:tcPr>
            <w:tcW w:w="1026" w:type="pct"/>
            <w:gridSpan w:val="4"/>
            <w:tcBorders>
              <w:top w:val="single" w:sz="4" w:space="0" w:color="auto"/>
              <w:left w:val="single" w:sz="4" w:space="0" w:color="auto"/>
              <w:bottom w:val="single" w:sz="4" w:space="0" w:color="auto"/>
              <w:right w:val="single" w:sz="4" w:space="0" w:color="auto"/>
            </w:tcBorders>
          </w:tcPr>
          <w:p w:rsidR="006C785D" w:rsidRPr="00500666" w:rsidRDefault="004A1AFB" w:rsidP="00CB5E2F">
            <w:pPr>
              <w:spacing w:beforeAutospacing="1" w:afterAutospacing="1"/>
              <w:jc w:val="both"/>
            </w:pPr>
            <w:r>
              <w:t>1.punkts (noteikumu 71</w:t>
            </w:r>
            <w:r w:rsidR="00CB5E2F" w:rsidRPr="006C785D">
              <w:t>.</w:t>
            </w:r>
            <w:r w:rsidR="006C785D">
              <w:rPr>
                <w:vertAlign w:val="superscript"/>
              </w:rPr>
              <w:t>6</w:t>
            </w:r>
            <w:r w:rsidR="006C785D">
              <w:t>punkts)</w:t>
            </w:r>
          </w:p>
        </w:tc>
        <w:tc>
          <w:tcPr>
            <w:tcW w:w="1057" w:type="pct"/>
            <w:gridSpan w:val="3"/>
            <w:tcBorders>
              <w:top w:val="single" w:sz="4" w:space="0" w:color="auto"/>
              <w:left w:val="single" w:sz="4" w:space="0" w:color="auto"/>
              <w:bottom w:val="single" w:sz="4" w:space="0" w:color="auto"/>
              <w:right w:val="single" w:sz="4" w:space="0" w:color="auto"/>
            </w:tcBorders>
          </w:tcPr>
          <w:p w:rsidR="006C785D" w:rsidRPr="00D41500" w:rsidRDefault="006C785D" w:rsidP="008D56E8">
            <w:pPr>
              <w:spacing w:beforeAutospacing="1" w:afterAutospacing="1"/>
              <w:jc w:val="both"/>
            </w:pPr>
            <w:r w:rsidRPr="006C785D">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6C785D" w:rsidRPr="00D41500" w:rsidRDefault="006C785D" w:rsidP="008D56E8">
            <w:pPr>
              <w:spacing w:beforeAutospacing="1" w:afterAutospacing="1"/>
              <w:jc w:val="both"/>
            </w:pPr>
            <w:r w:rsidRPr="006C785D">
              <w:t>Attiecīgais noteikumu projekta punkts neparedz stingrākas prasības kā ES tiesību aktā.</w:t>
            </w:r>
          </w:p>
        </w:tc>
      </w:tr>
      <w:tr w:rsidR="00B76E5F"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B76E5F" w:rsidRPr="0072214C" w:rsidRDefault="00500666" w:rsidP="008D56E8">
            <w:pPr>
              <w:spacing w:beforeAutospacing="1" w:afterAutospacing="1"/>
              <w:jc w:val="both"/>
            </w:pPr>
            <w:r w:rsidRPr="00500666">
              <w:t xml:space="preserve">Īstenošanas </w:t>
            </w:r>
            <w:r>
              <w:t>lēmuma</w:t>
            </w:r>
            <w:r w:rsidRPr="00500666">
              <w:t xml:space="preserve"> 2013/426/ES</w:t>
            </w:r>
            <w:r w:rsidR="005420A2">
              <w:t>, 2.panta 2.punkts,</w:t>
            </w:r>
            <w:r>
              <w:t xml:space="preserve"> I</w:t>
            </w:r>
            <w:r w:rsidR="006C785D">
              <w:t>I</w:t>
            </w:r>
            <w:r>
              <w:t xml:space="preserve"> pielikums</w:t>
            </w:r>
          </w:p>
        </w:tc>
        <w:tc>
          <w:tcPr>
            <w:tcW w:w="1026" w:type="pct"/>
            <w:gridSpan w:val="4"/>
            <w:tcBorders>
              <w:top w:val="single" w:sz="4" w:space="0" w:color="auto"/>
              <w:left w:val="single" w:sz="4" w:space="0" w:color="auto"/>
              <w:bottom w:val="single" w:sz="4" w:space="0" w:color="auto"/>
              <w:right w:val="single" w:sz="4" w:space="0" w:color="auto"/>
            </w:tcBorders>
          </w:tcPr>
          <w:p w:rsidR="00B76E5F" w:rsidRPr="0072214C" w:rsidRDefault="004A1AFB" w:rsidP="008D56E8">
            <w:pPr>
              <w:spacing w:beforeAutospacing="1" w:afterAutospacing="1"/>
              <w:jc w:val="both"/>
            </w:pPr>
            <w:r>
              <w:t>2</w:t>
            </w:r>
            <w:r w:rsidR="00500666">
              <w:t>.punkt</w:t>
            </w:r>
            <w:r w:rsidR="005420A2">
              <w:t>a 1.pielikums</w:t>
            </w:r>
          </w:p>
        </w:tc>
        <w:tc>
          <w:tcPr>
            <w:tcW w:w="1057" w:type="pct"/>
            <w:gridSpan w:val="3"/>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B76E5F" w:rsidRPr="0072214C" w:rsidRDefault="00B76E5F" w:rsidP="008D56E8">
            <w:pPr>
              <w:spacing w:beforeAutospacing="1" w:afterAutospacing="1"/>
              <w:jc w:val="both"/>
            </w:pPr>
            <w:r w:rsidRPr="00D41500">
              <w:t>Attiecīgais noteikumu projekta punkts neparedz stingrākas prasības kā ES tiesību aktā.</w:t>
            </w:r>
          </w:p>
        </w:tc>
      </w:tr>
      <w:tr w:rsidR="00500666" w:rsidRPr="0072214C" w:rsidTr="00B76E5F">
        <w:tc>
          <w:tcPr>
            <w:tcW w:w="1465" w:type="pct"/>
            <w:gridSpan w:val="2"/>
            <w:tcBorders>
              <w:top w:val="single" w:sz="4" w:space="0" w:color="auto"/>
              <w:left w:val="single" w:sz="4" w:space="0" w:color="auto"/>
              <w:bottom w:val="single" w:sz="4" w:space="0" w:color="auto"/>
              <w:right w:val="single" w:sz="4" w:space="0" w:color="auto"/>
            </w:tcBorders>
          </w:tcPr>
          <w:p w:rsidR="00500666" w:rsidRPr="00500666" w:rsidRDefault="00500666" w:rsidP="006C785D">
            <w:pPr>
              <w:spacing w:beforeAutospacing="1" w:afterAutospacing="1"/>
              <w:jc w:val="both"/>
            </w:pPr>
            <w:r w:rsidRPr="00500666">
              <w:t>Īstenošanas lēmuma 2013/426/ES</w:t>
            </w:r>
            <w:r w:rsidR="005420A2">
              <w:t>, 3.panta 2.punkts,</w:t>
            </w:r>
            <w:r>
              <w:t xml:space="preserve"> II</w:t>
            </w:r>
            <w:r w:rsidR="006C785D">
              <w:t xml:space="preserve">I </w:t>
            </w:r>
            <w:r w:rsidRPr="00500666">
              <w:t>pielikums</w:t>
            </w:r>
          </w:p>
        </w:tc>
        <w:tc>
          <w:tcPr>
            <w:tcW w:w="1026" w:type="pct"/>
            <w:gridSpan w:val="4"/>
            <w:tcBorders>
              <w:top w:val="single" w:sz="4" w:space="0" w:color="auto"/>
              <w:left w:val="single" w:sz="4" w:space="0" w:color="auto"/>
              <w:bottom w:val="single" w:sz="4" w:space="0" w:color="auto"/>
              <w:right w:val="single" w:sz="4" w:space="0" w:color="auto"/>
            </w:tcBorders>
          </w:tcPr>
          <w:p w:rsidR="00500666" w:rsidRPr="0072214C" w:rsidRDefault="004A1AFB" w:rsidP="008D56E8">
            <w:pPr>
              <w:spacing w:beforeAutospacing="1" w:afterAutospacing="1"/>
              <w:jc w:val="both"/>
            </w:pPr>
            <w:r>
              <w:t>2</w:t>
            </w:r>
            <w:r w:rsidR="00500666">
              <w:t>.punkt</w:t>
            </w:r>
            <w:r w:rsidR="005420A2">
              <w:t>a 2.pielikums</w:t>
            </w:r>
          </w:p>
        </w:tc>
        <w:tc>
          <w:tcPr>
            <w:tcW w:w="1057" w:type="pct"/>
            <w:gridSpan w:val="3"/>
            <w:tcBorders>
              <w:top w:val="single" w:sz="4" w:space="0" w:color="auto"/>
              <w:left w:val="single" w:sz="4" w:space="0" w:color="auto"/>
              <w:bottom w:val="single" w:sz="4" w:space="0" w:color="auto"/>
              <w:right w:val="single" w:sz="4" w:space="0" w:color="auto"/>
            </w:tcBorders>
          </w:tcPr>
          <w:p w:rsidR="00500666" w:rsidRPr="00D41500" w:rsidRDefault="00500666" w:rsidP="008D56E8">
            <w:pPr>
              <w:spacing w:beforeAutospacing="1" w:afterAutospacing="1"/>
              <w:jc w:val="both"/>
            </w:pPr>
            <w:r w:rsidRPr="00500666">
              <w:t>ES tiesību akta vienība tiek ieviesta pilnībā.</w:t>
            </w:r>
          </w:p>
        </w:tc>
        <w:tc>
          <w:tcPr>
            <w:tcW w:w="1452" w:type="pct"/>
            <w:tcBorders>
              <w:top w:val="single" w:sz="4" w:space="0" w:color="auto"/>
              <w:left w:val="single" w:sz="4" w:space="0" w:color="auto"/>
              <w:bottom w:val="single" w:sz="4" w:space="0" w:color="auto"/>
              <w:right w:val="single" w:sz="4" w:space="0" w:color="auto"/>
            </w:tcBorders>
          </w:tcPr>
          <w:p w:rsidR="00500666" w:rsidRPr="00D41500" w:rsidRDefault="00500666" w:rsidP="008D56E8">
            <w:pPr>
              <w:spacing w:beforeAutospacing="1" w:afterAutospacing="1"/>
              <w:jc w:val="both"/>
            </w:pPr>
            <w:r w:rsidRPr="00500666">
              <w:t>Attiecīgais noteikumu projekta punkts neparedz stingrākas prasības kā ES tiesību aktā.</w:t>
            </w: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Kā ir izmantota ES tiesību aktā paredzētā rīcības brīvība dalībvalstij pārņemt vai ieviest noteiktas ES tiesību akta normas. Kādēļ?</w:t>
            </w:r>
          </w:p>
        </w:tc>
        <w:tc>
          <w:tcPr>
            <w:tcW w:w="3535" w:type="pct"/>
            <w:gridSpan w:val="8"/>
          </w:tcPr>
          <w:p w:rsidR="006F397A" w:rsidRPr="006F397A" w:rsidRDefault="00500666" w:rsidP="006F397A">
            <w:pPr>
              <w:jc w:val="both"/>
            </w:pPr>
            <w:r>
              <w:t>Lēmumā 2013/426/ES</w:t>
            </w:r>
            <w:r w:rsidR="006F397A" w:rsidRPr="006F397A">
              <w:t xml:space="preserve"> nav paredzēta rīcības brīvība dalībvalstij ieviest tiesību normas. </w:t>
            </w:r>
          </w:p>
          <w:p w:rsidR="006F397A" w:rsidRPr="006F397A" w:rsidRDefault="006F397A" w:rsidP="006F397A">
            <w:pPr>
              <w:spacing w:beforeAutospacing="1" w:afterAutospacing="1"/>
              <w:jc w:val="both"/>
            </w:pP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Saistības sniegt paziņojumu ES institūcijām un ES dalībvalstīm atbilstoši normatīvajiem aktiem, kas regulē informācijas sniegšanu par tehnisko noteikumu, valsts atbalsts piešķiršanas un finanšu noteikumus (attiecībā uz monetāro politiku)</w:t>
            </w:r>
          </w:p>
        </w:tc>
        <w:tc>
          <w:tcPr>
            <w:tcW w:w="3535" w:type="pct"/>
            <w:gridSpan w:val="8"/>
          </w:tcPr>
          <w:p w:rsidR="006F397A" w:rsidRPr="006F397A" w:rsidRDefault="006F397A" w:rsidP="006F397A">
            <w:pPr>
              <w:spacing w:beforeAutospacing="1" w:afterAutospacing="1"/>
              <w:jc w:val="both"/>
            </w:pPr>
            <w:r w:rsidRPr="006F397A">
              <w:t>Projekts šo jomu neskar.</w:t>
            </w:r>
          </w:p>
        </w:tc>
      </w:tr>
      <w:tr w:rsidR="006F397A" w:rsidRPr="006F397A" w:rsidTr="002564BE">
        <w:tc>
          <w:tcPr>
            <w:tcW w:w="1465" w:type="pct"/>
            <w:gridSpan w:val="2"/>
          </w:tcPr>
          <w:p w:rsidR="006F397A" w:rsidRPr="006F397A" w:rsidRDefault="006F397A" w:rsidP="006F397A">
            <w:pPr>
              <w:spacing w:beforeAutospacing="1" w:afterAutospacing="1"/>
              <w:jc w:val="both"/>
            </w:pPr>
            <w:r w:rsidRPr="006F397A">
              <w:t>Cita informācija</w:t>
            </w:r>
          </w:p>
        </w:tc>
        <w:tc>
          <w:tcPr>
            <w:tcW w:w="3535" w:type="pct"/>
            <w:gridSpan w:val="8"/>
          </w:tcPr>
          <w:p w:rsidR="006F397A" w:rsidRPr="006F397A" w:rsidRDefault="006F397A" w:rsidP="006F397A">
            <w:pPr>
              <w:spacing w:beforeAutospacing="1" w:afterAutospacing="1"/>
              <w:jc w:val="both"/>
            </w:pPr>
            <w:r w:rsidRPr="006F397A">
              <w:t>Nav.</w:t>
            </w:r>
          </w:p>
        </w:tc>
      </w:tr>
      <w:tr w:rsidR="006F397A" w:rsidRPr="006F397A" w:rsidTr="002564BE">
        <w:tc>
          <w:tcPr>
            <w:tcW w:w="5000" w:type="pct"/>
            <w:gridSpan w:val="10"/>
          </w:tcPr>
          <w:p w:rsidR="006F397A" w:rsidRPr="006F397A" w:rsidRDefault="006F397A" w:rsidP="006F397A">
            <w:pPr>
              <w:rPr>
                <w:b/>
              </w:rPr>
            </w:pPr>
            <w:r w:rsidRPr="006F397A">
              <w:rPr>
                <w:b/>
              </w:rPr>
              <w:t>2.tabula Ar tiesību akta projektu uzņemtās saistības, kas izriet no starptautiskajiem tiesību aktiem vai starptautiskas institūcijas vai organizācijas dokumentiem</w:t>
            </w:r>
          </w:p>
          <w:p w:rsidR="006F397A" w:rsidRPr="006F397A" w:rsidRDefault="006F397A" w:rsidP="006F397A">
            <w:pPr>
              <w:rPr>
                <w:b/>
              </w:rPr>
            </w:pPr>
            <w:r w:rsidRPr="006F397A">
              <w:rPr>
                <w:b/>
              </w:rPr>
              <w:t>Pasākumi šo saistību izpildei</w:t>
            </w:r>
          </w:p>
        </w:tc>
      </w:tr>
      <w:tr w:rsidR="006F397A" w:rsidRPr="006F397A" w:rsidTr="002564BE">
        <w:tc>
          <w:tcPr>
            <w:tcW w:w="2491" w:type="pct"/>
            <w:gridSpan w:val="6"/>
          </w:tcPr>
          <w:p w:rsidR="006F397A" w:rsidRPr="006F397A" w:rsidRDefault="006F397A" w:rsidP="006F397A">
            <w:pPr>
              <w:spacing w:beforeAutospacing="1" w:afterAutospacing="1"/>
              <w:jc w:val="both"/>
            </w:pPr>
            <w:r w:rsidRPr="006F397A">
              <w:t>Attiecīga starptautiskā tiesību akta vai starptautiskas institūcijas vai organizācijas dokumenta (turpmāk – starptautiskais dokuments) datums, numurs un nosaukums</w:t>
            </w:r>
          </w:p>
        </w:tc>
        <w:tc>
          <w:tcPr>
            <w:tcW w:w="2509" w:type="pct"/>
            <w:gridSpan w:val="4"/>
          </w:tcPr>
          <w:p w:rsidR="006F397A" w:rsidRPr="006F397A" w:rsidRDefault="006F397A" w:rsidP="006F397A">
            <w:pPr>
              <w:spacing w:beforeAutospacing="1" w:afterAutospacing="1"/>
              <w:jc w:val="both"/>
            </w:pPr>
            <w:r w:rsidRPr="006F397A">
              <w:t>Projekts šo jomu neskar.</w:t>
            </w:r>
          </w:p>
        </w:tc>
      </w:tr>
      <w:tr w:rsidR="006F397A" w:rsidRPr="006F397A" w:rsidTr="00B76E5F">
        <w:tc>
          <w:tcPr>
            <w:tcW w:w="1813" w:type="pct"/>
            <w:gridSpan w:val="3"/>
          </w:tcPr>
          <w:p w:rsidR="006F397A" w:rsidRPr="006F397A" w:rsidRDefault="006F397A" w:rsidP="006F397A">
            <w:pPr>
              <w:spacing w:beforeAutospacing="1" w:afterAutospacing="1"/>
              <w:rPr>
                <w:b/>
              </w:rPr>
            </w:pPr>
            <w:r w:rsidRPr="006F397A">
              <w:rPr>
                <w:b/>
              </w:rPr>
              <w:t>A</w:t>
            </w:r>
          </w:p>
        </w:tc>
        <w:tc>
          <w:tcPr>
            <w:tcW w:w="1375" w:type="pct"/>
            <w:gridSpan w:val="5"/>
          </w:tcPr>
          <w:p w:rsidR="006F397A" w:rsidRPr="006F397A" w:rsidRDefault="006F397A" w:rsidP="006F397A">
            <w:pPr>
              <w:spacing w:beforeAutospacing="1" w:afterAutospacing="1"/>
              <w:rPr>
                <w:b/>
              </w:rPr>
            </w:pPr>
            <w:r w:rsidRPr="006F397A">
              <w:rPr>
                <w:b/>
              </w:rPr>
              <w:t>B</w:t>
            </w:r>
          </w:p>
        </w:tc>
        <w:tc>
          <w:tcPr>
            <w:tcW w:w="1812" w:type="pct"/>
            <w:gridSpan w:val="2"/>
          </w:tcPr>
          <w:p w:rsidR="006F397A" w:rsidRPr="006F397A" w:rsidRDefault="006F397A" w:rsidP="006F397A">
            <w:pPr>
              <w:spacing w:beforeAutospacing="1" w:afterAutospacing="1"/>
              <w:rPr>
                <w:b/>
              </w:rPr>
            </w:pPr>
            <w:r w:rsidRPr="006F397A">
              <w:rPr>
                <w:b/>
              </w:rPr>
              <w:t>C</w:t>
            </w:r>
          </w:p>
        </w:tc>
      </w:tr>
      <w:tr w:rsidR="006F397A" w:rsidRPr="006F397A" w:rsidTr="00B76E5F">
        <w:tc>
          <w:tcPr>
            <w:tcW w:w="1813" w:type="pct"/>
            <w:gridSpan w:val="3"/>
          </w:tcPr>
          <w:p w:rsidR="006F397A" w:rsidRPr="006F397A" w:rsidRDefault="006F397A" w:rsidP="006F397A">
            <w:pPr>
              <w:spacing w:beforeAutospacing="1" w:afterAutospacing="1"/>
              <w:jc w:val="both"/>
            </w:pPr>
            <w:r w:rsidRPr="006F397A">
              <w:t xml:space="preserve">Starptautiskās saistības (pēc </w:t>
            </w:r>
            <w:r w:rsidRPr="006F397A">
              <w:lastRenderedPageBreak/>
              <w:t>būtības), kas izriet no norādītā starptautiskā dokumenta.</w:t>
            </w:r>
          </w:p>
          <w:p w:rsidR="006F397A" w:rsidRPr="006F397A" w:rsidRDefault="006F397A" w:rsidP="006F397A">
            <w:pPr>
              <w:spacing w:beforeAutospacing="1" w:afterAutospacing="1"/>
              <w:jc w:val="both"/>
              <w:rPr>
                <w:b/>
              </w:rPr>
            </w:pPr>
            <w:r w:rsidRPr="006F397A">
              <w:t>Konkrēti veicamie pasākumi vai uzdevumi, kas nepieciešami šo starptautisko saistību izpildei</w:t>
            </w:r>
          </w:p>
        </w:tc>
        <w:tc>
          <w:tcPr>
            <w:tcW w:w="1375" w:type="pct"/>
            <w:gridSpan w:val="5"/>
          </w:tcPr>
          <w:p w:rsidR="006F397A" w:rsidRPr="006F397A" w:rsidRDefault="006F397A" w:rsidP="006F397A">
            <w:pPr>
              <w:spacing w:beforeAutospacing="1" w:afterAutospacing="1"/>
              <w:jc w:val="both"/>
            </w:pPr>
            <w:r w:rsidRPr="006F397A">
              <w:lastRenderedPageBreak/>
              <w:t xml:space="preserve">Ja pasākumi vai </w:t>
            </w:r>
            <w:r w:rsidRPr="006F397A">
              <w:lastRenderedPageBreak/>
              <w:t>uzdevumi, ar ko tiks izpildītas starptautiskās saistības, tiek noteikti projektā, norāda attiecīgo projekta vienību.</w:t>
            </w:r>
          </w:p>
          <w:p w:rsidR="006F397A" w:rsidRPr="006F397A" w:rsidRDefault="006F397A" w:rsidP="006F397A">
            <w:pPr>
              <w:spacing w:beforeAutospacing="1" w:afterAutospacing="1"/>
              <w:jc w:val="both"/>
              <w:rPr>
                <w:b/>
              </w:rPr>
            </w:pPr>
            <w:r w:rsidRPr="006F397A">
              <w:t>Vai arī norāda dokumentu, kurā sniegts izvērsts skaidrojums, kādā veidā tiks nodrošināta starptautisko saistību izpilde</w:t>
            </w:r>
          </w:p>
        </w:tc>
        <w:tc>
          <w:tcPr>
            <w:tcW w:w="1812" w:type="pct"/>
            <w:gridSpan w:val="2"/>
          </w:tcPr>
          <w:p w:rsidR="006F397A" w:rsidRPr="006F397A" w:rsidRDefault="006F397A" w:rsidP="006F397A">
            <w:pPr>
              <w:spacing w:beforeAutospacing="1" w:afterAutospacing="1"/>
              <w:jc w:val="both"/>
            </w:pPr>
            <w:r w:rsidRPr="006F397A">
              <w:lastRenderedPageBreak/>
              <w:t xml:space="preserve">Informācija par to, vai </w:t>
            </w:r>
            <w:r w:rsidRPr="006F397A">
              <w:lastRenderedPageBreak/>
              <w:t>starptautiskās saistības, kas minētas šīs tabulas A ailē, tiek izpildītas pilnībā vai daļēji.</w:t>
            </w:r>
          </w:p>
          <w:p w:rsidR="006F397A" w:rsidRPr="006F397A" w:rsidRDefault="006F397A" w:rsidP="006F397A">
            <w:pPr>
              <w:spacing w:beforeAutospacing="1" w:afterAutospacing="1"/>
              <w:jc w:val="both"/>
            </w:pPr>
            <w:r w:rsidRPr="006F397A">
              <w:t>Ja attiecīgās starptautiskās saistības tiek izpildītas daļēji, sniedz attiecīgu skaidrojumu, kā arī precīzi norāda, kad un kādā veidā starptautiskās saistības tiks izpildītas pilnībā.</w:t>
            </w:r>
          </w:p>
          <w:p w:rsidR="006F397A" w:rsidRPr="006F397A" w:rsidRDefault="006F397A" w:rsidP="006F397A">
            <w:pPr>
              <w:spacing w:beforeAutospacing="1" w:afterAutospacing="1"/>
              <w:jc w:val="both"/>
              <w:rPr>
                <w:b/>
              </w:rPr>
            </w:pPr>
            <w:r w:rsidRPr="006F397A">
              <w:t>Norāda institūciju, kas ir atbildīga par šo saistību izpildi pilnībā</w:t>
            </w:r>
          </w:p>
        </w:tc>
      </w:tr>
      <w:tr w:rsidR="006F397A" w:rsidRPr="006F397A" w:rsidTr="00B76E5F">
        <w:tc>
          <w:tcPr>
            <w:tcW w:w="1813" w:type="pct"/>
            <w:gridSpan w:val="3"/>
          </w:tcPr>
          <w:p w:rsidR="006F397A" w:rsidRPr="006F397A" w:rsidRDefault="006F397A" w:rsidP="006F397A">
            <w:pPr>
              <w:spacing w:beforeAutospacing="1" w:afterAutospacing="1"/>
              <w:jc w:val="both"/>
            </w:pPr>
          </w:p>
        </w:tc>
        <w:tc>
          <w:tcPr>
            <w:tcW w:w="1375" w:type="pct"/>
            <w:gridSpan w:val="5"/>
          </w:tcPr>
          <w:p w:rsidR="006F397A" w:rsidRPr="006F397A" w:rsidRDefault="006F397A" w:rsidP="006F397A">
            <w:pPr>
              <w:spacing w:beforeAutospacing="1" w:afterAutospacing="1"/>
              <w:jc w:val="both"/>
              <w:rPr>
                <w:b/>
              </w:rPr>
            </w:pPr>
          </w:p>
        </w:tc>
        <w:tc>
          <w:tcPr>
            <w:tcW w:w="1812" w:type="pct"/>
            <w:gridSpan w:val="2"/>
          </w:tcPr>
          <w:p w:rsidR="006F397A" w:rsidRPr="006F397A" w:rsidRDefault="006F397A" w:rsidP="006F397A">
            <w:pPr>
              <w:spacing w:beforeAutospacing="1" w:afterAutospacing="1"/>
              <w:jc w:val="both"/>
              <w:rPr>
                <w:b/>
              </w:rPr>
            </w:pPr>
          </w:p>
        </w:tc>
      </w:tr>
      <w:tr w:rsidR="006F397A" w:rsidRPr="006F397A" w:rsidTr="00B76E5F">
        <w:tc>
          <w:tcPr>
            <w:tcW w:w="1813" w:type="pct"/>
            <w:gridSpan w:val="3"/>
          </w:tcPr>
          <w:p w:rsidR="006F397A" w:rsidRPr="006F397A" w:rsidRDefault="006F397A" w:rsidP="006F397A">
            <w:pPr>
              <w:spacing w:beforeAutospacing="1" w:afterAutospacing="1"/>
              <w:jc w:val="both"/>
            </w:pPr>
            <w:r w:rsidRPr="006F397A">
              <w:t>Vai starptautiskajā dokumentā paredzētās saistības nav pretrunā ar jau esošajām Latvijas Republikas starptautiskajām saistībām</w:t>
            </w:r>
          </w:p>
        </w:tc>
        <w:tc>
          <w:tcPr>
            <w:tcW w:w="3187" w:type="pct"/>
            <w:gridSpan w:val="7"/>
          </w:tcPr>
          <w:p w:rsidR="006F397A" w:rsidRPr="006F397A" w:rsidRDefault="006F397A" w:rsidP="006F397A">
            <w:pPr>
              <w:spacing w:beforeAutospacing="1" w:afterAutospacing="1"/>
              <w:jc w:val="both"/>
            </w:pPr>
            <w:r w:rsidRPr="006F397A">
              <w:t>Projekts šo jomu neskar.</w:t>
            </w:r>
          </w:p>
        </w:tc>
      </w:tr>
      <w:tr w:rsidR="006F397A" w:rsidRPr="006F397A" w:rsidTr="00B76E5F">
        <w:tc>
          <w:tcPr>
            <w:tcW w:w="1813" w:type="pct"/>
            <w:gridSpan w:val="3"/>
          </w:tcPr>
          <w:p w:rsidR="006F397A" w:rsidRPr="006F397A" w:rsidRDefault="006F397A" w:rsidP="006F397A">
            <w:pPr>
              <w:spacing w:beforeAutospacing="1" w:afterAutospacing="1"/>
              <w:jc w:val="both"/>
            </w:pPr>
            <w:r w:rsidRPr="006F397A">
              <w:t>Cita informācija</w:t>
            </w:r>
          </w:p>
        </w:tc>
        <w:tc>
          <w:tcPr>
            <w:tcW w:w="3187" w:type="pct"/>
            <w:gridSpan w:val="7"/>
          </w:tcPr>
          <w:p w:rsidR="006F397A" w:rsidRPr="006F397A" w:rsidRDefault="006F397A" w:rsidP="006F397A">
            <w:pPr>
              <w:spacing w:beforeAutospacing="1" w:afterAutospacing="1"/>
              <w:jc w:val="both"/>
            </w:pPr>
            <w:r w:rsidRPr="006F397A">
              <w:t>Nav.</w:t>
            </w:r>
          </w:p>
        </w:tc>
      </w:tr>
      <w:tr w:rsidR="006F397A" w:rsidRPr="006F397A" w:rsidTr="002564BE">
        <w:tc>
          <w:tcPr>
            <w:tcW w:w="5000" w:type="pct"/>
            <w:gridSpan w:val="10"/>
          </w:tcPr>
          <w:p w:rsidR="006F397A" w:rsidRPr="006F397A" w:rsidRDefault="006F397A" w:rsidP="006F397A">
            <w:pPr>
              <w:jc w:val="center"/>
              <w:rPr>
                <w:b/>
                <w:bCs/>
              </w:rPr>
            </w:pPr>
            <w:r w:rsidRPr="006F397A">
              <w:rPr>
                <w:b/>
                <w:bCs/>
              </w:rPr>
              <w:t>VI. Sabiedrības līdzdalība un šīs līdzdalības rezultāti</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1. Sabiedrības informēšana par projekta izstrādes uzsākšanu</w:t>
            </w:r>
          </w:p>
        </w:tc>
        <w:tc>
          <w:tcPr>
            <w:tcW w:w="2084" w:type="pct"/>
            <w:gridSpan w:val="3"/>
          </w:tcPr>
          <w:p w:rsidR="006F397A" w:rsidRPr="006F397A" w:rsidRDefault="00B1245D" w:rsidP="00B1245D">
            <w:pPr>
              <w:jc w:val="both"/>
            </w:pPr>
            <w:r w:rsidRPr="00B1245D">
              <w:t>Noteikumu projekts elektroniski nosūtīts izskatīšanai un atzinumu sniegšanai biedrībai „Lauksaimnieku organizāciju sadarbības padome”, „Zemnieku saeima”</w:t>
            </w:r>
            <w:r>
              <w:t xml:space="preserve"> un </w:t>
            </w:r>
            <w:r w:rsidR="0067445C">
              <w:t>„</w:t>
            </w:r>
            <w:r w:rsidR="0067445C" w:rsidRPr="0067445C">
              <w:t>Latvijas Lauksaimniecības kooperatīvu asociācija</w:t>
            </w:r>
            <w:r w:rsidR="0067445C">
              <w:t>” š.g. 30.augustā.</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2. Sabiedrības līdzdalība projekta izstrādē</w:t>
            </w:r>
          </w:p>
        </w:tc>
        <w:tc>
          <w:tcPr>
            <w:tcW w:w="2084" w:type="pct"/>
            <w:gridSpan w:val="3"/>
          </w:tcPr>
          <w:p w:rsidR="006F397A" w:rsidRPr="006F397A" w:rsidRDefault="006F397A" w:rsidP="006F397A">
            <w:pPr>
              <w:jc w:val="both"/>
              <w:rPr>
                <w:rFonts w:eastAsia="Arial Unicode MS"/>
              </w:rPr>
            </w:pPr>
            <w:r w:rsidRPr="006F397A">
              <w:rPr>
                <w:rFonts w:eastAsia="Arial Unicode MS"/>
              </w:rPr>
              <w:t>Projekts šo jomu neskar.</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3. Sabiedrības līdzdalības rezultāti</w:t>
            </w:r>
          </w:p>
        </w:tc>
        <w:tc>
          <w:tcPr>
            <w:tcW w:w="2084" w:type="pct"/>
            <w:gridSpan w:val="3"/>
          </w:tcPr>
          <w:p w:rsidR="006F397A" w:rsidRPr="006F397A" w:rsidRDefault="006F397A" w:rsidP="006F397A">
            <w:pPr>
              <w:jc w:val="both"/>
              <w:rPr>
                <w:rFonts w:eastAsia="Arial Unicode MS"/>
              </w:rPr>
            </w:pPr>
            <w:r w:rsidRPr="006F397A">
              <w:rPr>
                <w:rFonts w:eastAsia="Arial Unicode MS"/>
              </w:rPr>
              <w:t>Projekts šo jomu neskar.</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4. Saeimas un ekspertu līdzdalība</w:t>
            </w:r>
          </w:p>
        </w:tc>
        <w:tc>
          <w:tcPr>
            <w:tcW w:w="2084" w:type="pct"/>
            <w:gridSpan w:val="3"/>
          </w:tcPr>
          <w:p w:rsidR="006F397A" w:rsidRPr="006F397A" w:rsidRDefault="006F397A" w:rsidP="006F397A">
            <w:r w:rsidRPr="006F397A">
              <w:t>Konsultācijas nav notikušas.</w:t>
            </w:r>
          </w:p>
        </w:tc>
      </w:tr>
      <w:tr w:rsidR="006F397A" w:rsidRPr="006F397A" w:rsidTr="002564BE">
        <w:tc>
          <w:tcPr>
            <w:tcW w:w="2916" w:type="pct"/>
            <w:gridSpan w:val="7"/>
          </w:tcPr>
          <w:p w:rsidR="006F397A" w:rsidRPr="006F397A" w:rsidRDefault="006F397A" w:rsidP="006F397A">
            <w:pPr>
              <w:spacing w:before="100" w:beforeAutospacing="1" w:after="100" w:afterAutospacing="1"/>
            </w:pPr>
            <w:r w:rsidRPr="006F397A">
              <w:t>5. Cita informācija</w:t>
            </w:r>
          </w:p>
        </w:tc>
        <w:tc>
          <w:tcPr>
            <w:tcW w:w="2084" w:type="pct"/>
            <w:gridSpan w:val="3"/>
          </w:tcPr>
          <w:p w:rsidR="006F397A" w:rsidRPr="006F397A" w:rsidRDefault="006F397A" w:rsidP="006F397A">
            <w:r w:rsidRPr="006F397A">
              <w:t>Nav</w:t>
            </w:r>
          </w:p>
        </w:tc>
      </w:tr>
      <w:tr w:rsidR="006F397A" w:rsidRPr="006F397A" w:rsidTr="002564BE">
        <w:tc>
          <w:tcPr>
            <w:tcW w:w="5000" w:type="pct"/>
            <w:gridSpan w:val="10"/>
          </w:tcPr>
          <w:p w:rsidR="006F397A" w:rsidRPr="006F397A" w:rsidRDefault="006F397A" w:rsidP="006F397A">
            <w:pPr>
              <w:jc w:val="center"/>
              <w:rPr>
                <w:b/>
                <w:bCs/>
              </w:rPr>
            </w:pPr>
            <w:r w:rsidRPr="006F397A">
              <w:rPr>
                <w:b/>
                <w:bCs/>
              </w:rPr>
              <w:t>VII. Tiesību akta projekta izpildes nodrošināšana un tās ietekme uz institūcijām</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1. Projekta izpildē iesaistītās institūcijas</w:t>
            </w:r>
          </w:p>
        </w:tc>
        <w:tc>
          <w:tcPr>
            <w:tcW w:w="2084" w:type="pct"/>
            <w:gridSpan w:val="3"/>
          </w:tcPr>
          <w:p w:rsidR="006F397A" w:rsidRPr="006F397A" w:rsidRDefault="006F397A" w:rsidP="006F397A">
            <w:pPr>
              <w:ind w:right="-108"/>
              <w:jc w:val="both"/>
            </w:pPr>
            <w:r w:rsidRPr="006F397A">
              <w:t>Pārtikas un veterinārais dienests</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2. Projekta izpildes ietekme uz pārvaldes funkcijām</w:t>
            </w:r>
          </w:p>
        </w:tc>
        <w:tc>
          <w:tcPr>
            <w:tcW w:w="2084" w:type="pct"/>
            <w:gridSpan w:val="3"/>
          </w:tcPr>
          <w:p w:rsidR="006F397A" w:rsidRPr="006F397A" w:rsidRDefault="006F397A" w:rsidP="006F397A">
            <w:pPr>
              <w:ind w:right="-108"/>
              <w:jc w:val="both"/>
            </w:pPr>
            <w:r w:rsidRPr="006F397A">
              <w:t>Projekts šo jomu neskar.</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3. Projekta izpildes ietekme uz pārvaldes institucionālo struktūru. Jaunu institūciju izveide</w:t>
            </w:r>
          </w:p>
        </w:tc>
        <w:tc>
          <w:tcPr>
            <w:tcW w:w="2084" w:type="pct"/>
            <w:gridSpan w:val="3"/>
          </w:tcPr>
          <w:p w:rsidR="006F397A" w:rsidRPr="006F397A" w:rsidRDefault="006F397A" w:rsidP="006F397A">
            <w:pPr>
              <w:ind w:right="-108"/>
              <w:jc w:val="both"/>
            </w:pPr>
            <w:r w:rsidRPr="006F397A">
              <w:t>Projekts šo jomu neskar.</w:t>
            </w:r>
          </w:p>
        </w:tc>
      </w:tr>
      <w:tr w:rsidR="006F397A" w:rsidRPr="006F397A" w:rsidTr="002564BE">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4. Projekta izpildes ietekme uz pārvaldes institucionālo struktūru. Esošu institūciju likvidācija</w:t>
            </w:r>
          </w:p>
        </w:tc>
        <w:tc>
          <w:tcPr>
            <w:tcW w:w="2084" w:type="pct"/>
            <w:gridSpan w:val="3"/>
          </w:tcPr>
          <w:p w:rsidR="006F397A" w:rsidRPr="006F397A" w:rsidRDefault="006F397A" w:rsidP="006F397A">
            <w:pPr>
              <w:jc w:val="both"/>
              <w:rPr>
                <w:rFonts w:eastAsia="Arial Unicode MS"/>
              </w:rPr>
            </w:pPr>
            <w:r w:rsidRPr="006F397A">
              <w:t>Projekts šo jomu neskar.</w:t>
            </w:r>
          </w:p>
        </w:tc>
      </w:tr>
      <w:tr w:rsidR="006F397A" w:rsidRPr="006F397A" w:rsidTr="002564BE">
        <w:trPr>
          <w:trHeight w:val="554"/>
        </w:trPr>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5. Projekta izpildes ietekme uz pārvaldes institucionālo struktūru. Esošu institūciju reorganizācija</w:t>
            </w:r>
          </w:p>
        </w:tc>
        <w:tc>
          <w:tcPr>
            <w:tcW w:w="2084" w:type="pct"/>
            <w:gridSpan w:val="3"/>
          </w:tcPr>
          <w:p w:rsidR="006F397A" w:rsidRPr="006F397A" w:rsidRDefault="006F397A" w:rsidP="006F397A">
            <w:pPr>
              <w:jc w:val="both"/>
              <w:rPr>
                <w:rFonts w:eastAsia="Arial Unicode MS"/>
              </w:rPr>
            </w:pPr>
            <w:r w:rsidRPr="006F397A">
              <w:t>Projekts šo jomu neskar.</w:t>
            </w:r>
          </w:p>
        </w:tc>
      </w:tr>
      <w:tr w:rsidR="006F397A" w:rsidRPr="006F397A" w:rsidTr="002564BE">
        <w:trPr>
          <w:trHeight w:val="70"/>
        </w:trPr>
        <w:tc>
          <w:tcPr>
            <w:tcW w:w="2916" w:type="pct"/>
            <w:gridSpan w:val="7"/>
          </w:tcPr>
          <w:p w:rsidR="006F397A" w:rsidRPr="006F397A" w:rsidRDefault="006F397A" w:rsidP="006F397A">
            <w:pPr>
              <w:jc w:val="both"/>
              <w:rPr>
                <w:rFonts w:eastAsia="Arial Unicode MS"/>
                <w:lang w:eastAsia="en-US"/>
              </w:rPr>
            </w:pPr>
            <w:r w:rsidRPr="006F397A">
              <w:rPr>
                <w:rFonts w:eastAsia="Arial Unicode MS"/>
                <w:lang w:eastAsia="en-US"/>
              </w:rPr>
              <w:t>6. Cita informācija</w:t>
            </w:r>
          </w:p>
        </w:tc>
        <w:tc>
          <w:tcPr>
            <w:tcW w:w="2084" w:type="pct"/>
            <w:gridSpan w:val="3"/>
          </w:tcPr>
          <w:p w:rsidR="006F397A" w:rsidRPr="006F397A" w:rsidRDefault="006F397A" w:rsidP="006F397A">
            <w:pPr>
              <w:rPr>
                <w:rFonts w:eastAsia="Arial Unicode MS"/>
              </w:rPr>
            </w:pPr>
            <w:r w:rsidRPr="006F397A">
              <w:t>Nav</w:t>
            </w:r>
          </w:p>
        </w:tc>
      </w:tr>
    </w:tbl>
    <w:p w:rsidR="004917AF" w:rsidRDefault="002E7FA0" w:rsidP="00B33B42">
      <w:pPr>
        <w:pStyle w:val="naisf"/>
        <w:spacing w:before="0" w:beforeAutospacing="0" w:after="0" w:afterAutospacing="0"/>
      </w:pPr>
      <w:r>
        <w:tab/>
      </w:r>
      <w:r>
        <w:tab/>
      </w:r>
    </w:p>
    <w:p w:rsidR="004917AF" w:rsidRDefault="004917AF" w:rsidP="00B33B42">
      <w:pPr>
        <w:pStyle w:val="naisf"/>
        <w:spacing w:before="0" w:beforeAutospacing="0" w:after="0" w:afterAutospacing="0"/>
      </w:pPr>
    </w:p>
    <w:p w:rsidR="00F37F7E" w:rsidRPr="00500666" w:rsidRDefault="004917AF" w:rsidP="00B33B42">
      <w:pPr>
        <w:pStyle w:val="naisf"/>
        <w:spacing w:before="0" w:beforeAutospacing="0" w:after="0" w:afterAutospacing="0"/>
        <w:rPr>
          <w:sz w:val="28"/>
          <w:szCs w:val="28"/>
        </w:rPr>
      </w:pPr>
      <w:r>
        <w:tab/>
      </w:r>
      <w:r w:rsidR="00A96815" w:rsidRPr="00500666">
        <w:rPr>
          <w:sz w:val="28"/>
          <w:szCs w:val="28"/>
        </w:rPr>
        <w:t>Zemkopības ministre</w:t>
      </w:r>
      <w:r w:rsidR="00F37F7E" w:rsidRPr="00500666">
        <w:rPr>
          <w:sz w:val="28"/>
          <w:szCs w:val="28"/>
        </w:rPr>
        <w:tab/>
      </w:r>
      <w:r w:rsidR="00F37F7E" w:rsidRPr="00500666">
        <w:rPr>
          <w:sz w:val="28"/>
          <w:szCs w:val="28"/>
        </w:rPr>
        <w:tab/>
      </w:r>
      <w:r w:rsidR="00F37F7E" w:rsidRPr="00500666">
        <w:rPr>
          <w:sz w:val="28"/>
          <w:szCs w:val="28"/>
        </w:rPr>
        <w:tab/>
      </w:r>
      <w:r w:rsidR="00F37F7E" w:rsidRPr="00500666">
        <w:rPr>
          <w:sz w:val="28"/>
          <w:szCs w:val="28"/>
        </w:rPr>
        <w:tab/>
      </w:r>
      <w:r w:rsidR="00F37F7E" w:rsidRPr="00500666">
        <w:rPr>
          <w:sz w:val="28"/>
          <w:szCs w:val="28"/>
        </w:rPr>
        <w:tab/>
      </w:r>
      <w:r w:rsidR="00F37F7E" w:rsidRPr="00500666">
        <w:rPr>
          <w:sz w:val="28"/>
          <w:szCs w:val="28"/>
        </w:rPr>
        <w:tab/>
      </w:r>
      <w:r w:rsidR="00A07FB0" w:rsidRPr="00500666">
        <w:rPr>
          <w:sz w:val="28"/>
          <w:szCs w:val="28"/>
        </w:rPr>
        <w:t>L</w:t>
      </w:r>
      <w:r w:rsidR="00A96815" w:rsidRPr="00500666">
        <w:rPr>
          <w:sz w:val="28"/>
          <w:szCs w:val="28"/>
        </w:rPr>
        <w:t>.Straujuma</w:t>
      </w:r>
    </w:p>
    <w:p w:rsidR="00A160CC" w:rsidRDefault="00A160CC" w:rsidP="0056482D">
      <w:pPr>
        <w:rPr>
          <w:sz w:val="20"/>
          <w:szCs w:val="20"/>
        </w:rPr>
      </w:pPr>
    </w:p>
    <w:p w:rsidR="004917AF" w:rsidRDefault="004917AF" w:rsidP="0056482D">
      <w:pPr>
        <w:rPr>
          <w:sz w:val="20"/>
          <w:szCs w:val="20"/>
        </w:rPr>
      </w:pPr>
      <w:bookmarkStart w:id="0" w:name="_GoBack"/>
      <w:bookmarkEnd w:id="0"/>
    </w:p>
    <w:p w:rsidR="004917AF" w:rsidRDefault="004917AF" w:rsidP="0056482D">
      <w:pPr>
        <w:rPr>
          <w:sz w:val="20"/>
          <w:szCs w:val="20"/>
        </w:rPr>
      </w:pPr>
    </w:p>
    <w:p w:rsidR="00085FFA" w:rsidRDefault="00085FFA" w:rsidP="0056482D">
      <w:pPr>
        <w:rPr>
          <w:sz w:val="20"/>
          <w:szCs w:val="20"/>
        </w:rPr>
      </w:pPr>
      <w:r>
        <w:rPr>
          <w:sz w:val="20"/>
          <w:szCs w:val="20"/>
        </w:rPr>
        <w:t>2013.10.02. 16:49</w:t>
      </w:r>
    </w:p>
    <w:p w:rsidR="008D40AE" w:rsidRPr="008D40AE" w:rsidRDefault="008D40AE" w:rsidP="0056482D">
      <w:pPr>
        <w:rPr>
          <w:sz w:val="20"/>
          <w:szCs w:val="20"/>
        </w:rPr>
      </w:pPr>
      <w:fldSimple w:instr=" NUMWORDS   \* MERGEFORMAT ">
        <w:r w:rsidRPr="008D40AE">
          <w:rPr>
            <w:noProof/>
            <w:sz w:val="20"/>
            <w:szCs w:val="20"/>
          </w:rPr>
          <w:t>1443</w:t>
        </w:r>
      </w:fldSimple>
    </w:p>
    <w:p w:rsidR="0056482D" w:rsidRPr="00596B72" w:rsidRDefault="0056482D" w:rsidP="0056482D">
      <w:pPr>
        <w:rPr>
          <w:sz w:val="20"/>
          <w:szCs w:val="20"/>
        </w:rPr>
      </w:pPr>
      <w:r w:rsidRPr="00596B72">
        <w:rPr>
          <w:sz w:val="20"/>
          <w:szCs w:val="20"/>
        </w:rPr>
        <w:t>O.Vecuma-Veco</w:t>
      </w:r>
    </w:p>
    <w:p w:rsidR="0056482D" w:rsidRPr="00596B72" w:rsidRDefault="0056482D" w:rsidP="0056482D">
      <w:pPr>
        <w:rPr>
          <w:sz w:val="20"/>
          <w:szCs w:val="20"/>
        </w:rPr>
      </w:pPr>
      <w:r w:rsidRPr="00596B72">
        <w:rPr>
          <w:sz w:val="20"/>
          <w:szCs w:val="20"/>
        </w:rPr>
        <w:t xml:space="preserve">67027551, </w:t>
      </w:r>
      <w:r w:rsidRPr="00085FFA">
        <w:rPr>
          <w:sz w:val="20"/>
          <w:szCs w:val="20"/>
        </w:rPr>
        <w:t>Olita.Vecuma-Veco@zm.gov.lv</w:t>
      </w:r>
    </w:p>
    <w:sectPr w:rsidR="0056482D" w:rsidRPr="00596B72" w:rsidSect="00085FFA">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82" w:rsidRDefault="00B43B82" w:rsidP="00F37F7E">
      <w:pPr>
        <w:pStyle w:val="naiskr"/>
      </w:pPr>
      <w:r>
        <w:separator/>
      </w:r>
    </w:p>
  </w:endnote>
  <w:endnote w:type="continuationSeparator" w:id="0">
    <w:p w:rsidR="00B43B82" w:rsidRDefault="00B43B82"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15" w:rsidRPr="00A96815" w:rsidRDefault="00D6536E" w:rsidP="00A96815">
    <w:pPr>
      <w:jc w:val="both"/>
      <w:rPr>
        <w:sz w:val="20"/>
        <w:szCs w:val="20"/>
      </w:rPr>
    </w:pPr>
    <w:r w:rsidRPr="00A160CC">
      <w:rPr>
        <w:sz w:val="20"/>
        <w:szCs w:val="20"/>
      </w:rPr>
      <w:t>ZM</w:t>
    </w:r>
    <w:r w:rsidR="00FF6150">
      <w:rPr>
        <w:sz w:val="20"/>
        <w:szCs w:val="20"/>
      </w:rPr>
      <w:t>Anot_0210</w:t>
    </w:r>
    <w:r w:rsidR="00A96815">
      <w:rPr>
        <w:sz w:val="20"/>
        <w:szCs w:val="20"/>
      </w:rPr>
      <w:t>13_afrikasmeris</w:t>
    </w:r>
    <w:r w:rsidRPr="00A160CC">
      <w:rPr>
        <w:sz w:val="20"/>
        <w:szCs w:val="20"/>
      </w:rPr>
      <w:t xml:space="preserve">; </w:t>
    </w:r>
    <w:r w:rsidR="00A96815" w:rsidRPr="00A96815">
      <w:rPr>
        <w:sz w:val="20"/>
        <w:szCs w:val="20"/>
      </w:rPr>
      <w:t>Grozījumi Ministru kabineta 2004.gada 17.februāra noteikumos Nr.83</w:t>
    </w:r>
  </w:p>
  <w:p w:rsidR="00D6536E" w:rsidRPr="00A96815" w:rsidRDefault="00A96815" w:rsidP="00A96815">
    <w:pPr>
      <w:jc w:val="both"/>
      <w:rPr>
        <w:sz w:val="20"/>
        <w:szCs w:val="20"/>
        <w:lang w:val="fi-FI"/>
      </w:rPr>
    </w:pPr>
    <w:r w:rsidRPr="00A96815">
      <w:rPr>
        <w:sz w:val="20"/>
        <w:szCs w:val="20"/>
      </w:rPr>
      <w:t>„</w:t>
    </w:r>
    <w:r w:rsidRPr="00A96815">
      <w:rPr>
        <w:bCs/>
        <w:sz w:val="20"/>
        <w:szCs w:val="20"/>
      </w:rPr>
      <w:t>Āfrikas cūku mēra likvidēšanas un draudu novēršanas kārtība</w:t>
    </w:r>
    <w:r w:rsidRPr="00A96815">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15" w:rsidRPr="00A96815" w:rsidRDefault="00A96815" w:rsidP="00A96815">
    <w:pPr>
      <w:jc w:val="both"/>
      <w:rPr>
        <w:sz w:val="20"/>
        <w:szCs w:val="20"/>
      </w:rPr>
    </w:pPr>
    <w:r w:rsidRPr="00A96815">
      <w:rPr>
        <w:sz w:val="20"/>
        <w:szCs w:val="20"/>
      </w:rPr>
      <w:t>ZM</w:t>
    </w:r>
    <w:r w:rsidR="00FF6150">
      <w:rPr>
        <w:sz w:val="20"/>
        <w:szCs w:val="20"/>
      </w:rPr>
      <w:t>Anot_0210</w:t>
    </w:r>
    <w:r w:rsidRPr="00A96815">
      <w:rPr>
        <w:sz w:val="20"/>
        <w:szCs w:val="20"/>
      </w:rPr>
      <w:t>13_afrikasmeris; Grozījumi Ministru kabineta 2004.gada 17.februāra noteikumos Nr.83</w:t>
    </w:r>
  </w:p>
  <w:p w:rsidR="00D6536E" w:rsidRPr="00A96815" w:rsidRDefault="00A96815" w:rsidP="0056482D">
    <w:pPr>
      <w:jc w:val="both"/>
      <w:rPr>
        <w:sz w:val="20"/>
        <w:szCs w:val="20"/>
      </w:rPr>
    </w:pPr>
    <w:r w:rsidRPr="00A96815">
      <w:rPr>
        <w:sz w:val="20"/>
        <w:szCs w:val="20"/>
      </w:rPr>
      <w:t>„</w:t>
    </w:r>
    <w:r w:rsidRPr="00A96815">
      <w:rPr>
        <w:bCs/>
        <w:sz w:val="20"/>
        <w:szCs w:val="20"/>
      </w:rPr>
      <w:t>Āfrikas cūku mēra likvidēšanas un draudu novēršanas kārtība</w:t>
    </w:r>
    <w:r w:rsidRPr="00A96815">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82" w:rsidRDefault="00B43B82" w:rsidP="00F37F7E">
      <w:pPr>
        <w:pStyle w:val="naiskr"/>
      </w:pPr>
      <w:r>
        <w:separator/>
      </w:r>
    </w:p>
  </w:footnote>
  <w:footnote w:type="continuationSeparator" w:id="0">
    <w:p w:rsidR="00B43B82" w:rsidRDefault="00B43B82"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02245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end"/>
    </w:r>
  </w:p>
  <w:p w:rsidR="00D6536E" w:rsidRDefault="00D653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022459">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separate"/>
    </w:r>
    <w:r w:rsidR="008D40AE">
      <w:rPr>
        <w:rStyle w:val="Lappusesnumurs"/>
        <w:noProof/>
      </w:rPr>
      <w:t>5</w:t>
    </w:r>
    <w:r>
      <w:rPr>
        <w:rStyle w:val="Lappusesnumurs"/>
      </w:rPr>
      <w:fldChar w:fldCharType="end"/>
    </w:r>
  </w:p>
  <w:p w:rsidR="00D6536E" w:rsidRDefault="00D653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32"/>
    <w:multiLevelType w:val="hybridMultilevel"/>
    <w:tmpl w:val="CC0C8A38"/>
    <w:lvl w:ilvl="0" w:tplc="067888C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7F7E"/>
    <w:rsid w:val="00010B00"/>
    <w:rsid w:val="00022459"/>
    <w:rsid w:val="000242CD"/>
    <w:rsid w:val="00032CBF"/>
    <w:rsid w:val="00051F44"/>
    <w:rsid w:val="00085FDA"/>
    <w:rsid w:val="00085FFA"/>
    <w:rsid w:val="00095A29"/>
    <w:rsid w:val="000C4826"/>
    <w:rsid w:val="000D7729"/>
    <w:rsid w:val="00127DAF"/>
    <w:rsid w:val="00153387"/>
    <w:rsid w:val="00153ABD"/>
    <w:rsid w:val="001A284C"/>
    <w:rsid w:val="001B1897"/>
    <w:rsid w:val="001B6383"/>
    <w:rsid w:val="001C5153"/>
    <w:rsid w:val="001C655D"/>
    <w:rsid w:val="001D3E33"/>
    <w:rsid w:val="00223553"/>
    <w:rsid w:val="00263598"/>
    <w:rsid w:val="00283E68"/>
    <w:rsid w:val="002853A5"/>
    <w:rsid w:val="00291088"/>
    <w:rsid w:val="002B423A"/>
    <w:rsid w:val="002B6A09"/>
    <w:rsid w:val="002D50B7"/>
    <w:rsid w:val="002E7FA0"/>
    <w:rsid w:val="002F4D9F"/>
    <w:rsid w:val="003036DE"/>
    <w:rsid w:val="00324F41"/>
    <w:rsid w:val="00325508"/>
    <w:rsid w:val="0035013A"/>
    <w:rsid w:val="00355777"/>
    <w:rsid w:val="00363DF8"/>
    <w:rsid w:val="00391D60"/>
    <w:rsid w:val="00392802"/>
    <w:rsid w:val="003B02BB"/>
    <w:rsid w:val="003C55AC"/>
    <w:rsid w:val="003F753E"/>
    <w:rsid w:val="00421391"/>
    <w:rsid w:val="00426D80"/>
    <w:rsid w:val="0042790B"/>
    <w:rsid w:val="00446BFC"/>
    <w:rsid w:val="00452ABC"/>
    <w:rsid w:val="0047491E"/>
    <w:rsid w:val="004917AF"/>
    <w:rsid w:val="004966B8"/>
    <w:rsid w:val="004A1AFB"/>
    <w:rsid w:val="004B28A8"/>
    <w:rsid w:val="004D64BE"/>
    <w:rsid w:val="00500666"/>
    <w:rsid w:val="00513790"/>
    <w:rsid w:val="005141D6"/>
    <w:rsid w:val="005251F3"/>
    <w:rsid w:val="005420A2"/>
    <w:rsid w:val="005548FD"/>
    <w:rsid w:val="00560C94"/>
    <w:rsid w:val="0056482D"/>
    <w:rsid w:val="005660EB"/>
    <w:rsid w:val="0057338F"/>
    <w:rsid w:val="0059725C"/>
    <w:rsid w:val="005A577A"/>
    <w:rsid w:val="005E7B77"/>
    <w:rsid w:val="005F40B8"/>
    <w:rsid w:val="006056ED"/>
    <w:rsid w:val="00613308"/>
    <w:rsid w:val="00624EB0"/>
    <w:rsid w:val="00637FEF"/>
    <w:rsid w:val="00655945"/>
    <w:rsid w:val="00656231"/>
    <w:rsid w:val="006600EC"/>
    <w:rsid w:val="006602BB"/>
    <w:rsid w:val="0067445C"/>
    <w:rsid w:val="00676EE0"/>
    <w:rsid w:val="006867B2"/>
    <w:rsid w:val="0069255A"/>
    <w:rsid w:val="006B6F06"/>
    <w:rsid w:val="006C4B5E"/>
    <w:rsid w:val="006C4D09"/>
    <w:rsid w:val="006C785D"/>
    <w:rsid w:val="006E3A23"/>
    <w:rsid w:val="006E5195"/>
    <w:rsid w:val="006E7289"/>
    <w:rsid w:val="006F397A"/>
    <w:rsid w:val="00701FD8"/>
    <w:rsid w:val="00702355"/>
    <w:rsid w:val="00710CD8"/>
    <w:rsid w:val="0071167F"/>
    <w:rsid w:val="0071371E"/>
    <w:rsid w:val="007152AE"/>
    <w:rsid w:val="00735DB7"/>
    <w:rsid w:val="0078349C"/>
    <w:rsid w:val="007A3794"/>
    <w:rsid w:val="007B0D3F"/>
    <w:rsid w:val="007D3C52"/>
    <w:rsid w:val="007E2609"/>
    <w:rsid w:val="007F580B"/>
    <w:rsid w:val="00812ABD"/>
    <w:rsid w:val="008138CF"/>
    <w:rsid w:val="00845677"/>
    <w:rsid w:val="008561EF"/>
    <w:rsid w:val="00883B44"/>
    <w:rsid w:val="0089348F"/>
    <w:rsid w:val="008A5E04"/>
    <w:rsid w:val="008B3DE2"/>
    <w:rsid w:val="008C1B9E"/>
    <w:rsid w:val="008C4045"/>
    <w:rsid w:val="008D40AE"/>
    <w:rsid w:val="008F400B"/>
    <w:rsid w:val="009078B5"/>
    <w:rsid w:val="00910373"/>
    <w:rsid w:val="00915FF3"/>
    <w:rsid w:val="00930EA9"/>
    <w:rsid w:val="009442A5"/>
    <w:rsid w:val="00956BD7"/>
    <w:rsid w:val="00976649"/>
    <w:rsid w:val="009A0EB5"/>
    <w:rsid w:val="009E68E4"/>
    <w:rsid w:val="00A06AFA"/>
    <w:rsid w:val="00A07FB0"/>
    <w:rsid w:val="00A160CC"/>
    <w:rsid w:val="00A3274F"/>
    <w:rsid w:val="00A42B7D"/>
    <w:rsid w:val="00A43048"/>
    <w:rsid w:val="00A458A9"/>
    <w:rsid w:val="00A544FB"/>
    <w:rsid w:val="00A96815"/>
    <w:rsid w:val="00AB2EBB"/>
    <w:rsid w:val="00AD32D7"/>
    <w:rsid w:val="00B03744"/>
    <w:rsid w:val="00B05051"/>
    <w:rsid w:val="00B1245D"/>
    <w:rsid w:val="00B1392F"/>
    <w:rsid w:val="00B14609"/>
    <w:rsid w:val="00B20A1E"/>
    <w:rsid w:val="00B33B42"/>
    <w:rsid w:val="00B42FE7"/>
    <w:rsid w:val="00B43B82"/>
    <w:rsid w:val="00B46B32"/>
    <w:rsid w:val="00B46F39"/>
    <w:rsid w:val="00B7458C"/>
    <w:rsid w:val="00B76E5F"/>
    <w:rsid w:val="00B84709"/>
    <w:rsid w:val="00B8532D"/>
    <w:rsid w:val="00B94FFB"/>
    <w:rsid w:val="00BA4109"/>
    <w:rsid w:val="00BE6367"/>
    <w:rsid w:val="00C25246"/>
    <w:rsid w:val="00C61DFA"/>
    <w:rsid w:val="00C869FD"/>
    <w:rsid w:val="00CB5E2F"/>
    <w:rsid w:val="00CC7A70"/>
    <w:rsid w:val="00CE7AB6"/>
    <w:rsid w:val="00D0789F"/>
    <w:rsid w:val="00D112F5"/>
    <w:rsid w:val="00D23392"/>
    <w:rsid w:val="00D3593C"/>
    <w:rsid w:val="00D43246"/>
    <w:rsid w:val="00D609AB"/>
    <w:rsid w:val="00D6536E"/>
    <w:rsid w:val="00D81793"/>
    <w:rsid w:val="00DA41B1"/>
    <w:rsid w:val="00DA4541"/>
    <w:rsid w:val="00DC267C"/>
    <w:rsid w:val="00DD38CC"/>
    <w:rsid w:val="00DE46F6"/>
    <w:rsid w:val="00DF4CAC"/>
    <w:rsid w:val="00E11F4A"/>
    <w:rsid w:val="00E33A1C"/>
    <w:rsid w:val="00E51CAB"/>
    <w:rsid w:val="00EA7ABC"/>
    <w:rsid w:val="00EC0AA9"/>
    <w:rsid w:val="00ED3F12"/>
    <w:rsid w:val="00EE2F67"/>
    <w:rsid w:val="00F268E6"/>
    <w:rsid w:val="00F37F7E"/>
    <w:rsid w:val="00F45DB0"/>
    <w:rsid w:val="00F479E8"/>
    <w:rsid w:val="00F576F8"/>
    <w:rsid w:val="00FD7C2A"/>
    <w:rsid w:val="00FF6150"/>
    <w:rsid w:val="00FF67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paragraph" w:styleId="Virsraksts1">
    <w:name w:val="heading 1"/>
    <w:basedOn w:val="Parastais"/>
    <w:next w:val="Parastais"/>
    <w:qFormat/>
    <w:rsid w:val="0056482D"/>
    <w:pPr>
      <w:keepNext/>
      <w:jc w:val="center"/>
      <w:outlineLvl w:val="0"/>
    </w:pPr>
    <w:rPr>
      <w:b/>
      <w:bCs/>
      <w:sz w:val="28"/>
      <w:lang w:eastAsia="en-US"/>
    </w:rPr>
  </w:style>
  <w:style w:type="paragraph" w:styleId="Virsraksts2">
    <w:name w:val="heading 2"/>
    <w:basedOn w:val="Parastais"/>
    <w:next w:val="Parastai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37F7E"/>
    <w:pPr>
      <w:spacing w:before="100" w:beforeAutospacing="1" w:after="100" w:afterAutospacing="1"/>
    </w:pPr>
  </w:style>
  <w:style w:type="paragraph" w:customStyle="1" w:styleId="naisnod">
    <w:name w:val="naisnod"/>
    <w:basedOn w:val="Parastais"/>
    <w:rsid w:val="00F37F7E"/>
    <w:pPr>
      <w:spacing w:before="100" w:beforeAutospacing="1" w:after="100" w:afterAutospacing="1"/>
    </w:pPr>
  </w:style>
  <w:style w:type="paragraph" w:customStyle="1" w:styleId="naiskr">
    <w:name w:val="naiskr"/>
    <w:basedOn w:val="Parastais"/>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ai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ais"/>
    <w:rsid w:val="00D23392"/>
    <w:pPr>
      <w:spacing w:before="100" w:beforeAutospacing="1" w:after="100" w:afterAutospacing="1"/>
    </w:pPr>
    <w:rPr>
      <w:lang w:val="en-GB" w:eastAsia="en-US"/>
    </w:rPr>
  </w:style>
  <w:style w:type="paragraph" w:styleId="ParastaisWeb">
    <w:name w:val="Normal (Web)"/>
    <w:basedOn w:val="Parastai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ais"/>
    <w:link w:val="KomentratekstsRakstz"/>
    <w:rsid w:val="008C1B9E"/>
    <w:rPr>
      <w:sz w:val="20"/>
      <w:szCs w:val="20"/>
    </w:rPr>
  </w:style>
  <w:style w:type="paragraph" w:styleId="Balonteksts">
    <w:name w:val="Balloon Text"/>
    <w:basedOn w:val="Parastai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ais"/>
    <w:uiPriority w:val="34"/>
    <w:qFormat/>
    <w:rsid w:val="001D3E33"/>
    <w:pPr>
      <w:ind w:left="720"/>
      <w:contextualSpacing/>
    </w:pPr>
  </w:style>
  <w:style w:type="paragraph" w:styleId="Komentratma">
    <w:name w:val="annotation subject"/>
    <w:basedOn w:val="Komentrateksts"/>
    <w:next w:val="Komentrateksts"/>
    <w:link w:val="KomentratmaRakstz"/>
    <w:rsid w:val="006C4B5E"/>
    <w:rPr>
      <w:b/>
      <w:bCs/>
    </w:rPr>
  </w:style>
  <w:style w:type="character" w:customStyle="1" w:styleId="KomentratekstsRakstz">
    <w:name w:val="Komentāra teksts Rakstz."/>
    <w:basedOn w:val="Noklusjumarindkopasfonts"/>
    <w:link w:val="Komentrateksts"/>
    <w:rsid w:val="006C4B5E"/>
  </w:style>
  <w:style w:type="character" w:customStyle="1" w:styleId="KomentratmaRakstz">
    <w:name w:val="Komentāra tēma Rakstz."/>
    <w:basedOn w:val="KomentratekstsRakstz"/>
    <w:link w:val="Komentratma"/>
    <w:rsid w:val="006C4B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paragraph" w:styleId="Virsraksts1">
    <w:name w:val="heading 1"/>
    <w:basedOn w:val="Parasts"/>
    <w:next w:val="Parasts"/>
    <w:qFormat/>
    <w:rsid w:val="0056482D"/>
    <w:pPr>
      <w:keepNext/>
      <w:jc w:val="center"/>
      <w:outlineLvl w:val="0"/>
    </w:pPr>
    <w:rPr>
      <w:b/>
      <w:bCs/>
      <w:sz w:val="28"/>
      <w:lang w:eastAsia="en-US"/>
    </w:rPr>
  </w:style>
  <w:style w:type="paragraph" w:styleId="Virsraksts2">
    <w:name w:val="heading 2"/>
    <w:basedOn w:val="Parasts"/>
    <w:next w:val="Parast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s"/>
    <w:rsid w:val="00D23392"/>
    <w:pPr>
      <w:spacing w:before="100" w:beforeAutospacing="1" w:after="100" w:afterAutospacing="1"/>
    </w:pPr>
    <w:rPr>
      <w:lang w:val="en-GB" w:eastAsia="en-US"/>
    </w:rPr>
  </w:style>
  <w:style w:type="paragraph" w:styleId="Paraststmeklis">
    <w:name w:val="Normal (Web)"/>
    <w:basedOn w:val="Parast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s"/>
    <w:link w:val="KomentratekstsRakstz"/>
    <w:rsid w:val="008C1B9E"/>
    <w:rPr>
      <w:sz w:val="20"/>
      <w:szCs w:val="20"/>
    </w:rPr>
  </w:style>
  <w:style w:type="paragraph" w:styleId="Balonteksts">
    <w:name w:val="Balloon Text"/>
    <w:basedOn w:val="Parast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s"/>
    <w:uiPriority w:val="34"/>
    <w:qFormat/>
    <w:rsid w:val="001D3E33"/>
    <w:pPr>
      <w:ind w:left="720"/>
      <w:contextualSpacing/>
    </w:pPr>
  </w:style>
  <w:style w:type="paragraph" w:styleId="Komentratma">
    <w:name w:val="annotation subject"/>
    <w:basedOn w:val="Komentrateksts"/>
    <w:next w:val="Komentrateksts"/>
    <w:link w:val="KomentratmaRakstz"/>
    <w:rsid w:val="006C4B5E"/>
    <w:rPr>
      <w:b/>
      <w:bCs/>
    </w:rPr>
  </w:style>
  <w:style w:type="character" w:customStyle="1" w:styleId="KomentratekstsRakstz">
    <w:name w:val="Komentāra teksts Rakstz."/>
    <w:basedOn w:val="Noklusjumarindkopasfonts"/>
    <w:link w:val="Komentrateksts"/>
    <w:rsid w:val="006C4B5E"/>
  </w:style>
  <w:style w:type="character" w:customStyle="1" w:styleId="KomentratmaRakstz">
    <w:name w:val="Komentāra tēma Rakstz."/>
    <w:basedOn w:val="KomentratekstsRakstz"/>
    <w:link w:val="Komentratma"/>
    <w:rsid w:val="006C4B5E"/>
    <w:rPr>
      <w:b/>
      <w:bCs/>
    </w:rPr>
  </w:style>
</w:styles>
</file>

<file path=word/webSettings.xml><?xml version="1.0" encoding="utf-8"?>
<w:webSettings xmlns:r="http://schemas.openxmlformats.org/officeDocument/2006/relationships" xmlns:w="http://schemas.openxmlformats.org/wordprocessingml/2006/main">
  <w:divs>
    <w:div w:id="1175801131">
      <w:bodyDiv w:val="1"/>
      <w:marLeft w:val="0"/>
      <w:marRight w:val="0"/>
      <w:marTop w:val="0"/>
      <w:marBottom w:val="0"/>
      <w:divBdr>
        <w:top w:val="none" w:sz="0" w:space="0" w:color="auto"/>
        <w:left w:val="none" w:sz="0" w:space="0" w:color="auto"/>
        <w:bottom w:val="none" w:sz="0" w:space="0" w:color="auto"/>
        <w:right w:val="none" w:sz="0" w:space="0" w:color="auto"/>
      </w:divBdr>
      <w:divsChild>
        <w:div w:id="1812795465">
          <w:marLeft w:val="3"/>
          <w:marRight w:val="3"/>
          <w:marTop w:val="0"/>
          <w:marBottom w:val="0"/>
          <w:divBdr>
            <w:top w:val="single" w:sz="8" w:space="0" w:color="112449"/>
            <w:left w:val="single" w:sz="8" w:space="0" w:color="112449"/>
            <w:bottom w:val="single" w:sz="8" w:space="0" w:color="112449"/>
            <w:right w:val="single" w:sz="8" w:space="0" w:color="112449"/>
          </w:divBdr>
          <w:divsChild>
            <w:div w:id="80416465">
              <w:marLeft w:val="3"/>
              <w:marRight w:val="3"/>
              <w:marTop w:val="0"/>
              <w:marBottom w:val="0"/>
              <w:divBdr>
                <w:top w:val="single" w:sz="8" w:space="0" w:color="112449"/>
                <w:left w:val="single" w:sz="8" w:space="0" w:color="112449"/>
                <w:bottom w:val="single" w:sz="8" w:space="0" w:color="112449"/>
                <w:right w:val="single" w:sz="8" w:space="0" w:color="112449"/>
              </w:divBdr>
              <w:divsChild>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sChild>
        <w:div w:id="184639753">
          <w:marLeft w:val="3"/>
          <w:marRight w:val="3"/>
          <w:marTop w:val="0"/>
          <w:marBottom w:val="0"/>
          <w:divBdr>
            <w:top w:val="single" w:sz="8" w:space="0" w:color="112449"/>
            <w:left w:val="single" w:sz="8" w:space="0" w:color="112449"/>
            <w:bottom w:val="single" w:sz="8" w:space="0" w:color="112449"/>
            <w:right w:val="single" w:sz="8" w:space="0" w:color="112449"/>
          </w:divBdr>
          <w:divsChild>
            <w:div w:id="1573006536">
              <w:marLeft w:val="3"/>
              <w:marRight w:val="3"/>
              <w:marTop w:val="0"/>
              <w:marBottom w:val="0"/>
              <w:divBdr>
                <w:top w:val="single" w:sz="8" w:space="0" w:color="112449"/>
                <w:left w:val="single" w:sz="8" w:space="0" w:color="112449"/>
                <w:bottom w:val="single" w:sz="8" w:space="0" w:color="112449"/>
                <w:right w:val="single" w:sz="8" w:space="0" w:color="112449"/>
              </w:divBdr>
              <w:divsChild>
                <w:div w:id="1730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308">
      <w:bodyDiv w:val="1"/>
      <w:marLeft w:val="0"/>
      <w:marRight w:val="0"/>
      <w:marTop w:val="0"/>
      <w:marBottom w:val="0"/>
      <w:divBdr>
        <w:top w:val="none" w:sz="0" w:space="0" w:color="auto"/>
        <w:left w:val="none" w:sz="0" w:space="0" w:color="auto"/>
        <w:bottom w:val="none" w:sz="0" w:space="0" w:color="auto"/>
        <w:right w:val="none" w:sz="0" w:space="0" w:color="auto"/>
      </w:divBdr>
      <w:divsChild>
        <w:div w:id="356539358">
          <w:marLeft w:val="3"/>
          <w:marRight w:val="3"/>
          <w:marTop w:val="0"/>
          <w:marBottom w:val="0"/>
          <w:divBdr>
            <w:top w:val="single" w:sz="8" w:space="0" w:color="112449"/>
            <w:left w:val="single" w:sz="8" w:space="0" w:color="112449"/>
            <w:bottom w:val="single" w:sz="8" w:space="0" w:color="112449"/>
            <w:right w:val="single" w:sz="8" w:space="0" w:color="112449"/>
          </w:divBdr>
          <w:divsChild>
            <w:div w:id="1352414739">
              <w:marLeft w:val="3"/>
              <w:marRight w:val="3"/>
              <w:marTop w:val="0"/>
              <w:marBottom w:val="0"/>
              <w:divBdr>
                <w:top w:val="single" w:sz="8" w:space="0" w:color="112449"/>
                <w:left w:val="single" w:sz="8" w:space="0" w:color="112449"/>
                <w:bottom w:val="single" w:sz="8" w:space="0" w:color="112449"/>
                <w:right w:val="single" w:sz="8" w:space="0" w:color="112449"/>
              </w:divBdr>
              <w:divsChild>
                <w:div w:id="1549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5686">
      <w:bodyDiv w:val="1"/>
      <w:marLeft w:val="0"/>
      <w:marRight w:val="0"/>
      <w:marTop w:val="0"/>
      <w:marBottom w:val="0"/>
      <w:divBdr>
        <w:top w:val="none" w:sz="0" w:space="0" w:color="auto"/>
        <w:left w:val="none" w:sz="0" w:space="0" w:color="auto"/>
        <w:bottom w:val="none" w:sz="0" w:space="0" w:color="auto"/>
        <w:right w:val="none" w:sz="0" w:space="0" w:color="auto"/>
      </w:divBdr>
      <w:divsChild>
        <w:div w:id="11798483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1460</Words>
  <Characters>10239</Characters>
  <Application>Microsoft Office Word</Application>
  <DocSecurity>0</DocSecurity>
  <Lines>426</Lines>
  <Paragraphs>185</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
  <Company>Zemkopības ministrija</Company>
  <LinksUpToDate>false</LinksUpToDate>
  <CharactersWithSpaces>11514</CharactersWithSpaces>
  <SharedDoc>false</SharedDoc>
  <HLinks>
    <vt:vector size="18" baseType="variant">
      <vt:variant>
        <vt:i4>3735624</vt:i4>
      </vt:variant>
      <vt:variant>
        <vt:i4>9</vt:i4>
      </vt:variant>
      <vt:variant>
        <vt:i4>0</vt:i4>
      </vt:variant>
      <vt:variant>
        <vt:i4>5</vt:i4>
      </vt:variant>
      <vt:variant>
        <vt:lpwstr>mailto:Olita.Vecuma-Veco@zm.gov.lv</vt:lpwstr>
      </vt:variant>
      <vt:variant>
        <vt:lpwstr/>
      </vt:variant>
      <vt:variant>
        <vt:i4>1835119</vt:i4>
      </vt:variant>
      <vt:variant>
        <vt:i4>3</vt:i4>
      </vt:variant>
      <vt:variant>
        <vt:i4>0</vt:i4>
      </vt:variant>
      <vt:variant>
        <vt:i4>5</vt:i4>
      </vt:variant>
      <vt:variant>
        <vt:lpwstr>http://pro.nais.lv/naiser/text.cfm?Ref=0101032005031500177&amp;Req=0101032005031500177&amp;Key=0103012001042632772&amp;Hash=2</vt:lpwstr>
      </vt:variant>
      <vt:variant>
        <vt:lpwstr>2</vt:lpwstr>
      </vt:variant>
      <vt:variant>
        <vt:i4>1835116</vt:i4>
      </vt:variant>
      <vt:variant>
        <vt:i4>0</vt:i4>
      </vt:variant>
      <vt:variant>
        <vt:i4>0</vt:i4>
      </vt:variant>
      <vt:variant>
        <vt:i4>5</vt:i4>
      </vt:variant>
      <vt:variant>
        <vt:lpwstr>http://pro.nais.lv/naiser/text.cfm?Ref=0101032005031500177&amp;Req=0101032005031500177&amp;Key=0103012001042632772&amp;Hash=1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Olita Vecuma-Veco</dc:creator>
  <cp:keywords/>
  <dc:description>Olita.Vecuma-Veco@zm.gov.lv, 67027551</dc:description>
  <cp:lastModifiedBy>Renārs Žagars</cp:lastModifiedBy>
  <cp:revision>10</cp:revision>
  <dcterms:created xsi:type="dcterms:W3CDTF">2013-08-28T09:36:00Z</dcterms:created>
  <dcterms:modified xsi:type="dcterms:W3CDTF">2013-10-03T05:28:00Z</dcterms:modified>
</cp:coreProperties>
</file>