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A5" w:rsidRPr="00DE009D" w:rsidRDefault="00001EA5" w:rsidP="00460E67">
      <w:pPr>
        <w:pStyle w:val="Pamatteksts"/>
      </w:pPr>
      <w:r w:rsidRPr="00DE009D">
        <w:rPr>
          <w:b/>
        </w:rPr>
        <w:t>Ministru kabineta noteikumu projekta</w:t>
      </w:r>
      <w:r w:rsidRPr="00DE009D">
        <w:t xml:space="preserve"> </w:t>
      </w:r>
    </w:p>
    <w:p w:rsidR="00001EA5" w:rsidRPr="00DE009D" w:rsidRDefault="00001EA5" w:rsidP="00C07263">
      <w:pPr>
        <w:pStyle w:val="naisvisr"/>
        <w:spacing w:before="0" w:after="0"/>
      </w:pPr>
      <w:r w:rsidRPr="00DE009D">
        <w:t xml:space="preserve"> „Valsts tehniskās uzraudzības aģentūras nolikums”</w:t>
      </w:r>
    </w:p>
    <w:p w:rsidR="00001EA5" w:rsidRPr="00DE009D" w:rsidRDefault="00001EA5" w:rsidP="00C07263">
      <w:pPr>
        <w:jc w:val="center"/>
        <w:rPr>
          <w:b/>
          <w:sz w:val="28"/>
          <w:szCs w:val="28"/>
        </w:rPr>
      </w:pPr>
      <w:r w:rsidRPr="00DE009D">
        <w:rPr>
          <w:b/>
          <w:sz w:val="28"/>
          <w:szCs w:val="28"/>
        </w:rPr>
        <w:t xml:space="preserve">sākotnējās ietekmes novērtējuma </w:t>
      </w:r>
      <w:smartTag w:uri="schemas-tilde-lv/tildestengine" w:element="veidnes">
        <w:smartTagPr>
          <w:attr w:name="id" w:val="-1"/>
          <w:attr w:name="baseform" w:val="ziņojum|s"/>
          <w:attr w:name="text" w:val="ziņojums"/>
        </w:smartTagPr>
        <w:r w:rsidRPr="00DE009D">
          <w:rPr>
            <w:b/>
            <w:sz w:val="28"/>
            <w:szCs w:val="28"/>
          </w:rPr>
          <w:t>ziņojums</w:t>
        </w:r>
      </w:smartTag>
      <w:r w:rsidRPr="00DE009D">
        <w:rPr>
          <w:b/>
          <w:sz w:val="28"/>
          <w:szCs w:val="28"/>
        </w:rPr>
        <w:t xml:space="preserve"> (anotācija)</w:t>
      </w:r>
    </w:p>
    <w:p w:rsidR="00001EA5" w:rsidRPr="00DE009D" w:rsidRDefault="00001EA5" w:rsidP="008B28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72"/>
        <w:gridCol w:w="5819"/>
      </w:tblGrid>
      <w:tr w:rsidR="00001EA5" w:rsidRPr="00DE009D" w:rsidTr="008953B3">
        <w:tc>
          <w:tcPr>
            <w:tcW w:w="5000" w:type="pct"/>
            <w:gridSpan w:val="3"/>
          </w:tcPr>
          <w:p w:rsidR="00001EA5" w:rsidRPr="00F06CEF" w:rsidRDefault="00001EA5" w:rsidP="00F06CEF">
            <w:pPr>
              <w:spacing w:before="100" w:beforeAutospacing="1" w:after="100" w:afterAutospacing="1" w:line="255" w:lineRule="atLeast"/>
              <w:ind w:firstLine="300"/>
              <w:jc w:val="center"/>
              <w:rPr>
                <w:rFonts w:ascii="Arial" w:hAnsi="Arial" w:cs="Arial"/>
                <w:b/>
                <w:bCs/>
                <w:sz w:val="20"/>
              </w:rPr>
            </w:pPr>
            <w:r w:rsidRPr="00DE009D">
              <w:rPr>
                <w:b/>
              </w:rPr>
              <w:t xml:space="preserve">I Tiesību </w:t>
            </w:r>
            <w:smartTag w:uri="schemas-tilde-lv/tildestengine" w:element="veidnes">
              <w:smartTagPr>
                <w:attr w:name="baseform" w:val="akt|s"/>
                <w:attr w:name="id" w:val="-1"/>
                <w:attr w:name="text" w:val="akta"/>
              </w:smartTagPr>
              <w:r w:rsidRPr="00DE009D">
                <w:rPr>
                  <w:b/>
                </w:rPr>
                <w:t>akta</w:t>
              </w:r>
            </w:smartTag>
            <w:r w:rsidRPr="00DE009D">
              <w:rPr>
                <w:b/>
              </w:rPr>
              <w:t xml:space="preserve"> projekta izstrādes nepieciešamība</w:t>
            </w:r>
          </w:p>
        </w:tc>
      </w:tr>
      <w:tr w:rsidR="00001EA5" w:rsidRPr="00DE009D" w:rsidTr="008953B3">
        <w:trPr>
          <w:trHeight w:val="425"/>
        </w:trPr>
        <w:tc>
          <w:tcPr>
            <w:tcW w:w="213" w:type="pct"/>
          </w:tcPr>
          <w:p w:rsidR="00001EA5" w:rsidRPr="00DE009D" w:rsidRDefault="00001EA5" w:rsidP="00B76D85">
            <w:r w:rsidRPr="00DE009D">
              <w:t>1.</w:t>
            </w:r>
          </w:p>
        </w:tc>
        <w:tc>
          <w:tcPr>
            <w:tcW w:w="1654" w:type="pct"/>
          </w:tcPr>
          <w:p w:rsidR="00001EA5" w:rsidRPr="00DE009D" w:rsidRDefault="00001EA5" w:rsidP="00B76D85">
            <w:r w:rsidRPr="00DE009D">
              <w:t>Pamatojums</w:t>
            </w:r>
          </w:p>
        </w:tc>
        <w:tc>
          <w:tcPr>
            <w:tcW w:w="3133" w:type="pct"/>
          </w:tcPr>
          <w:p w:rsidR="00001EA5" w:rsidRPr="00DE009D" w:rsidRDefault="00001EA5" w:rsidP="00CA659D">
            <w:pPr>
              <w:ind w:left="142" w:right="69"/>
              <w:jc w:val="both"/>
            </w:pPr>
            <w:r w:rsidRPr="00DE009D">
              <w:t>Noteikumu projekts izstrādāts atbilstoši:</w:t>
            </w:r>
          </w:p>
          <w:p w:rsidR="00001EA5" w:rsidRPr="00DE009D" w:rsidRDefault="00001EA5" w:rsidP="003D7CBB">
            <w:pPr>
              <w:ind w:right="69" w:firstLine="372"/>
              <w:jc w:val="both"/>
            </w:pPr>
            <w:r w:rsidRPr="00DE009D">
              <w:t>1) Publisko aģentūru likuma pārejas noteikumu 2.punktam;</w:t>
            </w:r>
          </w:p>
          <w:p w:rsidR="00001EA5" w:rsidRPr="00DE009D" w:rsidRDefault="00001EA5" w:rsidP="003D7CBB">
            <w:pPr>
              <w:ind w:right="69" w:firstLine="372"/>
              <w:jc w:val="both"/>
            </w:pPr>
            <w:r w:rsidRPr="00DE009D">
              <w:t>2) Valsts pārvaldes iekārtas likuma 16.panta pirmajai daļai;</w:t>
            </w:r>
          </w:p>
          <w:p w:rsidR="00001EA5" w:rsidRPr="00DE009D" w:rsidRDefault="00001EA5" w:rsidP="003D7CBB">
            <w:pPr>
              <w:ind w:right="69" w:firstLine="372"/>
              <w:jc w:val="both"/>
            </w:pPr>
            <w:r w:rsidRPr="00DE009D">
              <w:t>3) Ministru prezidenta 2009.gada 22.decembra rezolūcijas Nr.12/JUR-831 1.punktam, kurš nosaka, ka visiem ministriem līdz 2012.gada 1.decembrim jānodrošina Publisko aģentūru likuma Pārejas noteikumu 4.punktā Ministru kabinetam dotā uzdevuma izpilde;</w:t>
            </w:r>
          </w:p>
          <w:p w:rsidR="00001EA5" w:rsidRPr="00DE009D" w:rsidRDefault="00001EA5" w:rsidP="003D7CBB">
            <w:pPr>
              <w:ind w:right="69" w:firstLine="372"/>
              <w:jc w:val="both"/>
            </w:pPr>
            <w:r w:rsidRPr="00DE009D">
              <w:t xml:space="preserve">4) Valsts sekretāru sanāksmes 2012.gada 28.jūnija sēdes protokola Nr.26, 52.§ „Informatīvais </w:t>
            </w:r>
            <w:smartTag w:uri="schemas-tilde-lv/tildestengine" w:element="veidnes">
              <w:smartTagPr>
                <w:attr w:name="id" w:val="-1"/>
                <w:attr w:name="baseform" w:val="ziņojums"/>
                <w:attr w:name="text" w:val="ziņojums"/>
              </w:smartTagPr>
              <w:r w:rsidRPr="00DE009D">
                <w:t>ziņojums</w:t>
              </w:r>
            </w:smartTag>
            <w:r w:rsidRPr="00DE009D">
              <w:t xml:space="preserve"> par valsts aģentūru statusa maiņu” 2.2.1.apakšpunktam.</w:t>
            </w:r>
          </w:p>
          <w:p w:rsidR="00001EA5" w:rsidRPr="00DE009D" w:rsidRDefault="00001EA5" w:rsidP="00B36085">
            <w:pPr>
              <w:ind w:firstLine="372"/>
              <w:jc w:val="both"/>
            </w:pPr>
            <w:r w:rsidRPr="00DE009D">
              <w:t>Saskaņā ar Publisko aģentūru likuma pārejas noteikumu 2. punktu m</w:t>
            </w:r>
            <w:r w:rsidRPr="00DE009D">
              <w:rPr>
                <w:shd w:val="clear" w:color="auto" w:fill="FFFFFF"/>
              </w:rPr>
              <w:t xml:space="preserve">inistrijas izvērtē valsts aģentūru darbības atbilstību šā likuma prasībām un Ministru kabinets (turpmāk – MK) līdz 2013.gada 1.janvārim pieņem lēmumu par attiecīgās aģentūras darbības turpināšanu, aģentūras likvidēšanu vai reorganizēšanu, ievērojot Valsts pārvaldes iekārtas likuma 15.pantā noteiktās prasības. Atbilstoši šim uzdevumam Zemkopības </w:t>
            </w:r>
            <w:r w:rsidRPr="00DE009D">
              <w:t>ministrija (turpmāk – Z</w:t>
            </w:r>
            <w:r w:rsidRPr="00DE009D">
              <w:rPr>
                <w:shd w:val="clear" w:color="auto" w:fill="FFFFFF"/>
              </w:rPr>
              <w:t xml:space="preserve">M) ir sagatavojusi </w:t>
            </w:r>
            <w:r w:rsidRPr="00DE009D">
              <w:t>noteikumu projektu „Valsts tehniskās uzraudzības aģentūras nolikums” (turpmāk – noteikumu projekts).</w:t>
            </w:r>
          </w:p>
        </w:tc>
      </w:tr>
      <w:tr w:rsidR="00001EA5" w:rsidRPr="00DE009D" w:rsidTr="008953B3">
        <w:tc>
          <w:tcPr>
            <w:tcW w:w="213" w:type="pct"/>
          </w:tcPr>
          <w:p w:rsidR="00001EA5" w:rsidRPr="00DE009D" w:rsidRDefault="00001EA5" w:rsidP="00B76D85">
            <w:r w:rsidRPr="00DE009D">
              <w:t xml:space="preserve">2. </w:t>
            </w:r>
          </w:p>
        </w:tc>
        <w:tc>
          <w:tcPr>
            <w:tcW w:w="1654" w:type="pct"/>
          </w:tcPr>
          <w:p w:rsidR="00001EA5" w:rsidRPr="00DE009D" w:rsidRDefault="00001EA5" w:rsidP="00B76D85">
            <w:r w:rsidRPr="00DE009D">
              <w:t>Pašreizējā situācija un problēmas</w:t>
            </w:r>
          </w:p>
        </w:tc>
        <w:tc>
          <w:tcPr>
            <w:tcW w:w="3133" w:type="pct"/>
          </w:tcPr>
          <w:p w:rsidR="00001EA5" w:rsidRPr="00DE009D" w:rsidRDefault="00001EA5" w:rsidP="003D7CBB">
            <w:pPr>
              <w:ind w:firstLine="284"/>
              <w:jc w:val="both"/>
              <w:rPr>
                <w:shd w:val="clear" w:color="auto" w:fill="FFFFFF"/>
              </w:rPr>
            </w:pPr>
            <w:r w:rsidRPr="00DE009D">
              <w:t xml:space="preserve">Saskaņā ar Publisko aģentūru likuma pārejas noteikumu 4. punktu </w:t>
            </w:r>
            <w:r w:rsidRPr="00DE009D">
              <w:rPr>
                <w:shd w:val="clear" w:color="auto" w:fill="FFFFFF"/>
              </w:rPr>
              <w:t xml:space="preserve">MK līdz 2013.gada 1.janvārim nodrošina nepieciešamo normatīvo </w:t>
            </w:r>
            <w:smartTag w:uri="schemas-tilde-lv/tildestengine" w:element="veidnes">
              <w:smartTagPr>
                <w:attr w:name="text" w:val="aktu"/>
                <w:attr w:name="id" w:val="-1"/>
                <w:attr w:name="baseform" w:val="akt|s"/>
              </w:smartTagPr>
              <w:r w:rsidRPr="00DE009D">
                <w:rPr>
                  <w:shd w:val="clear" w:color="auto" w:fill="FFFFFF"/>
                </w:rPr>
                <w:t>aktu</w:t>
              </w:r>
            </w:smartTag>
            <w:r w:rsidRPr="00DE009D">
              <w:rPr>
                <w:shd w:val="clear" w:color="auto" w:fill="FFFFFF"/>
              </w:rPr>
              <w:t xml:space="preserve"> projektu izstrādi atbilstoši šā likuma prasībām.</w:t>
            </w:r>
          </w:p>
          <w:p w:rsidR="00001EA5" w:rsidRPr="00DE009D" w:rsidRDefault="00001EA5" w:rsidP="003D7CBB">
            <w:pPr>
              <w:ind w:firstLine="284"/>
              <w:jc w:val="both"/>
            </w:pPr>
            <w:r w:rsidRPr="00DE009D">
              <w:t xml:space="preserve">Patlaban zemkopības ministra pārraudzībā ir valsts aģentūra „Valsts tehniskās uzraudzības aģentūra” (turpmāk – iestāde), kuras darbību reglamentē MK 2011. gada 14. jūnija noteikumi Nr. 448 „Valsts aģentūras „Valsts tehniskās uzraudzības aģentūra” </w:t>
            </w:r>
            <w:smartTag w:uri="schemas-tilde-lv/tildestengine" w:element="veidnes">
              <w:smartTagPr>
                <w:attr w:name="text" w:val="nolikums"/>
                <w:attr w:name="id" w:val="-1"/>
                <w:attr w:name="baseform" w:val="nolikum|s"/>
              </w:smartTagPr>
              <w:r w:rsidRPr="00DE009D">
                <w:t>nolikums</w:t>
              </w:r>
            </w:smartTag>
            <w:r w:rsidRPr="00DE009D">
              <w:t>” (turpmāk – noteikumi Nr. 448), kas saskaņā ar Publisko aģentūru likuma pārejas noteikumu 5. punktu ir piemērojami ne ilgāk kā</w:t>
            </w:r>
            <w:r w:rsidRPr="00DE009D">
              <w:rPr>
                <w:shd w:val="clear" w:color="auto" w:fill="FFFFFF"/>
              </w:rPr>
              <w:t xml:space="preserve"> līdz 2013.gada 1.janvārim.</w:t>
            </w:r>
            <w:r w:rsidRPr="00DE009D">
              <w:t xml:space="preserve"> </w:t>
            </w:r>
          </w:p>
          <w:p w:rsidR="00001EA5" w:rsidRPr="00DE009D" w:rsidRDefault="00001EA5" w:rsidP="003D7CBB">
            <w:pPr>
              <w:ind w:right="69" w:firstLine="284"/>
              <w:jc w:val="both"/>
            </w:pPr>
            <w:r w:rsidRPr="00DE009D">
              <w:t xml:space="preserve">ZM, ievērojot Publisko aģentūru likuma pārejas noteikumu 2. punktā noteikto uzdevumu, Valsts sekretāru sanāksmes 2012.gada 28.jūnija sēdes protokola Nr.26, 52.§ „Informatīvais </w:t>
            </w:r>
            <w:smartTag w:uri="schemas-tilde-lv/tildestengine" w:element="veidnes">
              <w:smartTagPr>
                <w:attr w:name="id" w:val="-1"/>
                <w:attr w:name="baseform" w:val="ziņojums"/>
                <w:attr w:name="text" w:val="ziņojums"/>
              </w:smartTagPr>
              <w:r w:rsidRPr="00DE009D">
                <w:t>ziņojums</w:t>
              </w:r>
            </w:smartTag>
            <w:r w:rsidRPr="00DE009D">
              <w:t xml:space="preserve"> par valsts aģentūru statusa maiņu” 2.2.1.apakšpunktā un Publisko aģentūru likuma anotācijas I sadaļas 3.punktā noteikto, ir izvērtējusi iestādes veikto funkciju un tās budžeta veidošanās atbilstību Publisko aģentūru likuma prasībām.</w:t>
            </w:r>
          </w:p>
          <w:p w:rsidR="00001EA5" w:rsidRPr="00DE009D" w:rsidRDefault="00001EA5" w:rsidP="003D7CBB">
            <w:pPr>
              <w:ind w:right="69" w:firstLine="284"/>
              <w:jc w:val="both"/>
            </w:pPr>
            <w:r w:rsidRPr="00DE009D">
              <w:t xml:space="preserve">ZM, izvērtējot iestādes budžeta veidošanās atbilstību, </w:t>
            </w:r>
            <w:r w:rsidRPr="00DE009D">
              <w:lastRenderedPageBreak/>
              <w:t xml:space="preserve">ir konstatējusi, ka lielāko daļu (75%) no iestādes budžeta veido ieņēmumi no sniegtajiem maksas pakalpojumiem un dotācija (25%). Dotāciju veidā saņemtie finanšu līdzekļi tiek izlietoti valsts informatīvās sistēmas „Traktortehnikas un tās vadītāju informatīvā sistēma” uzturēšanai, traktortehnikas vadītāju apmācības procesa un tā nodrošinājuma uzraudzībai un traktortehnikas un tās piekabju tirgus uzraudzībai (15%) un sabiedrības iepazīstināšanai ar lauksaimniecības nozares attīstības vēsturi un kultūrvēsturiskā mantojuma saglabāšanai (10%). </w:t>
            </w:r>
          </w:p>
          <w:p w:rsidR="00001EA5" w:rsidRPr="00DE009D" w:rsidRDefault="00001EA5" w:rsidP="003D7CBB">
            <w:pPr>
              <w:ind w:right="69" w:firstLine="612"/>
              <w:jc w:val="both"/>
            </w:pPr>
            <w:r w:rsidRPr="00DE009D">
              <w:t>Saskaņā ar Publisko aģentūru likuma 13.panta trešo daļu valsts aģentūra normatīvajos aktos noteiktajā kārtībā patstāvīgi veido valsts aģentūras budžetu, bet iestāde veido budžetu saskaņā ar ZM noteikto vienoto kārtību un iestādes budžets ir ZM budžeta sastāvdaļa, tāpēc iestādes darbība vairāk atbilst tiešās valsts pārvaldes iestādes darbībai. Lai nodrošinātu efektīvu ZM vienotu, konsolidētu budžeta plānošanu, resursu izlietojuma caurskatāmību, resursu un prioritāšu saskaņošanu un izpildes kontroli, visas ZM padotībā esošās tiešās pārvaldes iestādes, arī šī iestāde, veic finanšu un personāla uzskaiti vienotajā grāmatvedības programmā „</w:t>
            </w:r>
            <w:proofErr w:type="spellStart"/>
            <w:r w:rsidRPr="00DE009D">
              <w:t>Horizon</w:t>
            </w:r>
            <w:proofErr w:type="spellEnd"/>
            <w:r w:rsidRPr="00DE009D">
              <w:t>”.</w:t>
            </w:r>
          </w:p>
          <w:p w:rsidR="00001EA5" w:rsidRPr="00DE009D" w:rsidRDefault="00001EA5" w:rsidP="003D7CBB">
            <w:pPr>
              <w:ind w:left="12" w:right="69" w:firstLine="612"/>
              <w:jc w:val="both"/>
            </w:pPr>
            <w:r w:rsidRPr="00DE009D">
              <w:t xml:space="preserve">Izvērtējot iestādes funkcijas, ZM konstatēja, ka no sešām iestādes kompetencē esošajām funkcijām četras funkcijas (67%) – valsts informatīvās sistēmas „Traktortehnikas un tās vadītāju informatīvā sistēma” uzturēšana, traktortehnikas vadītāju apmācības procesa un tā nodrošinājuma uzraudzība, traktortehnikas un tās piekabju tirgus uzraudzība, sabiedrības iepazīstināšana ar lauksaimniecības nozares attīstības vēsturi un kultūrvēsturiskā mantojuma saglabāšana – pārsvarā nav saistītas ar pakalpojumu sniegšanu privātpersonām. Izvērtējot ar iestādes funkcijām saistītos uzdevumus (skatīt noteikumu projekta 4.5., 4.6., 4.7., 4.10., 4.12., 4.13., 4.14., 4.15., 4.16., 4.17., 4.18., 4.19., 4.20., 4.21., 4.23., 4.24. un 4.25.apakšpunktu), ZM secināja, ka iestāde 68% </w:t>
            </w:r>
            <w:r w:rsidR="009C4A8A">
              <w:t xml:space="preserve">gadījumu </w:t>
            </w:r>
            <w:r w:rsidRPr="00DE009D">
              <w:t>veic tādus valsts pārvaldes uzdevumus, kas pārsvarā nav saistīti ar pakalpojumu sniegšanu privātpersonām.</w:t>
            </w:r>
          </w:p>
          <w:p w:rsidR="00001EA5" w:rsidRPr="00DE009D" w:rsidRDefault="00001EA5" w:rsidP="003D7CBB">
            <w:pPr>
              <w:ind w:left="12" w:right="69" w:firstLine="612"/>
              <w:jc w:val="both"/>
            </w:pPr>
            <w:r w:rsidRPr="00DE009D">
              <w:t xml:space="preserve">Iestāde </w:t>
            </w:r>
            <w:r w:rsidR="009C4A8A">
              <w:t>pilda</w:t>
            </w:r>
            <w:r w:rsidRPr="00DE009D">
              <w:t xml:space="preserve"> sabiedrībai svarīgus uzdevumus, kas nodrošina traktortehnikas un to piekabju apriti  un divu lauksaimniecības nozaru muzeju pieejamību, bet šos uzdevumus nevar pilnībā veikt tikai no aģentūras līdzekļiem.</w:t>
            </w:r>
          </w:p>
          <w:p w:rsidR="00001EA5" w:rsidRPr="00DE009D" w:rsidRDefault="00001EA5" w:rsidP="003D7CBB">
            <w:pPr>
              <w:ind w:left="12" w:right="69" w:firstLine="612"/>
              <w:jc w:val="both"/>
            </w:pPr>
            <w:r w:rsidRPr="00DE009D">
              <w:t xml:space="preserve">Iestāde nodrošina traktortehnikas un tās piekabju reģistrācijas valsts nodevas apmaksas uzskaiti un apmaksas kontroli. </w:t>
            </w:r>
          </w:p>
          <w:p w:rsidR="00001EA5" w:rsidRPr="00DE009D" w:rsidRDefault="00001EA5" w:rsidP="003D7CBB">
            <w:pPr>
              <w:ind w:left="12" w:right="69" w:firstLine="600"/>
              <w:jc w:val="both"/>
            </w:pPr>
            <w:r w:rsidRPr="00DE009D">
              <w:t xml:space="preserve">Pamatojoties uz iestādes funkciju un ar to saistīto uzdevumu izvērtējumu saskaņā ar Publisko aģentūru </w:t>
            </w:r>
            <w:r w:rsidRPr="00DE009D">
              <w:lastRenderedPageBreak/>
              <w:t xml:space="preserve">likuma anotācijas I sadaļas 3.punktu, kā arī </w:t>
            </w:r>
            <w:r w:rsidR="009C4A8A">
              <w:t>ievērojot</w:t>
            </w:r>
            <w:r w:rsidRPr="00DE009D">
              <w:t xml:space="preserve"> iestādes budžeta veidošanās un budžeta līdzekļu izlietošanas vienoto kārtību nozarē, ZM uzskata, ka iestādei efektīvāk ir darboties tiešās valsts pārvaldes iestādes statusā un valsts aģentūra „Valsts tehniskās uzraudzības aģentūra” ir pārveidojama par tiešās pārvaldes iestādi.</w:t>
            </w:r>
          </w:p>
          <w:p w:rsidR="00001EA5" w:rsidRPr="00DE009D" w:rsidRDefault="00001EA5" w:rsidP="003D7CBB">
            <w:pPr>
              <w:ind w:left="12" w:firstLine="600"/>
              <w:jc w:val="both"/>
            </w:pPr>
            <w:r w:rsidRPr="00DE009D">
              <w:t>Iestādes nosaukums netiek mainīts. Tiešās pārvaldes iestādes nosaukums turpmāk būs Valsts tehniskās uzraudzības aģentūra, sākotnējā iestādes nosaukumā svītrojot vārdkopu „valsts aģentūra”.</w:t>
            </w:r>
          </w:p>
          <w:p w:rsidR="00001EA5" w:rsidRPr="00DE009D" w:rsidRDefault="00001EA5" w:rsidP="00BB6203">
            <w:pPr>
              <w:ind w:left="12" w:firstLine="600"/>
              <w:jc w:val="both"/>
            </w:pPr>
            <w:r w:rsidRPr="00DE009D">
              <w:t>Atbilstoši Ceļu satiksmes likuma 4.panta devītajai daļai iestādes padotības forma Zemkopības ministrijai netiek mainīta.</w:t>
            </w:r>
          </w:p>
        </w:tc>
      </w:tr>
      <w:tr w:rsidR="00001EA5" w:rsidRPr="00DE009D" w:rsidTr="008953B3">
        <w:tc>
          <w:tcPr>
            <w:tcW w:w="213" w:type="pct"/>
          </w:tcPr>
          <w:p w:rsidR="00001EA5" w:rsidRPr="00DE009D" w:rsidRDefault="00001EA5" w:rsidP="00B76D85">
            <w:r w:rsidRPr="00DE009D">
              <w:lastRenderedPageBreak/>
              <w:t xml:space="preserve">3. </w:t>
            </w:r>
          </w:p>
        </w:tc>
        <w:tc>
          <w:tcPr>
            <w:tcW w:w="1654" w:type="pct"/>
          </w:tcPr>
          <w:p w:rsidR="00001EA5" w:rsidRPr="00DE009D" w:rsidRDefault="00001EA5" w:rsidP="00B76D85">
            <w:r w:rsidRPr="00DE009D">
              <w:t>Saistītie politikas ietekmes novērtējumi un pētījumi</w:t>
            </w:r>
          </w:p>
        </w:tc>
        <w:tc>
          <w:tcPr>
            <w:tcW w:w="3133" w:type="pct"/>
          </w:tcPr>
          <w:p w:rsidR="00001EA5" w:rsidRPr="00DE009D" w:rsidRDefault="00001EA5" w:rsidP="008953B3">
            <w:pPr>
              <w:ind w:firstLine="284"/>
              <w:jc w:val="both"/>
              <w:rPr>
                <w:i/>
              </w:rPr>
            </w:pPr>
            <w:r w:rsidRPr="00DE009D">
              <w:t>Projekts šo jomu neskar.</w:t>
            </w:r>
          </w:p>
        </w:tc>
      </w:tr>
      <w:tr w:rsidR="00001EA5" w:rsidRPr="00DE009D" w:rsidTr="008953B3">
        <w:tc>
          <w:tcPr>
            <w:tcW w:w="213" w:type="pct"/>
          </w:tcPr>
          <w:p w:rsidR="00001EA5" w:rsidRPr="00DE009D" w:rsidRDefault="00001EA5" w:rsidP="00B76D85">
            <w:r w:rsidRPr="00DE009D">
              <w:t>4.</w:t>
            </w:r>
          </w:p>
        </w:tc>
        <w:tc>
          <w:tcPr>
            <w:tcW w:w="1654" w:type="pct"/>
          </w:tcPr>
          <w:p w:rsidR="00001EA5" w:rsidRPr="00DE009D" w:rsidRDefault="00001EA5" w:rsidP="00B76D85">
            <w:r w:rsidRPr="00DE009D">
              <w:t>Tiesiskā regulējuma mērķis un būtība</w:t>
            </w:r>
          </w:p>
        </w:tc>
        <w:tc>
          <w:tcPr>
            <w:tcW w:w="3133" w:type="pct"/>
          </w:tcPr>
          <w:p w:rsidR="00001EA5" w:rsidRPr="00DE009D" w:rsidRDefault="00001EA5" w:rsidP="00872F7D">
            <w:pPr>
              <w:pStyle w:val="naiskr"/>
              <w:spacing w:before="120" w:after="120"/>
              <w:ind w:firstLine="567"/>
              <w:jc w:val="both"/>
            </w:pPr>
            <w:r w:rsidRPr="00DE009D">
              <w:t>Noteikumu projekta mērķis ir mainīt publiskās aģentūras statusu iestādei, precizējot iestādes nolikumu, pamatojoties uz Valsts pārvaldes iekārtas likuma 16.panta pirmo daļu.</w:t>
            </w:r>
          </w:p>
          <w:p w:rsidR="00001EA5" w:rsidRPr="00DE009D" w:rsidRDefault="00001EA5" w:rsidP="008953B3">
            <w:pPr>
              <w:ind w:firstLine="284"/>
              <w:jc w:val="both"/>
            </w:pPr>
            <w:r w:rsidRPr="00DE009D">
              <w:t xml:space="preserve">Noteikumu projektā tiek saglabātas iepriekšējās iestādes funkcijas, uzdevumi un tiesības, precizējot to formulējumu un izvietojumu. </w:t>
            </w:r>
          </w:p>
          <w:p w:rsidR="00001EA5" w:rsidRPr="00DE009D" w:rsidRDefault="00001EA5" w:rsidP="00872F7D">
            <w:pPr>
              <w:pStyle w:val="naiskr"/>
              <w:spacing w:before="0" w:after="0"/>
              <w:ind w:firstLine="567"/>
              <w:jc w:val="both"/>
            </w:pPr>
            <w:r w:rsidRPr="00DE009D">
              <w:t>Iestādei tiek saglabāts pašreizējais nosaukums, jo tas ir plaši atpazīstams gan nacionālā, gan starptautiskā mērogā.</w:t>
            </w:r>
          </w:p>
          <w:p w:rsidR="00001EA5" w:rsidRPr="00DE009D" w:rsidRDefault="00001EA5" w:rsidP="00DB3FB4">
            <w:pPr>
              <w:ind w:firstLine="720"/>
              <w:jc w:val="both"/>
            </w:pPr>
            <w:r w:rsidRPr="00DE009D">
              <w:t xml:space="preserve">Vienlaikus jāņem vērā, ka, mainot iestādes nosaukumu, būs jāizdara atbilstoši grozījumi normatīvajos aktos, tādēļ būtu lietderīgi saglabāt iestādes nosaukumu, svītrojot vārdus „valsts aģentūra” pirms nosaukuma. </w:t>
            </w:r>
          </w:p>
          <w:p w:rsidR="00001EA5" w:rsidRPr="00DE009D" w:rsidRDefault="00001EA5" w:rsidP="00531EF8">
            <w:pPr>
              <w:ind w:firstLine="720"/>
              <w:jc w:val="both"/>
            </w:pPr>
            <w:r w:rsidRPr="00DE009D">
              <w:t xml:space="preserve">Plānots, ka noteikumu projekts stāsies spēkā 2013.gada 1.janvārī, ievērojot Valsts sekretāru sanāksmes 2012. gada 28. jūnija </w:t>
            </w:r>
            <w:proofErr w:type="spellStart"/>
            <w:r w:rsidRPr="00DE009D">
              <w:t>protokollēmumā</w:t>
            </w:r>
            <w:proofErr w:type="spellEnd"/>
            <w:r w:rsidRPr="00DE009D">
              <w:t xml:space="preserve"> (prot. Nr. 26, 52. §) noteikto.</w:t>
            </w:r>
          </w:p>
        </w:tc>
      </w:tr>
      <w:tr w:rsidR="00001EA5" w:rsidRPr="00DE009D" w:rsidTr="008953B3">
        <w:tc>
          <w:tcPr>
            <w:tcW w:w="213" w:type="pct"/>
          </w:tcPr>
          <w:p w:rsidR="00001EA5" w:rsidRPr="00DE009D" w:rsidRDefault="00001EA5" w:rsidP="00B76D85">
            <w:r w:rsidRPr="00DE009D">
              <w:t>5.</w:t>
            </w:r>
          </w:p>
        </w:tc>
        <w:tc>
          <w:tcPr>
            <w:tcW w:w="1654" w:type="pct"/>
          </w:tcPr>
          <w:p w:rsidR="00001EA5" w:rsidRPr="00DE009D" w:rsidRDefault="00001EA5" w:rsidP="00B76D85">
            <w:r w:rsidRPr="00DE009D">
              <w:t>Projekta izstrādē iesaistītās institūcijas</w:t>
            </w:r>
          </w:p>
        </w:tc>
        <w:tc>
          <w:tcPr>
            <w:tcW w:w="3133" w:type="pct"/>
          </w:tcPr>
          <w:p w:rsidR="00001EA5" w:rsidRPr="00DE009D" w:rsidRDefault="00001EA5" w:rsidP="008953B3">
            <w:pPr>
              <w:ind w:firstLine="284"/>
              <w:jc w:val="both"/>
            </w:pPr>
            <w:r w:rsidRPr="00DE009D">
              <w:rPr>
                <w:iCs/>
              </w:rPr>
              <w:t>ZM, iestāde</w:t>
            </w:r>
          </w:p>
        </w:tc>
      </w:tr>
      <w:tr w:rsidR="00001EA5" w:rsidRPr="00DE009D" w:rsidTr="008953B3">
        <w:tc>
          <w:tcPr>
            <w:tcW w:w="213" w:type="pct"/>
          </w:tcPr>
          <w:p w:rsidR="00001EA5" w:rsidRPr="00DE009D" w:rsidRDefault="00001EA5" w:rsidP="00B76D85">
            <w:r w:rsidRPr="00DE009D">
              <w:t>6.</w:t>
            </w:r>
          </w:p>
        </w:tc>
        <w:tc>
          <w:tcPr>
            <w:tcW w:w="1654" w:type="pct"/>
          </w:tcPr>
          <w:p w:rsidR="00001EA5" w:rsidRPr="00DE009D" w:rsidRDefault="00001EA5" w:rsidP="00B76D85">
            <w:r w:rsidRPr="00DE009D">
              <w:t>Iemesli, kādēļ netika nodrošināta sabiedrības līdzdalība</w:t>
            </w:r>
          </w:p>
        </w:tc>
        <w:tc>
          <w:tcPr>
            <w:tcW w:w="3133" w:type="pct"/>
          </w:tcPr>
          <w:p w:rsidR="00001EA5" w:rsidRPr="00DE009D" w:rsidRDefault="00001EA5" w:rsidP="00F16521">
            <w:pPr>
              <w:ind w:firstLine="284"/>
              <w:jc w:val="both"/>
            </w:pPr>
            <w:r w:rsidRPr="00DE009D">
              <w:rPr>
                <w:iCs/>
              </w:rPr>
              <w:t>Noteikumu projekts paredz iestādes iekšēju reorganizāciju un statusa maiņu, kas neietekmē iestādes darbību</w:t>
            </w:r>
            <w:r w:rsidRPr="00DE009D">
              <w:t xml:space="preserve">, </w:t>
            </w:r>
            <w:r w:rsidRPr="00DE009D">
              <w:rPr>
                <w:iCs/>
              </w:rPr>
              <w:t>tāpēc noteikumu projekts uz sabiedrību tiešā veidā neattiecas.</w:t>
            </w:r>
          </w:p>
        </w:tc>
      </w:tr>
      <w:tr w:rsidR="00001EA5" w:rsidRPr="00DE009D" w:rsidTr="008B2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 w:type="pct"/>
            <w:tcBorders>
              <w:left w:val="single" w:sz="4" w:space="0" w:color="auto"/>
              <w:right w:val="single" w:sz="4" w:space="0" w:color="auto"/>
            </w:tcBorders>
          </w:tcPr>
          <w:p w:rsidR="00001EA5" w:rsidRPr="00DE009D" w:rsidRDefault="00001EA5" w:rsidP="00B76D85">
            <w:r w:rsidRPr="00DE009D">
              <w:t xml:space="preserve">7. </w:t>
            </w:r>
          </w:p>
        </w:tc>
        <w:tc>
          <w:tcPr>
            <w:tcW w:w="1654" w:type="pct"/>
            <w:tcBorders>
              <w:left w:val="single" w:sz="4" w:space="0" w:color="auto"/>
              <w:right w:val="single" w:sz="4" w:space="0" w:color="auto"/>
            </w:tcBorders>
          </w:tcPr>
          <w:p w:rsidR="00001EA5" w:rsidRPr="00DE009D" w:rsidRDefault="00001EA5" w:rsidP="00B76D85">
            <w:r w:rsidRPr="00DE009D">
              <w:t>Cita informācija</w:t>
            </w:r>
          </w:p>
        </w:tc>
        <w:tc>
          <w:tcPr>
            <w:tcW w:w="3133" w:type="pct"/>
            <w:tcBorders>
              <w:left w:val="single" w:sz="4" w:space="0" w:color="auto"/>
              <w:right w:val="single" w:sz="4" w:space="0" w:color="auto"/>
            </w:tcBorders>
          </w:tcPr>
          <w:p w:rsidR="00001EA5" w:rsidRPr="00DE009D" w:rsidRDefault="00001EA5" w:rsidP="008953B3">
            <w:pPr>
              <w:autoSpaceDE w:val="0"/>
              <w:autoSpaceDN w:val="0"/>
              <w:adjustRightInd w:val="0"/>
              <w:jc w:val="both"/>
            </w:pPr>
            <w:r w:rsidRPr="00DE009D">
              <w:t>Nav</w:t>
            </w:r>
          </w:p>
        </w:tc>
      </w:tr>
      <w:tr w:rsidR="00001EA5" w:rsidRPr="00DE009D" w:rsidTr="00B63468">
        <w:tc>
          <w:tcPr>
            <w:tcW w:w="213" w:type="pct"/>
            <w:tcBorders>
              <w:left w:val="nil"/>
              <w:bottom w:val="nil"/>
              <w:right w:val="nil"/>
            </w:tcBorders>
          </w:tcPr>
          <w:p w:rsidR="00001EA5" w:rsidRPr="00DE009D" w:rsidRDefault="00001EA5" w:rsidP="00B76D85"/>
        </w:tc>
        <w:tc>
          <w:tcPr>
            <w:tcW w:w="4787" w:type="pct"/>
            <w:gridSpan w:val="2"/>
            <w:tcBorders>
              <w:left w:val="nil"/>
              <w:bottom w:val="nil"/>
              <w:right w:val="nil"/>
            </w:tcBorders>
          </w:tcPr>
          <w:p w:rsidR="00001EA5" w:rsidRPr="00DE009D" w:rsidRDefault="00001EA5" w:rsidP="00B63468">
            <w:pPr>
              <w:rPr>
                <w:rFonts w:ascii="Helv" w:hAnsi="Helv" w:cs="Helv"/>
                <w:sz w:val="20"/>
                <w:szCs w:val="20"/>
              </w:rPr>
            </w:pPr>
            <w:r w:rsidRPr="00DE009D">
              <w:t>Anotācijas II, III un VI sadaļa</w:t>
            </w:r>
            <w:bookmarkStart w:id="0" w:name="_GoBack"/>
            <w:bookmarkEnd w:id="0"/>
            <w:r w:rsidR="009C4A8A">
              <w:t xml:space="preserve"> –</w:t>
            </w:r>
            <w:r w:rsidRPr="00DE009D">
              <w:t xml:space="preserve"> projekts šo jomu neskar</w:t>
            </w:r>
            <w:r w:rsidR="009C4A8A">
              <w:t>.</w:t>
            </w:r>
          </w:p>
        </w:tc>
      </w:tr>
    </w:tbl>
    <w:p w:rsidR="00001EA5" w:rsidRPr="00DE009D" w:rsidRDefault="00001EA5" w:rsidP="00682F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001EA5" w:rsidRPr="00DE009D" w:rsidTr="00712BFB">
        <w:trPr>
          <w:trHeight w:val="429"/>
          <w:jc w:val="center"/>
        </w:trPr>
        <w:tc>
          <w:tcPr>
            <w:tcW w:w="5000" w:type="pct"/>
            <w:gridSpan w:val="3"/>
          </w:tcPr>
          <w:p w:rsidR="00001EA5" w:rsidRPr="00DE009D" w:rsidRDefault="00001EA5" w:rsidP="00F06CEF">
            <w:pPr>
              <w:pStyle w:val="naisnod"/>
              <w:spacing w:before="0" w:after="0"/>
              <w:rPr>
                <w:b w:val="0"/>
              </w:rPr>
            </w:pPr>
            <w:r w:rsidRPr="00DE009D">
              <w:t>IV</w:t>
            </w:r>
            <w:r w:rsidRPr="00DE009D">
              <w:rPr>
                <w:b w:val="0"/>
              </w:rPr>
              <w:t xml:space="preserve">. </w:t>
            </w:r>
            <w:r w:rsidRPr="00DE009D">
              <w:t>Tiesību</w:t>
            </w:r>
            <w:r w:rsidRPr="00DE009D">
              <w:rPr>
                <w:b w:val="0"/>
              </w:rPr>
              <w:t xml:space="preserve"> </w:t>
            </w:r>
            <w:r w:rsidRPr="00DE009D">
              <w:t>akta</w:t>
            </w:r>
            <w:r w:rsidRPr="00DE009D">
              <w:rPr>
                <w:b w:val="0"/>
              </w:rPr>
              <w:t xml:space="preserve"> </w:t>
            </w:r>
            <w:r w:rsidRPr="00DE009D">
              <w:t>projekta</w:t>
            </w:r>
            <w:r w:rsidRPr="00DE009D">
              <w:rPr>
                <w:b w:val="0"/>
              </w:rPr>
              <w:t xml:space="preserve"> </w:t>
            </w:r>
            <w:r w:rsidRPr="00DE009D">
              <w:t>ietekme</w:t>
            </w:r>
            <w:r w:rsidRPr="00DE009D">
              <w:rPr>
                <w:b w:val="0"/>
              </w:rPr>
              <w:t xml:space="preserve"> </w:t>
            </w:r>
            <w:r w:rsidRPr="00DE009D">
              <w:t>uz</w:t>
            </w:r>
            <w:r w:rsidRPr="00DE009D">
              <w:rPr>
                <w:b w:val="0"/>
              </w:rPr>
              <w:t xml:space="preserve"> </w:t>
            </w:r>
            <w:r w:rsidRPr="00DE009D">
              <w:t>spēkā</w:t>
            </w:r>
            <w:r w:rsidRPr="00DE009D">
              <w:rPr>
                <w:b w:val="0"/>
              </w:rPr>
              <w:t xml:space="preserve"> </w:t>
            </w:r>
            <w:r w:rsidRPr="00DE009D">
              <w:t>esošo</w:t>
            </w:r>
            <w:r w:rsidRPr="00DE009D">
              <w:rPr>
                <w:b w:val="0"/>
              </w:rPr>
              <w:t xml:space="preserve"> </w:t>
            </w:r>
            <w:r w:rsidRPr="00DE009D">
              <w:t>tiesību</w:t>
            </w:r>
            <w:r w:rsidRPr="00DE009D">
              <w:rPr>
                <w:b w:val="0"/>
              </w:rPr>
              <w:t xml:space="preserve"> </w:t>
            </w:r>
            <w:r w:rsidRPr="00DE009D">
              <w:t>normu</w:t>
            </w:r>
            <w:r w:rsidRPr="00DE009D">
              <w:rPr>
                <w:b w:val="0"/>
              </w:rPr>
              <w:t xml:space="preserve"> </w:t>
            </w:r>
            <w:r w:rsidRPr="00DE009D">
              <w:t>sistēmu</w:t>
            </w:r>
          </w:p>
        </w:tc>
      </w:tr>
      <w:tr w:rsidR="00001EA5" w:rsidRPr="00DE009D" w:rsidTr="00712BFB">
        <w:trPr>
          <w:jc w:val="center"/>
        </w:trPr>
        <w:tc>
          <w:tcPr>
            <w:tcW w:w="322" w:type="pct"/>
          </w:tcPr>
          <w:p w:rsidR="00001EA5" w:rsidRPr="00DE009D" w:rsidRDefault="00001EA5" w:rsidP="00712BFB">
            <w:pPr>
              <w:pStyle w:val="naiskr"/>
              <w:tabs>
                <w:tab w:val="left" w:pos="2628"/>
              </w:tabs>
              <w:spacing w:before="0" w:after="0"/>
              <w:jc w:val="both"/>
              <w:rPr>
                <w:iCs/>
              </w:rPr>
            </w:pPr>
            <w:r w:rsidRPr="00DE009D">
              <w:rPr>
                <w:iCs/>
              </w:rPr>
              <w:t>1.</w:t>
            </w:r>
          </w:p>
        </w:tc>
        <w:tc>
          <w:tcPr>
            <w:tcW w:w="1586" w:type="pct"/>
          </w:tcPr>
          <w:p w:rsidR="00001EA5" w:rsidRPr="00DE009D" w:rsidRDefault="00001EA5" w:rsidP="00712BFB">
            <w:pPr>
              <w:pStyle w:val="naiskr"/>
              <w:tabs>
                <w:tab w:val="left" w:pos="2628"/>
              </w:tabs>
              <w:spacing w:before="0" w:after="0"/>
              <w:jc w:val="both"/>
              <w:rPr>
                <w:iCs/>
              </w:rPr>
            </w:pPr>
            <w:r w:rsidRPr="00DE009D">
              <w:t>Nepieciešamie saistītie tiesību aktu projekti</w:t>
            </w:r>
          </w:p>
        </w:tc>
        <w:tc>
          <w:tcPr>
            <w:tcW w:w="3092" w:type="pct"/>
          </w:tcPr>
          <w:p w:rsidR="00001EA5" w:rsidRPr="00DE009D" w:rsidRDefault="00001EA5" w:rsidP="00B809A1">
            <w:pPr>
              <w:pStyle w:val="naiskr"/>
              <w:tabs>
                <w:tab w:val="left" w:pos="2628"/>
              </w:tabs>
              <w:spacing w:before="0" w:after="0"/>
              <w:ind w:firstLine="567"/>
              <w:jc w:val="both"/>
              <w:rPr>
                <w:iCs/>
              </w:rPr>
            </w:pPr>
            <w:r w:rsidRPr="00DE009D">
              <w:rPr>
                <w:iCs/>
              </w:rPr>
              <w:t>Pieņemot noteikumu projektu, par spēku zaudējušiem tiks atzīti Ministru kabineta 2011.gada 14.jūnija noteikumi Nr.448 „Valsts aģentūras „Valsts tehniskās uzraudzības aģentūra” nolikums”.</w:t>
            </w:r>
          </w:p>
          <w:p w:rsidR="00001EA5" w:rsidRPr="00DE009D" w:rsidRDefault="00001EA5" w:rsidP="00190720">
            <w:pPr>
              <w:pStyle w:val="naiskr"/>
              <w:tabs>
                <w:tab w:val="left" w:pos="2628"/>
              </w:tabs>
              <w:spacing w:before="0" w:after="0"/>
              <w:ind w:firstLine="567"/>
              <w:jc w:val="both"/>
              <w:rPr>
                <w:iCs/>
              </w:rPr>
            </w:pPr>
            <w:r w:rsidRPr="00DE009D">
              <w:rPr>
                <w:iCs/>
              </w:rPr>
              <w:lastRenderedPageBreak/>
              <w:t>Nepieciešami grozījumi šādos Ministru kabineta noteikumos, kuros iestādes nosaukumā ir ietverti vārdi „valsts aģentūra”:</w:t>
            </w:r>
          </w:p>
          <w:p w:rsidR="00001EA5" w:rsidRPr="00DE009D" w:rsidRDefault="00001EA5" w:rsidP="00732326">
            <w:pPr>
              <w:pStyle w:val="naiskr"/>
              <w:tabs>
                <w:tab w:val="left" w:pos="2628"/>
              </w:tabs>
              <w:spacing w:before="0" w:after="0"/>
              <w:ind w:firstLine="567"/>
              <w:jc w:val="both"/>
              <w:rPr>
                <w:bCs/>
              </w:rPr>
            </w:pPr>
            <w:r w:rsidRPr="00DE009D">
              <w:rPr>
                <w:bCs/>
              </w:rPr>
              <w:t>1)</w:t>
            </w:r>
            <w:hyperlink r:id="rId7" w:tgtFrame="_blank" w:history="1">
              <w:r w:rsidRPr="00DE009D">
                <w:rPr>
                  <w:rStyle w:val="Hipersaite"/>
                  <w:bCs/>
                  <w:color w:val="auto"/>
                  <w:u w:val="none"/>
                </w:rPr>
                <w:t xml:space="preserve"> Ministru kabineta 2010.gada 2.marta noteikumos Nr.206 „Noteikumi par prasībām komersantiem, izglītības iestādēm un speciālistiem, kuri nodrošina traktortehnikas vadītāju apmācību, traktortehnikas vadītāju apmācības programmām, kā arī apmācību kontroles kārtību</w:t>
              </w:r>
            </w:hyperlink>
            <w:r w:rsidRPr="00DE009D">
              <w:t>”</w:t>
            </w:r>
            <w:r w:rsidRPr="00DE009D">
              <w:rPr>
                <w:bCs/>
              </w:rPr>
              <w:t>;</w:t>
            </w:r>
          </w:p>
          <w:p w:rsidR="00001EA5" w:rsidRPr="00DE009D" w:rsidRDefault="00001EA5" w:rsidP="00732326">
            <w:pPr>
              <w:pStyle w:val="naiskr"/>
              <w:tabs>
                <w:tab w:val="left" w:pos="2628"/>
              </w:tabs>
              <w:spacing w:before="0" w:after="0"/>
              <w:ind w:firstLine="567"/>
              <w:jc w:val="both"/>
              <w:rPr>
                <w:bCs/>
              </w:rPr>
            </w:pPr>
            <w:r w:rsidRPr="00DE009D">
              <w:t>2)</w:t>
            </w:r>
            <w:r w:rsidRPr="00DE009D">
              <w:rPr>
                <w:bCs/>
              </w:rPr>
              <w:t xml:space="preserve"> Ministru kabineta 2012.gada 24.jūlija noteikumos Nr. 522 „</w:t>
            </w:r>
            <w:hyperlink r:id="rId8" w:tgtFrame="_blank" w:history="1">
              <w:r w:rsidRPr="00DE009D">
                <w:rPr>
                  <w:rStyle w:val="Hipersaite"/>
                  <w:bCs/>
                  <w:color w:val="auto"/>
                  <w:u w:val="none"/>
                </w:rPr>
                <w:t>Noteikumi par valsts aģentūras "Valsts tehniskās uzraudzības aģentūra" sniegto publisko maksas pakalpojumu cenrādi</w:t>
              </w:r>
            </w:hyperlink>
            <w:r w:rsidRPr="00DE009D">
              <w:rPr>
                <w:bCs/>
              </w:rPr>
              <w:t>”;</w:t>
            </w:r>
          </w:p>
          <w:p w:rsidR="00001EA5" w:rsidRPr="00DE009D" w:rsidRDefault="00001EA5" w:rsidP="00732326">
            <w:pPr>
              <w:pStyle w:val="naiskr"/>
              <w:tabs>
                <w:tab w:val="left" w:pos="2628"/>
              </w:tabs>
              <w:spacing w:before="0" w:after="0"/>
              <w:ind w:firstLine="567"/>
              <w:jc w:val="both"/>
              <w:rPr>
                <w:bCs/>
              </w:rPr>
            </w:pPr>
            <w:r w:rsidRPr="00DE009D">
              <w:t>3)</w:t>
            </w:r>
            <w:r w:rsidRPr="00DE009D">
              <w:rPr>
                <w:bCs/>
              </w:rPr>
              <w:t xml:space="preserve"> </w:t>
            </w:r>
            <w:hyperlink r:id="rId9" w:tgtFrame="_blank" w:history="1">
              <w:r w:rsidRPr="00DE009D">
                <w:rPr>
                  <w:rStyle w:val="Hipersaite"/>
                  <w:bCs/>
                  <w:color w:val="auto"/>
                  <w:u w:val="none"/>
                </w:rPr>
                <w:t>Ministru kabineta 2009.gada 29.septembra noteikumos Nr.1123 „Traktortehnikas vadītāja tiesību iegūšanas un atjaunošanas, kā arī traktortehnikas vadītāja apliecības izsniegšanas, apmaiņas un atjaunošanas kārtība”</w:t>
              </w:r>
            </w:hyperlink>
            <w:r w:rsidRPr="00DE009D">
              <w:rPr>
                <w:bCs/>
              </w:rPr>
              <w:t>;</w:t>
            </w:r>
          </w:p>
          <w:p w:rsidR="00001EA5" w:rsidRPr="00DE009D" w:rsidRDefault="00001EA5" w:rsidP="00732326">
            <w:pPr>
              <w:pStyle w:val="naiskr"/>
              <w:tabs>
                <w:tab w:val="left" w:pos="2628"/>
              </w:tabs>
              <w:spacing w:before="0" w:after="0"/>
              <w:ind w:firstLine="567"/>
              <w:jc w:val="both"/>
              <w:rPr>
                <w:bCs/>
              </w:rPr>
            </w:pPr>
            <w:r w:rsidRPr="00DE009D">
              <w:rPr>
                <w:bCs/>
              </w:rPr>
              <w:t>4) Ministru kabineta 2011.gada 30.augusta noteikumos Nr. 669 „</w:t>
            </w:r>
            <w:hyperlink r:id="rId10" w:tgtFrame="_blank" w:history="1">
              <w:r w:rsidRPr="00DE009D">
                <w:rPr>
                  <w:rStyle w:val="Hipersaite"/>
                  <w:bCs/>
                  <w:color w:val="auto"/>
                  <w:u w:val="none"/>
                </w:rPr>
                <w:t>Noteikumi par traktortehnikas un tās piekabju reģistrācijas valsts nodevu</w:t>
              </w:r>
            </w:hyperlink>
            <w:r w:rsidRPr="00DE009D">
              <w:rPr>
                <w:bCs/>
              </w:rPr>
              <w:t>”;</w:t>
            </w:r>
          </w:p>
          <w:p w:rsidR="00001EA5" w:rsidRPr="00DE009D" w:rsidRDefault="00001EA5" w:rsidP="00732326">
            <w:pPr>
              <w:pStyle w:val="naiskr"/>
              <w:tabs>
                <w:tab w:val="left" w:pos="2628"/>
              </w:tabs>
              <w:spacing w:before="0" w:after="0"/>
              <w:ind w:firstLine="567"/>
              <w:jc w:val="both"/>
              <w:rPr>
                <w:bCs/>
              </w:rPr>
            </w:pPr>
            <w:r w:rsidRPr="00DE009D">
              <w:rPr>
                <w:bCs/>
              </w:rPr>
              <w:t>5) Ministru kabineta 2010.gada 12.maija noteikumos Nr.435 „Traktortehnikas un tās piekabju reģistrācijas noteikumi”;</w:t>
            </w:r>
          </w:p>
          <w:p w:rsidR="00001EA5" w:rsidRPr="00DE009D" w:rsidRDefault="00001EA5" w:rsidP="00732326">
            <w:pPr>
              <w:pStyle w:val="naiskr"/>
              <w:tabs>
                <w:tab w:val="left" w:pos="2628"/>
              </w:tabs>
              <w:spacing w:before="0" w:after="0"/>
              <w:ind w:firstLine="567"/>
              <w:jc w:val="both"/>
              <w:rPr>
                <w:bCs/>
              </w:rPr>
            </w:pPr>
            <w:r w:rsidRPr="00DE009D">
              <w:rPr>
                <w:bCs/>
              </w:rPr>
              <w:t>6) Ministru kabineta 2009.gada 13.janvāra noteikumos Nr.30 „Noteikumi par traktortehnikas un tās piekabju valsts tehnisko apskati un tehnisko kontroli uz ceļiem”;</w:t>
            </w:r>
          </w:p>
          <w:p w:rsidR="00001EA5" w:rsidRPr="00DE009D" w:rsidRDefault="00001EA5" w:rsidP="00732326">
            <w:pPr>
              <w:pStyle w:val="naiskr"/>
              <w:tabs>
                <w:tab w:val="left" w:pos="2628"/>
              </w:tabs>
              <w:spacing w:before="0" w:after="0"/>
              <w:ind w:firstLine="567"/>
              <w:jc w:val="both"/>
              <w:rPr>
                <w:bCs/>
              </w:rPr>
            </w:pPr>
            <w:r w:rsidRPr="00DE009D">
              <w:rPr>
                <w:bCs/>
              </w:rPr>
              <w:t>7) Ministru kabineta 2007.gada 18.decembra noteikumos Nr.897 „</w:t>
            </w:r>
            <w:hyperlink r:id="rId11" w:tgtFrame="_blank" w:history="1">
              <w:r w:rsidRPr="00DE009D">
                <w:rPr>
                  <w:rStyle w:val="Hipersaite"/>
                  <w:bCs/>
                  <w:color w:val="auto"/>
                  <w:u w:val="none"/>
                </w:rPr>
                <w:t>Noteikumi par traktortehnikas, tās piekabju un numurēto agregātu tirdzniecības vietas reģistrācijas kārtību un tirdzniecības prasībām, kā arī tirdzniecības valsts reģistrācijas numura zīmju izmantošanas kārtību</w:t>
              </w:r>
            </w:hyperlink>
            <w:r w:rsidRPr="00DE009D">
              <w:rPr>
                <w:bCs/>
              </w:rPr>
              <w:t>”;</w:t>
            </w:r>
          </w:p>
          <w:p w:rsidR="00001EA5" w:rsidRPr="00DE009D" w:rsidRDefault="00001EA5" w:rsidP="00732326">
            <w:pPr>
              <w:pStyle w:val="naiskr"/>
              <w:tabs>
                <w:tab w:val="left" w:pos="2628"/>
              </w:tabs>
              <w:spacing w:before="0" w:after="0"/>
              <w:ind w:firstLine="567"/>
              <w:jc w:val="both"/>
              <w:rPr>
                <w:bCs/>
                <w:sz w:val="28"/>
                <w:szCs w:val="28"/>
              </w:rPr>
            </w:pPr>
            <w:r w:rsidRPr="00DE009D">
              <w:rPr>
                <w:bCs/>
              </w:rPr>
              <w:t>8) Ministru kabineta 2006.gada 27.jūnija noteikumos Nr.535 „</w:t>
            </w:r>
            <w:hyperlink r:id="rId12" w:tgtFrame="_blank" w:history="1">
              <w:r w:rsidRPr="00DE009D">
                <w:rPr>
                  <w:rStyle w:val="Hipersaite"/>
                  <w:bCs/>
                  <w:color w:val="auto"/>
                  <w:u w:val="none"/>
                </w:rPr>
                <w:t>Lauksaimniecībā vai mežsaimniecībā izmantojamo traktoru, piekabju un to sastāvdaļu atbilstības novērtēšanas noteikumi</w:t>
              </w:r>
            </w:hyperlink>
            <w:r w:rsidRPr="00DE009D">
              <w:rPr>
                <w:bCs/>
                <w:sz w:val="28"/>
                <w:szCs w:val="28"/>
              </w:rPr>
              <w:t>”;</w:t>
            </w:r>
          </w:p>
          <w:p w:rsidR="00001EA5" w:rsidRPr="00DE009D" w:rsidRDefault="00001EA5" w:rsidP="00732326">
            <w:pPr>
              <w:pStyle w:val="naiskr"/>
              <w:tabs>
                <w:tab w:val="left" w:pos="2628"/>
              </w:tabs>
              <w:spacing w:before="0" w:after="0"/>
              <w:ind w:firstLine="567"/>
              <w:jc w:val="both"/>
              <w:rPr>
                <w:bCs/>
              </w:rPr>
            </w:pPr>
            <w:r w:rsidRPr="00DE009D">
              <w:rPr>
                <w:bCs/>
              </w:rPr>
              <w:t>9) Ministru kabineta 2003.gada 29.aprīļa noteikumos Nr.245 „Zemkopības ministrijas nolikums”;</w:t>
            </w:r>
          </w:p>
          <w:p w:rsidR="00001EA5" w:rsidRPr="00DE009D" w:rsidRDefault="00001EA5" w:rsidP="00732326">
            <w:pPr>
              <w:pStyle w:val="naiskr"/>
              <w:tabs>
                <w:tab w:val="left" w:pos="2628"/>
              </w:tabs>
              <w:spacing w:before="0" w:after="0"/>
              <w:ind w:firstLine="567"/>
              <w:jc w:val="both"/>
              <w:rPr>
                <w:rStyle w:val="Hipersaite"/>
                <w:bCs/>
                <w:color w:val="auto"/>
                <w:u w:val="none"/>
              </w:rPr>
            </w:pPr>
            <w:r w:rsidRPr="00DE009D">
              <w:rPr>
                <w:bCs/>
              </w:rPr>
              <w:t>10)</w:t>
            </w:r>
            <w:r w:rsidRPr="00DE009D">
              <w:rPr>
                <w:rStyle w:val="Virsraksts1Rakstz"/>
                <w:rFonts w:ascii="Times New Roman" w:hAnsi="Times New Roman"/>
                <w:bCs/>
                <w:sz w:val="24"/>
              </w:rPr>
              <w:t xml:space="preserve"> </w:t>
            </w:r>
            <w:r w:rsidRPr="00DE009D">
              <w:rPr>
                <w:rStyle w:val="Hipersaite"/>
                <w:bCs/>
                <w:color w:val="auto"/>
                <w:u w:val="none"/>
              </w:rPr>
              <w:t>Ministru kabineta 2002.gada 16.jūlija noteikumos Nr.300 „Noteikumi par informācijas institūcijām attiecībā uz reglamentētajām profesijām”;</w:t>
            </w:r>
          </w:p>
          <w:p w:rsidR="00001EA5" w:rsidRPr="00DE009D" w:rsidRDefault="00001EA5" w:rsidP="00732326">
            <w:pPr>
              <w:pStyle w:val="naiskr"/>
              <w:tabs>
                <w:tab w:val="left" w:pos="2628"/>
              </w:tabs>
              <w:spacing w:before="0" w:after="0"/>
              <w:ind w:firstLine="567"/>
              <w:jc w:val="both"/>
              <w:rPr>
                <w:rStyle w:val="Hipersaite"/>
                <w:bCs/>
                <w:color w:val="auto"/>
                <w:u w:val="none"/>
              </w:rPr>
            </w:pPr>
            <w:r w:rsidRPr="00DE009D">
              <w:rPr>
                <w:rStyle w:val="Hipersaite"/>
                <w:bCs/>
                <w:color w:val="auto"/>
                <w:u w:val="none"/>
              </w:rPr>
              <w:t>11) Ministru kabineta 2004.gada 9.novembra noteikumos Nr.911 „Tirgus uzraudzības padomes nolikums”.</w:t>
            </w:r>
          </w:p>
          <w:p w:rsidR="00001EA5" w:rsidRPr="00DE009D" w:rsidRDefault="00001EA5" w:rsidP="00871FF3">
            <w:pPr>
              <w:pStyle w:val="naiskr"/>
              <w:spacing w:before="0" w:after="0"/>
              <w:jc w:val="both"/>
            </w:pPr>
            <w:r w:rsidRPr="00DE009D">
              <w:t>Minētie grozījumi normatīvajos aktos tiks izdarīti, kad tos grozīs pēc būtības.</w:t>
            </w:r>
          </w:p>
          <w:p w:rsidR="00001EA5" w:rsidRPr="00DE009D" w:rsidRDefault="00001EA5" w:rsidP="00871FF3">
            <w:pPr>
              <w:jc w:val="both"/>
            </w:pPr>
            <w:r w:rsidRPr="00DE009D">
              <w:t>Par grozījumiem minētajos normatīvajos aktos ir atbildīga Zemkopības ministrija.</w:t>
            </w:r>
          </w:p>
        </w:tc>
      </w:tr>
      <w:tr w:rsidR="00001EA5" w:rsidRPr="00DE009D" w:rsidTr="00712BFB">
        <w:trPr>
          <w:jc w:val="center"/>
        </w:trPr>
        <w:tc>
          <w:tcPr>
            <w:tcW w:w="322" w:type="pct"/>
          </w:tcPr>
          <w:p w:rsidR="00001EA5" w:rsidRPr="00DE009D" w:rsidRDefault="00001EA5" w:rsidP="00712BFB">
            <w:pPr>
              <w:pStyle w:val="naiskr"/>
              <w:tabs>
                <w:tab w:val="left" w:pos="2628"/>
              </w:tabs>
              <w:spacing w:before="0" w:after="0"/>
              <w:jc w:val="both"/>
              <w:rPr>
                <w:iCs/>
              </w:rPr>
            </w:pPr>
            <w:r w:rsidRPr="00DE009D">
              <w:rPr>
                <w:iCs/>
              </w:rPr>
              <w:lastRenderedPageBreak/>
              <w:t>2.</w:t>
            </w:r>
          </w:p>
        </w:tc>
        <w:tc>
          <w:tcPr>
            <w:tcW w:w="1586" w:type="pct"/>
          </w:tcPr>
          <w:p w:rsidR="00001EA5" w:rsidRPr="00DE009D" w:rsidRDefault="00001EA5" w:rsidP="00712BFB">
            <w:pPr>
              <w:pStyle w:val="naiskr"/>
              <w:tabs>
                <w:tab w:val="left" w:pos="2628"/>
              </w:tabs>
              <w:spacing w:before="0" w:after="0"/>
              <w:jc w:val="both"/>
              <w:rPr>
                <w:iCs/>
              </w:rPr>
            </w:pPr>
            <w:r w:rsidRPr="00DE009D">
              <w:t>Cita informācija</w:t>
            </w:r>
          </w:p>
        </w:tc>
        <w:tc>
          <w:tcPr>
            <w:tcW w:w="3092" w:type="pct"/>
          </w:tcPr>
          <w:p w:rsidR="00001EA5" w:rsidRPr="00DE009D" w:rsidRDefault="00001EA5" w:rsidP="00712BFB">
            <w:pPr>
              <w:pStyle w:val="naiskr"/>
              <w:tabs>
                <w:tab w:val="left" w:pos="2628"/>
              </w:tabs>
              <w:spacing w:before="0" w:after="0"/>
              <w:ind w:firstLine="567"/>
              <w:jc w:val="both"/>
              <w:rPr>
                <w:iCs/>
              </w:rPr>
            </w:pPr>
            <w:r w:rsidRPr="00DE009D">
              <w:t>Nav</w:t>
            </w:r>
          </w:p>
        </w:tc>
      </w:tr>
    </w:tbl>
    <w:p w:rsidR="00001EA5" w:rsidRPr="00DE009D" w:rsidRDefault="00001EA5" w:rsidP="00682FBE"/>
    <w:p w:rsidR="00001EA5" w:rsidRPr="00DE009D" w:rsidRDefault="00001EA5" w:rsidP="00682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032"/>
        <w:gridCol w:w="4859"/>
      </w:tblGrid>
      <w:tr w:rsidR="00001EA5" w:rsidRPr="00DE009D" w:rsidTr="008953B3">
        <w:tc>
          <w:tcPr>
            <w:tcW w:w="9287" w:type="dxa"/>
            <w:gridSpan w:val="3"/>
          </w:tcPr>
          <w:p w:rsidR="00001EA5" w:rsidRPr="00DE009D" w:rsidRDefault="00001EA5" w:rsidP="008953B3">
            <w:pPr>
              <w:jc w:val="center"/>
              <w:rPr>
                <w:b/>
              </w:rPr>
            </w:pPr>
            <w:r w:rsidRPr="00DE009D">
              <w:rPr>
                <w:b/>
              </w:rPr>
              <w:t>VII. Tiesību akta projekta izpildes nodrošināšana un tās ietekme uz institūcijām</w:t>
            </w:r>
          </w:p>
        </w:tc>
      </w:tr>
      <w:tr w:rsidR="00001EA5" w:rsidRPr="00DE009D" w:rsidTr="008953B3">
        <w:tc>
          <w:tcPr>
            <w:tcW w:w="396" w:type="dxa"/>
          </w:tcPr>
          <w:p w:rsidR="00001EA5" w:rsidRPr="00DE009D" w:rsidRDefault="00001EA5" w:rsidP="00242D7D">
            <w:r w:rsidRPr="00DE009D">
              <w:t xml:space="preserve">1. </w:t>
            </w:r>
          </w:p>
        </w:tc>
        <w:tc>
          <w:tcPr>
            <w:tcW w:w="4032" w:type="dxa"/>
          </w:tcPr>
          <w:p w:rsidR="00001EA5" w:rsidRPr="00DE009D" w:rsidRDefault="00001EA5" w:rsidP="00242D7D">
            <w:r w:rsidRPr="00DE009D">
              <w:t>Projekta izpildē iesaistītās institūcijas</w:t>
            </w:r>
          </w:p>
        </w:tc>
        <w:tc>
          <w:tcPr>
            <w:tcW w:w="4859" w:type="dxa"/>
          </w:tcPr>
          <w:p w:rsidR="00001EA5" w:rsidRPr="00DE009D" w:rsidRDefault="00001EA5" w:rsidP="008953B3">
            <w:pPr>
              <w:ind w:firstLine="284"/>
              <w:jc w:val="both"/>
              <w:rPr>
                <w:i/>
              </w:rPr>
            </w:pPr>
            <w:r w:rsidRPr="00DE009D">
              <w:t xml:space="preserve"> Iestāde</w:t>
            </w:r>
          </w:p>
        </w:tc>
      </w:tr>
      <w:tr w:rsidR="00001EA5" w:rsidRPr="00DE009D" w:rsidTr="008953B3">
        <w:tc>
          <w:tcPr>
            <w:tcW w:w="396" w:type="dxa"/>
          </w:tcPr>
          <w:p w:rsidR="00001EA5" w:rsidRPr="00DE009D" w:rsidRDefault="00001EA5" w:rsidP="00242D7D">
            <w:r w:rsidRPr="00DE009D">
              <w:t xml:space="preserve">2. </w:t>
            </w:r>
          </w:p>
        </w:tc>
        <w:tc>
          <w:tcPr>
            <w:tcW w:w="4032" w:type="dxa"/>
          </w:tcPr>
          <w:p w:rsidR="00001EA5" w:rsidRPr="00DE009D" w:rsidRDefault="00001EA5" w:rsidP="00242D7D">
            <w:r w:rsidRPr="00DE009D">
              <w:t>Projekta izpildes ietekme uz pārvaldes funkcijām</w:t>
            </w:r>
          </w:p>
        </w:tc>
        <w:tc>
          <w:tcPr>
            <w:tcW w:w="4859" w:type="dxa"/>
          </w:tcPr>
          <w:p w:rsidR="00001EA5" w:rsidRPr="00DE009D" w:rsidRDefault="00001EA5" w:rsidP="009C026D">
            <w:pPr>
              <w:jc w:val="both"/>
              <w:rPr>
                <w:i/>
              </w:rPr>
            </w:pPr>
            <w:r w:rsidRPr="00DE009D">
              <w:t>Iestādes funkcijas un uzdevumi netiek paplašināti vai sašaurināti.</w:t>
            </w:r>
          </w:p>
        </w:tc>
      </w:tr>
      <w:tr w:rsidR="00001EA5" w:rsidRPr="00DE009D" w:rsidTr="008953B3">
        <w:tc>
          <w:tcPr>
            <w:tcW w:w="396" w:type="dxa"/>
          </w:tcPr>
          <w:p w:rsidR="00001EA5" w:rsidRPr="00DE009D" w:rsidRDefault="00001EA5" w:rsidP="00242D7D">
            <w:r w:rsidRPr="00DE009D">
              <w:t>3.</w:t>
            </w:r>
          </w:p>
        </w:tc>
        <w:tc>
          <w:tcPr>
            <w:tcW w:w="4032" w:type="dxa"/>
          </w:tcPr>
          <w:p w:rsidR="00001EA5" w:rsidRPr="00DE009D" w:rsidRDefault="00001EA5" w:rsidP="00242D7D">
            <w:r w:rsidRPr="00DE009D">
              <w:t>Projekta izpildes ietekme uz pārvaldes institucionālo struktūru.</w:t>
            </w:r>
          </w:p>
          <w:p w:rsidR="00001EA5" w:rsidRPr="00DE009D" w:rsidRDefault="00001EA5" w:rsidP="00242D7D">
            <w:r w:rsidRPr="00DE009D">
              <w:t>Jaunu institūciju izveide.</w:t>
            </w:r>
          </w:p>
        </w:tc>
        <w:tc>
          <w:tcPr>
            <w:tcW w:w="4859" w:type="dxa"/>
          </w:tcPr>
          <w:p w:rsidR="00001EA5" w:rsidRPr="00DE009D" w:rsidRDefault="00001EA5" w:rsidP="008953B3">
            <w:pPr>
              <w:pStyle w:val="naiskr"/>
              <w:spacing w:before="0" w:after="0"/>
              <w:ind w:firstLine="284"/>
              <w:jc w:val="both"/>
            </w:pPr>
            <w:r w:rsidRPr="00DE009D">
              <w:t>Projekts šo jomu neskar.</w:t>
            </w:r>
          </w:p>
        </w:tc>
      </w:tr>
      <w:tr w:rsidR="00001EA5" w:rsidRPr="00DE009D" w:rsidTr="008953B3">
        <w:tc>
          <w:tcPr>
            <w:tcW w:w="396" w:type="dxa"/>
          </w:tcPr>
          <w:p w:rsidR="00001EA5" w:rsidRPr="00DE009D" w:rsidRDefault="00001EA5" w:rsidP="00242D7D">
            <w:r w:rsidRPr="00DE009D">
              <w:t>4.</w:t>
            </w:r>
          </w:p>
        </w:tc>
        <w:tc>
          <w:tcPr>
            <w:tcW w:w="4032" w:type="dxa"/>
          </w:tcPr>
          <w:p w:rsidR="00001EA5" w:rsidRPr="00DE009D" w:rsidRDefault="00001EA5" w:rsidP="00242D7D">
            <w:r w:rsidRPr="00DE009D">
              <w:t>Projekta izpildes ietekme uz pārvaldes institucionālo struktūru.</w:t>
            </w:r>
          </w:p>
          <w:p w:rsidR="00001EA5" w:rsidRPr="00DE009D" w:rsidRDefault="00001EA5" w:rsidP="00242D7D">
            <w:r w:rsidRPr="00DE009D">
              <w:t>Esošo institūciju likvidācija.</w:t>
            </w:r>
          </w:p>
        </w:tc>
        <w:tc>
          <w:tcPr>
            <w:tcW w:w="4859" w:type="dxa"/>
          </w:tcPr>
          <w:p w:rsidR="00001EA5" w:rsidRPr="00DE009D" w:rsidRDefault="00001EA5" w:rsidP="008953B3">
            <w:pPr>
              <w:pStyle w:val="naiskr"/>
              <w:spacing w:before="0" w:after="0"/>
              <w:ind w:firstLine="284"/>
              <w:jc w:val="both"/>
            </w:pPr>
            <w:r w:rsidRPr="00DE009D">
              <w:t>Projekts šo jomu neskar.</w:t>
            </w:r>
          </w:p>
        </w:tc>
      </w:tr>
      <w:tr w:rsidR="00001EA5" w:rsidRPr="00DE009D" w:rsidTr="008953B3">
        <w:tc>
          <w:tcPr>
            <w:tcW w:w="396" w:type="dxa"/>
          </w:tcPr>
          <w:p w:rsidR="00001EA5" w:rsidRPr="00DE009D" w:rsidRDefault="00001EA5" w:rsidP="00242D7D">
            <w:r w:rsidRPr="00DE009D">
              <w:t>5.</w:t>
            </w:r>
          </w:p>
        </w:tc>
        <w:tc>
          <w:tcPr>
            <w:tcW w:w="4032" w:type="dxa"/>
          </w:tcPr>
          <w:p w:rsidR="00001EA5" w:rsidRPr="00DE009D" w:rsidRDefault="00001EA5" w:rsidP="00242D7D">
            <w:r w:rsidRPr="00DE009D">
              <w:t>Projekta izpildes ietekme uz pārvaldes institucionālo struktūru.</w:t>
            </w:r>
          </w:p>
          <w:p w:rsidR="00001EA5" w:rsidRPr="00DE009D" w:rsidRDefault="00001EA5" w:rsidP="00242D7D">
            <w:r w:rsidRPr="00DE009D">
              <w:t>Esošo institūciju reorganizācija.</w:t>
            </w:r>
          </w:p>
        </w:tc>
        <w:tc>
          <w:tcPr>
            <w:tcW w:w="4859" w:type="dxa"/>
          </w:tcPr>
          <w:p w:rsidR="00001EA5" w:rsidRPr="00DE009D" w:rsidRDefault="00001EA5" w:rsidP="008953B3">
            <w:pPr>
              <w:pStyle w:val="naiskr"/>
              <w:spacing w:before="0" w:after="0"/>
              <w:ind w:firstLine="284"/>
              <w:jc w:val="both"/>
            </w:pPr>
            <w:r w:rsidRPr="00DE009D">
              <w:t>Projekts šo jomu neskar.</w:t>
            </w:r>
            <w:r w:rsidRPr="00DE009D" w:rsidDel="00AF3DE8">
              <w:t xml:space="preserve"> </w:t>
            </w:r>
          </w:p>
        </w:tc>
      </w:tr>
      <w:tr w:rsidR="00001EA5" w:rsidRPr="00DE009D" w:rsidTr="008953B3">
        <w:trPr>
          <w:trHeight w:val="437"/>
        </w:trPr>
        <w:tc>
          <w:tcPr>
            <w:tcW w:w="396" w:type="dxa"/>
          </w:tcPr>
          <w:p w:rsidR="00001EA5" w:rsidRPr="00DE009D" w:rsidRDefault="00001EA5" w:rsidP="00C07263">
            <w:r w:rsidRPr="00DE009D">
              <w:t xml:space="preserve">6. </w:t>
            </w:r>
          </w:p>
        </w:tc>
        <w:tc>
          <w:tcPr>
            <w:tcW w:w="4032" w:type="dxa"/>
          </w:tcPr>
          <w:p w:rsidR="00001EA5" w:rsidRPr="00DE009D" w:rsidRDefault="00001EA5" w:rsidP="00C07263">
            <w:r w:rsidRPr="00DE009D">
              <w:t>Cita informācija</w:t>
            </w:r>
          </w:p>
        </w:tc>
        <w:tc>
          <w:tcPr>
            <w:tcW w:w="4859" w:type="dxa"/>
          </w:tcPr>
          <w:p w:rsidR="00001EA5" w:rsidRPr="00DE009D" w:rsidRDefault="00001EA5" w:rsidP="008953B3">
            <w:pPr>
              <w:ind w:firstLine="284"/>
              <w:jc w:val="both"/>
            </w:pPr>
            <w:r w:rsidRPr="00DE009D">
              <w:t>Nav.</w:t>
            </w:r>
          </w:p>
        </w:tc>
      </w:tr>
    </w:tbl>
    <w:p w:rsidR="00001EA5" w:rsidRDefault="00001EA5" w:rsidP="0007325C"/>
    <w:p w:rsidR="00F06CEF" w:rsidRDefault="00F06CEF" w:rsidP="0007325C"/>
    <w:p w:rsidR="00F06CEF" w:rsidRPr="00DE009D" w:rsidRDefault="00F06CEF" w:rsidP="0007325C"/>
    <w:p w:rsidR="00001EA5" w:rsidRPr="00DE009D" w:rsidRDefault="00001EA5" w:rsidP="0007325C"/>
    <w:p w:rsidR="00001EA5" w:rsidRPr="00DE009D" w:rsidRDefault="00F06CEF" w:rsidP="00F06CEF">
      <w:pPr>
        <w:ind w:firstLine="720"/>
        <w:rPr>
          <w:sz w:val="28"/>
          <w:szCs w:val="28"/>
          <w:lang w:eastAsia="en-US"/>
        </w:rPr>
      </w:pPr>
      <w:r>
        <w:rPr>
          <w:sz w:val="28"/>
          <w:szCs w:val="28"/>
          <w:lang w:eastAsia="en-US"/>
        </w:rPr>
        <w:t>Zemkopības ministre</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001EA5" w:rsidRPr="00DE009D">
        <w:rPr>
          <w:sz w:val="28"/>
          <w:szCs w:val="28"/>
          <w:lang w:eastAsia="en-US"/>
        </w:rPr>
        <w:tab/>
        <w:t>L.Straujuma</w:t>
      </w:r>
    </w:p>
    <w:p w:rsidR="00001EA5" w:rsidRPr="00DE009D" w:rsidRDefault="00001EA5" w:rsidP="008B288C">
      <w:pPr>
        <w:rPr>
          <w:sz w:val="20"/>
          <w:szCs w:val="20"/>
          <w:lang w:eastAsia="en-US"/>
        </w:rPr>
      </w:pPr>
    </w:p>
    <w:p w:rsidR="00001EA5" w:rsidRPr="00DE009D" w:rsidRDefault="00001EA5" w:rsidP="00F06CEF">
      <w:pPr>
        <w:jc w:val="cente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001EA5" w:rsidRPr="00DE009D" w:rsidRDefault="00001EA5" w:rsidP="008B288C">
      <w:pPr>
        <w:rPr>
          <w:sz w:val="20"/>
          <w:szCs w:val="20"/>
          <w:lang w:eastAsia="en-US"/>
        </w:rPr>
      </w:pPr>
    </w:p>
    <w:p w:rsidR="00F06CEF" w:rsidRDefault="00F06CEF" w:rsidP="008B288C">
      <w:pPr>
        <w:rPr>
          <w:sz w:val="20"/>
          <w:szCs w:val="20"/>
          <w:lang w:eastAsia="en-US"/>
        </w:rPr>
      </w:pPr>
      <w:r>
        <w:rPr>
          <w:sz w:val="20"/>
          <w:szCs w:val="20"/>
          <w:lang w:eastAsia="en-US"/>
        </w:rPr>
        <w:t>2012.12.05. 12:41</w:t>
      </w:r>
    </w:p>
    <w:p w:rsidR="00F06CEF" w:rsidRDefault="00F06CEF" w:rsidP="008B288C">
      <w:pPr>
        <w:rPr>
          <w:sz w:val="20"/>
          <w:szCs w:val="20"/>
        </w:rPr>
      </w:pPr>
      <w:fldSimple w:instr=" NUMWORDS   \* MERGEFORMAT ">
        <w:r>
          <w:rPr>
            <w:noProof/>
            <w:sz w:val="20"/>
            <w:szCs w:val="20"/>
          </w:rPr>
          <w:t>1213</w:t>
        </w:r>
      </w:fldSimple>
    </w:p>
    <w:p w:rsidR="00001EA5" w:rsidRPr="00DE009D" w:rsidRDefault="00001EA5" w:rsidP="008B288C">
      <w:pPr>
        <w:rPr>
          <w:sz w:val="20"/>
          <w:szCs w:val="20"/>
        </w:rPr>
      </w:pPr>
      <w:r w:rsidRPr="00DE009D">
        <w:rPr>
          <w:sz w:val="20"/>
          <w:szCs w:val="20"/>
        </w:rPr>
        <w:t>G.Melkins</w:t>
      </w:r>
    </w:p>
    <w:p w:rsidR="00001EA5" w:rsidRPr="00DE009D" w:rsidRDefault="00001EA5" w:rsidP="002659EE">
      <w:pPr>
        <w:rPr>
          <w:sz w:val="20"/>
          <w:szCs w:val="20"/>
        </w:rPr>
      </w:pPr>
      <w:r w:rsidRPr="00DE009D">
        <w:rPr>
          <w:sz w:val="20"/>
          <w:szCs w:val="20"/>
        </w:rPr>
        <w:t>67027207, Gints.Melkins@zm.gov.lv</w:t>
      </w:r>
    </w:p>
    <w:sectPr w:rsidR="00001EA5" w:rsidRPr="00DE009D" w:rsidSect="00F06CEF">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FF" w:rsidRDefault="00ED11FF">
      <w:r>
        <w:separator/>
      </w:r>
    </w:p>
  </w:endnote>
  <w:endnote w:type="continuationSeparator" w:id="0">
    <w:p w:rsidR="00ED11FF" w:rsidRDefault="00ED1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A5" w:rsidRDefault="00001EA5">
    <w:pPr>
      <w:pStyle w:val="Kjene"/>
    </w:pPr>
    <w:r>
      <w:rPr>
        <w:sz w:val="20"/>
      </w:rPr>
      <w:t>ZMAnot_0512</w:t>
    </w:r>
    <w:r w:rsidRPr="00CA50BC">
      <w:rPr>
        <w:sz w:val="20"/>
      </w:rPr>
      <w:t>12_nolikums; Ministru kabineta noteikumu projekts „Valsts tehniskās uzraudzības aģentūra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A5" w:rsidRDefault="00001EA5">
    <w:pPr>
      <w:pStyle w:val="Kjene"/>
    </w:pPr>
    <w:r>
      <w:rPr>
        <w:sz w:val="20"/>
      </w:rPr>
      <w:t>ZMAnot_0512</w:t>
    </w:r>
    <w:r w:rsidRPr="00CA50BC">
      <w:rPr>
        <w:sz w:val="20"/>
      </w:rPr>
      <w:t>12_nolikums; Ministru kabineta noteikumu projekts „Valsts tehniskās uzraudzības aģentūra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FF" w:rsidRDefault="00ED11FF">
      <w:r>
        <w:separator/>
      </w:r>
    </w:p>
  </w:footnote>
  <w:footnote w:type="continuationSeparator" w:id="0">
    <w:p w:rsidR="00ED11FF" w:rsidRDefault="00ED1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A5" w:rsidRDefault="00B41DAC" w:rsidP="00242D7D">
    <w:pPr>
      <w:pStyle w:val="Galvene"/>
      <w:framePr w:wrap="around" w:vAnchor="text" w:hAnchor="margin" w:xAlign="center" w:y="1"/>
      <w:rPr>
        <w:rStyle w:val="Lappusesnumurs"/>
      </w:rPr>
    </w:pPr>
    <w:r>
      <w:rPr>
        <w:rStyle w:val="Lappusesnumurs"/>
      </w:rPr>
      <w:fldChar w:fldCharType="begin"/>
    </w:r>
    <w:r w:rsidR="00001EA5">
      <w:rPr>
        <w:rStyle w:val="Lappusesnumurs"/>
      </w:rPr>
      <w:instrText xml:space="preserve">PAGE  </w:instrText>
    </w:r>
    <w:r>
      <w:rPr>
        <w:rStyle w:val="Lappusesnumurs"/>
      </w:rPr>
      <w:fldChar w:fldCharType="end"/>
    </w:r>
  </w:p>
  <w:p w:rsidR="00001EA5" w:rsidRDefault="00001EA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A5" w:rsidRDefault="00B41DAC" w:rsidP="00242D7D">
    <w:pPr>
      <w:pStyle w:val="Galvene"/>
      <w:framePr w:wrap="around" w:vAnchor="text" w:hAnchor="margin" w:xAlign="center" w:y="1"/>
      <w:rPr>
        <w:rStyle w:val="Lappusesnumurs"/>
      </w:rPr>
    </w:pPr>
    <w:r>
      <w:rPr>
        <w:rStyle w:val="Lappusesnumurs"/>
      </w:rPr>
      <w:fldChar w:fldCharType="begin"/>
    </w:r>
    <w:r w:rsidR="00001EA5">
      <w:rPr>
        <w:rStyle w:val="Lappusesnumurs"/>
      </w:rPr>
      <w:instrText xml:space="preserve">PAGE  </w:instrText>
    </w:r>
    <w:r>
      <w:rPr>
        <w:rStyle w:val="Lappusesnumurs"/>
      </w:rPr>
      <w:fldChar w:fldCharType="separate"/>
    </w:r>
    <w:r w:rsidR="00F06CEF">
      <w:rPr>
        <w:rStyle w:val="Lappusesnumurs"/>
        <w:noProof/>
      </w:rPr>
      <w:t>5</w:t>
    </w:r>
    <w:r>
      <w:rPr>
        <w:rStyle w:val="Lappusesnumurs"/>
      </w:rPr>
      <w:fldChar w:fldCharType="end"/>
    </w:r>
  </w:p>
  <w:p w:rsidR="00001EA5" w:rsidRDefault="00001EA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C87"/>
    <w:multiLevelType w:val="hybridMultilevel"/>
    <w:tmpl w:val="BDC6F220"/>
    <w:lvl w:ilvl="0" w:tplc="F822B68C">
      <w:start w:val="1"/>
      <w:numFmt w:val="bullet"/>
      <w:lvlText w:val=""/>
      <w:lvlJc w:val="left"/>
      <w:pPr>
        <w:tabs>
          <w:tab w:val="num" w:pos="1004"/>
        </w:tabs>
        <w:ind w:left="1004" w:hanging="360"/>
      </w:pPr>
      <w:rPr>
        <w:rFonts w:ascii="Symbol" w:hAnsi="Symbol" w:hint="default"/>
        <w:sz w:val="16"/>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1">
    <w:nsid w:val="26D91799"/>
    <w:multiLevelType w:val="hybridMultilevel"/>
    <w:tmpl w:val="DE32C8F6"/>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
    <w:nsid w:val="2AF66AAF"/>
    <w:multiLevelType w:val="multilevel"/>
    <w:tmpl w:val="6526BC4A"/>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F6A2A47"/>
    <w:multiLevelType w:val="hybridMultilevel"/>
    <w:tmpl w:val="5788872A"/>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5">
    <w:nsid w:val="478B71E0"/>
    <w:multiLevelType w:val="hybridMultilevel"/>
    <w:tmpl w:val="EF148A72"/>
    <w:lvl w:ilvl="0" w:tplc="93F82FC4">
      <w:start w:val="1"/>
      <w:numFmt w:val="bullet"/>
      <w:lvlText w:val=""/>
      <w:lvlJc w:val="left"/>
      <w:pPr>
        <w:tabs>
          <w:tab w:val="num" w:pos="1004"/>
        </w:tabs>
        <w:ind w:left="1004" w:hanging="360"/>
      </w:pPr>
      <w:rPr>
        <w:rFonts w:ascii="Wingdings" w:eastAsia="Times New Roman"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6">
    <w:nsid w:val="4D197503"/>
    <w:multiLevelType w:val="hybridMultilevel"/>
    <w:tmpl w:val="6526BC4A"/>
    <w:lvl w:ilvl="0" w:tplc="E24ACA60">
      <w:start w:val="1"/>
      <w:numFmt w:val="bullet"/>
      <w:lvlText w:val=""/>
      <w:lvlJc w:val="left"/>
      <w:pPr>
        <w:tabs>
          <w:tab w:val="num" w:pos="1004"/>
        </w:tabs>
        <w:ind w:left="1004" w:hanging="360"/>
      </w:pPr>
      <w:rPr>
        <w:rFonts w:ascii="Wingdings" w:hAnsi="Wingdings"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7">
    <w:nsid w:val="54F04AFD"/>
    <w:multiLevelType w:val="hybridMultilevel"/>
    <w:tmpl w:val="FD0428C4"/>
    <w:lvl w:ilvl="0" w:tplc="93F82FC4">
      <w:start w:val="1"/>
      <w:numFmt w:val="bullet"/>
      <w:lvlText w:val=""/>
      <w:lvlJc w:val="left"/>
      <w:pPr>
        <w:tabs>
          <w:tab w:val="num" w:pos="1060"/>
        </w:tabs>
        <w:ind w:left="1060" w:hanging="360"/>
      </w:pPr>
      <w:rPr>
        <w:rFonts w:ascii="Wingdings" w:eastAsia="Times New Roman" w:hAnsi="Wingdings" w:hint="default"/>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6D85"/>
    <w:rsid w:val="00001EA5"/>
    <w:rsid w:val="0000204C"/>
    <w:rsid w:val="000058CA"/>
    <w:rsid w:val="00010050"/>
    <w:rsid w:val="00014889"/>
    <w:rsid w:val="0002026E"/>
    <w:rsid w:val="000222B6"/>
    <w:rsid w:val="00022ECC"/>
    <w:rsid w:val="00024887"/>
    <w:rsid w:val="00025AFF"/>
    <w:rsid w:val="000277BE"/>
    <w:rsid w:val="0002791E"/>
    <w:rsid w:val="00033D21"/>
    <w:rsid w:val="00034711"/>
    <w:rsid w:val="000404DF"/>
    <w:rsid w:val="00042A77"/>
    <w:rsid w:val="00043389"/>
    <w:rsid w:val="00043481"/>
    <w:rsid w:val="00046F88"/>
    <w:rsid w:val="000525E3"/>
    <w:rsid w:val="000569AF"/>
    <w:rsid w:val="00057193"/>
    <w:rsid w:val="0006002A"/>
    <w:rsid w:val="00060CD5"/>
    <w:rsid w:val="00061819"/>
    <w:rsid w:val="00063327"/>
    <w:rsid w:val="00065FDF"/>
    <w:rsid w:val="00067BC2"/>
    <w:rsid w:val="0007325C"/>
    <w:rsid w:val="00074D8A"/>
    <w:rsid w:val="00076857"/>
    <w:rsid w:val="0008141E"/>
    <w:rsid w:val="000821DA"/>
    <w:rsid w:val="00082AB7"/>
    <w:rsid w:val="00084CB0"/>
    <w:rsid w:val="00084E4E"/>
    <w:rsid w:val="00087F68"/>
    <w:rsid w:val="00092C78"/>
    <w:rsid w:val="000A1BC2"/>
    <w:rsid w:val="000A222B"/>
    <w:rsid w:val="000A3D8D"/>
    <w:rsid w:val="000B34C0"/>
    <w:rsid w:val="000B3F4F"/>
    <w:rsid w:val="000B7319"/>
    <w:rsid w:val="000C2959"/>
    <w:rsid w:val="000C486A"/>
    <w:rsid w:val="000D1E2E"/>
    <w:rsid w:val="000D255B"/>
    <w:rsid w:val="000D2A90"/>
    <w:rsid w:val="000E1397"/>
    <w:rsid w:val="000E3A0E"/>
    <w:rsid w:val="000E3DE0"/>
    <w:rsid w:val="000E74EA"/>
    <w:rsid w:val="000E7A47"/>
    <w:rsid w:val="000F402C"/>
    <w:rsid w:val="00101BF5"/>
    <w:rsid w:val="00103195"/>
    <w:rsid w:val="00106643"/>
    <w:rsid w:val="001067B4"/>
    <w:rsid w:val="00106806"/>
    <w:rsid w:val="0011024B"/>
    <w:rsid w:val="0011375E"/>
    <w:rsid w:val="00115437"/>
    <w:rsid w:val="00115461"/>
    <w:rsid w:val="001202D4"/>
    <w:rsid w:val="0012151E"/>
    <w:rsid w:val="00124EF8"/>
    <w:rsid w:val="001254A5"/>
    <w:rsid w:val="00127B2E"/>
    <w:rsid w:val="00132B1B"/>
    <w:rsid w:val="00134002"/>
    <w:rsid w:val="001360BD"/>
    <w:rsid w:val="00137146"/>
    <w:rsid w:val="00142C80"/>
    <w:rsid w:val="00144BE2"/>
    <w:rsid w:val="00144F94"/>
    <w:rsid w:val="00146DCD"/>
    <w:rsid w:val="001508C8"/>
    <w:rsid w:val="00151C84"/>
    <w:rsid w:val="00164D9E"/>
    <w:rsid w:val="00166B75"/>
    <w:rsid w:val="001703A7"/>
    <w:rsid w:val="00170E63"/>
    <w:rsid w:val="00175A03"/>
    <w:rsid w:val="00175FCC"/>
    <w:rsid w:val="00177A3D"/>
    <w:rsid w:val="00180812"/>
    <w:rsid w:val="00181470"/>
    <w:rsid w:val="001816B9"/>
    <w:rsid w:val="00185786"/>
    <w:rsid w:val="0018713E"/>
    <w:rsid w:val="00190720"/>
    <w:rsid w:val="00191E82"/>
    <w:rsid w:val="00192731"/>
    <w:rsid w:val="00194614"/>
    <w:rsid w:val="001A36DA"/>
    <w:rsid w:val="001B0F2E"/>
    <w:rsid w:val="001B5E77"/>
    <w:rsid w:val="001C2E90"/>
    <w:rsid w:val="001C306C"/>
    <w:rsid w:val="001C36B2"/>
    <w:rsid w:val="001C51DE"/>
    <w:rsid w:val="001C5510"/>
    <w:rsid w:val="001C5DA6"/>
    <w:rsid w:val="001C67A6"/>
    <w:rsid w:val="001C6E61"/>
    <w:rsid w:val="001D1B18"/>
    <w:rsid w:val="001D3FBC"/>
    <w:rsid w:val="001D6CDE"/>
    <w:rsid w:val="001E37AF"/>
    <w:rsid w:val="001E3C0D"/>
    <w:rsid w:val="001E746E"/>
    <w:rsid w:val="001F1133"/>
    <w:rsid w:val="001F3B89"/>
    <w:rsid w:val="001F655E"/>
    <w:rsid w:val="001F7C91"/>
    <w:rsid w:val="00205BC9"/>
    <w:rsid w:val="002078E6"/>
    <w:rsid w:val="00210216"/>
    <w:rsid w:val="00211CB7"/>
    <w:rsid w:val="002124C6"/>
    <w:rsid w:val="00215369"/>
    <w:rsid w:val="00217009"/>
    <w:rsid w:val="002175D9"/>
    <w:rsid w:val="0022305A"/>
    <w:rsid w:val="00224542"/>
    <w:rsid w:val="0022698A"/>
    <w:rsid w:val="00227F6F"/>
    <w:rsid w:val="002303B0"/>
    <w:rsid w:val="00230BD3"/>
    <w:rsid w:val="00231332"/>
    <w:rsid w:val="002323B1"/>
    <w:rsid w:val="002358F3"/>
    <w:rsid w:val="00242D7D"/>
    <w:rsid w:val="00244849"/>
    <w:rsid w:val="00252213"/>
    <w:rsid w:val="00253339"/>
    <w:rsid w:val="002543FB"/>
    <w:rsid w:val="0026106C"/>
    <w:rsid w:val="0026163D"/>
    <w:rsid w:val="00263621"/>
    <w:rsid w:val="002659EE"/>
    <w:rsid w:val="00270F90"/>
    <w:rsid w:val="00271BE1"/>
    <w:rsid w:val="00271FE5"/>
    <w:rsid w:val="002735CE"/>
    <w:rsid w:val="00273F99"/>
    <w:rsid w:val="002742A8"/>
    <w:rsid w:val="00277DBE"/>
    <w:rsid w:val="002800AB"/>
    <w:rsid w:val="002810D9"/>
    <w:rsid w:val="00281432"/>
    <w:rsid w:val="002816C7"/>
    <w:rsid w:val="00287910"/>
    <w:rsid w:val="00290842"/>
    <w:rsid w:val="00291489"/>
    <w:rsid w:val="00295EAA"/>
    <w:rsid w:val="002A654A"/>
    <w:rsid w:val="002A6D6B"/>
    <w:rsid w:val="002B0276"/>
    <w:rsid w:val="002B3F14"/>
    <w:rsid w:val="002B4F6F"/>
    <w:rsid w:val="002B732D"/>
    <w:rsid w:val="002B746D"/>
    <w:rsid w:val="002C1A6D"/>
    <w:rsid w:val="002C4ADE"/>
    <w:rsid w:val="002D58DB"/>
    <w:rsid w:val="002E11DF"/>
    <w:rsid w:val="002E224D"/>
    <w:rsid w:val="002E575C"/>
    <w:rsid w:val="002E5B2D"/>
    <w:rsid w:val="002E5D31"/>
    <w:rsid w:val="002F5477"/>
    <w:rsid w:val="002F5920"/>
    <w:rsid w:val="002F6E13"/>
    <w:rsid w:val="003022E4"/>
    <w:rsid w:val="003141F6"/>
    <w:rsid w:val="00315003"/>
    <w:rsid w:val="003154F9"/>
    <w:rsid w:val="00315AFF"/>
    <w:rsid w:val="0031772B"/>
    <w:rsid w:val="00321CCA"/>
    <w:rsid w:val="00322C26"/>
    <w:rsid w:val="00322CC4"/>
    <w:rsid w:val="00324C12"/>
    <w:rsid w:val="0033004E"/>
    <w:rsid w:val="00330E6E"/>
    <w:rsid w:val="0033203B"/>
    <w:rsid w:val="003328C1"/>
    <w:rsid w:val="003357E4"/>
    <w:rsid w:val="00342F3B"/>
    <w:rsid w:val="0034484D"/>
    <w:rsid w:val="00346593"/>
    <w:rsid w:val="00347D37"/>
    <w:rsid w:val="0035369D"/>
    <w:rsid w:val="00354067"/>
    <w:rsid w:val="00355DEB"/>
    <w:rsid w:val="0035674B"/>
    <w:rsid w:val="003605F8"/>
    <w:rsid w:val="00362D91"/>
    <w:rsid w:val="003637BB"/>
    <w:rsid w:val="00364F89"/>
    <w:rsid w:val="00371B60"/>
    <w:rsid w:val="00371F40"/>
    <w:rsid w:val="00372174"/>
    <w:rsid w:val="003732C0"/>
    <w:rsid w:val="00374E19"/>
    <w:rsid w:val="00376E98"/>
    <w:rsid w:val="0037781A"/>
    <w:rsid w:val="00382049"/>
    <w:rsid w:val="00382691"/>
    <w:rsid w:val="003834F1"/>
    <w:rsid w:val="003875C2"/>
    <w:rsid w:val="0039354D"/>
    <w:rsid w:val="003973DF"/>
    <w:rsid w:val="00397DAA"/>
    <w:rsid w:val="003A57DA"/>
    <w:rsid w:val="003A6E6B"/>
    <w:rsid w:val="003A6F79"/>
    <w:rsid w:val="003B4ADB"/>
    <w:rsid w:val="003B60EF"/>
    <w:rsid w:val="003B629D"/>
    <w:rsid w:val="003C00FF"/>
    <w:rsid w:val="003C1377"/>
    <w:rsid w:val="003C4ABD"/>
    <w:rsid w:val="003D074B"/>
    <w:rsid w:val="003D0A15"/>
    <w:rsid w:val="003D1777"/>
    <w:rsid w:val="003D3926"/>
    <w:rsid w:val="003D4A98"/>
    <w:rsid w:val="003D6563"/>
    <w:rsid w:val="003D6B48"/>
    <w:rsid w:val="003D7CBB"/>
    <w:rsid w:val="003E21A9"/>
    <w:rsid w:val="003E2C55"/>
    <w:rsid w:val="003E5430"/>
    <w:rsid w:val="003E56EC"/>
    <w:rsid w:val="003E5BFA"/>
    <w:rsid w:val="003E72FA"/>
    <w:rsid w:val="003E7666"/>
    <w:rsid w:val="003F27FC"/>
    <w:rsid w:val="003F2B0F"/>
    <w:rsid w:val="003F393D"/>
    <w:rsid w:val="003F6843"/>
    <w:rsid w:val="003F6D4A"/>
    <w:rsid w:val="004066CD"/>
    <w:rsid w:val="00411164"/>
    <w:rsid w:val="00415193"/>
    <w:rsid w:val="004172F2"/>
    <w:rsid w:val="00417E56"/>
    <w:rsid w:val="0042058E"/>
    <w:rsid w:val="00421529"/>
    <w:rsid w:val="004222EF"/>
    <w:rsid w:val="00422F0E"/>
    <w:rsid w:val="00425751"/>
    <w:rsid w:val="00426544"/>
    <w:rsid w:val="00426C1D"/>
    <w:rsid w:val="004314D6"/>
    <w:rsid w:val="0043431B"/>
    <w:rsid w:val="004362D4"/>
    <w:rsid w:val="004413F3"/>
    <w:rsid w:val="004457AE"/>
    <w:rsid w:val="00450FE7"/>
    <w:rsid w:val="0045195D"/>
    <w:rsid w:val="0045274D"/>
    <w:rsid w:val="004527DA"/>
    <w:rsid w:val="00456806"/>
    <w:rsid w:val="00456D8F"/>
    <w:rsid w:val="00460A9B"/>
    <w:rsid w:val="00460E67"/>
    <w:rsid w:val="00461224"/>
    <w:rsid w:val="00461C9D"/>
    <w:rsid w:val="00465310"/>
    <w:rsid w:val="00466C67"/>
    <w:rsid w:val="00470DF1"/>
    <w:rsid w:val="004728C1"/>
    <w:rsid w:val="00473F65"/>
    <w:rsid w:val="00474B0F"/>
    <w:rsid w:val="00480FBE"/>
    <w:rsid w:val="00481269"/>
    <w:rsid w:val="00482746"/>
    <w:rsid w:val="00486FF1"/>
    <w:rsid w:val="00493539"/>
    <w:rsid w:val="00494169"/>
    <w:rsid w:val="00495AF9"/>
    <w:rsid w:val="004A3B6D"/>
    <w:rsid w:val="004A4192"/>
    <w:rsid w:val="004A7F00"/>
    <w:rsid w:val="004B373E"/>
    <w:rsid w:val="004B4546"/>
    <w:rsid w:val="004C0DB4"/>
    <w:rsid w:val="004C2F85"/>
    <w:rsid w:val="004D0485"/>
    <w:rsid w:val="004D1750"/>
    <w:rsid w:val="004D3076"/>
    <w:rsid w:val="004D3E0C"/>
    <w:rsid w:val="004D614A"/>
    <w:rsid w:val="004D7E80"/>
    <w:rsid w:val="004D7E8B"/>
    <w:rsid w:val="004E001D"/>
    <w:rsid w:val="004E1A8A"/>
    <w:rsid w:val="004E47EC"/>
    <w:rsid w:val="004E63EA"/>
    <w:rsid w:val="004E7307"/>
    <w:rsid w:val="004F54E0"/>
    <w:rsid w:val="005012BF"/>
    <w:rsid w:val="005033B3"/>
    <w:rsid w:val="00506478"/>
    <w:rsid w:val="0051235A"/>
    <w:rsid w:val="005128F2"/>
    <w:rsid w:val="00521297"/>
    <w:rsid w:val="005218BD"/>
    <w:rsid w:val="00521C3C"/>
    <w:rsid w:val="005254EA"/>
    <w:rsid w:val="0052591A"/>
    <w:rsid w:val="005260F2"/>
    <w:rsid w:val="00526EEC"/>
    <w:rsid w:val="00531055"/>
    <w:rsid w:val="00531EF8"/>
    <w:rsid w:val="0053392E"/>
    <w:rsid w:val="00541776"/>
    <w:rsid w:val="00542C64"/>
    <w:rsid w:val="0054379D"/>
    <w:rsid w:val="005438FE"/>
    <w:rsid w:val="00544577"/>
    <w:rsid w:val="0054490F"/>
    <w:rsid w:val="00550358"/>
    <w:rsid w:val="005508A4"/>
    <w:rsid w:val="00551930"/>
    <w:rsid w:val="00555F92"/>
    <w:rsid w:val="00560042"/>
    <w:rsid w:val="00561C2B"/>
    <w:rsid w:val="00566970"/>
    <w:rsid w:val="005670D4"/>
    <w:rsid w:val="005674DE"/>
    <w:rsid w:val="0057500C"/>
    <w:rsid w:val="005779C7"/>
    <w:rsid w:val="005805BC"/>
    <w:rsid w:val="00586B5A"/>
    <w:rsid w:val="005872A1"/>
    <w:rsid w:val="00591A9E"/>
    <w:rsid w:val="0059242D"/>
    <w:rsid w:val="00592D26"/>
    <w:rsid w:val="00595B55"/>
    <w:rsid w:val="00596138"/>
    <w:rsid w:val="005A1A33"/>
    <w:rsid w:val="005A4B8B"/>
    <w:rsid w:val="005A7A63"/>
    <w:rsid w:val="005B26BC"/>
    <w:rsid w:val="005B6681"/>
    <w:rsid w:val="005C0839"/>
    <w:rsid w:val="005C0CF7"/>
    <w:rsid w:val="005C6D85"/>
    <w:rsid w:val="005C76C7"/>
    <w:rsid w:val="005D37D4"/>
    <w:rsid w:val="005E1214"/>
    <w:rsid w:val="005E2D8F"/>
    <w:rsid w:val="005E594B"/>
    <w:rsid w:val="005E6E1E"/>
    <w:rsid w:val="005F08AC"/>
    <w:rsid w:val="005F4146"/>
    <w:rsid w:val="005F576F"/>
    <w:rsid w:val="006011A9"/>
    <w:rsid w:val="0060448A"/>
    <w:rsid w:val="00606345"/>
    <w:rsid w:val="00606397"/>
    <w:rsid w:val="006078C7"/>
    <w:rsid w:val="00610916"/>
    <w:rsid w:val="00611F3C"/>
    <w:rsid w:val="00612C51"/>
    <w:rsid w:val="00613F7C"/>
    <w:rsid w:val="00617A08"/>
    <w:rsid w:val="00622838"/>
    <w:rsid w:val="0062658B"/>
    <w:rsid w:val="0062777C"/>
    <w:rsid w:val="00630B60"/>
    <w:rsid w:val="0063479E"/>
    <w:rsid w:val="00634F71"/>
    <w:rsid w:val="0063565E"/>
    <w:rsid w:val="0063590C"/>
    <w:rsid w:val="00642589"/>
    <w:rsid w:val="006474D9"/>
    <w:rsid w:val="00650B52"/>
    <w:rsid w:val="00651A21"/>
    <w:rsid w:val="00654022"/>
    <w:rsid w:val="00662028"/>
    <w:rsid w:val="00664571"/>
    <w:rsid w:val="006650BD"/>
    <w:rsid w:val="00665B3F"/>
    <w:rsid w:val="00666FCB"/>
    <w:rsid w:val="00667774"/>
    <w:rsid w:val="00670E30"/>
    <w:rsid w:val="00670EA8"/>
    <w:rsid w:val="00670EE1"/>
    <w:rsid w:val="00675E94"/>
    <w:rsid w:val="00680E4E"/>
    <w:rsid w:val="00682FBE"/>
    <w:rsid w:val="0068651F"/>
    <w:rsid w:val="0068794F"/>
    <w:rsid w:val="00692120"/>
    <w:rsid w:val="00695242"/>
    <w:rsid w:val="006A001E"/>
    <w:rsid w:val="006A1CAD"/>
    <w:rsid w:val="006A1F1A"/>
    <w:rsid w:val="006A3C41"/>
    <w:rsid w:val="006A47D6"/>
    <w:rsid w:val="006A683C"/>
    <w:rsid w:val="006B009B"/>
    <w:rsid w:val="006B073F"/>
    <w:rsid w:val="006B0EAB"/>
    <w:rsid w:val="006B6FC7"/>
    <w:rsid w:val="006B7B34"/>
    <w:rsid w:val="006C0CCD"/>
    <w:rsid w:val="006C41D7"/>
    <w:rsid w:val="006C4C29"/>
    <w:rsid w:val="006D4831"/>
    <w:rsid w:val="006D5DA8"/>
    <w:rsid w:val="006D781D"/>
    <w:rsid w:val="006F3C1D"/>
    <w:rsid w:val="00704689"/>
    <w:rsid w:val="00704C57"/>
    <w:rsid w:val="00705DB8"/>
    <w:rsid w:val="0071151B"/>
    <w:rsid w:val="00711FB0"/>
    <w:rsid w:val="00712BFB"/>
    <w:rsid w:val="0071435E"/>
    <w:rsid w:val="00715043"/>
    <w:rsid w:val="00721872"/>
    <w:rsid w:val="00722AE8"/>
    <w:rsid w:val="00731615"/>
    <w:rsid w:val="00732326"/>
    <w:rsid w:val="00732977"/>
    <w:rsid w:val="0073697A"/>
    <w:rsid w:val="00736AF1"/>
    <w:rsid w:val="00737857"/>
    <w:rsid w:val="00743256"/>
    <w:rsid w:val="0074348F"/>
    <w:rsid w:val="0074463D"/>
    <w:rsid w:val="007513BD"/>
    <w:rsid w:val="00751670"/>
    <w:rsid w:val="0075299C"/>
    <w:rsid w:val="00754666"/>
    <w:rsid w:val="00765881"/>
    <w:rsid w:val="00771D5E"/>
    <w:rsid w:val="00771F4B"/>
    <w:rsid w:val="0077360B"/>
    <w:rsid w:val="00777E2A"/>
    <w:rsid w:val="0078327B"/>
    <w:rsid w:val="00786AB1"/>
    <w:rsid w:val="0078736F"/>
    <w:rsid w:val="007971CC"/>
    <w:rsid w:val="007A0F84"/>
    <w:rsid w:val="007A406F"/>
    <w:rsid w:val="007A5070"/>
    <w:rsid w:val="007A5D25"/>
    <w:rsid w:val="007C0F0D"/>
    <w:rsid w:val="007C4223"/>
    <w:rsid w:val="007E5156"/>
    <w:rsid w:val="007E7037"/>
    <w:rsid w:val="007F00CE"/>
    <w:rsid w:val="007F62B1"/>
    <w:rsid w:val="00800309"/>
    <w:rsid w:val="0080074B"/>
    <w:rsid w:val="008028B0"/>
    <w:rsid w:val="008028D9"/>
    <w:rsid w:val="008033D0"/>
    <w:rsid w:val="0080379B"/>
    <w:rsid w:val="0080498B"/>
    <w:rsid w:val="0081036A"/>
    <w:rsid w:val="00810E95"/>
    <w:rsid w:val="00811D58"/>
    <w:rsid w:val="00812A60"/>
    <w:rsid w:val="0081366F"/>
    <w:rsid w:val="00814360"/>
    <w:rsid w:val="008155C7"/>
    <w:rsid w:val="00816796"/>
    <w:rsid w:val="00821AAF"/>
    <w:rsid w:val="008252A0"/>
    <w:rsid w:val="008313A8"/>
    <w:rsid w:val="0083156D"/>
    <w:rsid w:val="00833B15"/>
    <w:rsid w:val="008402BC"/>
    <w:rsid w:val="00840F77"/>
    <w:rsid w:val="00841DAF"/>
    <w:rsid w:val="00853572"/>
    <w:rsid w:val="00856A7A"/>
    <w:rsid w:val="00856C72"/>
    <w:rsid w:val="008573F1"/>
    <w:rsid w:val="00857809"/>
    <w:rsid w:val="0086070D"/>
    <w:rsid w:val="008622DC"/>
    <w:rsid w:val="008630F2"/>
    <w:rsid w:val="00863561"/>
    <w:rsid w:val="00863E12"/>
    <w:rsid w:val="008676C3"/>
    <w:rsid w:val="00871DF8"/>
    <w:rsid w:val="00871FF3"/>
    <w:rsid w:val="00872F7D"/>
    <w:rsid w:val="00881E67"/>
    <w:rsid w:val="00882067"/>
    <w:rsid w:val="00882333"/>
    <w:rsid w:val="0088235E"/>
    <w:rsid w:val="00886C0A"/>
    <w:rsid w:val="00892650"/>
    <w:rsid w:val="00892DDB"/>
    <w:rsid w:val="0089363D"/>
    <w:rsid w:val="008953B3"/>
    <w:rsid w:val="00895B62"/>
    <w:rsid w:val="008A0840"/>
    <w:rsid w:val="008A169F"/>
    <w:rsid w:val="008A300D"/>
    <w:rsid w:val="008A6787"/>
    <w:rsid w:val="008B0930"/>
    <w:rsid w:val="008B288C"/>
    <w:rsid w:val="008B42D2"/>
    <w:rsid w:val="008B50CD"/>
    <w:rsid w:val="008B626F"/>
    <w:rsid w:val="008B770F"/>
    <w:rsid w:val="008B7A1E"/>
    <w:rsid w:val="008C46EA"/>
    <w:rsid w:val="008C5192"/>
    <w:rsid w:val="008E103F"/>
    <w:rsid w:val="008E2281"/>
    <w:rsid w:val="008E4C79"/>
    <w:rsid w:val="008E6097"/>
    <w:rsid w:val="00904AA5"/>
    <w:rsid w:val="0091195F"/>
    <w:rsid w:val="00912D1E"/>
    <w:rsid w:val="009153EA"/>
    <w:rsid w:val="0091729A"/>
    <w:rsid w:val="009208BA"/>
    <w:rsid w:val="00922C6F"/>
    <w:rsid w:val="00923211"/>
    <w:rsid w:val="009312C2"/>
    <w:rsid w:val="0093173F"/>
    <w:rsid w:val="009345E8"/>
    <w:rsid w:val="00934DC9"/>
    <w:rsid w:val="00937CBB"/>
    <w:rsid w:val="0094310C"/>
    <w:rsid w:val="00943309"/>
    <w:rsid w:val="009462E1"/>
    <w:rsid w:val="0094796B"/>
    <w:rsid w:val="00956D42"/>
    <w:rsid w:val="0095728B"/>
    <w:rsid w:val="009618CF"/>
    <w:rsid w:val="00962105"/>
    <w:rsid w:val="00962927"/>
    <w:rsid w:val="00964219"/>
    <w:rsid w:val="00964612"/>
    <w:rsid w:val="0096513E"/>
    <w:rsid w:val="00966185"/>
    <w:rsid w:val="0096733E"/>
    <w:rsid w:val="00976AB9"/>
    <w:rsid w:val="00977B65"/>
    <w:rsid w:val="00982405"/>
    <w:rsid w:val="0098487F"/>
    <w:rsid w:val="00986838"/>
    <w:rsid w:val="00986F84"/>
    <w:rsid w:val="009902CF"/>
    <w:rsid w:val="00992D72"/>
    <w:rsid w:val="00997514"/>
    <w:rsid w:val="009A0C3C"/>
    <w:rsid w:val="009A3B4B"/>
    <w:rsid w:val="009A5622"/>
    <w:rsid w:val="009B01C4"/>
    <w:rsid w:val="009B3F1C"/>
    <w:rsid w:val="009B6AD4"/>
    <w:rsid w:val="009C026D"/>
    <w:rsid w:val="009C4A8A"/>
    <w:rsid w:val="009C7E8B"/>
    <w:rsid w:val="009D378B"/>
    <w:rsid w:val="009D3B85"/>
    <w:rsid w:val="009D3BAE"/>
    <w:rsid w:val="009D6ED8"/>
    <w:rsid w:val="009D6FCF"/>
    <w:rsid w:val="009E1970"/>
    <w:rsid w:val="009E2854"/>
    <w:rsid w:val="009E2A09"/>
    <w:rsid w:val="009E307A"/>
    <w:rsid w:val="009E3425"/>
    <w:rsid w:val="009E3DBB"/>
    <w:rsid w:val="009E57B8"/>
    <w:rsid w:val="009E5F5E"/>
    <w:rsid w:val="009F028C"/>
    <w:rsid w:val="009F12E4"/>
    <w:rsid w:val="009F162D"/>
    <w:rsid w:val="009F3420"/>
    <w:rsid w:val="009F3E31"/>
    <w:rsid w:val="00A00582"/>
    <w:rsid w:val="00A07ED1"/>
    <w:rsid w:val="00A140BE"/>
    <w:rsid w:val="00A14DC5"/>
    <w:rsid w:val="00A20E35"/>
    <w:rsid w:val="00A233B5"/>
    <w:rsid w:val="00A24C73"/>
    <w:rsid w:val="00A25D49"/>
    <w:rsid w:val="00A26898"/>
    <w:rsid w:val="00A27000"/>
    <w:rsid w:val="00A27BCF"/>
    <w:rsid w:val="00A3138B"/>
    <w:rsid w:val="00A32925"/>
    <w:rsid w:val="00A3458C"/>
    <w:rsid w:val="00A359BB"/>
    <w:rsid w:val="00A36979"/>
    <w:rsid w:val="00A4754E"/>
    <w:rsid w:val="00A47C12"/>
    <w:rsid w:val="00A54E70"/>
    <w:rsid w:val="00A5667D"/>
    <w:rsid w:val="00A57174"/>
    <w:rsid w:val="00A714A9"/>
    <w:rsid w:val="00A81499"/>
    <w:rsid w:val="00A923AF"/>
    <w:rsid w:val="00A94F1B"/>
    <w:rsid w:val="00A963F3"/>
    <w:rsid w:val="00A9696A"/>
    <w:rsid w:val="00A96CB9"/>
    <w:rsid w:val="00AA0A3F"/>
    <w:rsid w:val="00AA0AF6"/>
    <w:rsid w:val="00AA2F8C"/>
    <w:rsid w:val="00AA706F"/>
    <w:rsid w:val="00AB31A0"/>
    <w:rsid w:val="00AB528A"/>
    <w:rsid w:val="00AB59D1"/>
    <w:rsid w:val="00AB5BFD"/>
    <w:rsid w:val="00AB703F"/>
    <w:rsid w:val="00AC1DCA"/>
    <w:rsid w:val="00AC1E11"/>
    <w:rsid w:val="00AC25C6"/>
    <w:rsid w:val="00AC4EAA"/>
    <w:rsid w:val="00AC5BDC"/>
    <w:rsid w:val="00AD3516"/>
    <w:rsid w:val="00AD45AB"/>
    <w:rsid w:val="00AD6707"/>
    <w:rsid w:val="00AD76A2"/>
    <w:rsid w:val="00AE0470"/>
    <w:rsid w:val="00AE1E05"/>
    <w:rsid w:val="00AE206C"/>
    <w:rsid w:val="00AE363E"/>
    <w:rsid w:val="00AE70DB"/>
    <w:rsid w:val="00AE7128"/>
    <w:rsid w:val="00AF0C48"/>
    <w:rsid w:val="00AF3DE8"/>
    <w:rsid w:val="00B04937"/>
    <w:rsid w:val="00B05B87"/>
    <w:rsid w:val="00B14C92"/>
    <w:rsid w:val="00B17368"/>
    <w:rsid w:val="00B23825"/>
    <w:rsid w:val="00B24C33"/>
    <w:rsid w:val="00B277D6"/>
    <w:rsid w:val="00B30FF8"/>
    <w:rsid w:val="00B3399C"/>
    <w:rsid w:val="00B3582D"/>
    <w:rsid w:val="00B358AF"/>
    <w:rsid w:val="00B36085"/>
    <w:rsid w:val="00B37D9A"/>
    <w:rsid w:val="00B41DAC"/>
    <w:rsid w:val="00B4210F"/>
    <w:rsid w:val="00B42BB2"/>
    <w:rsid w:val="00B445F0"/>
    <w:rsid w:val="00B45202"/>
    <w:rsid w:val="00B4721C"/>
    <w:rsid w:val="00B5025C"/>
    <w:rsid w:val="00B529C1"/>
    <w:rsid w:val="00B54553"/>
    <w:rsid w:val="00B56D25"/>
    <w:rsid w:val="00B5721C"/>
    <w:rsid w:val="00B61D11"/>
    <w:rsid w:val="00B61FA9"/>
    <w:rsid w:val="00B63468"/>
    <w:rsid w:val="00B677B0"/>
    <w:rsid w:val="00B67A55"/>
    <w:rsid w:val="00B758EC"/>
    <w:rsid w:val="00B76D85"/>
    <w:rsid w:val="00B77639"/>
    <w:rsid w:val="00B77B5A"/>
    <w:rsid w:val="00B809A1"/>
    <w:rsid w:val="00B8127B"/>
    <w:rsid w:val="00B87914"/>
    <w:rsid w:val="00B87E5C"/>
    <w:rsid w:val="00B97512"/>
    <w:rsid w:val="00BA101E"/>
    <w:rsid w:val="00BA6B74"/>
    <w:rsid w:val="00BA7D63"/>
    <w:rsid w:val="00BB5AD2"/>
    <w:rsid w:val="00BB6203"/>
    <w:rsid w:val="00BC0698"/>
    <w:rsid w:val="00BC147F"/>
    <w:rsid w:val="00BC197D"/>
    <w:rsid w:val="00BC1A3A"/>
    <w:rsid w:val="00BC2D11"/>
    <w:rsid w:val="00BC3E3C"/>
    <w:rsid w:val="00BC4041"/>
    <w:rsid w:val="00BD0353"/>
    <w:rsid w:val="00BD0F60"/>
    <w:rsid w:val="00BD2319"/>
    <w:rsid w:val="00BD247C"/>
    <w:rsid w:val="00BD2F12"/>
    <w:rsid w:val="00BD3259"/>
    <w:rsid w:val="00BD3656"/>
    <w:rsid w:val="00BD41DB"/>
    <w:rsid w:val="00BE3E04"/>
    <w:rsid w:val="00BE5EB1"/>
    <w:rsid w:val="00BF1504"/>
    <w:rsid w:val="00BF1B84"/>
    <w:rsid w:val="00BF4DD6"/>
    <w:rsid w:val="00BF59DC"/>
    <w:rsid w:val="00BF6E44"/>
    <w:rsid w:val="00C01716"/>
    <w:rsid w:val="00C031BE"/>
    <w:rsid w:val="00C036AF"/>
    <w:rsid w:val="00C04006"/>
    <w:rsid w:val="00C07263"/>
    <w:rsid w:val="00C07C98"/>
    <w:rsid w:val="00C149B5"/>
    <w:rsid w:val="00C16D5F"/>
    <w:rsid w:val="00C2445E"/>
    <w:rsid w:val="00C35E5D"/>
    <w:rsid w:val="00C37ECD"/>
    <w:rsid w:val="00C404E6"/>
    <w:rsid w:val="00C41725"/>
    <w:rsid w:val="00C42926"/>
    <w:rsid w:val="00C451DB"/>
    <w:rsid w:val="00C457DB"/>
    <w:rsid w:val="00C47580"/>
    <w:rsid w:val="00C51021"/>
    <w:rsid w:val="00C546DC"/>
    <w:rsid w:val="00C561F8"/>
    <w:rsid w:val="00C563BE"/>
    <w:rsid w:val="00C64AA5"/>
    <w:rsid w:val="00C67428"/>
    <w:rsid w:val="00C70EDD"/>
    <w:rsid w:val="00C74144"/>
    <w:rsid w:val="00C76C66"/>
    <w:rsid w:val="00C77737"/>
    <w:rsid w:val="00C81141"/>
    <w:rsid w:val="00C871F1"/>
    <w:rsid w:val="00C95FBB"/>
    <w:rsid w:val="00CA1E74"/>
    <w:rsid w:val="00CA27AF"/>
    <w:rsid w:val="00CA50BC"/>
    <w:rsid w:val="00CA5B47"/>
    <w:rsid w:val="00CA659D"/>
    <w:rsid w:val="00CA73FE"/>
    <w:rsid w:val="00CB68F4"/>
    <w:rsid w:val="00CC091E"/>
    <w:rsid w:val="00CC322C"/>
    <w:rsid w:val="00CC391C"/>
    <w:rsid w:val="00CC520A"/>
    <w:rsid w:val="00CC56AA"/>
    <w:rsid w:val="00CD133B"/>
    <w:rsid w:val="00CD6B03"/>
    <w:rsid w:val="00CF04EB"/>
    <w:rsid w:val="00CF3FDB"/>
    <w:rsid w:val="00CF66FB"/>
    <w:rsid w:val="00D03A56"/>
    <w:rsid w:val="00D03DC6"/>
    <w:rsid w:val="00D047C9"/>
    <w:rsid w:val="00D04C5F"/>
    <w:rsid w:val="00D074B0"/>
    <w:rsid w:val="00D0766C"/>
    <w:rsid w:val="00D12867"/>
    <w:rsid w:val="00D148E8"/>
    <w:rsid w:val="00D17224"/>
    <w:rsid w:val="00D20566"/>
    <w:rsid w:val="00D23C16"/>
    <w:rsid w:val="00D242D2"/>
    <w:rsid w:val="00D24A0F"/>
    <w:rsid w:val="00D2575F"/>
    <w:rsid w:val="00D2655B"/>
    <w:rsid w:val="00D308AD"/>
    <w:rsid w:val="00D331AD"/>
    <w:rsid w:val="00D3766F"/>
    <w:rsid w:val="00D40B03"/>
    <w:rsid w:val="00D40EC2"/>
    <w:rsid w:val="00D42E18"/>
    <w:rsid w:val="00D456FE"/>
    <w:rsid w:val="00D51BA1"/>
    <w:rsid w:val="00D51FF9"/>
    <w:rsid w:val="00D604A6"/>
    <w:rsid w:val="00D62509"/>
    <w:rsid w:val="00D6290A"/>
    <w:rsid w:val="00D65CB9"/>
    <w:rsid w:val="00D77A2B"/>
    <w:rsid w:val="00D80588"/>
    <w:rsid w:val="00D81607"/>
    <w:rsid w:val="00D81A9A"/>
    <w:rsid w:val="00D81B2B"/>
    <w:rsid w:val="00D82671"/>
    <w:rsid w:val="00D84D0D"/>
    <w:rsid w:val="00D85CFC"/>
    <w:rsid w:val="00D86894"/>
    <w:rsid w:val="00D91CAB"/>
    <w:rsid w:val="00D92000"/>
    <w:rsid w:val="00D926BB"/>
    <w:rsid w:val="00DA1273"/>
    <w:rsid w:val="00DA1902"/>
    <w:rsid w:val="00DA3D9F"/>
    <w:rsid w:val="00DB1D5C"/>
    <w:rsid w:val="00DB3FB4"/>
    <w:rsid w:val="00DB4544"/>
    <w:rsid w:val="00DB4594"/>
    <w:rsid w:val="00DB4A3A"/>
    <w:rsid w:val="00DB511A"/>
    <w:rsid w:val="00DB5400"/>
    <w:rsid w:val="00DB6E9B"/>
    <w:rsid w:val="00DC0581"/>
    <w:rsid w:val="00DC1D36"/>
    <w:rsid w:val="00DC4786"/>
    <w:rsid w:val="00DC58B8"/>
    <w:rsid w:val="00DC5F4C"/>
    <w:rsid w:val="00DC65EB"/>
    <w:rsid w:val="00DD0D86"/>
    <w:rsid w:val="00DD286B"/>
    <w:rsid w:val="00DD3763"/>
    <w:rsid w:val="00DD51CF"/>
    <w:rsid w:val="00DD5241"/>
    <w:rsid w:val="00DD7293"/>
    <w:rsid w:val="00DE009D"/>
    <w:rsid w:val="00DE0760"/>
    <w:rsid w:val="00DE42E3"/>
    <w:rsid w:val="00DE6C92"/>
    <w:rsid w:val="00DF041F"/>
    <w:rsid w:val="00DF2396"/>
    <w:rsid w:val="00DF2BDF"/>
    <w:rsid w:val="00DF45E8"/>
    <w:rsid w:val="00E00CB0"/>
    <w:rsid w:val="00E03F31"/>
    <w:rsid w:val="00E06782"/>
    <w:rsid w:val="00E0708A"/>
    <w:rsid w:val="00E073A0"/>
    <w:rsid w:val="00E10F44"/>
    <w:rsid w:val="00E12C3B"/>
    <w:rsid w:val="00E1423C"/>
    <w:rsid w:val="00E14918"/>
    <w:rsid w:val="00E15357"/>
    <w:rsid w:val="00E15767"/>
    <w:rsid w:val="00E15CC9"/>
    <w:rsid w:val="00E208B5"/>
    <w:rsid w:val="00E23CCA"/>
    <w:rsid w:val="00E31206"/>
    <w:rsid w:val="00E31F12"/>
    <w:rsid w:val="00E34EF8"/>
    <w:rsid w:val="00E35B2B"/>
    <w:rsid w:val="00E3712F"/>
    <w:rsid w:val="00E40A88"/>
    <w:rsid w:val="00E40BA1"/>
    <w:rsid w:val="00E41E26"/>
    <w:rsid w:val="00E43419"/>
    <w:rsid w:val="00E437A9"/>
    <w:rsid w:val="00E45140"/>
    <w:rsid w:val="00E5082E"/>
    <w:rsid w:val="00E50A9A"/>
    <w:rsid w:val="00E521F7"/>
    <w:rsid w:val="00E5374B"/>
    <w:rsid w:val="00E54BBE"/>
    <w:rsid w:val="00E57DA0"/>
    <w:rsid w:val="00E619B9"/>
    <w:rsid w:val="00E70BE6"/>
    <w:rsid w:val="00E71E1B"/>
    <w:rsid w:val="00E7408A"/>
    <w:rsid w:val="00E81589"/>
    <w:rsid w:val="00E83C51"/>
    <w:rsid w:val="00E84141"/>
    <w:rsid w:val="00E864B7"/>
    <w:rsid w:val="00E866A9"/>
    <w:rsid w:val="00E91638"/>
    <w:rsid w:val="00E94937"/>
    <w:rsid w:val="00E97994"/>
    <w:rsid w:val="00E97B1E"/>
    <w:rsid w:val="00EA11A8"/>
    <w:rsid w:val="00EA2D8E"/>
    <w:rsid w:val="00EA3359"/>
    <w:rsid w:val="00EA570A"/>
    <w:rsid w:val="00EA5785"/>
    <w:rsid w:val="00EA7AB4"/>
    <w:rsid w:val="00EB0AFB"/>
    <w:rsid w:val="00EB1301"/>
    <w:rsid w:val="00EB18E7"/>
    <w:rsid w:val="00EB3921"/>
    <w:rsid w:val="00EB3D0E"/>
    <w:rsid w:val="00EB676C"/>
    <w:rsid w:val="00EC2E95"/>
    <w:rsid w:val="00EC41A6"/>
    <w:rsid w:val="00ED11FF"/>
    <w:rsid w:val="00ED3655"/>
    <w:rsid w:val="00ED3AA9"/>
    <w:rsid w:val="00ED5CCF"/>
    <w:rsid w:val="00ED5E60"/>
    <w:rsid w:val="00ED7991"/>
    <w:rsid w:val="00EE1711"/>
    <w:rsid w:val="00EE26B4"/>
    <w:rsid w:val="00EE4ED5"/>
    <w:rsid w:val="00EE64A9"/>
    <w:rsid w:val="00EE7B8A"/>
    <w:rsid w:val="00EF1610"/>
    <w:rsid w:val="00EF4CA1"/>
    <w:rsid w:val="00EF7382"/>
    <w:rsid w:val="00EF7EAA"/>
    <w:rsid w:val="00F01A1E"/>
    <w:rsid w:val="00F02627"/>
    <w:rsid w:val="00F034F2"/>
    <w:rsid w:val="00F03D8D"/>
    <w:rsid w:val="00F06CEF"/>
    <w:rsid w:val="00F07D2A"/>
    <w:rsid w:val="00F1521D"/>
    <w:rsid w:val="00F16521"/>
    <w:rsid w:val="00F169FA"/>
    <w:rsid w:val="00F20BAC"/>
    <w:rsid w:val="00F21B9C"/>
    <w:rsid w:val="00F26537"/>
    <w:rsid w:val="00F456BF"/>
    <w:rsid w:val="00F52F1E"/>
    <w:rsid w:val="00F5651C"/>
    <w:rsid w:val="00F56D27"/>
    <w:rsid w:val="00F5733C"/>
    <w:rsid w:val="00F603A0"/>
    <w:rsid w:val="00F62669"/>
    <w:rsid w:val="00F626A6"/>
    <w:rsid w:val="00F65FC2"/>
    <w:rsid w:val="00F71E5F"/>
    <w:rsid w:val="00F72496"/>
    <w:rsid w:val="00F74D36"/>
    <w:rsid w:val="00F772D5"/>
    <w:rsid w:val="00F7791C"/>
    <w:rsid w:val="00F77971"/>
    <w:rsid w:val="00F8101F"/>
    <w:rsid w:val="00F835E0"/>
    <w:rsid w:val="00F85304"/>
    <w:rsid w:val="00F86582"/>
    <w:rsid w:val="00F87CDC"/>
    <w:rsid w:val="00FA3974"/>
    <w:rsid w:val="00FA7095"/>
    <w:rsid w:val="00FB25D0"/>
    <w:rsid w:val="00FB3065"/>
    <w:rsid w:val="00FB46BB"/>
    <w:rsid w:val="00FC0B92"/>
    <w:rsid w:val="00FC1178"/>
    <w:rsid w:val="00FC4D98"/>
    <w:rsid w:val="00FC51DB"/>
    <w:rsid w:val="00FC5397"/>
    <w:rsid w:val="00FC797D"/>
    <w:rsid w:val="00FC7D08"/>
    <w:rsid w:val="00FD0094"/>
    <w:rsid w:val="00FD3A52"/>
    <w:rsid w:val="00FE04D1"/>
    <w:rsid w:val="00FE083B"/>
    <w:rsid w:val="00FE2BA9"/>
    <w:rsid w:val="00FE2D8E"/>
    <w:rsid w:val="00FE313F"/>
    <w:rsid w:val="00FE401B"/>
    <w:rsid w:val="00FE59C1"/>
    <w:rsid w:val="00FE5D00"/>
    <w:rsid w:val="00FF06A8"/>
    <w:rsid w:val="00FF4E8A"/>
    <w:rsid w:val="00FF50CB"/>
    <w:rsid w:val="00FF636C"/>
    <w:rsid w:val="00FF7B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6D85"/>
    <w:rPr>
      <w:sz w:val="24"/>
      <w:szCs w:val="24"/>
    </w:rPr>
  </w:style>
  <w:style w:type="paragraph" w:styleId="Virsraksts1">
    <w:name w:val="heading 1"/>
    <w:basedOn w:val="Parastais"/>
    <w:next w:val="Parastais"/>
    <w:link w:val="Virsraksts1Rakstz"/>
    <w:uiPriority w:val="99"/>
    <w:qFormat/>
    <w:rsid w:val="00D0766C"/>
    <w:pPr>
      <w:keepNext/>
      <w:outlineLvl w:val="0"/>
    </w:pPr>
    <w:rPr>
      <w:rFonts w:ascii="Cambria" w:hAnsi="Cambria"/>
      <w:b/>
      <w:kern w:val="32"/>
      <w:sz w:val="32"/>
      <w:szCs w:val="20"/>
    </w:rPr>
  </w:style>
  <w:style w:type="paragraph" w:styleId="Virsraksts2">
    <w:name w:val="heading 2"/>
    <w:basedOn w:val="Parastais"/>
    <w:next w:val="Parastais"/>
    <w:link w:val="Virsraksts2Rakstz"/>
    <w:uiPriority w:val="99"/>
    <w:qFormat/>
    <w:rsid w:val="00D0766C"/>
    <w:pPr>
      <w:keepNext/>
      <w:outlineLvl w:val="1"/>
    </w:pPr>
    <w:rPr>
      <w:rFonts w:ascii="Cambria" w:hAnsi="Cambria"/>
      <w:b/>
      <w:i/>
      <w:sz w:val="28"/>
      <w:szCs w:val="20"/>
    </w:rPr>
  </w:style>
  <w:style w:type="paragraph" w:styleId="Virsraksts3">
    <w:name w:val="heading 3"/>
    <w:basedOn w:val="Parastais"/>
    <w:next w:val="Parastais"/>
    <w:link w:val="Virsraksts3Rakstz"/>
    <w:uiPriority w:val="99"/>
    <w:qFormat/>
    <w:rsid w:val="00D0766C"/>
    <w:pPr>
      <w:keepNext/>
      <w:spacing w:before="240" w:after="60"/>
      <w:outlineLvl w:val="2"/>
    </w:pPr>
    <w:rPr>
      <w:rFonts w:ascii="Cambria" w:hAnsi="Cambria"/>
      <w:b/>
      <w:sz w:val="26"/>
      <w:szCs w:val="20"/>
    </w:rPr>
  </w:style>
  <w:style w:type="paragraph" w:styleId="Virsraksts4">
    <w:name w:val="heading 4"/>
    <w:basedOn w:val="Parastais"/>
    <w:next w:val="Parastais"/>
    <w:link w:val="Virsraksts4Rakstz"/>
    <w:uiPriority w:val="99"/>
    <w:qFormat/>
    <w:rsid w:val="00D0766C"/>
    <w:pPr>
      <w:keepNext/>
      <w:spacing w:before="120" w:after="60"/>
      <w:outlineLvl w:val="3"/>
    </w:pPr>
    <w:rPr>
      <w:rFonts w:ascii="Calibri" w:hAnsi="Calibri"/>
      <w:b/>
      <w:sz w:val="28"/>
      <w:szCs w:val="20"/>
    </w:rPr>
  </w:style>
  <w:style w:type="paragraph" w:styleId="Virsraksts5">
    <w:name w:val="heading 5"/>
    <w:basedOn w:val="Parastais"/>
    <w:next w:val="Parastais"/>
    <w:link w:val="Virsraksts5Rakstz"/>
    <w:autoRedefine/>
    <w:uiPriority w:val="99"/>
    <w:qFormat/>
    <w:rsid w:val="00F85304"/>
    <w:pPr>
      <w:keepNext/>
      <w:outlineLvl w:val="4"/>
    </w:pPr>
    <w:rPr>
      <w:rFonts w:ascii="Calibri" w:hAnsi="Calibri"/>
      <w:b/>
      <w:i/>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8101F"/>
    <w:rPr>
      <w:rFonts w:ascii="Cambria" w:hAnsi="Cambria"/>
      <w:b/>
      <w:kern w:val="32"/>
      <w:sz w:val="32"/>
    </w:rPr>
  </w:style>
  <w:style w:type="character" w:customStyle="1" w:styleId="Virsraksts2Rakstz">
    <w:name w:val="Virsraksts 2 Rakstz."/>
    <w:link w:val="Virsraksts2"/>
    <w:uiPriority w:val="99"/>
    <w:semiHidden/>
    <w:locked/>
    <w:rsid w:val="00F8101F"/>
    <w:rPr>
      <w:rFonts w:ascii="Cambria" w:hAnsi="Cambria"/>
      <w:b/>
      <w:i/>
      <w:sz w:val="28"/>
    </w:rPr>
  </w:style>
  <w:style w:type="character" w:customStyle="1" w:styleId="Virsraksts3Rakstz">
    <w:name w:val="Virsraksts 3 Rakstz."/>
    <w:link w:val="Virsraksts3"/>
    <w:uiPriority w:val="99"/>
    <w:semiHidden/>
    <w:locked/>
    <w:rsid w:val="00F8101F"/>
    <w:rPr>
      <w:rFonts w:ascii="Cambria" w:hAnsi="Cambria"/>
      <w:b/>
      <w:sz w:val="26"/>
    </w:rPr>
  </w:style>
  <w:style w:type="character" w:customStyle="1" w:styleId="Virsraksts4Rakstz">
    <w:name w:val="Virsraksts 4 Rakstz."/>
    <w:link w:val="Virsraksts4"/>
    <w:uiPriority w:val="99"/>
    <w:semiHidden/>
    <w:locked/>
    <w:rsid w:val="00F8101F"/>
    <w:rPr>
      <w:rFonts w:ascii="Calibri" w:hAnsi="Calibri"/>
      <w:b/>
      <w:sz w:val="28"/>
    </w:rPr>
  </w:style>
  <w:style w:type="character" w:customStyle="1" w:styleId="Virsraksts5Rakstz">
    <w:name w:val="Virsraksts 5 Rakstz."/>
    <w:link w:val="Virsraksts5"/>
    <w:uiPriority w:val="99"/>
    <w:semiHidden/>
    <w:locked/>
    <w:rsid w:val="00F8101F"/>
    <w:rPr>
      <w:rFonts w:ascii="Calibri" w:hAnsi="Calibri"/>
      <w:b/>
      <w:i/>
      <w:sz w:val="26"/>
    </w:rPr>
  </w:style>
  <w:style w:type="paragraph" w:customStyle="1" w:styleId="Style4">
    <w:name w:val="Style4"/>
    <w:basedOn w:val="Virsraksts4"/>
    <w:uiPriority w:val="99"/>
    <w:rsid w:val="001C67A6"/>
    <w:rPr>
      <w:rFonts w:eastAsia="HelveticaL-Book"/>
      <w:iCs/>
      <w:sz w:val="24"/>
    </w:rPr>
  </w:style>
  <w:style w:type="paragraph" w:customStyle="1" w:styleId="Style6">
    <w:name w:val="Style6"/>
    <w:basedOn w:val="Virsraksts4"/>
    <w:autoRedefine/>
    <w:uiPriority w:val="99"/>
    <w:rsid w:val="00014889"/>
  </w:style>
  <w:style w:type="paragraph" w:customStyle="1" w:styleId="Style7">
    <w:name w:val="Style7"/>
    <w:basedOn w:val="Virsraksts4"/>
    <w:autoRedefine/>
    <w:uiPriority w:val="99"/>
    <w:rsid w:val="00014889"/>
  </w:style>
  <w:style w:type="paragraph" w:customStyle="1" w:styleId="Style8">
    <w:name w:val="Style8"/>
    <w:basedOn w:val="Virsraksts3"/>
    <w:autoRedefine/>
    <w:uiPriority w:val="99"/>
    <w:rsid w:val="00014889"/>
    <w:rPr>
      <w:sz w:val="28"/>
    </w:rPr>
  </w:style>
  <w:style w:type="paragraph" w:customStyle="1" w:styleId="Virsraksts11">
    <w:name w:val="Virsraksts 11"/>
    <w:uiPriority w:val="99"/>
    <w:rsid w:val="00DC1D36"/>
    <w:rPr>
      <w:b/>
      <w:i/>
      <w:sz w:val="24"/>
      <w:szCs w:val="28"/>
    </w:rPr>
  </w:style>
  <w:style w:type="paragraph" w:customStyle="1" w:styleId="Virsraksts21">
    <w:name w:val="Virsraksts 21"/>
    <w:uiPriority w:val="99"/>
    <w:rsid w:val="00DC1D36"/>
    <w:rPr>
      <w:b/>
      <w:i/>
      <w:sz w:val="22"/>
      <w:szCs w:val="28"/>
    </w:rPr>
  </w:style>
  <w:style w:type="paragraph" w:customStyle="1" w:styleId="Virsraksts31">
    <w:name w:val="Virsraksts 31"/>
    <w:basedOn w:val="Virsraksts4"/>
    <w:uiPriority w:val="99"/>
    <w:rsid w:val="00DC1D36"/>
  </w:style>
  <w:style w:type="paragraph" w:customStyle="1" w:styleId="Style1">
    <w:name w:val="Style1"/>
    <w:basedOn w:val="Virsraksts2"/>
    <w:uiPriority w:val="99"/>
    <w:rsid w:val="005805BC"/>
    <w:pPr>
      <w:jc w:val="both"/>
    </w:pPr>
    <w:rPr>
      <w:i w:val="0"/>
    </w:rPr>
  </w:style>
  <w:style w:type="paragraph" w:customStyle="1" w:styleId="VirsrakstsU">
    <w:name w:val="Virsraksts U"/>
    <w:basedOn w:val="Virsraksts2"/>
    <w:uiPriority w:val="99"/>
    <w:rsid w:val="005805BC"/>
    <w:rPr>
      <w:i w:val="0"/>
    </w:rPr>
  </w:style>
  <w:style w:type="table" w:styleId="Reatabula">
    <w:name w:val="Table Grid"/>
    <w:basedOn w:val="Parastatabula"/>
    <w:uiPriority w:val="99"/>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B76D85"/>
    <w:pPr>
      <w:spacing w:before="75" w:after="75"/>
    </w:pPr>
  </w:style>
  <w:style w:type="paragraph" w:styleId="Galvene">
    <w:name w:val="header"/>
    <w:basedOn w:val="Parastais"/>
    <w:link w:val="GalveneRakstz"/>
    <w:uiPriority w:val="99"/>
    <w:rsid w:val="00194614"/>
    <w:pPr>
      <w:tabs>
        <w:tab w:val="center" w:pos="4153"/>
        <w:tab w:val="right" w:pos="8306"/>
      </w:tabs>
    </w:pPr>
    <w:rPr>
      <w:szCs w:val="20"/>
    </w:rPr>
  </w:style>
  <w:style w:type="character" w:customStyle="1" w:styleId="GalveneRakstz">
    <w:name w:val="Galvene Rakstz."/>
    <w:link w:val="Galvene"/>
    <w:uiPriority w:val="99"/>
    <w:semiHidden/>
    <w:locked/>
    <w:rsid w:val="00273F99"/>
    <w:rPr>
      <w:sz w:val="24"/>
      <w:lang w:val="lv-LV" w:eastAsia="lv-LV"/>
    </w:rPr>
  </w:style>
  <w:style w:type="character" w:styleId="Lappusesnumurs">
    <w:name w:val="page number"/>
    <w:uiPriority w:val="99"/>
    <w:rsid w:val="00194614"/>
    <w:rPr>
      <w:rFonts w:cs="Times New Roman"/>
    </w:rPr>
  </w:style>
  <w:style w:type="paragraph" w:styleId="Kjene">
    <w:name w:val="footer"/>
    <w:basedOn w:val="Parastais"/>
    <w:link w:val="KjeneRakstz"/>
    <w:uiPriority w:val="99"/>
    <w:rsid w:val="00194614"/>
    <w:pPr>
      <w:tabs>
        <w:tab w:val="center" w:pos="4153"/>
        <w:tab w:val="right" w:pos="8306"/>
      </w:tabs>
    </w:pPr>
    <w:rPr>
      <w:szCs w:val="20"/>
    </w:rPr>
  </w:style>
  <w:style w:type="character" w:customStyle="1" w:styleId="KjeneRakstz">
    <w:name w:val="Kājene Rakstz."/>
    <w:link w:val="Kjene"/>
    <w:uiPriority w:val="99"/>
    <w:locked/>
    <w:rsid w:val="00194614"/>
    <w:rPr>
      <w:sz w:val="24"/>
      <w:lang w:val="lv-LV" w:eastAsia="lv-LV"/>
    </w:rPr>
  </w:style>
  <w:style w:type="paragraph" w:customStyle="1" w:styleId="naisnod">
    <w:name w:val="naisnod"/>
    <w:basedOn w:val="Parastais"/>
    <w:uiPriority w:val="99"/>
    <w:rsid w:val="00043389"/>
    <w:pPr>
      <w:spacing w:before="150" w:after="150"/>
      <w:jc w:val="center"/>
    </w:pPr>
    <w:rPr>
      <w:b/>
      <w:bCs/>
    </w:rPr>
  </w:style>
  <w:style w:type="paragraph" w:customStyle="1" w:styleId="naisf">
    <w:name w:val="naisf"/>
    <w:basedOn w:val="Parastais"/>
    <w:link w:val="naisfChar"/>
    <w:uiPriority w:val="99"/>
    <w:rsid w:val="003B629D"/>
    <w:pPr>
      <w:spacing w:before="75" w:after="75"/>
      <w:ind w:firstLine="375"/>
      <w:jc w:val="both"/>
    </w:pPr>
    <w:rPr>
      <w:szCs w:val="20"/>
    </w:rPr>
  </w:style>
  <w:style w:type="paragraph" w:styleId="Apakvirsraksts">
    <w:name w:val="Subtitle"/>
    <w:basedOn w:val="Parastais"/>
    <w:link w:val="ApakvirsrakstsRakstz"/>
    <w:uiPriority w:val="99"/>
    <w:qFormat/>
    <w:rsid w:val="003B629D"/>
    <w:pPr>
      <w:jc w:val="center"/>
    </w:pPr>
    <w:rPr>
      <w:rFonts w:ascii="Cambria" w:hAnsi="Cambria"/>
      <w:szCs w:val="20"/>
    </w:rPr>
  </w:style>
  <w:style w:type="character" w:customStyle="1" w:styleId="ApakvirsrakstsRakstz">
    <w:name w:val="Apakšvirsraksts Rakstz."/>
    <w:link w:val="Apakvirsraksts"/>
    <w:uiPriority w:val="99"/>
    <w:locked/>
    <w:rsid w:val="00F8101F"/>
    <w:rPr>
      <w:rFonts w:ascii="Cambria" w:hAnsi="Cambria"/>
      <w:sz w:val="24"/>
    </w:rPr>
  </w:style>
  <w:style w:type="paragraph" w:styleId="Balonteksts">
    <w:name w:val="Balloon Text"/>
    <w:basedOn w:val="Parastais"/>
    <w:link w:val="BalontekstsRakstz"/>
    <w:uiPriority w:val="99"/>
    <w:semiHidden/>
    <w:rsid w:val="00252213"/>
    <w:rPr>
      <w:sz w:val="2"/>
      <w:szCs w:val="20"/>
    </w:rPr>
  </w:style>
  <w:style w:type="character" w:customStyle="1" w:styleId="BalontekstsRakstz">
    <w:name w:val="Balonteksts Rakstz."/>
    <w:link w:val="Balonteksts"/>
    <w:uiPriority w:val="99"/>
    <w:semiHidden/>
    <w:locked/>
    <w:rsid w:val="00F8101F"/>
    <w:rPr>
      <w:sz w:val="2"/>
    </w:rPr>
  </w:style>
  <w:style w:type="paragraph" w:styleId="Komentrateksts">
    <w:name w:val="annotation text"/>
    <w:basedOn w:val="Parastais"/>
    <w:link w:val="KomentratekstsRakstz"/>
    <w:uiPriority w:val="99"/>
    <w:semiHidden/>
    <w:rsid w:val="00DB4594"/>
    <w:rPr>
      <w:sz w:val="20"/>
      <w:szCs w:val="20"/>
    </w:rPr>
  </w:style>
  <w:style w:type="character" w:customStyle="1" w:styleId="KomentratekstsRakstz">
    <w:name w:val="Komentāra teksts Rakstz."/>
    <w:link w:val="Komentrateksts"/>
    <w:uiPriority w:val="99"/>
    <w:semiHidden/>
    <w:locked/>
    <w:rsid w:val="00DB4594"/>
    <w:rPr>
      <w:lang w:val="lv-LV" w:eastAsia="lv-LV"/>
    </w:rPr>
  </w:style>
  <w:style w:type="paragraph" w:styleId="Pamatteksts">
    <w:name w:val="Body Text"/>
    <w:basedOn w:val="Parastais"/>
    <w:link w:val="PamattekstsRakstz"/>
    <w:uiPriority w:val="99"/>
    <w:rsid w:val="007E7037"/>
    <w:pPr>
      <w:jc w:val="center"/>
    </w:pPr>
    <w:rPr>
      <w:sz w:val="28"/>
      <w:szCs w:val="20"/>
      <w:lang w:eastAsia="en-US"/>
    </w:rPr>
  </w:style>
  <w:style w:type="character" w:customStyle="1" w:styleId="PamattekstsRakstz">
    <w:name w:val="Pamatteksts Rakstz."/>
    <w:link w:val="Pamatteksts"/>
    <w:uiPriority w:val="99"/>
    <w:semiHidden/>
    <w:locked/>
    <w:rsid w:val="007E7037"/>
    <w:rPr>
      <w:sz w:val="28"/>
      <w:lang w:val="lv-LV" w:eastAsia="en-US"/>
    </w:rPr>
  </w:style>
  <w:style w:type="character" w:styleId="Hipersaite">
    <w:name w:val="Hyperlink"/>
    <w:uiPriority w:val="99"/>
    <w:rsid w:val="004E63EA"/>
    <w:rPr>
      <w:rFonts w:cs="Times New Roman"/>
      <w:color w:val="0000FF"/>
      <w:u w:val="single"/>
    </w:rPr>
  </w:style>
  <w:style w:type="paragraph" w:customStyle="1" w:styleId="RakstzCharCharRakstzCharCharRakstz">
    <w:name w:val="Rakstz. Char Char Rakstz. Char Char Rakstz."/>
    <w:basedOn w:val="Parastais"/>
    <w:uiPriority w:val="99"/>
    <w:rsid w:val="004E63EA"/>
    <w:pPr>
      <w:spacing w:after="160" w:line="240" w:lineRule="exact"/>
    </w:pPr>
    <w:rPr>
      <w:rFonts w:ascii="Tahoma" w:hAnsi="Tahoma" w:cs="Tahoma"/>
      <w:sz w:val="20"/>
      <w:szCs w:val="20"/>
      <w:lang w:val="en-US" w:eastAsia="en-US"/>
    </w:rPr>
  </w:style>
  <w:style w:type="paragraph" w:styleId="Vresteksts">
    <w:name w:val="footnote text"/>
    <w:basedOn w:val="Parastais"/>
    <w:link w:val="VrestekstsRakstz"/>
    <w:uiPriority w:val="99"/>
    <w:semiHidden/>
    <w:rsid w:val="007F00CE"/>
    <w:rPr>
      <w:sz w:val="20"/>
      <w:szCs w:val="20"/>
    </w:rPr>
  </w:style>
  <w:style w:type="character" w:customStyle="1" w:styleId="VrestekstsRakstz">
    <w:name w:val="Vēres teksts Rakstz."/>
    <w:link w:val="Vresteksts"/>
    <w:uiPriority w:val="99"/>
    <w:semiHidden/>
    <w:locked/>
    <w:rsid w:val="00F8101F"/>
    <w:rPr>
      <w:sz w:val="20"/>
    </w:rPr>
  </w:style>
  <w:style w:type="character" w:styleId="Vresatsauce">
    <w:name w:val="footnote reference"/>
    <w:uiPriority w:val="99"/>
    <w:semiHidden/>
    <w:rsid w:val="007F00CE"/>
    <w:rPr>
      <w:rFonts w:cs="Times New Roman"/>
      <w:vertAlign w:val="superscript"/>
    </w:rPr>
  </w:style>
  <w:style w:type="paragraph" w:customStyle="1" w:styleId="RakstzRakstzRakstzCharCharRakstzRakstzCharCharRakstzRakstz">
    <w:name w:val="Rakstz. Rakstz. Rakstz. Char Char Rakstz. Rakstz. Char Char Rakstz. Rakstz."/>
    <w:basedOn w:val="Parastais"/>
    <w:uiPriority w:val="99"/>
    <w:rsid w:val="00CD133B"/>
    <w:pPr>
      <w:spacing w:before="40"/>
    </w:pPr>
    <w:rPr>
      <w:lang w:val="pl-PL" w:eastAsia="pl-PL"/>
    </w:rPr>
  </w:style>
  <w:style w:type="character" w:styleId="Komentraatsauce">
    <w:name w:val="annotation reference"/>
    <w:uiPriority w:val="99"/>
    <w:semiHidden/>
    <w:rsid w:val="00606397"/>
    <w:rPr>
      <w:rFonts w:cs="Times New Roman"/>
      <w:sz w:val="16"/>
    </w:rPr>
  </w:style>
  <w:style w:type="paragraph" w:customStyle="1" w:styleId="Bezatstarpm1">
    <w:name w:val="Bez atstarpēm1"/>
    <w:uiPriority w:val="99"/>
    <w:rsid w:val="00C41725"/>
    <w:rPr>
      <w:rFonts w:ascii="Calibri" w:hAnsi="Calibri"/>
      <w:sz w:val="22"/>
      <w:szCs w:val="22"/>
      <w:lang w:eastAsia="en-US"/>
    </w:rPr>
  </w:style>
  <w:style w:type="paragraph" w:styleId="ParastaisWeb">
    <w:name w:val="Normal (Web)"/>
    <w:basedOn w:val="Parastais"/>
    <w:uiPriority w:val="99"/>
    <w:rsid w:val="002078E6"/>
    <w:pPr>
      <w:spacing w:before="100" w:beforeAutospacing="1" w:after="100" w:afterAutospacing="1"/>
    </w:pPr>
    <w:rPr>
      <w:rFonts w:ascii="Verdana" w:hAnsi="Verdana"/>
      <w:sz w:val="12"/>
      <w:szCs w:val="12"/>
    </w:rPr>
  </w:style>
  <w:style w:type="character" w:customStyle="1" w:styleId="naisfChar">
    <w:name w:val="naisf Char"/>
    <w:link w:val="naisf"/>
    <w:uiPriority w:val="99"/>
    <w:locked/>
    <w:rsid w:val="00A94F1B"/>
    <w:rPr>
      <w:sz w:val="24"/>
      <w:lang w:val="lv-LV" w:eastAsia="lv-LV"/>
    </w:rPr>
  </w:style>
  <w:style w:type="paragraph" w:customStyle="1" w:styleId="naisvisr">
    <w:name w:val="naisvisr"/>
    <w:basedOn w:val="Parastais"/>
    <w:uiPriority w:val="99"/>
    <w:rsid w:val="005033B3"/>
    <w:pPr>
      <w:spacing w:before="100" w:after="100"/>
      <w:jc w:val="center"/>
    </w:pPr>
    <w:rPr>
      <w:b/>
      <w:bCs/>
      <w:sz w:val="28"/>
      <w:szCs w:val="28"/>
    </w:rPr>
  </w:style>
  <w:style w:type="paragraph" w:customStyle="1" w:styleId="Char1CharCharChar">
    <w:name w:val="Char1 Char Char Char"/>
    <w:basedOn w:val="Parastais"/>
    <w:uiPriority w:val="99"/>
    <w:rsid w:val="003022E4"/>
    <w:pPr>
      <w:spacing w:before="40"/>
    </w:pPr>
    <w:rPr>
      <w:lang w:val="pl-PL" w:eastAsia="pl-PL"/>
    </w:rPr>
  </w:style>
  <w:style w:type="paragraph" w:styleId="Komentratma">
    <w:name w:val="annotation subject"/>
    <w:basedOn w:val="Komentrateksts"/>
    <w:next w:val="Komentrateksts"/>
    <w:link w:val="KomentratmaRakstz"/>
    <w:uiPriority w:val="99"/>
    <w:semiHidden/>
    <w:rsid w:val="00856C72"/>
    <w:rPr>
      <w:b/>
    </w:rPr>
  </w:style>
  <w:style w:type="character" w:customStyle="1" w:styleId="KomentratmaRakstz">
    <w:name w:val="Komentāra tēma Rakstz."/>
    <w:link w:val="Komentratma"/>
    <w:uiPriority w:val="99"/>
    <w:semiHidden/>
    <w:locked/>
    <w:rsid w:val="00F8101F"/>
    <w:rPr>
      <w:b/>
      <w:sz w:val="20"/>
      <w:lang w:val="lv-LV" w:eastAsia="lv-LV"/>
    </w:rPr>
  </w:style>
  <w:style w:type="paragraph" w:customStyle="1" w:styleId="programmas">
    <w:name w:val="programmas"/>
    <w:basedOn w:val="Parastais"/>
    <w:uiPriority w:val="99"/>
    <w:rsid w:val="003973DF"/>
    <w:pPr>
      <w:widowControl w:val="0"/>
      <w:spacing w:before="240" w:after="120"/>
      <w:jc w:val="center"/>
    </w:pPr>
    <w:rPr>
      <w:szCs w:val="20"/>
      <w:u w:val="single"/>
      <w:lang w:val="en-US" w:eastAsia="en-US"/>
    </w:rPr>
  </w:style>
  <w:style w:type="paragraph" w:customStyle="1" w:styleId="cipari">
    <w:name w:val="cipari"/>
    <w:basedOn w:val="Parastais"/>
    <w:link w:val="cipariChar"/>
    <w:uiPriority w:val="99"/>
    <w:rsid w:val="003973DF"/>
    <w:pPr>
      <w:spacing w:after="120"/>
      <w:ind w:left="720" w:hanging="720"/>
      <w:jc w:val="both"/>
    </w:pPr>
    <w:rPr>
      <w:szCs w:val="20"/>
      <w:lang w:eastAsia="en-US"/>
    </w:rPr>
  </w:style>
  <w:style w:type="character" w:customStyle="1" w:styleId="cipariChar">
    <w:name w:val="cipari Char"/>
    <w:link w:val="cipari"/>
    <w:uiPriority w:val="99"/>
    <w:locked/>
    <w:rsid w:val="003973DF"/>
    <w:rPr>
      <w:sz w:val="24"/>
      <w:lang w:eastAsia="en-US"/>
    </w:rPr>
  </w:style>
  <w:style w:type="character" w:customStyle="1" w:styleId="apple-converted-space">
    <w:name w:val="apple-converted-space"/>
    <w:uiPriority w:val="99"/>
    <w:rsid w:val="00A27000"/>
  </w:style>
  <w:style w:type="character" w:styleId="Izteiksmgs">
    <w:name w:val="Strong"/>
    <w:uiPriority w:val="99"/>
    <w:qFormat/>
    <w:rsid w:val="0062283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997920">
      <w:marLeft w:val="0"/>
      <w:marRight w:val="0"/>
      <w:marTop w:val="0"/>
      <w:marBottom w:val="0"/>
      <w:divBdr>
        <w:top w:val="none" w:sz="0" w:space="0" w:color="auto"/>
        <w:left w:val="none" w:sz="0" w:space="0" w:color="auto"/>
        <w:bottom w:val="none" w:sz="0" w:space="0" w:color="auto"/>
        <w:right w:val="none" w:sz="0" w:space="0" w:color="auto"/>
      </w:divBdr>
    </w:div>
    <w:div w:id="1731997921">
      <w:marLeft w:val="30"/>
      <w:marRight w:val="30"/>
      <w:marTop w:val="60"/>
      <w:marBottom w:val="60"/>
      <w:divBdr>
        <w:top w:val="none" w:sz="0" w:space="0" w:color="auto"/>
        <w:left w:val="none" w:sz="0" w:space="0" w:color="auto"/>
        <w:bottom w:val="none" w:sz="0" w:space="0" w:color="auto"/>
        <w:right w:val="none" w:sz="0" w:space="0" w:color="auto"/>
      </w:divBdr>
      <w:divsChild>
        <w:div w:id="1731997922">
          <w:marLeft w:val="0"/>
          <w:marRight w:val="0"/>
          <w:marTop w:val="0"/>
          <w:marBottom w:val="567"/>
          <w:divBdr>
            <w:top w:val="none" w:sz="0" w:space="0" w:color="auto"/>
            <w:left w:val="none" w:sz="0" w:space="0" w:color="auto"/>
            <w:bottom w:val="none" w:sz="0" w:space="0" w:color="auto"/>
            <w:right w:val="none" w:sz="0" w:space="0" w:color="auto"/>
          </w:divBdr>
        </w:div>
      </w:divsChild>
    </w:div>
    <w:div w:id="1731997923">
      <w:marLeft w:val="0"/>
      <w:marRight w:val="0"/>
      <w:marTop w:val="0"/>
      <w:marBottom w:val="0"/>
      <w:divBdr>
        <w:top w:val="none" w:sz="0" w:space="0" w:color="auto"/>
        <w:left w:val="none" w:sz="0" w:space="0" w:color="auto"/>
        <w:bottom w:val="none" w:sz="0" w:space="0" w:color="auto"/>
        <w:right w:val="none" w:sz="0" w:space="0" w:color="auto"/>
      </w:divBdr>
    </w:div>
    <w:div w:id="1731997924">
      <w:marLeft w:val="0"/>
      <w:marRight w:val="0"/>
      <w:marTop w:val="0"/>
      <w:marBottom w:val="0"/>
      <w:divBdr>
        <w:top w:val="none" w:sz="0" w:space="0" w:color="auto"/>
        <w:left w:val="none" w:sz="0" w:space="0" w:color="auto"/>
        <w:bottom w:val="none" w:sz="0" w:space="0" w:color="auto"/>
        <w:right w:val="none" w:sz="0" w:space="0" w:color="auto"/>
      </w:divBdr>
    </w:div>
    <w:div w:id="1731997925">
      <w:marLeft w:val="0"/>
      <w:marRight w:val="0"/>
      <w:marTop w:val="0"/>
      <w:marBottom w:val="0"/>
      <w:divBdr>
        <w:top w:val="none" w:sz="0" w:space="0" w:color="auto"/>
        <w:left w:val="none" w:sz="0" w:space="0" w:color="auto"/>
        <w:bottom w:val="none" w:sz="0" w:space="0" w:color="auto"/>
        <w:right w:val="none" w:sz="0" w:space="0" w:color="auto"/>
      </w:divBdr>
    </w:div>
    <w:div w:id="1731997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058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251504" TargetMode="External"/><Relationship Id="rId12" Type="http://schemas.openxmlformats.org/officeDocument/2006/relationships/hyperlink" Target="http://www.likumi.lv/doc.php?id=1390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684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kumi.lv/doc.php?id=23521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ikumi.lv/doc.php?id=24958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9331</Characters>
  <Application>Microsoft Office Word</Application>
  <DocSecurity>0</DocSecurity>
  <Lines>301</Lines>
  <Paragraphs>109</Paragraphs>
  <ScaleCrop>false</ScaleCrop>
  <Company>LM</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sociālās apdrošināšanas aģentūras nolikums"</dc:title>
  <dc:subject>Anotācija</dc:subject>
  <dc:creator>SjuzanaF</dc:creator>
  <cp:keywords/>
  <dc:description>tālr. 67021616,Sjuzana.Faizullina@lm.gov.lv</dc:description>
  <cp:lastModifiedBy>Renārs Žagars</cp:lastModifiedBy>
  <cp:revision>3</cp:revision>
  <cp:lastPrinted>2012-12-03T11:48:00Z</cp:lastPrinted>
  <dcterms:created xsi:type="dcterms:W3CDTF">2012-12-05T10:29:00Z</dcterms:created>
  <dcterms:modified xsi:type="dcterms:W3CDTF">2012-12-05T10:42:00Z</dcterms:modified>
</cp:coreProperties>
</file>