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76" w:rsidRPr="00290226" w:rsidRDefault="00DD4976" w:rsidP="00290226">
      <w:pPr>
        <w:pStyle w:val="naisc"/>
        <w:spacing w:before="0" w:after="0"/>
        <w:rPr>
          <w:b/>
          <w:bCs/>
          <w:sz w:val="28"/>
          <w:szCs w:val="28"/>
        </w:rPr>
      </w:pPr>
      <w:bookmarkStart w:id="0" w:name="_GoBack"/>
      <w:bookmarkStart w:id="1" w:name="OLE_LINK1"/>
      <w:bookmarkEnd w:id="0"/>
      <w:r w:rsidRPr="00290226">
        <w:rPr>
          <w:b/>
          <w:bCs/>
          <w:sz w:val="28"/>
          <w:szCs w:val="28"/>
        </w:rPr>
        <w:t>Ministru kabineta noteikumu projekta</w:t>
      </w:r>
      <w:bookmarkEnd w:id="1"/>
      <w:r w:rsidRPr="00290226">
        <w:rPr>
          <w:b/>
          <w:bCs/>
          <w:sz w:val="28"/>
          <w:szCs w:val="28"/>
        </w:rPr>
        <w:t xml:space="preserve"> „Grozījumi Ministru kabineta 2009.gada 7.jūlija noteikumos Nr.746 „Lauksaimniecības un lauku attīstības kredītu garantēšanas kārtība</w:t>
      </w:r>
      <w:r w:rsidRPr="00290226">
        <w:rPr>
          <w:b/>
          <w:sz w:val="28"/>
          <w:szCs w:val="28"/>
        </w:rPr>
        <w:t>”</w:t>
      </w:r>
      <w:r w:rsidRPr="00290226">
        <w:rPr>
          <w:b/>
          <w:bCs/>
          <w:sz w:val="28"/>
          <w:szCs w:val="28"/>
        </w:rPr>
        <w:t>”</w:t>
      </w:r>
      <w:r>
        <w:rPr>
          <w:b/>
          <w:bCs/>
          <w:sz w:val="28"/>
          <w:szCs w:val="28"/>
        </w:rPr>
        <w:t xml:space="preserve"> </w:t>
      </w:r>
      <w:r w:rsidRPr="00290226">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290226">
          <w:rPr>
            <w:b/>
            <w:bCs/>
            <w:sz w:val="28"/>
            <w:szCs w:val="28"/>
          </w:rPr>
          <w:t>ziņojums</w:t>
        </w:r>
      </w:smartTag>
      <w:r w:rsidRPr="00290226">
        <w:rPr>
          <w:b/>
          <w:bCs/>
          <w:sz w:val="28"/>
          <w:szCs w:val="28"/>
        </w:rPr>
        <w:t xml:space="preserve"> (anotācija)</w:t>
      </w:r>
    </w:p>
    <w:p w:rsidR="00DD4976" w:rsidRDefault="00DD4976" w:rsidP="00422589">
      <w:pPr>
        <w:jc w:val="cente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7"/>
        <w:gridCol w:w="2870"/>
        <w:gridCol w:w="5883"/>
      </w:tblGrid>
      <w:tr w:rsidR="00DD4976" w:rsidRPr="00ED22C8" w:rsidTr="00C72A47">
        <w:trPr>
          <w:trHeight w:val="419"/>
        </w:trPr>
        <w:tc>
          <w:tcPr>
            <w:tcW w:w="5000" w:type="pct"/>
            <w:gridSpan w:val="3"/>
            <w:vAlign w:val="center"/>
          </w:tcPr>
          <w:p w:rsidR="00DD4976" w:rsidRPr="00DD49B6" w:rsidRDefault="00DD4976" w:rsidP="00C72A47">
            <w:pPr>
              <w:pStyle w:val="naisnod"/>
              <w:spacing w:before="0" w:beforeAutospacing="0" w:after="0" w:afterAutospacing="0"/>
              <w:ind w:left="57" w:right="57"/>
              <w:jc w:val="center"/>
              <w:rPr>
                <w:b/>
              </w:rPr>
            </w:pPr>
            <w:r w:rsidRPr="00DD49B6">
              <w:rPr>
                <w:b/>
              </w:rPr>
              <w:t>I. Tiesību akta projekta izstrādes nepieciešamība</w:t>
            </w:r>
          </w:p>
        </w:tc>
      </w:tr>
      <w:tr w:rsidR="00DD4976" w:rsidRPr="00ED22C8" w:rsidTr="00422589">
        <w:trPr>
          <w:trHeight w:val="415"/>
        </w:trPr>
        <w:tc>
          <w:tcPr>
            <w:tcW w:w="227" w:type="pct"/>
          </w:tcPr>
          <w:p w:rsidR="00DD4976" w:rsidRPr="00DD49B6" w:rsidRDefault="00DD4976" w:rsidP="00C72A47">
            <w:pPr>
              <w:pStyle w:val="naiskr"/>
              <w:spacing w:before="0" w:beforeAutospacing="0" w:after="0" w:afterAutospacing="0"/>
              <w:ind w:left="57" w:right="57"/>
              <w:jc w:val="center"/>
            </w:pPr>
            <w:r w:rsidRPr="00DD49B6">
              <w:t>1.</w:t>
            </w:r>
          </w:p>
        </w:tc>
        <w:tc>
          <w:tcPr>
            <w:tcW w:w="1565" w:type="pct"/>
          </w:tcPr>
          <w:p w:rsidR="00DD4976" w:rsidRPr="00DD49B6" w:rsidRDefault="00DD4976" w:rsidP="00C72A47">
            <w:pPr>
              <w:pStyle w:val="naiskr"/>
              <w:spacing w:before="0" w:beforeAutospacing="0" w:after="0" w:afterAutospacing="0"/>
              <w:ind w:left="57" w:right="57"/>
            </w:pPr>
            <w:r w:rsidRPr="00DD49B6">
              <w:t>Pamatojums</w:t>
            </w:r>
          </w:p>
        </w:tc>
        <w:tc>
          <w:tcPr>
            <w:tcW w:w="3208" w:type="pct"/>
          </w:tcPr>
          <w:p w:rsidR="00DD4976" w:rsidRDefault="00DD4976" w:rsidP="00EA155D">
            <w:pPr>
              <w:spacing w:after="0" w:line="240" w:lineRule="auto"/>
              <w:jc w:val="both"/>
              <w:rPr>
                <w:rFonts w:ascii="Times New Roman" w:hAnsi="Times New Roman"/>
                <w:color w:val="000000"/>
                <w:sz w:val="24"/>
                <w:szCs w:val="24"/>
              </w:rPr>
            </w:pPr>
            <w:r w:rsidRPr="007D7632">
              <w:rPr>
                <w:rFonts w:ascii="Times New Roman" w:hAnsi="Times New Roman"/>
                <w:i/>
                <w:color w:val="000000"/>
                <w:sz w:val="24"/>
                <w:szCs w:val="24"/>
              </w:rPr>
              <w:t xml:space="preserve">Euro </w:t>
            </w:r>
            <w:r w:rsidRPr="007D7632">
              <w:rPr>
                <w:rFonts w:ascii="Times New Roman" w:hAnsi="Times New Roman"/>
                <w:color w:val="000000"/>
                <w:sz w:val="24"/>
                <w:szCs w:val="24"/>
              </w:rPr>
              <w:t>ieviešanas kārtības likuma 30.panta pirmā daļa, Ministru kabineta 2012.gada 27.jūnija rīkojuma Nr.282 „Par „Koncepciju par normatīvo aktu sakārtošanu saistībā ar eiro ieviešanu Latvijā”” 7.1</w:t>
            </w:r>
            <w:r>
              <w:rPr>
                <w:rFonts w:ascii="Times New Roman" w:hAnsi="Times New Roman"/>
                <w:color w:val="000000"/>
                <w:sz w:val="24"/>
                <w:szCs w:val="24"/>
              </w:rPr>
              <w:t>.</w:t>
            </w:r>
            <w:r w:rsidRPr="007D7632">
              <w:rPr>
                <w:rFonts w:ascii="Times New Roman" w:hAnsi="Times New Roman"/>
                <w:color w:val="000000"/>
                <w:sz w:val="24"/>
                <w:szCs w:val="24"/>
              </w:rPr>
              <w:t xml:space="preserve"> apakšpunkts.</w:t>
            </w:r>
          </w:p>
          <w:p w:rsidR="00DD4976" w:rsidRPr="00A86283" w:rsidRDefault="00DD4976" w:rsidP="00290226">
            <w:pPr>
              <w:pStyle w:val="Virsraksts3"/>
              <w:shd w:val="clear" w:color="auto" w:fill="FFFFFF"/>
              <w:spacing w:before="0" w:beforeAutospacing="0" w:after="0" w:afterAutospacing="0"/>
              <w:ind w:right="57"/>
              <w:jc w:val="both"/>
              <w:rPr>
                <w:b w:val="0"/>
                <w:bCs/>
                <w:sz w:val="24"/>
                <w:szCs w:val="24"/>
                <w:lang w:val="lv-LV"/>
              </w:rPr>
            </w:pPr>
          </w:p>
          <w:p w:rsidR="00DD4976" w:rsidRPr="00A86283" w:rsidRDefault="00DD4976" w:rsidP="00290226">
            <w:pPr>
              <w:pStyle w:val="Virsraksts3"/>
              <w:shd w:val="clear" w:color="auto" w:fill="FFFFFF"/>
              <w:spacing w:before="0" w:beforeAutospacing="0" w:after="0" w:afterAutospacing="0"/>
              <w:ind w:right="57"/>
              <w:jc w:val="both"/>
              <w:rPr>
                <w:bCs/>
                <w:szCs w:val="27"/>
                <w:lang w:val="lv-LV"/>
              </w:rPr>
            </w:pPr>
            <w:r w:rsidRPr="00A86283">
              <w:rPr>
                <w:b w:val="0"/>
                <w:bCs/>
                <w:sz w:val="24"/>
                <w:szCs w:val="24"/>
                <w:lang w:val="lv-LV"/>
              </w:rPr>
              <w:t>Ministru kabineta noteikumu projekts „Grozījumi Ministru kabineta 2009.gada 7.jūlija noteikumos Nr.746 „Lauksaimniecības un lauku attīstības kredītu garantēšanas kārtība</w:t>
            </w:r>
            <w:r w:rsidRPr="00A86283">
              <w:rPr>
                <w:b w:val="0"/>
                <w:sz w:val="24"/>
                <w:szCs w:val="24"/>
                <w:lang w:val="lv-LV"/>
              </w:rPr>
              <w:t>”</w:t>
            </w:r>
            <w:r w:rsidRPr="00A86283">
              <w:rPr>
                <w:b w:val="0"/>
                <w:bCs/>
                <w:sz w:val="24"/>
                <w:szCs w:val="24"/>
                <w:lang w:val="lv-LV"/>
              </w:rPr>
              <w:t>” (turpmāk – noteikumu projekts) sagatavots, pamatojoties uz Lauksaimniecības un lauku attīstības likuma 5.panta desmito daļu.</w:t>
            </w:r>
          </w:p>
        </w:tc>
      </w:tr>
      <w:tr w:rsidR="00DD4976" w:rsidRPr="00ED22C8" w:rsidTr="00422589">
        <w:trPr>
          <w:trHeight w:val="472"/>
        </w:trPr>
        <w:tc>
          <w:tcPr>
            <w:tcW w:w="227" w:type="pct"/>
          </w:tcPr>
          <w:p w:rsidR="00DD4976" w:rsidRPr="00DD49B6" w:rsidRDefault="00DD4976" w:rsidP="00C72A47">
            <w:pPr>
              <w:pStyle w:val="naiskr"/>
              <w:spacing w:before="0" w:beforeAutospacing="0" w:after="0" w:afterAutospacing="0"/>
              <w:ind w:left="57" w:right="57"/>
              <w:jc w:val="center"/>
            </w:pPr>
            <w:r w:rsidRPr="00DD49B6">
              <w:t>2.</w:t>
            </w:r>
          </w:p>
        </w:tc>
        <w:tc>
          <w:tcPr>
            <w:tcW w:w="1565" w:type="pct"/>
          </w:tcPr>
          <w:p w:rsidR="00DD4976" w:rsidRPr="00DD49B6" w:rsidRDefault="00DD4976" w:rsidP="00C72A47">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DD4976" w:rsidRPr="00A86283" w:rsidRDefault="00DD4976" w:rsidP="00290226">
            <w:pPr>
              <w:pStyle w:val="Virsraksts3"/>
              <w:shd w:val="clear" w:color="auto" w:fill="FFFFFF"/>
              <w:spacing w:before="0" w:beforeAutospacing="0" w:after="0" w:afterAutospacing="0"/>
              <w:jc w:val="both"/>
              <w:rPr>
                <w:b w:val="0"/>
                <w:bCs/>
                <w:sz w:val="24"/>
                <w:szCs w:val="24"/>
                <w:lang w:val="lv-LV"/>
              </w:rPr>
            </w:pPr>
            <w:r w:rsidRPr="00A86283">
              <w:rPr>
                <w:b w:val="0"/>
                <w:bCs/>
                <w:sz w:val="24"/>
                <w:szCs w:val="24"/>
                <w:lang w:val="lv-LV"/>
              </w:rPr>
              <w:t>Saskaņ</w:t>
            </w:r>
            <w:r w:rsidR="00337773" w:rsidRPr="00A86283">
              <w:rPr>
                <w:b w:val="0"/>
                <w:bCs/>
                <w:sz w:val="24"/>
                <w:szCs w:val="24"/>
                <w:lang w:val="lv-LV"/>
              </w:rPr>
              <w:t>ā</w:t>
            </w:r>
            <w:r w:rsidRPr="00A86283">
              <w:rPr>
                <w:b w:val="0"/>
                <w:bCs/>
                <w:sz w:val="24"/>
                <w:szCs w:val="24"/>
                <w:lang w:val="lv-LV"/>
              </w:rPr>
              <w:t xml:space="preserve"> ar spēkā esošajiem Ministru kabineta 2009.gada 7.jūlija noteikumiem Nr.746 „Lauksaimniecības un lauku attīstības kredītu garantēšanas kārtība”” (turpmāk – noteikumi Nr.746) kredītgarantijas piešķir līdz 2013.gada 30.decembrim. Eiropas Komisija 2013.gada 4.decembrī pieņēma lēmumu Nr.SA.37390(2013/N) „Atbalsts kredītgarantiju veidā” par atļauju turpināt šo valsts atbalsta shēmu līdz 2019.gada 31.decembrim, tādēļ noteikumos Nr.746 jāizdara grozījumi,</w:t>
            </w:r>
            <w:r w:rsidRPr="00A86283">
              <w:rPr>
                <w:bCs/>
                <w:szCs w:val="27"/>
                <w:lang w:val="lv-LV"/>
              </w:rPr>
              <w:t xml:space="preserve"> </w:t>
            </w:r>
            <w:r w:rsidRPr="00A86283">
              <w:rPr>
                <w:b w:val="0"/>
                <w:bCs/>
                <w:sz w:val="24"/>
                <w:szCs w:val="24"/>
                <w:lang w:val="lv-LV"/>
              </w:rPr>
              <w:t xml:space="preserve">lai pielāgotu tos </w:t>
            </w:r>
            <w:r w:rsidRPr="00A86283">
              <w:rPr>
                <w:b w:val="0"/>
                <w:bCs/>
                <w:i/>
                <w:sz w:val="24"/>
                <w:szCs w:val="24"/>
                <w:lang w:val="lv-LV"/>
              </w:rPr>
              <w:t>euro</w:t>
            </w:r>
            <w:r w:rsidRPr="00A86283">
              <w:rPr>
                <w:b w:val="0"/>
                <w:bCs/>
                <w:sz w:val="24"/>
                <w:szCs w:val="24"/>
                <w:lang w:val="lv-LV"/>
              </w:rPr>
              <w:t xml:space="preserve"> ieviešanai.</w:t>
            </w:r>
          </w:p>
          <w:p w:rsidR="00DD4976" w:rsidRPr="00A86283" w:rsidRDefault="00DD4976" w:rsidP="00290226">
            <w:pPr>
              <w:pStyle w:val="Virsraksts3"/>
              <w:shd w:val="clear" w:color="auto" w:fill="FFFFFF"/>
              <w:spacing w:before="0" w:beforeAutospacing="0" w:after="0" w:afterAutospacing="0"/>
              <w:jc w:val="both"/>
              <w:rPr>
                <w:b w:val="0"/>
                <w:bCs/>
                <w:sz w:val="24"/>
                <w:szCs w:val="24"/>
                <w:lang w:val="lv-LV"/>
              </w:rPr>
            </w:pPr>
            <w:r w:rsidRPr="00A86283">
              <w:rPr>
                <w:b w:val="0"/>
                <w:bCs/>
                <w:sz w:val="24"/>
                <w:szCs w:val="24"/>
                <w:lang w:val="lv-LV"/>
              </w:rPr>
              <w:t>Noteikumi Nr.746 paredz, ka valsts akciju sabiedrība „Lauku attīstības fonds” garantijas piešķir par kredītiestādes vai krājaizdevu sabiedrības līdzekļiem piešķirtiem kredītiem, ja tiem nav pietiekama kredīta nodrošinājuma. Tā kā Latvijas Hipotēku un zemes banka ir zaudējusi kredītiestādes licenci un no 2014.gada 1.janvāra ir pārveidota par valsts akciju sabiedrību „Latvijas Attīstības finanšu institūcija Altum”,</w:t>
            </w:r>
            <w:r w:rsidRPr="00A86283" w:rsidDel="00E92FDD">
              <w:rPr>
                <w:b w:val="0"/>
                <w:bCs/>
                <w:sz w:val="24"/>
                <w:szCs w:val="24"/>
                <w:lang w:val="lv-LV"/>
              </w:rPr>
              <w:t xml:space="preserve"> </w:t>
            </w:r>
            <w:r w:rsidRPr="00A86283">
              <w:rPr>
                <w:b w:val="0"/>
                <w:bCs/>
                <w:sz w:val="24"/>
                <w:szCs w:val="24"/>
                <w:lang w:val="lv-LV"/>
              </w:rPr>
              <w:t>valsts akciju sabiedrība „Lauku attīstības fonds” vairs nevar sniegt garantijas tās izsniegtajiem kredītiem.</w:t>
            </w:r>
          </w:p>
          <w:p w:rsidR="00DD4976" w:rsidRPr="00A86283" w:rsidRDefault="00DD4976" w:rsidP="00976B83">
            <w:pPr>
              <w:pStyle w:val="Virsraksts3"/>
              <w:shd w:val="clear" w:color="auto" w:fill="FFFFFF"/>
              <w:spacing w:before="0" w:beforeAutospacing="0" w:after="0" w:afterAutospacing="0"/>
              <w:jc w:val="both"/>
              <w:rPr>
                <w:b w:val="0"/>
                <w:bCs/>
                <w:sz w:val="24"/>
                <w:szCs w:val="24"/>
                <w:lang w:val="lv-LV"/>
              </w:rPr>
            </w:pPr>
            <w:r w:rsidRPr="00A86283">
              <w:rPr>
                <w:b w:val="0"/>
                <w:bCs/>
                <w:sz w:val="24"/>
                <w:szCs w:val="24"/>
                <w:lang w:val="lv-LV"/>
              </w:rPr>
              <w:t>Noteikumu projekts paredz, ka valsts akciju sabiedrība „Lauku attīstības fonds” garantijas piešķir arī par kredītiem, ko piešķir finanšu institūcijas, kuras sniedz valsts atbalstu, izmantojot finanšu instrumentus. Noteikumu projekts paredz svītrot noteikumu 1.pielikuma 9.1.apakšpunktu, jo Zemkopības ministrija no 2014.gada 1.javāra vairs neatbild par noteikumu 1.pielikuma 9.1.apakšpunktā minētā atbalsta pasākuma ieviešanu.</w:t>
            </w:r>
          </w:p>
          <w:p w:rsidR="00DD4976" w:rsidRPr="00A86283" w:rsidRDefault="00DD4976" w:rsidP="00976B83">
            <w:pPr>
              <w:pStyle w:val="Virsraksts3"/>
              <w:shd w:val="clear" w:color="auto" w:fill="FFFFFF"/>
              <w:spacing w:before="0" w:beforeAutospacing="0" w:after="0" w:afterAutospacing="0"/>
              <w:jc w:val="both"/>
              <w:rPr>
                <w:b w:val="0"/>
                <w:bCs/>
                <w:sz w:val="24"/>
                <w:szCs w:val="24"/>
                <w:lang w:val="lv-LV"/>
              </w:rPr>
            </w:pPr>
            <w:r w:rsidRPr="00A86283">
              <w:rPr>
                <w:b w:val="0"/>
                <w:bCs/>
                <w:sz w:val="24"/>
                <w:szCs w:val="24"/>
                <w:lang w:val="lv-LV"/>
              </w:rPr>
              <w:t xml:space="preserve">Šis projekts paredz aizstāt attiecīgajā normatīvajā aktā latus ar </w:t>
            </w:r>
            <w:r w:rsidRPr="00A86283">
              <w:rPr>
                <w:b w:val="0"/>
                <w:bCs/>
                <w:i/>
                <w:sz w:val="24"/>
                <w:szCs w:val="24"/>
                <w:lang w:val="lv-LV"/>
              </w:rPr>
              <w:t>euro</w:t>
            </w:r>
            <w:r w:rsidRPr="00A86283">
              <w:rPr>
                <w:b w:val="0"/>
                <w:bCs/>
                <w:sz w:val="24"/>
                <w:szCs w:val="24"/>
                <w:lang w:val="lv-LV"/>
              </w:rPr>
              <w:t xml:space="preserve"> noteikumu Nr.746 1.pielikuma 6.1. un 6.2. apakšpunktā 21 000 latu ar 30 000 </w:t>
            </w:r>
            <w:r w:rsidRPr="00A86283">
              <w:rPr>
                <w:b w:val="0"/>
                <w:bCs/>
                <w:i/>
                <w:sz w:val="24"/>
                <w:szCs w:val="24"/>
                <w:lang w:val="lv-LV"/>
              </w:rPr>
              <w:t xml:space="preserve">euro </w:t>
            </w:r>
            <w:r w:rsidRPr="00A86283">
              <w:rPr>
                <w:b w:val="0"/>
                <w:bCs/>
                <w:sz w:val="24"/>
                <w:szCs w:val="24"/>
                <w:lang w:val="lv-LV"/>
              </w:rPr>
              <w:t>un 158 000 latu ar 225 000</w:t>
            </w:r>
            <w:r w:rsidRPr="00A86283">
              <w:rPr>
                <w:b w:val="0"/>
                <w:bCs/>
                <w:i/>
                <w:sz w:val="24"/>
                <w:szCs w:val="24"/>
                <w:lang w:val="lv-LV"/>
              </w:rPr>
              <w:t xml:space="preserve"> euro</w:t>
            </w:r>
            <w:r w:rsidRPr="00A86283">
              <w:rPr>
                <w:b w:val="0"/>
                <w:bCs/>
                <w:sz w:val="24"/>
                <w:szCs w:val="24"/>
                <w:lang w:val="lv-LV"/>
              </w:rPr>
              <w:t xml:space="preserve"> atbilstoši Komisijas 2007.gada 24.jūlija </w:t>
            </w:r>
            <w:r w:rsidRPr="00A86283">
              <w:rPr>
                <w:b w:val="0"/>
                <w:bCs/>
                <w:sz w:val="24"/>
                <w:szCs w:val="24"/>
                <w:lang w:val="lv-LV"/>
              </w:rPr>
              <w:lastRenderedPageBreak/>
              <w:t xml:space="preserve">Regulai (EK) Nr. </w:t>
            </w:r>
            <w:hyperlink r:id="rId6" w:tgtFrame="_blank" w:history="1">
              <w:r w:rsidRPr="00A86283">
                <w:rPr>
                  <w:b w:val="0"/>
                  <w:bCs/>
                  <w:sz w:val="24"/>
                  <w:szCs w:val="24"/>
                  <w:lang w:val="lv-LV"/>
                </w:rPr>
                <w:t>875/2007</w:t>
              </w:r>
            </w:hyperlink>
            <w:r w:rsidRPr="00A86283">
              <w:rPr>
                <w:b w:val="0"/>
                <w:bCs/>
                <w:sz w:val="24"/>
                <w:szCs w:val="24"/>
                <w:lang w:val="lv-LV"/>
              </w:rPr>
              <w:t xml:space="preserve"> par EK līguma 87. un 88.panta piemērošanu </w:t>
            </w:r>
            <w:r w:rsidRPr="00A86283">
              <w:rPr>
                <w:b w:val="0"/>
                <w:bCs/>
                <w:i/>
                <w:sz w:val="24"/>
                <w:szCs w:val="24"/>
                <w:lang w:val="lv-LV"/>
              </w:rPr>
              <w:t>de minimis</w:t>
            </w:r>
            <w:r w:rsidRPr="00A86283">
              <w:rPr>
                <w:b w:val="0"/>
                <w:bCs/>
                <w:sz w:val="24"/>
                <w:szCs w:val="24"/>
                <w:lang w:val="lv-LV"/>
              </w:rPr>
              <w:t xml:space="preserve"> atbalstam zivsaimniecības nozarē un par Regulas (EK) </w:t>
            </w:r>
            <w:hyperlink r:id="rId7" w:tgtFrame="_blank" w:history="1">
              <w:r w:rsidRPr="00A86283">
                <w:rPr>
                  <w:b w:val="0"/>
                  <w:bCs/>
                  <w:sz w:val="24"/>
                  <w:szCs w:val="24"/>
                  <w:lang w:val="lv-LV"/>
                </w:rPr>
                <w:t>1860/2004</w:t>
              </w:r>
            </w:hyperlink>
            <w:r w:rsidRPr="00A86283">
              <w:rPr>
                <w:b w:val="0"/>
                <w:bCs/>
                <w:sz w:val="24"/>
                <w:szCs w:val="24"/>
                <w:lang w:val="lv-LV"/>
              </w:rPr>
              <w:t xml:space="preserve"> grozīšanu (Eiropas Savienības Oficiālais Vēstnesis, 2007.gada 25.jūlijs, Nr.L193). Savukārt noteikumu Nr.746 7.4.apakšpunktā, 1.pielikuma 7.1.</w:t>
            </w:r>
            <w:r w:rsidR="00337773" w:rsidRPr="00A86283">
              <w:rPr>
                <w:b w:val="0"/>
                <w:bCs/>
                <w:sz w:val="24"/>
                <w:szCs w:val="24"/>
                <w:lang w:val="lv-LV"/>
              </w:rPr>
              <w:t xml:space="preserve">, </w:t>
            </w:r>
            <w:r w:rsidRPr="00A86283">
              <w:rPr>
                <w:b w:val="0"/>
                <w:bCs/>
                <w:sz w:val="24"/>
                <w:szCs w:val="24"/>
                <w:lang w:val="lv-LV"/>
              </w:rPr>
              <w:t>7.2., 8.6., 8.7., 8.9.</w:t>
            </w:r>
            <w:r w:rsidR="00337773" w:rsidRPr="00A86283">
              <w:rPr>
                <w:b w:val="0"/>
                <w:bCs/>
                <w:sz w:val="24"/>
                <w:szCs w:val="24"/>
                <w:lang w:val="lv-LV"/>
              </w:rPr>
              <w:t xml:space="preserve"> un</w:t>
            </w:r>
            <w:r w:rsidRPr="00A86283">
              <w:rPr>
                <w:b w:val="0"/>
                <w:bCs/>
                <w:sz w:val="24"/>
                <w:szCs w:val="24"/>
                <w:lang w:val="lv-LV"/>
              </w:rPr>
              <w:t xml:space="preserve"> 8.10. apakšpunktā un 1.piezīmē 140 500 latu ar 200 000 </w:t>
            </w:r>
            <w:r w:rsidRPr="00A86283">
              <w:rPr>
                <w:b w:val="0"/>
                <w:bCs/>
                <w:i/>
                <w:sz w:val="24"/>
                <w:szCs w:val="24"/>
                <w:lang w:val="lv-LV"/>
              </w:rPr>
              <w:t>euro</w:t>
            </w:r>
            <w:r w:rsidRPr="00A86283">
              <w:rPr>
                <w:b w:val="0"/>
                <w:bCs/>
                <w:sz w:val="24"/>
                <w:szCs w:val="24"/>
                <w:lang w:val="lv-LV"/>
              </w:rPr>
              <w:t xml:space="preserve"> un 8.8.apakšpunktā 140 500 latu ar 200 000 </w:t>
            </w:r>
            <w:r w:rsidRPr="00A86283">
              <w:rPr>
                <w:b w:val="0"/>
                <w:bCs/>
                <w:i/>
                <w:sz w:val="24"/>
                <w:szCs w:val="24"/>
                <w:lang w:val="lv-LV"/>
              </w:rPr>
              <w:t>euro</w:t>
            </w:r>
            <w:r w:rsidRPr="00A86283">
              <w:rPr>
                <w:b w:val="0"/>
                <w:bCs/>
                <w:sz w:val="24"/>
                <w:szCs w:val="24"/>
                <w:lang w:val="lv-LV"/>
              </w:rPr>
              <w:t xml:space="preserve"> un 1 054 000 latu ar 1 500 000 </w:t>
            </w:r>
            <w:r w:rsidRPr="00A86283">
              <w:rPr>
                <w:b w:val="0"/>
                <w:bCs/>
                <w:i/>
                <w:sz w:val="24"/>
                <w:szCs w:val="24"/>
                <w:lang w:val="lv-LV"/>
              </w:rPr>
              <w:t>euro</w:t>
            </w:r>
            <w:r w:rsidRPr="00A86283">
              <w:rPr>
                <w:b w:val="0"/>
                <w:bCs/>
                <w:sz w:val="24"/>
                <w:szCs w:val="24"/>
                <w:lang w:val="lv-LV"/>
              </w:rPr>
              <w:t xml:space="preserve"> atbilstoši </w:t>
            </w:r>
            <w:r w:rsidRPr="00A86283">
              <w:rPr>
                <w:b w:val="0"/>
                <w:bCs/>
                <w:color w:val="000000"/>
                <w:sz w:val="24"/>
                <w:szCs w:val="24"/>
                <w:lang w:val="lv-LV"/>
              </w:rPr>
              <w:t xml:space="preserve">Komisijas 2006.gada 15.decembra Regulai (EK) Nr. </w:t>
            </w:r>
            <w:hyperlink r:id="rId8" w:tgtFrame="_blank" w:history="1">
              <w:r w:rsidRPr="00A86283">
                <w:rPr>
                  <w:b w:val="0"/>
                  <w:bCs/>
                  <w:color w:val="000000"/>
                  <w:sz w:val="24"/>
                  <w:szCs w:val="24"/>
                  <w:lang w:val="lv-LV"/>
                </w:rPr>
                <w:t>1998/2006</w:t>
              </w:r>
            </w:hyperlink>
            <w:r w:rsidRPr="00A86283">
              <w:rPr>
                <w:b w:val="0"/>
                <w:bCs/>
                <w:color w:val="000000"/>
                <w:sz w:val="24"/>
                <w:szCs w:val="24"/>
                <w:lang w:val="lv-LV"/>
              </w:rPr>
              <w:t xml:space="preserve"> par Līguma 87. un 88.panta piemērošanu </w:t>
            </w:r>
            <w:r w:rsidRPr="00A86283">
              <w:rPr>
                <w:b w:val="0"/>
                <w:bCs/>
                <w:i/>
                <w:color w:val="000000"/>
                <w:sz w:val="24"/>
                <w:szCs w:val="24"/>
                <w:lang w:val="lv-LV"/>
              </w:rPr>
              <w:t xml:space="preserve">de minimis </w:t>
            </w:r>
            <w:r w:rsidRPr="00A86283">
              <w:rPr>
                <w:b w:val="0"/>
                <w:bCs/>
                <w:color w:val="000000"/>
                <w:sz w:val="24"/>
                <w:szCs w:val="24"/>
                <w:lang w:val="lv-LV"/>
              </w:rPr>
              <w:t>atbalstam (Eiropas Savienības Oficiālais Vēstnesis, 2006.gada 28.decembris, Nr.L379). A</w:t>
            </w:r>
            <w:r w:rsidRPr="00A86283">
              <w:rPr>
                <w:b w:val="0"/>
                <w:bCs/>
                <w:sz w:val="24"/>
                <w:szCs w:val="24"/>
                <w:lang w:val="lv-LV"/>
              </w:rPr>
              <w:t xml:space="preserve">tbilstoši </w:t>
            </w:r>
            <w:r w:rsidRPr="00A86283">
              <w:rPr>
                <w:b w:val="0"/>
                <w:bCs/>
                <w:color w:val="000000"/>
                <w:sz w:val="24"/>
                <w:szCs w:val="24"/>
                <w:lang w:val="lv-LV"/>
              </w:rPr>
              <w:t xml:space="preserve">Komisijas 2007.gada 20.decembra Regulai (EK) Nr. </w:t>
            </w:r>
            <w:hyperlink r:id="rId9" w:tgtFrame="_blank" w:history="1">
              <w:r w:rsidRPr="00A86283">
                <w:rPr>
                  <w:b w:val="0"/>
                  <w:bCs/>
                  <w:color w:val="000000"/>
                  <w:sz w:val="24"/>
                  <w:szCs w:val="24"/>
                  <w:lang w:val="lv-LV"/>
                </w:rPr>
                <w:t>1535/2007</w:t>
              </w:r>
            </w:hyperlink>
            <w:r w:rsidRPr="00A86283">
              <w:rPr>
                <w:b w:val="0"/>
                <w:bCs/>
                <w:color w:val="000000"/>
                <w:sz w:val="24"/>
                <w:szCs w:val="24"/>
                <w:lang w:val="lv-LV"/>
              </w:rPr>
              <w:t xml:space="preserve"> par EK līguma 87. un 88.panta piemērošanu </w:t>
            </w:r>
            <w:r w:rsidRPr="00A86283">
              <w:rPr>
                <w:b w:val="0"/>
                <w:bCs/>
                <w:i/>
                <w:color w:val="000000"/>
                <w:sz w:val="24"/>
                <w:szCs w:val="24"/>
                <w:lang w:val="lv-LV"/>
              </w:rPr>
              <w:t>de minimis</w:t>
            </w:r>
            <w:r w:rsidRPr="00A86283">
              <w:rPr>
                <w:b w:val="0"/>
                <w:bCs/>
                <w:color w:val="000000"/>
                <w:sz w:val="24"/>
                <w:szCs w:val="24"/>
                <w:lang w:val="lv-LV"/>
              </w:rPr>
              <w:t xml:space="preserve"> atbalstam lauksaimniecības produktu ražošanas nozarē (Eiropas Savienības Oficiālais Vēstnesis, 2007.gada 21.decembris, Nr.L337) </w:t>
            </w:r>
            <w:r w:rsidRPr="00A86283">
              <w:rPr>
                <w:b w:val="0"/>
                <w:bCs/>
                <w:sz w:val="24"/>
                <w:szCs w:val="24"/>
                <w:lang w:val="lv-LV"/>
              </w:rPr>
              <w:t xml:space="preserve">8.4., 8.6. un 8.10.apakšpunktā aizstāti 5 300 latu ar 7 500 </w:t>
            </w:r>
            <w:r w:rsidRPr="00A86283">
              <w:rPr>
                <w:b w:val="0"/>
                <w:bCs/>
                <w:i/>
                <w:sz w:val="24"/>
                <w:szCs w:val="24"/>
                <w:lang w:val="lv-LV"/>
              </w:rPr>
              <w:t xml:space="preserve">euro </w:t>
            </w:r>
            <w:r w:rsidRPr="00A86283">
              <w:rPr>
                <w:b w:val="0"/>
                <w:bCs/>
                <w:sz w:val="24"/>
                <w:szCs w:val="24"/>
                <w:lang w:val="lv-LV"/>
              </w:rPr>
              <w:t xml:space="preserve">un 39 500 latu ar 56 250 </w:t>
            </w:r>
            <w:r w:rsidRPr="00A86283">
              <w:rPr>
                <w:b w:val="0"/>
                <w:bCs/>
                <w:i/>
                <w:sz w:val="24"/>
                <w:szCs w:val="24"/>
                <w:lang w:val="lv-LV"/>
              </w:rPr>
              <w:t>euro.</w:t>
            </w:r>
          </w:p>
          <w:p w:rsidR="00DD4976" w:rsidRPr="00ED22C8" w:rsidRDefault="00DD4976" w:rsidP="0077727B">
            <w:pPr>
              <w:spacing w:after="0" w:line="240" w:lineRule="auto"/>
              <w:jc w:val="both"/>
              <w:rPr>
                <w:rFonts w:ascii="Times New Roman" w:hAnsi="Times New Roman"/>
                <w:color w:val="000000"/>
                <w:sz w:val="24"/>
                <w:szCs w:val="24"/>
              </w:rPr>
            </w:pPr>
            <w:r w:rsidRPr="00200B15">
              <w:rPr>
                <w:rFonts w:ascii="Times New Roman" w:hAnsi="Times New Roman"/>
                <w:bCs/>
                <w:sz w:val="24"/>
                <w:szCs w:val="24"/>
              </w:rPr>
              <w:t>Šis projekts paredz aizstāt attiecīgajā</w:t>
            </w:r>
            <w:r w:rsidRPr="00ED22C8">
              <w:rPr>
                <w:rFonts w:ascii="Times New Roman" w:hAnsi="Times New Roman"/>
                <w:sz w:val="24"/>
                <w:szCs w:val="24"/>
              </w:rPr>
              <w:t xml:space="preserve"> normatīvajā aktā latus ar </w:t>
            </w:r>
            <w:r w:rsidRPr="00ED22C8">
              <w:rPr>
                <w:rFonts w:ascii="Times New Roman" w:hAnsi="Times New Roman"/>
                <w:i/>
                <w:sz w:val="24"/>
                <w:szCs w:val="24"/>
              </w:rPr>
              <w:t>euro</w:t>
            </w:r>
            <w:r w:rsidRPr="00ED22C8">
              <w:rPr>
                <w:rFonts w:ascii="Times New Roman" w:hAnsi="Times New Roman"/>
                <w:sz w:val="24"/>
                <w:szCs w:val="24"/>
              </w:rPr>
              <w:t xml:space="preserve"> atbilstoši </w:t>
            </w:r>
            <w:r w:rsidRPr="00ED22C8">
              <w:rPr>
                <w:rFonts w:ascii="Times New Roman" w:hAnsi="Times New Roman"/>
                <w:i/>
                <w:color w:val="000000"/>
                <w:sz w:val="24"/>
                <w:szCs w:val="24"/>
              </w:rPr>
              <w:t xml:space="preserve">Euro </w:t>
            </w:r>
            <w:r w:rsidRPr="00ED22C8">
              <w:rPr>
                <w:rFonts w:ascii="Times New Roman" w:hAnsi="Times New Roman"/>
                <w:color w:val="000000"/>
                <w:sz w:val="24"/>
                <w:szCs w:val="24"/>
              </w:rPr>
              <w:t>ieviešanas kārtības likuma 32.panta otrās daļas 2.punktā paredzētajiem principiem.</w:t>
            </w:r>
          </w:p>
          <w:p w:rsidR="00DD4976" w:rsidRPr="00ED22C8" w:rsidRDefault="00DD4976" w:rsidP="0077727B">
            <w:pPr>
              <w:spacing w:after="0" w:line="240" w:lineRule="auto"/>
              <w:jc w:val="both"/>
              <w:rPr>
                <w:rFonts w:ascii="Times New Roman" w:hAnsi="Times New Roman"/>
                <w:color w:val="000000"/>
                <w:sz w:val="24"/>
                <w:szCs w:val="24"/>
              </w:rPr>
            </w:pPr>
            <w:r w:rsidRPr="00ED22C8">
              <w:rPr>
                <w:rFonts w:ascii="Times New Roman" w:hAnsi="Times New Roman"/>
                <w:color w:val="000000"/>
                <w:sz w:val="24"/>
                <w:szCs w:val="24"/>
              </w:rPr>
              <w:t xml:space="preserve">Tā kā spēkā esošajā noteikumu Nr.746 redakcijā ir norādītas veselas latu skaita vienības (bez santīmiem), tad arī no </w:t>
            </w:r>
            <w:r w:rsidRPr="00ED22C8">
              <w:rPr>
                <w:rFonts w:ascii="Times New Roman" w:hAnsi="Times New Roman"/>
                <w:i/>
                <w:color w:val="000000"/>
                <w:sz w:val="24"/>
                <w:szCs w:val="24"/>
              </w:rPr>
              <w:t>euro</w:t>
            </w:r>
            <w:r w:rsidRPr="00ED22C8">
              <w:rPr>
                <w:rFonts w:ascii="Times New Roman" w:hAnsi="Times New Roman"/>
                <w:color w:val="000000"/>
                <w:sz w:val="24"/>
                <w:szCs w:val="24"/>
              </w:rPr>
              <w:t xml:space="preserve"> ieviešanas brīža tiek paredzētas veselas </w:t>
            </w:r>
            <w:r w:rsidRPr="00ED22C8">
              <w:rPr>
                <w:rFonts w:ascii="Times New Roman" w:hAnsi="Times New Roman"/>
                <w:i/>
                <w:color w:val="000000"/>
                <w:sz w:val="24"/>
                <w:szCs w:val="24"/>
              </w:rPr>
              <w:t>euro</w:t>
            </w:r>
            <w:r w:rsidRPr="00ED22C8">
              <w:rPr>
                <w:rFonts w:ascii="Times New Roman" w:hAnsi="Times New Roman"/>
                <w:color w:val="000000"/>
                <w:sz w:val="24"/>
                <w:szCs w:val="24"/>
              </w:rPr>
              <w:t xml:space="preserve"> skaita vienības (bez centiem), tā padarot vienkāršāku atbalsta pasākuma administrēšanu.</w:t>
            </w:r>
          </w:p>
          <w:p w:rsidR="00DD4976" w:rsidRPr="00ED22C8" w:rsidRDefault="00DD4976" w:rsidP="0077727B">
            <w:pPr>
              <w:spacing w:after="0" w:line="240" w:lineRule="auto"/>
              <w:jc w:val="both"/>
              <w:rPr>
                <w:rFonts w:ascii="Times New Roman" w:hAnsi="Times New Roman"/>
                <w:color w:val="000000"/>
                <w:sz w:val="24"/>
                <w:szCs w:val="24"/>
              </w:rPr>
            </w:pPr>
            <w:r w:rsidRPr="00ED22C8">
              <w:rPr>
                <w:rFonts w:ascii="Times New Roman" w:hAnsi="Times New Roman"/>
                <w:color w:val="000000"/>
                <w:sz w:val="24"/>
                <w:szCs w:val="24"/>
              </w:rPr>
              <w:t xml:space="preserve">Grozītās tiesību normas </w:t>
            </w:r>
            <w:r w:rsidRPr="00ED22C8">
              <w:rPr>
                <w:rFonts w:ascii="Times New Roman" w:hAnsi="Times New Roman"/>
                <w:i/>
                <w:color w:val="000000"/>
                <w:sz w:val="24"/>
                <w:szCs w:val="24"/>
              </w:rPr>
              <w:t xml:space="preserve">euro </w:t>
            </w:r>
            <w:r w:rsidRPr="00ED22C8">
              <w:rPr>
                <w:rFonts w:ascii="Times New Roman" w:hAnsi="Times New Roman"/>
                <w:color w:val="000000"/>
                <w:sz w:val="24"/>
                <w:szCs w:val="24"/>
              </w:rPr>
              <w:t>valūtā nav personām nelabvēlīgākas par sākotnējo tiesību normu latos un nerada vērā ņemamu negatīvu ietekmi uz valsts budžetu.</w:t>
            </w:r>
          </w:p>
        </w:tc>
      </w:tr>
      <w:tr w:rsidR="00DD4976" w:rsidRPr="00ED22C8" w:rsidTr="00422589">
        <w:trPr>
          <w:trHeight w:val="476"/>
        </w:trPr>
        <w:tc>
          <w:tcPr>
            <w:tcW w:w="227" w:type="pct"/>
          </w:tcPr>
          <w:p w:rsidR="00DD4976" w:rsidRPr="00DD49B6" w:rsidRDefault="00DD4976" w:rsidP="00C72A47">
            <w:pPr>
              <w:pStyle w:val="naiskr"/>
              <w:spacing w:before="0" w:beforeAutospacing="0" w:after="0" w:afterAutospacing="0"/>
              <w:ind w:left="57" w:right="57"/>
              <w:jc w:val="center"/>
            </w:pPr>
            <w:r w:rsidRPr="00DD49B6">
              <w:lastRenderedPageBreak/>
              <w:t>3.</w:t>
            </w:r>
          </w:p>
        </w:tc>
        <w:tc>
          <w:tcPr>
            <w:tcW w:w="1565" w:type="pct"/>
          </w:tcPr>
          <w:p w:rsidR="00DD4976" w:rsidRPr="00DD49B6" w:rsidRDefault="00DD4976" w:rsidP="00C72A47">
            <w:pPr>
              <w:pStyle w:val="naiskr"/>
              <w:spacing w:before="0" w:beforeAutospacing="0" w:after="0" w:afterAutospacing="0"/>
              <w:ind w:left="57" w:right="57"/>
            </w:pPr>
            <w:r w:rsidRPr="00DD49B6">
              <w:t>Projekta izstrādē iesaistītās institūcijas</w:t>
            </w:r>
          </w:p>
        </w:tc>
        <w:tc>
          <w:tcPr>
            <w:tcW w:w="3208" w:type="pct"/>
          </w:tcPr>
          <w:p w:rsidR="00DD4976" w:rsidRPr="00ED22C8" w:rsidRDefault="00DD4976" w:rsidP="00C72A47">
            <w:pPr>
              <w:spacing w:after="0" w:line="240" w:lineRule="auto"/>
              <w:ind w:left="57" w:right="57"/>
              <w:rPr>
                <w:rFonts w:ascii="Times New Roman" w:hAnsi="Times New Roman"/>
                <w:b/>
                <w:sz w:val="24"/>
                <w:szCs w:val="24"/>
              </w:rPr>
            </w:pPr>
            <w:r w:rsidRPr="00290226">
              <w:rPr>
                <w:rFonts w:ascii="Times New Roman" w:hAnsi="Times New Roman"/>
                <w:bCs/>
                <w:sz w:val="24"/>
                <w:szCs w:val="24"/>
              </w:rPr>
              <w:t>Zemkopības ministrija</w:t>
            </w:r>
          </w:p>
        </w:tc>
      </w:tr>
      <w:tr w:rsidR="00DD4976" w:rsidRPr="00ED22C8" w:rsidTr="00422589">
        <w:tc>
          <w:tcPr>
            <w:tcW w:w="227" w:type="pct"/>
          </w:tcPr>
          <w:p w:rsidR="00DD4976" w:rsidRPr="00DD49B6" w:rsidRDefault="00DD4976" w:rsidP="00C72A47">
            <w:pPr>
              <w:pStyle w:val="naiskr"/>
              <w:spacing w:before="0" w:beforeAutospacing="0" w:after="0" w:afterAutospacing="0"/>
              <w:ind w:left="57" w:right="57"/>
              <w:jc w:val="center"/>
            </w:pPr>
            <w:r w:rsidRPr="00DD49B6">
              <w:t>4.</w:t>
            </w:r>
          </w:p>
        </w:tc>
        <w:tc>
          <w:tcPr>
            <w:tcW w:w="1565" w:type="pct"/>
          </w:tcPr>
          <w:p w:rsidR="00DD4976" w:rsidRPr="00DD49B6" w:rsidRDefault="00DD4976" w:rsidP="00C72A47">
            <w:pPr>
              <w:pStyle w:val="naiskr"/>
              <w:spacing w:before="0" w:beforeAutospacing="0" w:after="0" w:afterAutospacing="0"/>
              <w:ind w:left="57" w:right="57"/>
            </w:pPr>
            <w:r w:rsidRPr="00DD49B6">
              <w:t>Cita informācija</w:t>
            </w:r>
          </w:p>
        </w:tc>
        <w:tc>
          <w:tcPr>
            <w:tcW w:w="3208" w:type="pct"/>
          </w:tcPr>
          <w:p w:rsidR="00DD4976" w:rsidRPr="00DD49B6" w:rsidRDefault="00DD4976" w:rsidP="00C72A47">
            <w:pPr>
              <w:pStyle w:val="naiskr"/>
              <w:spacing w:before="0" w:beforeAutospacing="0" w:after="0" w:afterAutospacing="0"/>
              <w:ind w:left="57" w:right="57"/>
            </w:pPr>
            <w:r>
              <w:t>Nav.</w:t>
            </w:r>
          </w:p>
        </w:tc>
      </w:tr>
    </w:tbl>
    <w:p w:rsidR="00DD4976" w:rsidRPr="00DD49B6" w:rsidRDefault="00DD4976" w:rsidP="000330A2">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DD4976" w:rsidRPr="00ED22C8" w:rsidTr="00C72A47">
        <w:trPr>
          <w:trHeight w:val="556"/>
        </w:trPr>
        <w:tc>
          <w:tcPr>
            <w:tcW w:w="9503" w:type="dxa"/>
            <w:gridSpan w:val="3"/>
            <w:vAlign w:val="center"/>
          </w:tcPr>
          <w:p w:rsidR="00DD4976" w:rsidRPr="00DD49B6" w:rsidRDefault="00DD4976" w:rsidP="00C72A47">
            <w:pPr>
              <w:pStyle w:val="naisnod"/>
              <w:spacing w:before="0" w:beforeAutospacing="0" w:after="0" w:afterAutospacing="0"/>
              <w:ind w:left="57" w:right="57"/>
              <w:jc w:val="center"/>
              <w:rPr>
                <w:b/>
              </w:rPr>
            </w:pPr>
            <w:r w:rsidRPr="00DD49B6">
              <w:rPr>
                <w:b/>
              </w:rPr>
              <w:t>II. Tiesību akta projekta ietekme uz sabiedrību, tautsaimniecības attīstību</w:t>
            </w:r>
          </w:p>
          <w:p w:rsidR="00DD4976" w:rsidRPr="00DD49B6" w:rsidRDefault="00DD4976" w:rsidP="00C72A47">
            <w:pPr>
              <w:pStyle w:val="naisnod"/>
              <w:spacing w:before="0" w:beforeAutospacing="0" w:after="0" w:afterAutospacing="0"/>
              <w:ind w:left="57" w:right="57"/>
              <w:jc w:val="center"/>
              <w:rPr>
                <w:b/>
              </w:rPr>
            </w:pPr>
            <w:r w:rsidRPr="00DD49B6">
              <w:rPr>
                <w:b/>
              </w:rPr>
              <w:t>un administratīvo slogu</w:t>
            </w:r>
          </w:p>
        </w:tc>
      </w:tr>
      <w:tr w:rsidR="00DD4976" w:rsidRPr="00ED22C8" w:rsidTr="00C72A47">
        <w:trPr>
          <w:trHeight w:val="467"/>
        </w:trPr>
        <w:tc>
          <w:tcPr>
            <w:tcW w:w="431" w:type="dxa"/>
          </w:tcPr>
          <w:p w:rsidR="00DD4976" w:rsidRPr="00DD49B6" w:rsidRDefault="00DD4976" w:rsidP="00C72A47">
            <w:pPr>
              <w:pStyle w:val="naiskr"/>
              <w:spacing w:before="0" w:beforeAutospacing="0" w:after="0" w:afterAutospacing="0"/>
              <w:ind w:left="57" w:right="57"/>
              <w:jc w:val="both"/>
            </w:pPr>
            <w:r w:rsidRPr="00DD49B6">
              <w:t>1.</w:t>
            </w:r>
          </w:p>
        </w:tc>
        <w:tc>
          <w:tcPr>
            <w:tcW w:w="2976" w:type="dxa"/>
          </w:tcPr>
          <w:p w:rsidR="00DD4976" w:rsidRPr="00DD49B6" w:rsidRDefault="00DD4976" w:rsidP="00C72A47">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DD4976" w:rsidRPr="00ED22C8" w:rsidRDefault="00DD4976" w:rsidP="00775F7D">
            <w:pPr>
              <w:shd w:val="clear" w:color="auto" w:fill="FFFFFF"/>
              <w:spacing w:after="0" w:line="240" w:lineRule="auto"/>
              <w:ind w:left="57" w:right="57"/>
              <w:jc w:val="both"/>
              <w:rPr>
                <w:rFonts w:ascii="Times New Roman" w:hAnsi="Times New Roman"/>
                <w:sz w:val="24"/>
                <w:szCs w:val="24"/>
              </w:rPr>
            </w:pPr>
            <w:bookmarkStart w:id="2" w:name="p21"/>
            <w:bookmarkEnd w:id="2"/>
            <w:r w:rsidRPr="00290226">
              <w:rPr>
                <w:rFonts w:ascii="Times New Roman" w:hAnsi="Times New Roman"/>
                <w:bCs/>
                <w:sz w:val="24"/>
                <w:szCs w:val="24"/>
              </w:rPr>
              <w:t>Ministru kabineta noteikumu projekts attiecas uz pārtikas pārstrādes nozari un zvejas un akvakultūras produktu apstrādi.</w:t>
            </w:r>
          </w:p>
        </w:tc>
      </w:tr>
      <w:tr w:rsidR="00DD4976" w:rsidRPr="00ED22C8" w:rsidTr="00C72A47">
        <w:trPr>
          <w:trHeight w:val="523"/>
        </w:trPr>
        <w:tc>
          <w:tcPr>
            <w:tcW w:w="431" w:type="dxa"/>
          </w:tcPr>
          <w:p w:rsidR="00DD4976" w:rsidRPr="00DD49B6" w:rsidRDefault="00DD4976" w:rsidP="00C72A47">
            <w:pPr>
              <w:pStyle w:val="naiskr"/>
              <w:spacing w:before="0" w:beforeAutospacing="0" w:after="0" w:afterAutospacing="0"/>
              <w:ind w:left="57" w:right="57"/>
              <w:jc w:val="both"/>
            </w:pPr>
            <w:r w:rsidRPr="00DD49B6">
              <w:t>2.</w:t>
            </w:r>
          </w:p>
        </w:tc>
        <w:tc>
          <w:tcPr>
            <w:tcW w:w="2976" w:type="dxa"/>
          </w:tcPr>
          <w:p w:rsidR="00DD4976" w:rsidRPr="00DD49B6" w:rsidRDefault="00DD4976" w:rsidP="00C72A47">
            <w:pPr>
              <w:pStyle w:val="naiskr"/>
              <w:spacing w:before="0" w:beforeAutospacing="0" w:after="0" w:afterAutospacing="0"/>
              <w:ind w:left="57" w:right="57"/>
            </w:pPr>
            <w:r w:rsidRPr="00DD49B6">
              <w:t>Tiesiskā regulējuma ietekme uz tautsaimniecību un administratīvo slogu</w:t>
            </w:r>
          </w:p>
        </w:tc>
        <w:tc>
          <w:tcPr>
            <w:tcW w:w="6096" w:type="dxa"/>
          </w:tcPr>
          <w:p w:rsidR="00DD4976" w:rsidRPr="00290226" w:rsidRDefault="00DD4976" w:rsidP="00775F7D">
            <w:pPr>
              <w:shd w:val="clear" w:color="auto" w:fill="FFFFFF"/>
              <w:spacing w:after="0" w:line="240" w:lineRule="auto"/>
              <w:ind w:left="57" w:right="57"/>
              <w:jc w:val="both"/>
              <w:rPr>
                <w:rFonts w:ascii="Times New Roman" w:hAnsi="Times New Roman"/>
                <w:bCs/>
                <w:sz w:val="24"/>
                <w:szCs w:val="24"/>
              </w:rPr>
            </w:pPr>
            <w:r w:rsidRPr="00290226">
              <w:rPr>
                <w:rFonts w:ascii="Times New Roman" w:hAnsi="Times New Roman"/>
                <w:bCs/>
                <w:sz w:val="24"/>
                <w:szCs w:val="24"/>
              </w:rPr>
              <w:t>Projekts šo jomu neskar.</w:t>
            </w:r>
          </w:p>
        </w:tc>
      </w:tr>
      <w:tr w:rsidR="00DD4976" w:rsidRPr="00ED22C8" w:rsidTr="00C72A47">
        <w:trPr>
          <w:trHeight w:val="523"/>
        </w:trPr>
        <w:tc>
          <w:tcPr>
            <w:tcW w:w="431" w:type="dxa"/>
          </w:tcPr>
          <w:p w:rsidR="00DD4976" w:rsidRPr="00DD49B6" w:rsidRDefault="00DD4976" w:rsidP="00C72A47">
            <w:pPr>
              <w:pStyle w:val="naiskr"/>
              <w:spacing w:before="0" w:beforeAutospacing="0" w:after="0" w:afterAutospacing="0"/>
              <w:ind w:left="57" w:right="57"/>
              <w:jc w:val="both"/>
            </w:pPr>
            <w:r w:rsidRPr="00DD49B6">
              <w:t>3.</w:t>
            </w:r>
          </w:p>
        </w:tc>
        <w:tc>
          <w:tcPr>
            <w:tcW w:w="2976" w:type="dxa"/>
          </w:tcPr>
          <w:p w:rsidR="00DD4976" w:rsidRPr="00DD49B6" w:rsidRDefault="00DD4976" w:rsidP="00C72A47">
            <w:pPr>
              <w:pStyle w:val="naiskr"/>
              <w:spacing w:before="0" w:beforeAutospacing="0" w:after="0" w:afterAutospacing="0"/>
              <w:ind w:left="57" w:right="57"/>
            </w:pPr>
            <w:r w:rsidRPr="00DD49B6">
              <w:t>Administratīvo izmaksu monetārs novērtējums</w:t>
            </w:r>
          </w:p>
        </w:tc>
        <w:tc>
          <w:tcPr>
            <w:tcW w:w="6096" w:type="dxa"/>
          </w:tcPr>
          <w:p w:rsidR="00DD4976" w:rsidRPr="00290226" w:rsidRDefault="00DD4976" w:rsidP="00C72A47">
            <w:pPr>
              <w:shd w:val="clear" w:color="auto" w:fill="FFFFFF"/>
              <w:spacing w:after="0" w:line="240" w:lineRule="auto"/>
              <w:ind w:left="57" w:right="57"/>
              <w:rPr>
                <w:rFonts w:ascii="Times New Roman" w:hAnsi="Times New Roman"/>
                <w:bCs/>
                <w:sz w:val="24"/>
                <w:szCs w:val="24"/>
              </w:rPr>
            </w:pPr>
            <w:r w:rsidRPr="00290226">
              <w:rPr>
                <w:rFonts w:ascii="Times New Roman" w:hAnsi="Times New Roman"/>
                <w:bCs/>
                <w:sz w:val="24"/>
                <w:szCs w:val="24"/>
              </w:rPr>
              <w:t>Projekts šo jomu neskar.</w:t>
            </w:r>
          </w:p>
        </w:tc>
      </w:tr>
      <w:tr w:rsidR="00DD4976" w:rsidRPr="00ED22C8" w:rsidTr="00C72A47">
        <w:trPr>
          <w:trHeight w:val="357"/>
        </w:trPr>
        <w:tc>
          <w:tcPr>
            <w:tcW w:w="431" w:type="dxa"/>
          </w:tcPr>
          <w:p w:rsidR="00DD4976" w:rsidRPr="00DD49B6" w:rsidRDefault="00DD4976" w:rsidP="00C72A47">
            <w:pPr>
              <w:pStyle w:val="naiskr"/>
              <w:spacing w:before="0" w:beforeAutospacing="0" w:after="0" w:afterAutospacing="0"/>
              <w:ind w:left="57" w:right="57"/>
              <w:jc w:val="both"/>
            </w:pPr>
            <w:r w:rsidRPr="00DD49B6">
              <w:t>4.</w:t>
            </w:r>
          </w:p>
        </w:tc>
        <w:tc>
          <w:tcPr>
            <w:tcW w:w="2976" w:type="dxa"/>
          </w:tcPr>
          <w:p w:rsidR="00DD4976" w:rsidRPr="00DD49B6" w:rsidRDefault="00DD4976" w:rsidP="00C72A47">
            <w:pPr>
              <w:pStyle w:val="naiskr"/>
              <w:spacing w:before="0" w:beforeAutospacing="0" w:after="0" w:afterAutospacing="0"/>
              <w:ind w:left="57" w:right="57"/>
            </w:pPr>
            <w:r w:rsidRPr="00DD49B6">
              <w:t>Cita informācija</w:t>
            </w:r>
          </w:p>
        </w:tc>
        <w:tc>
          <w:tcPr>
            <w:tcW w:w="6096" w:type="dxa"/>
          </w:tcPr>
          <w:p w:rsidR="00DD4976" w:rsidRPr="00ED22C8" w:rsidRDefault="00DD4976" w:rsidP="00C72A47">
            <w:pPr>
              <w:shd w:val="clear" w:color="auto" w:fill="FFFFFF"/>
              <w:spacing w:after="0" w:line="240" w:lineRule="auto"/>
              <w:ind w:left="57" w:right="57"/>
              <w:rPr>
                <w:rFonts w:ascii="Times New Roman" w:hAnsi="Times New Roman"/>
                <w:sz w:val="24"/>
                <w:szCs w:val="24"/>
              </w:rPr>
            </w:pPr>
            <w:r w:rsidRPr="00ED22C8">
              <w:rPr>
                <w:rFonts w:ascii="Times New Roman" w:hAnsi="Times New Roman"/>
                <w:sz w:val="24"/>
                <w:szCs w:val="24"/>
              </w:rPr>
              <w:t>Nav.</w:t>
            </w:r>
          </w:p>
        </w:tc>
      </w:tr>
    </w:tbl>
    <w:p w:rsidR="00DD4976" w:rsidRDefault="00DD4976" w:rsidP="00290226">
      <w:pPr>
        <w:pStyle w:val="naiskr"/>
        <w:spacing w:before="0" w:after="0"/>
        <w:rPr>
          <w:i/>
        </w:rPr>
      </w:pPr>
      <w:r>
        <w:rPr>
          <w:i/>
        </w:rPr>
        <w:t xml:space="preserve">  IV un V </w:t>
      </w:r>
      <w:r w:rsidRPr="00CF1981">
        <w:rPr>
          <w:i/>
        </w:rPr>
        <w:t>sadaļa – projekts šo jomu neskar.</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1536"/>
        <w:gridCol w:w="1292"/>
        <w:gridCol w:w="1344"/>
        <w:gridCol w:w="1413"/>
        <w:gridCol w:w="1309"/>
      </w:tblGrid>
      <w:tr w:rsidR="00DD4976" w:rsidRPr="00ED22C8" w:rsidTr="007A059D">
        <w:trPr>
          <w:trHeight w:val="361"/>
          <w:jc w:val="center"/>
        </w:trPr>
        <w:tc>
          <w:tcPr>
            <w:tcW w:w="9744" w:type="dxa"/>
            <w:gridSpan w:val="6"/>
            <w:vAlign w:val="center"/>
          </w:tcPr>
          <w:p w:rsidR="00DD4976" w:rsidRPr="00DD49B6" w:rsidRDefault="00DD4976" w:rsidP="007A059D">
            <w:pPr>
              <w:pStyle w:val="naisnod"/>
              <w:spacing w:before="0" w:beforeAutospacing="0" w:after="0" w:afterAutospacing="0"/>
              <w:jc w:val="center"/>
              <w:rPr>
                <w:b/>
                <w:i/>
              </w:rPr>
            </w:pPr>
            <w:r w:rsidRPr="00DD49B6">
              <w:br w:type="page"/>
            </w:r>
            <w:r w:rsidRPr="00A24EE1">
              <w:rPr>
                <w:b/>
              </w:rPr>
              <w:t>III. Tiesību akta projekta ietekme uz valsts budžetu un pašvaldību budžetiem</w:t>
            </w:r>
          </w:p>
        </w:tc>
      </w:tr>
      <w:tr w:rsidR="00DD4976" w:rsidRPr="00ED22C8" w:rsidTr="00C42B7D">
        <w:trPr>
          <w:jc w:val="center"/>
        </w:trPr>
        <w:tc>
          <w:tcPr>
            <w:tcW w:w="2850" w:type="dxa"/>
            <w:vMerge w:val="restart"/>
            <w:vAlign w:val="center"/>
          </w:tcPr>
          <w:p w:rsidR="00DD4976" w:rsidRPr="00DD49B6" w:rsidRDefault="00DD4976" w:rsidP="007A059D">
            <w:pPr>
              <w:pStyle w:val="naisf"/>
              <w:spacing w:before="0" w:beforeAutospacing="0" w:after="0" w:afterAutospacing="0"/>
              <w:jc w:val="center"/>
              <w:rPr>
                <w:b/>
              </w:rPr>
            </w:pPr>
            <w:r w:rsidRPr="00DD49B6">
              <w:rPr>
                <w:b/>
              </w:rPr>
              <w:t>Rādītāji</w:t>
            </w:r>
          </w:p>
        </w:tc>
        <w:tc>
          <w:tcPr>
            <w:tcW w:w="2828" w:type="dxa"/>
            <w:gridSpan w:val="2"/>
            <w:vMerge w:val="restart"/>
            <w:vAlign w:val="center"/>
          </w:tcPr>
          <w:p w:rsidR="00DD4976" w:rsidRPr="00DD49B6" w:rsidRDefault="00DD4976" w:rsidP="007A059D">
            <w:pPr>
              <w:pStyle w:val="naisf"/>
              <w:spacing w:before="0" w:beforeAutospacing="0" w:after="0" w:afterAutospacing="0"/>
              <w:jc w:val="center"/>
              <w:rPr>
                <w:b/>
              </w:rPr>
            </w:pPr>
            <w:r>
              <w:rPr>
                <w:b/>
              </w:rPr>
              <w:t>2014.</w:t>
            </w:r>
            <w:r w:rsidRPr="00DD49B6">
              <w:rPr>
                <w:b/>
              </w:rPr>
              <w:t>gads</w:t>
            </w:r>
          </w:p>
        </w:tc>
        <w:tc>
          <w:tcPr>
            <w:tcW w:w="4066" w:type="dxa"/>
            <w:gridSpan w:val="3"/>
            <w:vAlign w:val="center"/>
          </w:tcPr>
          <w:p w:rsidR="00DD4976" w:rsidRPr="00DD49B6" w:rsidRDefault="00DD4976" w:rsidP="007A059D">
            <w:pPr>
              <w:pStyle w:val="naisf"/>
              <w:spacing w:before="0" w:beforeAutospacing="0" w:after="0" w:afterAutospacing="0"/>
              <w:jc w:val="center"/>
              <w:rPr>
                <w:b/>
                <w:i/>
              </w:rPr>
            </w:pPr>
            <w:r w:rsidRPr="00DD49B6">
              <w:t>Turpmākie trīs gadi (</w:t>
            </w:r>
            <w:r w:rsidRPr="00487C57">
              <w:rPr>
                <w:i/>
              </w:rPr>
              <w:t>euro</w:t>
            </w:r>
            <w:r w:rsidRPr="00DD49B6">
              <w:t>)</w:t>
            </w:r>
          </w:p>
        </w:tc>
      </w:tr>
      <w:tr w:rsidR="00DD4976" w:rsidRPr="00ED22C8" w:rsidTr="00C42B7D">
        <w:trPr>
          <w:jc w:val="center"/>
        </w:trPr>
        <w:tc>
          <w:tcPr>
            <w:tcW w:w="2850" w:type="dxa"/>
            <w:vMerge/>
            <w:vAlign w:val="center"/>
          </w:tcPr>
          <w:p w:rsidR="00DD4976" w:rsidRPr="00DD49B6" w:rsidRDefault="00DD4976" w:rsidP="007A059D">
            <w:pPr>
              <w:pStyle w:val="naisf"/>
              <w:spacing w:before="0" w:beforeAutospacing="0" w:after="0" w:afterAutospacing="0"/>
              <w:jc w:val="center"/>
              <w:rPr>
                <w:b/>
                <w:i/>
              </w:rPr>
            </w:pPr>
          </w:p>
        </w:tc>
        <w:tc>
          <w:tcPr>
            <w:tcW w:w="2828" w:type="dxa"/>
            <w:gridSpan w:val="2"/>
            <w:vMerge/>
            <w:vAlign w:val="center"/>
          </w:tcPr>
          <w:p w:rsidR="00DD4976" w:rsidRPr="00DD49B6" w:rsidRDefault="00DD4976" w:rsidP="007A059D">
            <w:pPr>
              <w:pStyle w:val="naisf"/>
              <w:spacing w:before="0" w:beforeAutospacing="0" w:after="0" w:afterAutospacing="0"/>
              <w:jc w:val="center"/>
              <w:rPr>
                <w:b/>
                <w:i/>
              </w:rPr>
            </w:pPr>
          </w:p>
        </w:tc>
        <w:tc>
          <w:tcPr>
            <w:tcW w:w="1344" w:type="dxa"/>
            <w:vAlign w:val="center"/>
          </w:tcPr>
          <w:p w:rsidR="00DD4976" w:rsidRPr="00DD49B6" w:rsidRDefault="00DD4976" w:rsidP="007A059D">
            <w:pPr>
              <w:pStyle w:val="naisf"/>
              <w:spacing w:before="0" w:beforeAutospacing="0" w:after="0" w:afterAutospacing="0"/>
              <w:jc w:val="center"/>
              <w:rPr>
                <w:b/>
                <w:i/>
              </w:rPr>
            </w:pPr>
            <w:r>
              <w:rPr>
                <w:b/>
                <w:bCs/>
              </w:rPr>
              <w:t>2015</w:t>
            </w:r>
          </w:p>
        </w:tc>
        <w:tc>
          <w:tcPr>
            <w:tcW w:w="1413" w:type="dxa"/>
            <w:vAlign w:val="center"/>
          </w:tcPr>
          <w:p w:rsidR="00DD4976" w:rsidRPr="00DD49B6" w:rsidRDefault="00DD4976" w:rsidP="007A059D">
            <w:pPr>
              <w:pStyle w:val="naisf"/>
              <w:spacing w:before="0" w:beforeAutospacing="0" w:after="0" w:afterAutospacing="0"/>
              <w:jc w:val="center"/>
              <w:rPr>
                <w:b/>
                <w:i/>
              </w:rPr>
            </w:pPr>
            <w:r>
              <w:rPr>
                <w:b/>
                <w:bCs/>
              </w:rPr>
              <w:t>2016</w:t>
            </w:r>
          </w:p>
        </w:tc>
        <w:tc>
          <w:tcPr>
            <w:tcW w:w="1309" w:type="dxa"/>
            <w:vAlign w:val="center"/>
          </w:tcPr>
          <w:p w:rsidR="00DD4976" w:rsidRPr="00DD49B6" w:rsidRDefault="00DD4976" w:rsidP="007A059D">
            <w:pPr>
              <w:pStyle w:val="naisf"/>
              <w:spacing w:before="0" w:beforeAutospacing="0" w:after="0" w:afterAutospacing="0"/>
              <w:jc w:val="center"/>
              <w:rPr>
                <w:b/>
                <w:i/>
              </w:rPr>
            </w:pPr>
            <w:r>
              <w:rPr>
                <w:b/>
                <w:bCs/>
              </w:rPr>
              <w:t>2017</w:t>
            </w:r>
          </w:p>
        </w:tc>
      </w:tr>
      <w:tr w:rsidR="00DD4976" w:rsidRPr="00ED22C8" w:rsidTr="00C42B7D">
        <w:trPr>
          <w:jc w:val="center"/>
        </w:trPr>
        <w:tc>
          <w:tcPr>
            <w:tcW w:w="2850" w:type="dxa"/>
            <w:vMerge/>
            <w:vAlign w:val="center"/>
          </w:tcPr>
          <w:p w:rsidR="00DD4976" w:rsidRPr="00DD49B6" w:rsidRDefault="00DD4976" w:rsidP="007A059D">
            <w:pPr>
              <w:pStyle w:val="naisf"/>
              <w:spacing w:before="0" w:beforeAutospacing="0" w:after="0" w:afterAutospacing="0"/>
              <w:jc w:val="center"/>
              <w:rPr>
                <w:b/>
                <w:i/>
              </w:rPr>
            </w:pPr>
          </w:p>
        </w:tc>
        <w:tc>
          <w:tcPr>
            <w:tcW w:w="1536" w:type="dxa"/>
            <w:vAlign w:val="center"/>
          </w:tcPr>
          <w:p w:rsidR="00DD4976" w:rsidRPr="00DD49B6" w:rsidRDefault="00DD4976" w:rsidP="007A059D">
            <w:pPr>
              <w:pStyle w:val="naisf"/>
              <w:spacing w:before="0" w:beforeAutospacing="0" w:after="0" w:afterAutospacing="0"/>
              <w:jc w:val="center"/>
              <w:rPr>
                <w:b/>
                <w:i/>
              </w:rPr>
            </w:pPr>
            <w:r>
              <w:t>s</w:t>
            </w:r>
            <w:r w:rsidRPr="00DD49B6">
              <w:t>askaņā ar valsts budžetu kārtējam gadam</w:t>
            </w:r>
          </w:p>
        </w:tc>
        <w:tc>
          <w:tcPr>
            <w:tcW w:w="1292" w:type="dxa"/>
            <w:vAlign w:val="center"/>
          </w:tcPr>
          <w:p w:rsidR="00DD4976" w:rsidRPr="00DD49B6" w:rsidRDefault="00DD4976" w:rsidP="007A059D">
            <w:pPr>
              <w:pStyle w:val="naisf"/>
              <w:spacing w:before="0" w:beforeAutospacing="0" w:after="0" w:afterAutospacing="0"/>
              <w:jc w:val="center"/>
              <w:rPr>
                <w:b/>
                <w:i/>
              </w:rPr>
            </w:pPr>
            <w:r>
              <w:t>i</w:t>
            </w:r>
            <w:r w:rsidRPr="00DD49B6">
              <w:t>zmaiņas kārtējā gadā, salīdzinot ar budžetu kārtējam gadam</w:t>
            </w:r>
          </w:p>
        </w:tc>
        <w:tc>
          <w:tcPr>
            <w:tcW w:w="1344" w:type="dxa"/>
            <w:vAlign w:val="center"/>
          </w:tcPr>
          <w:p w:rsidR="00DD4976" w:rsidRPr="00DD49B6" w:rsidRDefault="00DD4976" w:rsidP="007A059D">
            <w:pPr>
              <w:pStyle w:val="naisf"/>
              <w:spacing w:before="0" w:beforeAutospacing="0" w:after="0" w:afterAutospacing="0"/>
              <w:jc w:val="center"/>
              <w:rPr>
                <w:b/>
                <w:i/>
              </w:rPr>
            </w:pPr>
            <w:r>
              <w:t>i</w:t>
            </w:r>
            <w:r w:rsidRPr="00DD49B6">
              <w:t>zmaiņas, salīdzinot ar kārtējo (n) gadu</w:t>
            </w:r>
          </w:p>
        </w:tc>
        <w:tc>
          <w:tcPr>
            <w:tcW w:w="1413" w:type="dxa"/>
            <w:vAlign w:val="center"/>
          </w:tcPr>
          <w:p w:rsidR="00DD4976" w:rsidRPr="00DD49B6" w:rsidRDefault="00DD4976" w:rsidP="007A059D">
            <w:pPr>
              <w:pStyle w:val="naisf"/>
              <w:spacing w:before="0" w:beforeAutospacing="0" w:after="0" w:afterAutospacing="0"/>
              <w:jc w:val="center"/>
              <w:rPr>
                <w:b/>
                <w:i/>
              </w:rPr>
            </w:pPr>
            <w:r>
              <w:t>i</w:t>
            </w:r>
            <w:r w:rsidRPr="00DD49B6">
              <w:t>zmaiņas, salīdzinot ar kārtējo (n) gadu</w:t>
            </w:r>
          </w:p>
        </w:tc>
        <w:tc>
          <w:tcPr>
            <w:tcW w:w="1309" w:type="dxa"/>
            <w:vAlign w:val="center"/>
          </w:tcPr>
          <w:p w:rsidR="00DD4976" w:rsidRPr="00DD49B6" w:rsidRDefault="00DD4976" w:rsidP="007A059D">
            <w:pPr>
              <w:pStyle w:val="naisf"/>
              <w:spacing w:before="0" w:beforeAutospacing="0" w:after="0" w:afterAutospacing="0"/>
              <w:jc w:val="center"/>
              <w:rPr>
                <w:b/>
                <w:i/>
              </w:rPr>
            </w:pPr>
            <w:r>
              <w:t>i</w:t>
            </w:r>
            <w:r w:rsidRPr="00DD49B6">
              <w:t>zmaiņas, salīdzinot ar kārtējo (n) gadu</w:t>
            </w:r>
          </w:p>
        </w:tc>
      </w:tr>
      <w:tr w:rsidR="00DD4976" w:rsidRPr="00ED22C8" w:rsidTr="00C42B7D">
        <w:trPr>
          <w:jc w:val="center"/>
        </w:trPr>
        <w:tc>
          <w:tcPr>
            <w:tcW w:w="2850" w:type="dxa"/>
            <w:vAlign w:val="center"/>
          </w:tcPr>
          <w:p w:rsidR="00DD4976" w:rsidRPr="00DD49B6" w:rsidRDefault="00DD4976" w:rsidP="007A059D">
            <w:pPr>
              <w:pStyle w:val="naisf"/>
              <w:spacing w:before="0" w:beforeAutospacing="0" w:after="0" w:afterAutospacing="0"/>
              <w:jc w:val="center"/>
              <w:rPr>
                <w:bCs/>
              </w:rPr>
            </w:pPr>
            <w:r w:rsidRPr="00DD49B6">
              <w:rPr>
                <w:bCs/>
              </w:rPr>
              <w:t>1</w:t>
            </w:r>
          </w:p>
        </w:tc>
        <w:tc>
          <w:tcPr>
            <w:tcW w:w="1536" w:type="dxa"/>
            <w:vAlign w:val="center"/>
          </w:tcPr>
          <w:p w:rsidR="00DD4976" w:rsidRPr="00DD49B6" w:rsidRDefault="00DD4976" w:rsidP="007A059D">
            <w:pPr>
              <w:pStyle w:val="naisf"/>
              <w:spacing w:before="0" w:beforeAutospacing="0" w:after="0" w:afterAutospacing="0"/>
              <w:jc w:val="center"/>
              <w:rPr>
                <w:bCs/>
              </w:rPr>
            </w:pPr>
            <w:r w:rsidRPr="00DD49B6">
              <w:rPr>
                <w:bCs/>
              </w:rPr>
              <w:t>2</w:t>
            </w:r>
          </w:p>
        </w:tc>
        <w:tc>
          <w:tcPr>
            <w:tcW w:w="1292" w:type="dxa"/>
            <w:vAlign w:val="center"/>
          </w:tcPr>
          <w:p w:rsidR="00DD4976" w:rsidRPr="00DD49B6" w:rsidRDefault="00DD4976" w:rsidP="007A059D">
            <w:pPr>
              <w:pStyle w:val="naisf"/>
              <w:spacing w:before="0" w:beforeAutospacing="0" w:after="0" w:afterAutospacing="0"/>
              <w:jc w:val="center"/>
              <w:rPr>
                <w:bCs/>
              </w:rPr>
            </w:pPr>
            <w:r w:rsidRPr="00DD49B6">
              <w:rPr>
                <w:bCs/>
              </w:rPr>
              <w:t>3</w:t>
            </w:r>
          </w:p>
        </w:tc>
        <w:tc>
          <w:tcPr>
            <w:tcW w:w="1344" w:type="dxa"/>
            <w:vAlign w:val="center"/>
          </w:tcPr>
          <w:p w:rsidR="00DD4976" w:rsidRPr="00DD49B6" w:rsidRDefault="00DD4976" w:rsidP="007A059D">
            <w:pPr>
              <w:pStyle w:val="naisf"/>
              <w:spacing w:before="0" w:beforeAutospacing="0" w:after="0" w:afterAutospacing="0"/>
              <w:jc w:val="center"/>
              <w:rPr>
                <w:bCs/>
              </w:rPr>
            </w:pPr>
            <w:r w:rsidRPr="00DD49B6">
              <w:rPr>
                <w:bCs/>
              </w:rPr>
              <w:t>4</w:t>
            </w:r>
          </w:p>
        </w:tc>
        <w:tc>
          <w:tcPr>
            <w:tcW w:w="1413" w:type="dxa"/>
            <w:vAlign w:val="center"/>
          </w:tcPr>
          <w:p w:rsidR="00DD4976" w:rsidRPr="00DD49B6" w:rsidRDefault="00DD4976" w:rsidP="007A059D">
            <w:pPr>
              <w:pStyle w:val="naisf"/>
              <w:spacing w:before="0" w:beforeAutospacing="0" w:after="0" w:afterAutospacing="0"/>
              <w:jc w:val="center"/>
              <w:rPr>
                <w:bCs/>
              </w:rPr>
            </w:pPr>
            <w:r w:rsidRPr="00DD49B6">
              <w:rPr>
                <w:bCs/>
              </w:rPr>
              <w:t>5</w:t>
            </w:r>
          </w:p>
        </w:tc>
        <w:tc>
          <w:tcPr>
            <w:tcW w:w="1309" w:type="dxa"/>
            <w:vAlign w:val="center"/>
          </w:tcPr>
          <w:p w:rsidR="00DD4976" w:rsidRPr="00DD49B6" w:rsidRDefault="00DD4976" w:rsidP="007A059D">
            <w:pPr>
              <w:pStyle w:val="naisf"/>
              <w:spacing w:before="0" w:beforeAutospacing="0" w:after="0" w:afterAutospacing="0"/>
              <w:jc w:val="center"/>
              <w:rPr>
                <w:bCs/>
              </w:rPr>
            </w:pPr>
            <w:r w:rsidRPr="00DD49B6">
              <w:rPr>
                <w:bCs/>
              </w:rPr>
              <w:t>6</w:t>
            </w:r>
          </w:p>
        </w:tc>
      </w:tr>
      <w:tr w:rsidR="00DD4976" w:rsidRPr="00ED22C8" w:rsidTr="00C42B7D">
        <w:trPr>
          <w:jc w:val="center"/>
        </w:trPr>
        <w:tc>
          <w:tcPr>
            <w:tcW w:w="2850" w:type="dxa"/>
          </w:tcPr>
          <w:p w:rsidR="00DD4976" w:rsidRPr="00DD49B6" w:rsidRDefault="00DD4976" w:rsidP="007A059D">
            <w:pPr>
              <w:pStyle w:val="naisf"/>
              <w:spacing w:before="0" w:beforeAutospacing="0" w:after="0" w:afterAutospacing="0"/>
              <w:rPr>
                <w:i/>
              </w:rPr>
            </w:pPr>
            <w:r w:rsidRPr="00DD49B6">
              <w:t>1. Budžeta ieņēmumi:</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DD49B6" w:rsidRDefault="00DD4976" w:rsidP="007A059D">
            <w:pPr>
              <w:pStyle w:val="naisf"/>
              <w:spacing w:before="0" w:beforeAutospacing="0" w:after="0" w:afterAutospacing="0"/>
              <w:rPr>
                <w:i/>
              </w:rPr>
            </w:pPr>
            <w:r w:rsidRPr="00DD49B6">
              <w:t>1.1. valsts pamatbudžets, tai skaitā ieņēmumi no maksas pakalpojumiem un citi pašu ieņēmumi</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DD49B6" w:rsidRDefault="00DD4976" w:rsidP="007A059D">
            <w:pPr>
              <w:pStyle w:val="naisf"/>
              <w:spacing w:before="0" w:beforeAutospacing="0" w:after="0" w:afterAutospacing="0"/>
              <w:rPr>
                <w:i/>
              </w:rPr>
            </w:pPr>
            <w:r w:rsidRPr="00DD49B6">
              <w:t>1.2. valsts speciālais budžets</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DD49B6" w:rsidRDefault="00DD4976" w:rsidP="007A059D">
            <w:pPr>
              <w:pStyle w:val="naisf"/>
              <w:spacing w:before="0" w:beforeAutospacing="0" w:after="0" w:afterAutospacing="0"/>
              <w:rPr>
                <w:i/>
              </w:rPr>
            </w:pPr>
            <w:r w:rsidRPr="00DD49B6">
              <w:t>1.3. pašvaldību budžets</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2. Budžeta izdevumi:</w:t>
            </w:r>
          </w:p>
        </w:tc>
        <w:tc>
          <w:tcPr>
            <w:tcW w:w="1536" w:type="dxa"/>
          </w:tcPr>
          <w:p w:rsidR="00DD4976" w:rsidRPr="00ED22C8" w:rsidRDefault="00DD4976" w:rsidP="004A0587">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2.1. valsts pamatbudžets</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2.2. valsts speciālais budžets</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xml:space="preserve">2.3. pašvaldību budžets </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3. Finansiālā ietekme:</w:t>
            </w:r>
          </w:p>
        </w:tc>
        <w:tc>
          <w:tcPr>
            <w:tcW w:w="1536" w:type="dxa"/>
            <w:vAlign w:val="center"/>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3.1. valsts pamatbudžets</w:t>
            </w:r>
          </w:p>
        </w:tc>
        <w:tc>
          <w:tcPr>
            <w:tcW w:w="1536" w:type="dxa"/>
          </w:tcPr>
          <w:p w:rsidR="00DD4976" w:rsidRPr="00ED22C8" w:rsidRDefault="00DD4976" w:rsidP="004A0587">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3.2. speciālais budžets</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xml:space="preserve">3.3. pašvaldību budžets </w:t>
            </w:r>
          </w:p>
        </w:tc>
        <w:tc>
          <w:tcPr>
            <w:tcW w:w="1536"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vMerge w:val="restart"/>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4. Finanšu līdzekļi papildu izdevumu finansēšanai (kompensējošu izdevumu samazinājumu norāda ar "+" zīmi)</w:t>
            </w:r>
          </w:p>
        </w:tc>
        <w:tc>
          <w:tcPr>
            <w:tcW w:w="1536" w:type="dxa"/>
            <w:vMerge w:val="restart"/>
          </w:tcPr>
          <w:p w:rsidR="00DD4976" w:rsidRPr="00ED22C8" w:rsidRDefault="00DD4976" w:rsidP="007A059D">
            <w:pPr>
              <w:spacing w:after="0" w:line="240" w:lineRule="auto"/>
              <w:rPr>
                <w:rFonts w:ascii="Times New Roman" w:hAnsi="Times New Roman"/>
                <w:sz w:val="24"/>
                <w:szCs w:val="24"/>
              </w:rPr>
            </w:pPr>
            <w:r>
              <w:rPr>
                <w:rFonts w:ascii="Times New Roman" w:hAnsi="Times New Roman"/>
                <w:sz w:val="24"/>
                <w:szCs w:val="24"/>
              </w:rPr>
              <w:t>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vMerge/>
          </w:tcPr>
          <w:p w:rsidR="00DD4976" w:rsidRPr="00ED22C8" w:rsidRDefault="00DD4976" w:rsidP="007A059D">
            <w:pPr>
              <w:spacing w:after="0" w:line="240" w:lineRule="auto"/>
              <w:rPr>
                <w:rFonts w:ascii="Times New Roman" w:hAnsi="Times New Roman"/>
                <w:sz w:val="24"/>
                <w:szCs w:val="24"/>
              </w:rPr>
            </w:pPr>
          </w:p>
        </w:tc>
        <w:tc>
          <w:tcPr>
            <w:tcW w:w="1536" w:type="dxa"/>
            <w:vMerge/>
            <w:vAlign w:val="center"/>
          </w:tcPr>
          <w:p w:rsidR="00DD4976" w:rsidRPr="00DD49B6" w:rsidRDefault="00DD4976" w:rsidP="007A059D">
            <w:pPr>
              <w:pStyle w:val="naisf"/>
              <w:spacing w:before="0" w:beforeAutospacing="0" w:after="0" w:afterAutospacing="0"/>
              <w:jc w:val="center"/>
              <w:rPr>
                <w:i/>
              </w:rPr>
            </w:pPr>
          </w:p>
        </w:tc>
        <w:tc>
          <w:tcPr>
            <w:tcW w:w="1292" w:type="dxa"/>
          </w:tcPr>
          <w:p w:rsidR="00DD4976" w:rsidRPr="00DD49B6" w:rsidRDefault="00DD4976" w:rsidP="007A059D">
            <w:pPr>
              <w:pStyle w:val="naisf"/>
              <w:spacing w:before="0" w:beforeAutospacing="0" w:after="0" w:afterAutospacing="0"/>
              <w:rPr>
                <w:b/>
                <w:i/>
              </w:rPr>
            </w:pPr>
            <w:r w:rsidRPr="00D25E38">
              <w:t>  </w:t>
            </w:r>
            <w:r>
              <w:t>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vMerge/>
          </w:tcPr>
          <w:p w:rsidR="00DD4976" w:rsidRPr="00ED22C8" w:rsidRDefault="00DD4976" w:rsidP="007A059D">
            <w:pPr>
              <w:spacing w:after="0" w:line="240" w:lineRule="auto"/>
              <w:rPr>
                <w:rFonts w:ascii="Times New Roman" w:hAnsi="Times New Roman"/>
                <w:sz w:val="24"/>
                <w:szCs w:val="24"/>
              </w:rPr>
            </w:pPr>
          </w:p>
        </w:tc>
        <w:tc>
          <w:tcPr>
            <w:tcW w:w="1536" w:type="dxa"/>
            <w:vMerge/>
            <w:vAlign w:val="center"/>
          </w:tcPr>
          <w:p w:rsidR="00DD4976" w:rsidRPr="00DD49B6" w:rsidRDefault="00DD4976" w:rsidP="007A059D">
            <w:pPr>
              <w:pStyle w:val="naisf"/>
              <w:spacing w:before="0" w:beforeAutospacing="0" w:after="0" w:afterAutospacing="0"/>
              <w:jc w:val="center"/>
              <w:rPr>
                <w:i/>
              </w:rPr>
            </w:pPr>
          </w:p>
        </w:tc>
        <w:tc>
          <w:tcPr>
            <w:tcW w:w="1292" w:type="dxa"/>
          </w:tcPr>
          <w:p w:rsidR="00DD4976" w:rsidRPr="00DD49B6" w:rsidRDefault="00DD4976" w:rsidP="007A059D">
            <w:pPr>
              <w:pStyle w:val="naisf"/>
              <w:spacing w:before="0" w:beforeAutospacing="0" w:after="0" w:afterAutospacing="0"/>
              <w:rPr>
                <w:b/>
                <w:i/>
              </w:rPr>
            </w:pPr>
            <w:r w:rsidRPr="00D25E38">
              <w:t>  </w:t>
            </w:r>
            <w:r>
              <w:t>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5. Precizēta finansiālā ietekme:</w:t>
            </w:r>
          </w:p>
        </w:tc>
        <w:tc>
          <w:tcPr>
            <w:tcW w:w="1536" w:type="dxa"/>
            <w:vMerge w:val="restart"/>
          </w:tcPr>
          <w:p w:rsidR="00DD4976" w:rsidRPr="00ED22C8" w:rsidRDefault="00DD4976" w:rsidP="007A059D">
            <w:pPr>
              <w:spacing w:after="0" w:line="240" w:lineRule="auto"/>
              <w:rPr>
                <w:rFonts w:ascii="Times New Roman" w:hAnsi="Times New Roman"/>
                <w:sz w:val="24"/>
                <w:szCs w:val="24"/>
              </w:rPr>
            </w:pPr>
            <w:r>
              <w:rPr>
                <w:rFonts w:ascii="Times New Roman" w:hAnsi="Times New Roman"/>
                <w:sz w:val="24"/>
                <w:szCs w:val="24"/>
              </w:rPr>
              <w:t>0</w:t>
            </w:r>
          </w:p>
        </w:tc>
        <w:tc>
          <w:tcPr>
            <w:tcW w:w="1292"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5.1. valsts pamatbudžets</w:t>
            </w:r>
          </w:p>
        </w:tc>
        <w:tc>
          <w:tcPr>
            <w:tcW w:w="1536" w:type="dxa"/>
            <w:vMerge/>
            <w:vAlign w:val="center"/>
          </w:tcPr>
          <w:p w:rsidR="00DD4976" w:rsidRPr="00DD49B6" w:rsidRDefault="00DD4976" w:rsidP="007A059D">
            <w:pPr>
              <w:pStyle w:val="naisf"/>
              <w:spacing w:before="0" w:beforeAutospacing="0" w:after="0" w:afterAutospacing="0"/>
              <w:jc w:val="center"/>
              <w:rPr>
                <w:i/>
              </w:rPr>
            </w:pPr>
          </w:p>
        </w:tc>
        <w:tc>
          <w:tcPr>
            <w:tcW w:w="1292" w:type="dxa"/>
          </w:tcPr>
          <w:p w:rsidR="00DD4976" w:rsidRPr="00DD49B6" w:rsidRDefault="00DD4976" w:rsidP="007A059D">
            <w:pPr>
              <w:pStyle w:val="naisf"/>
              <w:spacing w:before="0" w:beforeAutospacing="0" w:after="0" w:afterAutospacing="0"/>
              <w:rPr>
                <w:b/>
                <w:i/>
              </w:rPr>
            </w:pPr>
            <w:r w:rsidRPr="00D25E38">
              <w:t>  </w:t>
            </w:r>
            <w:r>
              <w:t>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5.2. speciālais budžets</w:t>
            </w:r>
          </w:p>
        </w:tc>
        <w:tc>
          <w:tcPr>
            <w:tcW w:w="1536" w:type="dxa"/>
            <w:vMerge/>
            <w:vAlign w:val="center"/>
          </w:tcPr>
          <w:p w:rsidR="00DD4976" w:rsidRPr="00DD49B6" w:rsidRDefault="00DD4976" w:rsidP="007A059D">
            <w:pPr>
              <w:pStyle w:val="naisf"/>
              <w:spacing w:before="0" w:beforeAutospacing="0" w:after="0" w:afterAutospacing="0"/>
              <w:jc w:val="center"/>
              <w:rPr>
                <w:i/>
              </w:rPr>
            </w:pPr>
          </w:p>
        </w:tc>
        <w:tc>
          <w:tcPr>
            <w:tcW w:w="1292" w:type="dxa"/>
          </w:tcPr>
          <w:p w:rsidR="00DD4976" w:rsidRPr="00DD49B6" w:rsidRDefault="00DD4976" w:rsidP="007A059D">
            <w:pPr>
              <w:pStyle w:val="naisf"/>
              <w:spacing w:before="0" w:beforeAutospacing="0" w:after="0" w:afterAutospacing="0"/>
              <w:rPr>
                <w:b/>
                <w:i/>
              </w:rPr>
            </w:pPr>
            <w:r w:rsidRPr="00D25E38">
              <w:t>  </w:t>
            </w:r>
            <w:r>
              <w:t>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 xml:space="preserve">5.3. pašvaldību budžets </w:t>
            </w:r>
          </w:p>
        </w:tc>
        <w:tc>
          <w:tcPr>
            <w:tcW w:w="1536" w:type="dxa"/>
            <w:vMerge/>
            <w:vAlign w:val="center"/>
          </w:tcPr>
          <w:p w:rsidR="00DD4976" w:rsidRPr="00DD49B6" w:rsidRDefault="00DD4976" w:rsidP="007A059D">
            <w:pPr>
              <w:pStyle w:val="naisf"/>
              <w:spacing w:before="0" w:beforeAutospacing="0" w:after="0" w:afterAutospacing="0"/>
              <w:jc w:val="center"/>
              <w:rPr>
                <w:i/>
              </w:rPr>
            </w:pPr>
          </w:p>
        </w:tc>
        <w:tc>
          <w:tcPr>
            <w:tcW w:w="1292" w:type="dxa"/>
          </w:tcPr>
          <w:p w:rsidR="00DD4976" w:rsidRPr="00DD49B6" w:rsidRDefault="00DD4976" w:rsidP="007A059D">
            <w:pPr>
              <w:pStyle w:val="naisf"/>
              <w:spacing w:before="0" w:beforeAutospacing="0" w:after="0" w:afterAutospacing="0"/>
              <w:rPr>
                <w:b/>
                <w:i/>
              </w:rPr>
            </w:pPr>
            <w:r w:rsidRPr="00D25E38">
              <w:t>  </w:t>
            </w:r>
            <w:r>
              <w:t>0</w:t>
            </w:r>
          </w:p>
        </w:tc>
        <w:tc>
          <w:tcPr>
            <w:tcW w:w="1344"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rsidR="00DD4976" w:rsidRPr="00ED22C8" w:rsidRDefault="00DD4976"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6. Detalizēts ieņēmumu un izdevumu aprēķins (ja nepie</w:t>
            </w:r>
            <w:r w:rsidRPr="00ED22C8">
              <w:rPr>
                <w:rFonts w:ascii="Times New Roman" w:hAnsi="Times New Roman"/>
                <w:sz w:val="24"/>
                <w:szCs w:val="24"/>
              </w:rPr>
              <w:softHyphen/>
              <w:t>ciešams, detalizētu ieņēmumu un izdevumu aprēķinu var pievienot anotācijas pielikumā):</w:t>
            </w:r>
          </w:p>
        </w:tc>
        <w:tc>
          <w:tcPr>
            <w:tcW w:w="6894" w:type="dxa"/>
            <w:gridSpan w:val="5"/>
            <w:vMerge w:val="restart"/>
            <w:vAlign w:val="center"/>
          </w:tcPr>
          <w:p w:rsidR="00DD4976" w:rsidRPr="00ED22C8" w:rsidRDefault="00DD4976" w:rsidP="00C42B7D">
            <w:pPr>
              <w:spacing w:after="0" w:line="240" w:lineRule="auto"/>
              <w:jc w:val="both"/>
              <w:rPr>
                <w:rFonts w:ascii="Times New Roman" w:hAnsi="Times New Roman"/>
                <w:sz w:val="24"/>
                <w:szCs w:val="24"/>
              </w:rPr>
            </w:pPr>
            <w:r w:rsidRPr="00ED22C8">
              <w:rPr>
                <w:rFonts w:ascii="Times New Roman" w:hAnsi="Times New Roman"/>
                <w:sz w:val="24"/>
                <w:szCs w:val="24"/>
              </w:rPr>
              <w:t>Projekts šo jomu neskar.</w:t>
            </w: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6.1. detalizēts ieņēmumu aprēķins</w:t>
            </w:r>
          </w:p>
        </w:tc>
        <w:tc>
          <w:tcPr>
            <w:tcW w:w="6894" w:type="dxa"/>
            <w:gridSpan w:val="5"/>
            <w:vMerge/>
            <w:vAlign w:val="center"/>
          </w:tcPr>
          <w:p w:rsidR="00DD4976" w:rsidRPr="00DD49B6" w:rsidRDefault="00DD4976" w:rsidP="007A059D">
            <w:pPr>
              <w:pStyle w:val="naisf"/>
              <w:spacing w:before="0" w:beforeAutospacing="0" w:after="0" w:afterAutospacing="0"/>
              <w:rPr>
                <w:b/>
                <w:i/>
              </w:rPr>
            </w:pPr>
          </w:p>
        </w:tc>
      </w:tr>
      <w:tr w:rsidR="00DD4976" w:rsidRPr="00ED22C8" w:rsidTr="00C42B7D">
        <w:trPr>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6.2. detalizēts izdevumu aprēķins</w:t>
            </w:r>
          </w:p>
        </w:tc>
        <w:tc>
          <w:tcPr>
            <w:tcW w:w="6894" w:type="dxa"/>
            <w:gridSpan w:val="5"/>
            <w:vMerge/>
            <w:vAlign w:val="center"/>
          </w:tcPr>
          <w:p w:rsidR="00DD4976" w:rsidRPr="00DD49B6" w:rsidRDefault="00DD4976" w:rsidP="007A059D">
            <w:pPr>
              <w:pStyle w:val="naisf"/>
              <w:spacing w:before="0" w:beforeAutospacing="0" w:after="0" w:afterAutospacing="0"/>
              <w:rPr>
                <w:b/>
                <w:i/>
              </w:rPr>
            </w:pPr>
          </w:p>
        </w:tc>
      </w:tr>
      <w:tr w:rsidR="00DD4976" w:rsidRPr="00ED22C8" w:rsidTr="00C42B7D">
        <w:trPr>
          <w:trHeight w:val="556"/>
          <w:jc w:val="center"/>
        </w:trPr>
        <w:tc>
          <w:tcPr>
            <w:tcW w:w="2850" w:type="dxa"/>
          </w:tcPr>
          <w:p w:rsidR="00DD4976" w:rsidRPr="00ED22C8" w:rsidRDefault="00DD4976" w:rsidP="007A059D">
            <w:pPr>
              <w:spacing w:after="0" w:line="240" w:lineRule="auto"/>
              <w:rPr>
                <w:rFonts w:ascii="Times New Roman" w:hAnsi="Times New Roman"/>
                <w:sz w:val="24"/>
                <w:szCs w:val="24"/>
              </w:rPr>
            </w:pPr>
            <w:r w:rsidRPr="00ED22C8">
              <w:rPr>
                <w:rFonts w:ascii="Times New Roman" w:hAnsi="Times New Roman"/>
                <w:sz w:val="24"/>
                <w:szCs w:val="24"/>
              </w:rPr>
              <w:t>7. Cita informācija</w:t>
            </w:r>
          </w:p>
        </w:tc>
        <w:tc>
          <w:tcPr>
            <w:tcW w:w="6894" w:type="dxa"/>
            <w:gridSpan w:val="5"/>
          </w:tcPr>
          <w:p w:rsidR="00DD4976" w:rsidRPr="00ED22C8" w:rsidRDefault="00DD4976" w:rsidP="002F2128">
            <w:pPr>
              <w:jc w:val="both"/>
              <w:rPr>
                <w:rFonts w:ascii="Times New Roman" w:hAnsi="Times New Roman"/>
                <w:sz w:val="24"/>
                <w:szCs w:val="24"/>
              </w:rPr>
            </w:pPr>
            <w:r>
              <w:rPr>
                <w:rFonts w:ascii="Times New Roman" w:hAnsi="Times New Roman"/>
                <w:sz w:val="24"/>
                <w:szCs w:val="24"/>
              </w:rPr>
              <w:t>Saskaņā ar likumu p</w:t>
            </w:r>
            <w:r w:rsidRPr="002F2128">
              <w:rPr>
                <w:rFonts w:ascii="Times New Roman" w:hAnsi="Times New Roman"/>
                <w:sz w:val="24"/>
                <w:szCs w:val="24"/>
              </w:rPr>
              <w:t>ar valsts budžetu 2014.gadam</w:t>
            </w:r>
            <w:r>
              <w:rPr>
                <w:rFonts w:ascii="Times New Roman" w:hAnsi="Times New Roman"/>
                <w:sz w:val="24"/>
                <w:szCs w:val="24"/>
              </w:rPr>
              <w:t xml:space="preserve"> 48.pantu noteikts, ka </w:t>
            </w:r>
            <w:r w:rsidRPr="002F2128">
              <w:rPr>
                <w:rFonts w:ascii="Times New Roman" w:hAnsi="Times New Roman"/>
                <w:sz w:val="24"/>
                <w:szCs w:val="24"/>
              </w:rPr>
              <w:t xml:space="preserve">valsts 60 000 000 </w:t>
            </w:r>
            <w:r w:rsidRPr="002F2128">
              <w:rPr>
                <w:rFonts w:ascii="Times New Roman" w:hAnsi="Times New Roman"/>
                <w:i/>
                <w:sz w:val="24"/>
                <w:szCs w:val="24"/>
              </w:rPr>
              <w:t>euro</w:t>
            </w:r>
            <w:r w:rsidRPr="002F2128">
              <w:rPr>
                <w:rFonts w:ascii="Times New Roman" w:hAnsi="Times New Roman"/>
                <w:sz w:val="24"/>
                <w:szCs w:val="24"/>
              </w:rPr>
              <w:t xml:space="preserve"> apmērā atbild par valsts akciju sabiedrības “Lauku attīstības fonds” vai šīs valsts akciju sabiedrības saistību un </w:t>
            </w:r>
            <w:r w:rsidRPr="002F2128">
              <w:rPr>
                <w:rFonts w:ascii="Times New Roman" w:hAnsi="Times New Roman"/>
                <w:sz w:val="24"/>
                <w:szCs w:val="24"/>
              </w:rPr>
              <w:lastRenderedPageBreak/>
              <w:t>tiesību pārņēmēja garantijām</w:t>
            </w:r>
            <w:r>
              <w:rPr>
                <w:rFonts w:ascii="Times New Roman" w:hAnsi="Times New Roman"/>
                <w:sz w:val="24"/>
                <w:szCs w:val="24"/>
              </w:rPr>
              <w:t>.</w:t>
            </w:r>
          </w:p>
        </w:tc>
      </w:tr>
    </w:tbl>
    <w:p w:rsidR="00DD4976" w:rsidRPr="00DD49B6" w:rsidDel="009D1634" w:rsidRDefault="00DD4976" w:rsidP="000330A2">
      <w:pPr>
        <w:spacing w:after="0" w:line="240" w:lineRule="auto"/>
        <w:rPr>
          <w:rFonts w:ascii="Times New Roman" w:hAnsi="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DD4976" w:rsidRPr="00ED22C8" w:rsidTr="00C72A47">
        <w:trPr>
          <w:trHeight w:val="421"/>
          <w:jc w:val="center"/>
        </w:trPr>
        <w:tc>
          <w:tcPr>
            <w:tcW w:w="9524" w:type="dxa"/>
            <w:gridSpan w:val="3"/>
            <w:vAlign w:val="center"/>
          </w:tcPr>
          <w:p w:rsidR="00DD4976" w:rsidRPr="00DD49B6" w:rsidRDefault="00DD4976" w:rsidP="00C72A47">
            <w:pPr>
              <w:pStyle w:val="naisnod"/>
              <w:spacing w:before="0" w:beforeAutospacing="0" w:after="0" w:afterAutospacing="0"/>
              <w:ind w:left="57" w:right="57"/>
              <w:jc w:val="center"/>
            </w:pPr>
            <w:r w:rsidRPr="00DD49B6">
              <w:rPr>
                <w:b/>
              </w:rPr>
              <w:t>VI. Sabiedrības līdzdalība un komunikācijas aktivitātes</w:t>
            </w:r>
          </w:p>
        </w:tc>
      </w:tr>
      <w:tr w:rsidR="00DD4976" w:rsidRPr="00ED22C8" w:rsidTr="00C72A47">
        <w:trPr>
          <w:trHeight w:val="553"/>
          <w:jc w:val="center"/>
        </w:trPr>
        <w:tc>
          <w:tcPr>
            <w:tcW w:w="476" w:type="dxa"/>
          </w:tcPr>
          <w:p w:rsidR="00DD4976" w:rsidRPr="00ED22C8" w:rsidRDefault="00DD4976"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1.</w:t>
            </w:r>
          </w:p>
        </w:tc>
        <w:tc>
          <w:tcPr>
            <w:tcW w:w="2842" w:type="dxa"/>
          </w:tcPr>
          <w:p w:rsidR="00DD4976" w:rsidRPr="00ED22C8" w:rsidRDefault="00DD4976" w:rsidP="00C72A47">
            <w:pPr>
              <w:tabs>
                <w:tab w:val="left" w:pos="170"/>
              </w:tabs>
              <w:spacing w:after="0" w:line="240" w:lineRule="auto"/>
              <w:ind w:left="57" w:right="57"/>
              <w:rPr>
                <w:rFonts w:ascii="Times New Roman" w:hAnsi="Times New Roman"/>
                <w:sz w:val="24"/>
                <w:szCs w:val="24"/>
              </w:rPr>
            </w:pPr>
            <w:r w:rsidRPr="00ED22C8">
              <w:rPr>
                <w:rFonts w:ascii="Times New Roman" w:hAnsi="Times New Roman"/>
                <w:sz w:val="24"/>
                <w:szCs w:val="24"/>
              </w:rPr>
              <w:t>Plānotās sabiedrības līdzdalības un komunikācijas aktivitātes saistībā ar projektu</w:t>
            </w:r>
          </w:p>
        </w:tc>
        <w:tc>
          <w:tcPr>
            <w:tcW w:w="6206" w:type="dxa"/>
          </w:tcPr>
          <w:p w:rsidR="00DD4976" w:rsidRPr="00ED22C8" w:rsidRDefault="00DD4976" w:rsidP="001E0C14">
            <w:pPr>
              <w:jc w:val="both"/>
              <w:rPr>
                <w:rFonts w:ascii="Times New Roman" w:hAnsi="Times New Roman"/>
                <w:sz w:val="24"/>
                <w:szCs w:val="24"/>
              </w:rPr>
            </w:pPr>
            <w:bookmarkStart w:id="3" w:name="p61"/>
            <w:bookmarkEnd w:id="3"/>
            <w:r w:rsidRPr="00ED22C8">
              <w:rPr>
                <w:rFonts w:ascii="Times New Roman" w:hAnsi="Times New Roman"/>
                <w:sz w:val="24"/>
                <w:szCs w:val="24"/>
              </w:rPr>
              <w:t>Projekts šo jomu neskar.</w:t>
            </w:r>
          </w:p>
        </w:tc>
      </w:tr>
      <w:tr w:rsidR="00DD4976" w:rsidRPr="00ED22C8" w:rsidTr="00C72A47">
        <w:trPr>
          <w:trHeight w:val="339"/>
          <w:jc w:val="center"/>
        </w:trPr>
        <w:tc>
          <w:tcPr>
            <w:tcW w:w="476" w:type="dxa"/>
          </w:tcPr>
          <w:p w:rsidR="00DD4976" w:rsidRPr="00ED22C8" w:rsidRDefault="00DD4976"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2.</w:t>
            </w:r>
          </w:p>
        </w:tc>
        <w:tc>
          <w:tcPr>
            <w:tcW w:w="2842" w:type="dxa"/>
          </w:tcPr>
          <w:p w:rsidR="00DD4976" w:rsidRPr="00ED22C8" w:rsidRDefault="00DD4976" w:rsidP="00C72A47">
            <w:pPr>
              <w:spacing w:after="0" w:line="240" w:lineRule="auto"/>
              <w:ind w:left="57" w:right="57"/>
              <w:rPr>
                <w:rFonts w:ascii="Times New Roman" w:hAnsi="Times New Roman"/>
                <w:sz w:val="24"/>
                <w:szCs w:val="24"/>
              </w:rPr>
            </w:pPr>
            <w:r w:rsidRPr="00ED22C8">
              <w:rPr>
                <w:rFonts w:ascii="Times New Roman" w:hAnsi="Times New Roman"/>
                <w:sz w:val="24"/>
                <w:szCs w:val="24"/>
              </w:rPr>
              <w:t>Sabiedrības līdzdalība projekta izstrādē</w:t>
            </w:r>
          </w:p>
        </w:tc>
        <w:tc>
          <w:tcPr>
            <w:tcW w:w="6206" w:type="dxa"/>
          </w:tcPr>
          <w:p w:rsidR="00DD4976" w:rsidRPr="00ED22C8" w:rsidRDefault="00DD4976" w:rsidP="001E0C14">
            <w:pPr>
              <w:jc w:val="both"/>
              <w:rPr>
                <w:rFonts w:ascii="Times New Roman" w:hAnsi="Times New Roman"/>
                <w:sz w:val="24"/>
                <w:szCs w:val="24"/>
              </w:rPr>
            </w:pPr>
            <w:bookmarkStart w:id="4" w:name="p62"/>
            <w:bookmarkEnd w:id="4"/>
            <w:r w:rsidRPr="00ED22C8">
              <w:rPr>
                <w:rFonts w:ascii="Times New Roman" w:hAnsi="Times New Roman"/>
                <w:sz w:val="24"/>
                <w:szCs w:val="24"/>
              </w:rPr>
              <w:t>Lauku attīstības fonds,</w:t>
            </w:r>
          </w:p>
        </w:tc>
      </w:tr>
      <w:tr w:rsidR="00DD4976" w:rsidRPr="00ED22C8" w:rsidTr="00C72A47">
        <w:trPr>
          <w:trHeight w:val="476"/>
          <w:jc w:val="center"/>
        </w:trPr>
        <w:tc>
          <w:tcPr>
            <w:tcW w:w="476" w:type="dxa"/>
          </w:tcPr>
          <w:p w:rsidR="00DD4976" w:rsidRPr="00ED22C8" w:rsidRDefault="00DD4976"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3.</w:t>
            </w:r>
          </w:p>
        </w:tc>
        <w:tc>
          <w:tcPr>
            <w:tcW w:w="2842" w:type="dxa"/>
          </w:tcPr>
          <w:p w:rsidR="00DD4976" w:rsidRPr="00ED22C8" w:rsidRDefault="00DD4976" w:rsidP="00C72A47">
            <w:pPr>
              <w:spacing w:after="0" w:line="240" w:lineRule="auto"/>
              <w:ind w:left="57" w:right="57"/>
              <w:rPr>
                <w:rFonts w:ascii="Times New Roman" w:hAnsi="Times New Roman"/>
                <w:sz w:val="24"/>
                <w:szCs w:val="24"/>
              </w:rPr>
            </w:pPr>
            <w:r w:rsidRPr="00ED22C8">
              <w:rPr>
                <w:rFonts w:ascii="Times New Roman" w:hAnsi="Times New Roman"/>
                <w:sz w:val="24"/>
                <w:szCs w:val="24"/>
              </w:rPr>
              <w:t>Sabiedrības līdzdalības rezultāti</w:t>
            </w:r>
          </w:p>
        </w:tc>
        <w:tc>
          <w:tcPr>
            <w:tcW w:w="6206" w:type="dxa"/>
          </w:tcPr>
          <w:p w:rsidR="00DD4976" w:rsidRPr="00290226" w:rsidRDefault="00DD4976" w:rsidP="00DF175E">
            <w:pPr>
              <w:pStyle w:val="naiskr"/>
              <w:spacing w:before="0" w:after="0"/>
              <w:jc w:val="both"/>
            </w:pPr>
            <w:r w:rsidRPr="00290226">
              <w:t xml:space="preserve">Saskaņots ar </w:t>
            </w:r>
            <w:r w:rsidRPr="00B232A4">
              <w:t xml:space="preserve">Lauksaimniecības </w:t>
            </w:r>
            <w:r>
              <w:t>o</w:t>
            </w:r>
            <w:r w:rsidRPr="00B232A4">
              <w:t>rganizāciju sadarbības pad</w:t>
            </w:r>
            <w:r>
              <w:t xml:space="preserve">omi, biedrību „Zemnieku saeima”, </w:t>
            </w:r>
            <w:r w:rsidRPr="00DF175E">
              <w:t>Latvijas Lauksaimniecības kooperatīvu asociācij</w:t>
            </w:r>
            <w:r>
              <w:t>u un Latvijas pārtikas uzņēmumu federāciju</w:t>
            </w:r>
            <w:r w:rsidRPr="00DF175E">
              <w:t>.</w:t>
            </w:r>
          </w:p>
        </w:tc>
      </w:tr>
      <w:tr w:rsidR="00DD4976" w:rsidRPr="00ED22C8" w:rsidTr="00C72A47">
        <w:trPr>
          <w:trHeight w:val="476"/>
          <w:jc w:val="center"/>
        </w:trPr>
        <w:tc>
          <w:tcPr>
            <w:tcW w:w="476" w:type="dxa"/>
          </w:tcPr>
          <w:p w:rsidR="00DD4976" w:rsidRPr="00ED22C8" w:rsidRDefault="00DD4976"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4.</w:t>
            </w:r>
          </w:p>
        </w:tc>
        <w:tc>
          <w:tcPr>
            <w:tcW w:w="2842" w:type="dxa"/>
          </w:tcPr>
          <w:p w:rsidR="00DD4976" w:rsidRPr="00ED22C8" w:rsidRDefault="00DD4976" w:rsidP="00C72A47">
            <w:pPr>
              <w:spacing w:after="0" w:line="240" w:lineRule="auto"/>
              <w:ind w:left="57" w:right="57"/>
              <w:rPr>
                <w:rFonts w:ascii="Times New Roman" w:hAnsi="Times New Roman"/>
                <w:sz w:val="24"/>
                <w:szCs w:val="24"/>
              </w:rPr>
            </w:pPr>
            <w:r w:rsidRPr="00ED22C8">
              <w:rPr>
                <w:rFonts w:ascii="Times New Roman" w:hAnsi="Times New Roman"/>
                <w:sz w:val="24"/>
                <w:szCs w:val="24"/>
              </w:rPr>
              <w:t>Cita informācija</w:t>
            </w:r>
          </w:p>
        </w:tc>
        <w:tc>
          <w:tcPr>
            <w:tcW w:w="6206" w:type="dxa"/>
          </w:tcPr>
          <w:p w:rsidR="00DD4976" w:rsidRPr="00290226" w:rsidRDefault="00DD4976" w:rsidP="001E0C14">
            <w:pPr>
              <w:pStyle w:val="naiskr"/>
              <w:spacing w:before="0" w:after="0"/>
              <w:jc w:val="both"/>
            </w:pPr>
            <w:r>
              <w:t>Nav</w:t>
            </w:r>
            <w:r w:rsidRPr="00290226">
              <w:t>.</w:t>
            </w:r>
          </w:p>
        </w:tc>
      </w:tr>
    </w:tbl>
    <w:p w:rsidR="00DD4976" w:rsidRDefault="00DD4976" w:rsidP="000330A2">
      <w:pPr>
        <w:spacing w:after="0" w:line="240" w:lineRule="auto"/>
        <w:rPr>
          <w:rFonts w:ascii="Times New Roman" w:hAnsi="Times New Roman"/>
          <w:sz w:val="24"/>
          <w:szCs w:val="24"/>
        </w:rPr>
      </w:pPr>
    </w:p>
    <w:p w:rsidR="00DD4976" w:rsidRPr="00290226" w:rsidRDefault="00DD4976" w:rsidP="00290226">
      <w:pPr>
        <w:rPr>
          <w:rFonts w:ascii="Times New Roman" w:hAnsi="Times New Roman"/>
          <w:sz w:val="24"/>
          <w:szCs w:val="24"/>
        </w:rPr>
      </w:pPr>
      <w:r w:rsidRPr="00290226">
        <w:rPr>
          <w:rFonts w:ascii="Times New Roman" w:hAnsi="Times New Roman"/>
          <w:i/>
          <w:sz w:val="24"/>
          <w:szCs w:val="24"/>
        </w:rPr>
        <w:t>VII sadaļa – projekts šo jomu neskar.</w:t>
      </w:r>
    </w:p>
    <w:p w:rsidR="00A86283" w:rsidRDefault="00A86283" w:rsidP="00290226">
      <w:pPr>
        <w:spacing w:after="0" w:line="240" w:lineRule="auto"/>
        <w:ind w:firstLine="720"/>
        <w:rPr>
          <w:rFonts w:ascii="Times New Roman" w:hAnsi="Times New Roman"/>
          <w:sz w:val="28"/>
          <w:szCs w:val="28"/>
        </w:rPr>
      </w:pPr>
    </w:p>
    <w:p w:rsidR="00DD4976" w:rsidRPr="00290226" w:rsidRDefault="00DD4976" w:rsidP="00290226">
      <w:pPr>
        <w:spacing w:after="0" w:line="240" w:lineRule="auto"/>
        <w:ind w:firstLine="720"/>
        <w:rPr>
          <w:rFonts w:ascii="Times New Roman" w:hAnsi="Times New Roman"/>
          <w:sz w:val="28"/>
          <w:szCs w:val="28"/>
        </w:rPr>
      </w:pPr>
      <w:r w:rsidRPr="00290226">
        <w:rPr>
          <w:rFonts w:ascii="Times New Roman" w:hAnsi="Times New Roman"/>
          <w:sz w:val="28"/>
          <w:szCs w:val="28"/>
        </w:rPr>
        <w:t>Zemkopības ministr</w:t>
      </w:r>
      <w:r>
        <w:rPr>
          <w:rFonts w:ascii="Times New Roman" w:hAnsi="Times New Roman"/>
          <w:sz w:val="28"/>
          <w:szCs w:val="28"/>
        </w:rPr>
        <w:t>s</w:t>
      </w:r>
      <w:r w:rsidRPr="00290226">
        <w:rPr>
          <w:rFonts w:ascii="Times New Roman" w:hAnsi="Times New Roman"/>
          <w:sz w:val="28"/>
          <w:szCs w:val="28"/>
        </w:rPr>
        <w:tab/>
      </w:r>
      <w:r w:rsidRPr="00290226">
        <w:rPr>
          <w:rFonts w:ascii="Times New Roman" w:hAnsi="Times New Roman"/>
          <w:sz w:val="28"/>
          <w:szCs w:val="28"/>
        </w:rPr>
        <w:tab/>
      </w:r>
      <w:r w:rsidRPr="00290226">
        <w:rPr>
          <w:rFonts w:ascii="Times New Roman" w:hAnsi="Times New Roman"/>
          <w:sz w:val="28"/>
          <w:szCs w:val="28"/>
        </w:rPr>
        <w:tab/>
      </w:r>
      <w:r w:rsidRPr="00290226">
        <w:rPr>
          <w:rFonts w:ascii="Times New Roman" w:hAnsi="Times New Roman"/>
          <w:sz w:val="28"/>
          <w:szCs w:val="28"/>
        </w:rPr>
        <w:tab/>
      </w:r>
      <w:r w:rsidRPr="00290226">
        <w:rPr>
          <w:rFonts w:ascii="Times New Roman" w:hAnsi="Times New Roman"/>
          <w:sz w:val="28"/>
          <w:szCs w:val="28"/>
        </w:rPr>
        <w:tab/>
        <w:t xml:space="preserve"> </w:t>
      </w:r>
      <w:r>
        <w:rPr>
          <w:rFonts w:ascii="Times New Roman" w:hAnsi="Times New Roman"/>
          <w:sz w:val="28"/>
          <w:szCs w:val="28"/>
        </w:rPr>
        <w:t>J.Dūklavs</w:t>
      </w:r>
    </w:p>
    <w:p w:rsidR="00DD4976" w:rsidRDefault="00DD4976"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Default="00A86283" w:rsidP="00290226">
      <w:pPr>
        <w:spacing w:after="0" w:line="240" w:lineRule="auto"/>
        <w:jc w:val="both"/>
        <w:rPr>
          <w:rFonts w:ascii="Times New Roman" w:hAnsi="Times New Roman"/>
          <w:sz w:val="20"/>
          <w:szCs w:val="20"/>
        </w:rPr>
      </w:pPr>
    </w:p>
    <w:p w:rsidR="00A86283" w:rsidRPr="00290226" w:rsidRDefault="00A86283" w:rsidP="00290226">
      <w:pPr>
        <w:spacing w:after="0" w:line="240" w:lineRule="auto"/>
        <w:rPr>
          <w:rFonts w:ascii="Times New Roman" w:hAnsi="Times New Roman"/>
          <w:sz w:val="20"/>
          <w:szCs w:val="20"/>
        </w:rPr>
      </w:pPr>
      <w:r>
        <w:rPr>
          <w:rFonts w:ascii="Times New Roman" w:hAnsi="Times New Roman"/>
          <w:sz w:val="20"/>
          <w:szCs w:val="20"/>
        </w:rPr>
        <w:t>2014.02.07. 11:36</w:t>
      </w:r>
    </w:p>
    <w:p w:rsidR="00A86283" w:rsidRPr="00A86283" w:rsidRDefault="00A86283" w:rsidP="00290226">
      <w:pPr>
        <w:spacing w:after="0" w:line="240" w:lineRule="auto"/>
        <w:rPr>
          <w:rFonts w:ascii="Times New Roman" w:hAnsi="Times New Roman"/>
          <w:sz w:val="20"/>
          <w:szCs w:val="20"/>
        </w:rPr>
      </w:pPr>
      <w:fldSimple w:instr=" NUMWORDS   \* MERGEFORMAT ">
        <w:r w:rsidRPr="00A86283">
          <w:rPr>
            <w:rFonts w:ascii="Times New Roman" w:hAnsi="Times New Roman"/>
            <w:noProof/>
            <w:sz w:val="20"/>
            <w:szCs w:val="20"/>
          </w:rPr>
          <w:t>969</w:t>
        </w:r>
      </w:fldSimple>
    </w:p>
    <w:p w:rsidR="00DD4976" w:rsidRPr="00290226" w:rsidRDefault="00DD4976" w:rsidP="00290226">
      <w:pPr>
        <w:spacing w:after="0" w:line="240" w:lineRule="auto"/>
        <w:rPr>
          <w:rFonts w:ascii="Times New Roman" w:hAnsi="Times New Roman"/>
          <w:sz w:val="20"/>
          <w:szCs w:val="20"/>
        </w:rPr>
      </w:pPr>
      <w:r w:rsidRPr="00290226">
        <w:rPr>
          <w:rFonts w:ascii="Times New Roman" w:hAnsi="Times New Roman"/>
          <w:sz w:val="20"/>
          <w:szCs w:val="20"/>
        </w:rPr>
        <w:t>L.Voiče</w:t>
      </w:r>
    </w:p>
    <w:p w:rsidR="00DD4976" w:rsidRPr="00290226" w:rsidRDefault="00DD4976" w:rsidP="00290226">
      <w:pPr>
        <w:spacing w:after="0" w:line="240" w:lineRule="auto"/>
        <w:rPr>
          <w:rFonts w:ascii="Times New Roman" w:hAnsi="Times New Roman"/>
          <w:sz w:val="20"/>
          <w:szCs w:val="20"/>
        </w:rPr>
      </w:pPr>
      <w:r w:rsidRPr="00290226">
        <w:rPr>
          <w:rFonts w:ascii="Times New Roman" w:hAnsi="Times New Roman"/>
          <w:sz w:val="20"/>
          <w:szCs w:val="20"/>
        </w:rPr>
        <w:t>67027121, Linda.Voice@zm.gov.lv</w:t>
      </w:r>
    </w:p>
    <w:sectPr w:rsidR="00DD4976" w:rsidRPr="00290226" w:rsidSect="00A86283">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78" w:rsidRDefault="003C4B78" w:rsidP="00215205">
      <w:pPr>
        <w:spacing w:after="0" w:line="240" w:lineRule="auto"/>
      </w:pPr>
      <w:r>
        <w:separator/>
      </w:r>
    </w:p>
  </w:endnote>
  <w:endnote w:type="continuationSeparator" w:id="0">
    <w:p w:rsidR="003C4B78" w:rsidRDefault="003C4B78" w:rsidP="0021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76" w:rsidRPr="00215205" w:rsidRDefault="00DD4976" w:rsidP="00215205">
    <w:pPr>
      <w:pStyle w:val="Kjene"/>
      <w:rPr>
        <w:rFonts w:ascii="Times New Roman" w:hAnsi="Times New Roman"/>
      </w:rPr>
    </w:pPr>
    <w:r w:rsidRPr="00215205">
      <w:rPr>
        <w:rFonts w:ascii="Times New Roman" w:hAnsi="Times New Roman"/>
      </w:rPr>
      <w:t>ZM</w:t>
    </w:r>
    <w:r>
      <w:rPr>
        <w:rFonts w:ascii="Times New Roman" w:hAnsi="Times New Roman"/>
      </w:rPr>
      <w:t>An</w:t>
    </w:r>
    <w:r w:rsidRPr="00215205">
      <w:rPr>
        <w:rFonts w:ascii="Times New Roman" w:hAnsi="Times New Roman"/>
      </w:rPr>
      <w:t>ot_091213_ Ministru kabineta noteikumu projekta „Grozījumi Ministru kabineta 2009.gada 7.jūlija noteikumos Nr.746 „</w:t>
    </w:r>
    <w:r w:rsidRPr="00215205">
      <w:rPr>
        <w:rFonts w:ascii="Times New Roman" w:hAnsi="Times New Roman"/>
        <w:bCs/>
      </w:rPr>
      <w:t>Lauksaimniecības un lauku attīstības kredītu garantēšanas kārtība</w:t>
    </w:r>
    <w:r w:rsidRPr="00215205">
      <w:rPr>
        <w:rStyle w:val="Izteiksmgs"/>
        <w:rFonts w:ascii="Times New Roman" w:hAnsi="Times New Roman"/>
        <w:b w:val="0"/>
        <w:bCs/>
        <w:color w:val="000000"/>
      </w:rPr>
      <w:t>”</w:t>
    </w:r>
    <w:r w:rsidRPr="00215205">
      <w:rPr>
        <w:rFonts w:ascii="Times New Roman" w:hAnsi="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83" w:rsidRPr="00215205" w:rsidRDefault="00A86283" w:rsidP="00A86283">
    <w:pPr>
      <w:pStyle w:val="Kjene"/>
      <w:rPr>
        <w:rFonts w:ascii="Times New Roman" w:hAnsi="Times New Roman"/>
      </w:rPr>
    </w:pPr>
    <w:r w:rsidRPr="00215205">
      <w:rPr>
        <w:rFonts w:ascii="Times New Roman" w:hAnsi="Times New Roman"/>
      </w:rPr>
      <w:t>ZM</w:t>
    </w:r>
    <w:r>
      <w:rPr>
        <w:rFonts w:ascii="Times New Roman" w:hAnsi="Times New Roman"/>
      </w:rPr>
      <w:t>An</w:t>
    </w:r>
    <w:r w:rsidRPr="00215205">
      <w:rPr>
        <w:rFonts w:ascii="Times New Roman" w:hAnsi="Times New Roman"/>
      </w:rPr>
      <w:t>ot_091213_ Ministru kabineta noteikumu projekta „Grozījumi Ministru kabineta 2009.gada 7.jūlija noteikumos Nr.746 „</w:t>
    </w:r>
    <w:r w:rsidRPr="00215205">
      <w:rPr>
        <w:rFonts w:ascii="Times New Roman" w:hAnsi="Times New Roman"/>
        <w:bCs/>
      </w:rPr>
      <w:t>Lauksaimniecības un lauku attīstības kredītu garantēšanas kārtība</w:t>
    </w:r>
    <w:r w:rsidRPr="00215205">
      <w:rPr>
        <w:rStyle w:val="Izteiksmgs"/>
        <w:rFonts w:ascii="Times New Roman" w:hAnsi="Times New Roman"/>
        <w:b w:val="0"/>
        <w:bCs/>
        <w:color w:val="000000"/>
      </w:rPr>
      <w:t>”</w:t>
    </w:r>
    <w:r w:rsidRPr="00215205">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78" w:rsidRDefault="003C4B78" w:rsidP="00215205">
      <w:pPr>
        <w:spacing w:after="0" w:line="240" w:lineRule="auto"/>
      </w:pPr>
      <w:r>
        <w:separator/>
      </w:r>
    </w:p>
  </w:footnote>
  <w:footnote w:type="continuationSeparator" w:id="0">
    <w:p w:rsidR="003C4B78" w:rsidRDefault="003C4B78" w:rsidP="0021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83" w:rsidRPr="00A86283" w:rsidRDefault="00A86283">
    <w:pPr>
      <w:pStyle w:val="Galvene"/>
      <w:jc w:val="center"/>
      <w:rPr>
        <w:rFonts w:ascii="Times New Roman" w:hAnsi="Times New Roman"/>
        <w:sz w:val="24"/>
        <w:szCs w:val="24"/>
      </w:rPr>
    </w:pPr>
    <w:r w:rsidRPr="00A86283">
      <w:rPr>
        <w:rFonts w:ascii="Times New Roman" w:hAnsi="Times New Roman"/>
        <w:sz w:val="24"/>
        <w:szCs w:val="24"/>
      </w:rPr>
      <w:fldChar w:fldCharType="begin"/>
    </w:r>
    <w:r w:rsidRPr="00A86283">
      <w:rPr>
        <w:rFonts w:ascii="Times New Roman" w:hAnsi="Times New Roman"/>
        <w:sz w:val="24"/>
        <w:szCs w:val="24"/>
      </w:rPr>
      <w:instrText xml:space="preserve"> PAGE   \* MERGEFORMAT </w:instrText>
    </w:r>
    <w:r w:rsidRPr="00A86283">
      <w:rPr>
        <w:rFonts w:ascii="Times New Roman" w:hAnsi="Times New Roman"/>
        <w:sz w:val="24"/>
        <w:szCs w:val="24"/>
      </w:rPr>
      <w:fldChar w:fldCharType="separate"/>
    </w:r>
    <w:r>
      <w:rPr>
        <w:rFonts w:ascii="Times New Roman" w:hAnsi="Times New Roman"/>
        <w:noProof/>
        <w:sz w:val="24"/>
        <w:szCs w:val="24"/>
      </w:rPr>
      <w:t>3</w:t>
    </w:r>
    <w:r w:rsidRPr="00A86283">
      <w:rPr>
        <w:rFonts w:ascii="Times New Roman" w:hAnsi="Times New Roman"/>
        <w:sz w:val="24"/>
        <w:szCs w:val="24"/>
      </w:rPr>
      <w:fldChar w:fldCharType="end"/>
    </w:r>
  </w:p>
  <w:p w:rsidR="00A86283" w:rsidRPr="00A86283" w:rsidRDefault="00A86283">
    <w:pPr>
      <w:pStyle w:val="Galvene"/>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F17"/>
    <w:rsid w:val="00022FDB"/>
    <w:rsid w:val="000330A2"/>
    <w:rsid w:val="00043575"/>
    <w:rsid w:val="00144730"/>
    <w:rsid w:val="001E0C14"/>
    <w:rsid w:val="001F0C4B"/>
    <w:rsid w:val="001F3DA3"/>
    <w:rsid w:val="001F5F42"/>
    <w:rsid w:val="00200B15"/>
    <w:rsid w:val="00215205"/>
    <w:rsid w:val="00236404"/>
    <w:rsid w:val="00280A6F"/>
    <w:rsid w:val="00290226"/>
    <w:rsid w:val="002F2128"/>
    <w:rsid w:val="00315554"/>
    <w:rsid w:val="00332B34"/>
    <w:rsid w:val="00337773"/>
    <w:rsid w:val="00340B5A"/>
    <w:rsid w:val="0035345D"/>
    <w:rsid w:val="00370D5B"/>
    <w:rsid w:val="003C4B78"/>
    <w:rsid w:val="00422589"/>
    <w:rsid w:val="00431697"/>
    <w:rsid w:val="00444241"/>
    <w:rsid w:val="00477230"/>
    <w:rsid w:val="00487504"/>
    <w:rsid w:val="00487C57"/>
    <w:rsid w:val="004A0587"/>
    <w:rsid w:val="004E7726"/>
    <w:rsid w:val="00506F54"/>
    <w:rsid w:val="005108E2"/>
    <w:rsid w:val="0052773C"/>
    <w:rsid w:val="00554BDF"/>
    <w:rsid w:val="005944C6"/>
    <w:rsid w:val="005C46DC"/>
    <w:rsid w:val="0060417C"/>
    <w:rsid w:val="00605699"/>
    <w:rsid w:val="006D63BD"/>
    <w:rsid w:val="00753F17"/>
    <w:rsid w:val="00775F7D"/>
    <w:rsid w:val="0077727B"/>
    <w:rsid w:val="00780AFB"/>
    <w:rsid w:val="00790D2C"/>
    <w:rsid w:val="007A059D"/>
    <w:rsid w:val="007D7632"/>
    <w:rsid w:val="00824A88"/>
    <w:rsid w:val="008B0AA4"/>
    <w:rsid w:val="008F4667"/>
    <w:rsid w:val="009704F7"/>
    <w:rsid w:val="00976B83"/>
    <w:rsid w:val="00985741"/>
    <w:rsid w:val="00986E38"/>
    <w:rsid w:val="009876A6"/>
    <w:rsid w:val="009D1634"/>
    <w:rsid w:val="009D2BEA"/>
    <w:rsid w:val="00A24EE1"/>
    <w:rsid w:val="00A374CE"/>
    <w:rsid w:val="00A375C5"/>
    <w:rsid w:val="00A86283"/>
    <w:rsid w:val="00AC4A9C"/>
    <w:rsid w:val="00B232A4"/>
    <w:rsid w:val="00B5430B"/>
    <w:rsid w:val="00B57DF9"/>
    <w:rsid w:val="00BD75A0"/>
    <w:rsid w:val="00C42B7D"/>
    <w:rsid w:val="00C65490"/>
    <w:rsid w:val="00C72A47"/>
    <w:rsid w:val="00C902D6"/>
    <w:rsid w:val="00CC6FC7"/>
    <w:rsid w:val="00CF1981"/>
    <w:rsid w:val="00D11110"/>
    <w:rsid w:val="00D25E38"/>
    <w:rsid w:val="00D37516"/>
    <w:rsid w:val="00D41368"/>
    <w:rsid w:val="00DD4631"/>
    <w:rsid w:val="00DD4976"/>
    <w:rsid w:val="00DD49B6"/>
    <w:rsid w:val="00DE6F77"/>
    <w:rsid w:val="00DF175E"/>
    <w:rsid w:val="00E20F7A"/>
    <w:rsid w:val="00E323E5"/>
    <w:rsid w:val="00E532CF"/>
    <w:rsid w:val="00E8323F"/>
    <w:rsid w:val="00E92FDD"/>
    <w:rsid w:val="00EA155D"/>
    <w:rsid w:val="00ED22C8"/>
    <w:rsid w:val="00EE67A6"/>
    <w:rsid w:val="00F068A4"/>
    <w:rsid w:val="00F40876"/>
    <w:rsid w:val="00F445E8"/>
    <w:rsid w:val="00FA3D91"/>
    <w:rsid w:val="00FD0F0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pPr>
      <w:spacing w:after="200" w:line="276" w:lineRule="auto"/>
    </w:pPr>
    <w:rPr>
      <w:rFonts w:eastAsia="Times New Roman"/>
      <w:sz w:val="22"/>
      <w:szCs w:val="22"/>
    </w:rPr>
  </w:style>
  <w:style w:type="paragraph" w:styleId="Virsraksts3">
    <w:name w:val="heading 3"/>
    <w:basedOn w:val="Parastais"/>
    <w:link w:val="Virsraksts3Rakstz"/>
    <w:uiPriority w:val="99"/>
    <w:qFormat/>
    <w:rsid w:val="000330A2"/>
    <w:pPr>
      <w:spacing w:before="100" w:beforeAutospacing="1" w:after="100" w:afterAutospacing="1" w:line="240" w:lineRule="auto"/>
      <w:outlineLvl w:val="2"/>
    </w:pPr>
    <w:rPr>
      <w:rFonts w:ascii="Times New Roman" w:eastAsia="Calibri" w:hAnsi="Times New Roman"/>
      <w:b/>
      <w:sz w:val="27"/>
      <w:szCs w:val="20"/>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0330A2"/>
    <w:rPr>
      <w:rFonts w:ascii="Times New Roman" w:hAnsi="Times New Roman"/>
      <w:b/>
      <w:sz w:val="27"/>
      <w:lang w:eastAsia="lv-LV"/>
    </w:rPr>
  </w:style>
  <w:style w:type="paragraph" w:customStyle="1" w:styleId="naisf">
    <w:name w:val="naisf"/>
    <w:basedOn w:val="Parastais"/>
    <w:uiPriority w:val="99"/>
    <w:rsid w:val="000330A2"/>
    <w:pPr>
      <w:spacing w:before="100" w:beforeAutospacing="1" w:after="100" w:afterAutospacing="1" w:line="240" w:lineRule="auto"/>
    </w:pPr>
    <w:rPr>
      <w:rFonts w:ascii="Times New Roman" w:hAnsi="Times New Roman"/>
      <w:sz w:val="24"/>
      <w:szCs w:val="24"/>
    </w:rPr>
  </w:style>
  <w:style w:type="paragraph" w:customStyle="1" w:styleId="naisnod">
    <w:name w:val="naisnod"/>
    <w:basedOn w:val="Parastais"/>
    <w:uiPriority w:val="99"/>
    <w:rsid w:val="000330A2"/>
    <w:pPr>
      <w:spacing w:before="100" w:beforeAutospacing="1" w:after="100" w:afterAutospacing="1" w:line="240" w:lineRule="auto"/>
    </w:pPr>
    <w:rPr>
      <w:rFonts w:ascii="Times New Roman" w:hAnsi="Times New Roman"/>
      <w:sz w:val="24"/>
      <w:szCs w:val="24"/>
    </w:rPr>
  </w:style>
  <w:style w:type="paragraph" w:customStyle="1" w:styleId="naiskr">
    <w:name w:val="naiskr"/>
    <w:basedOn w:val="Parastais"/>
    <w:uiPriority w:val="99"/>
    <w:rsid w:val="000330A2"/>
    <w:pPr>
      <w:spacing w:before="100" w:beforeAutospacing="1" w:after="100" w:afterAutospacing="1" w:line="240" w:lineRule="auto"/>
    </w:pPr>
    <w:rPr>
      <w:rFonts w:ascii="Times New Roman" w:hAnsi="Times New Roman"/>
      <w:sz w:val="24"/>
      <w:szCs w:val="24"/>
    </w:rPr>
  </w:style>
  <w:style w:type="character" w:styleId="Izteiksmgs">
    <w:name w:val="Strong"/>
    <w:uiPriority w:val="99"/>
    <w:qFormat/>
    <w:rsid w:val="00290226"/>
    <w:rPr>
      <w:rFonts w:cs="Times New Roman"/>
      <w:b/>
    </w:rPr>
  </w:style>
  <w:style w:type="paragraph" w:customStyle="1" w:styleId="naisc">
    <w:name w:val="naisc"/>
    <w:basedOn w:val="Parastais"/>
    <w:uiPriority w:val="99"/>
    <w:rsid w:val="00290226"/>
    <w:pPr>
      <w:spacing w:before="450" w:after="300" w:line="240" w:lineRule="auto"/>
      <w:jc w:val="center"/>
    </w:pPr>
    <w:rPr>
      <w:rFonts w:ascii="Times New Roman" w:hAnsi="Times New Roman"/>
      <w:sz w:val="26"/>
      <w:szCs w:val="26"/>
    </w:rPr>
  </w:style>
  <w:style w:type="paragraph" w:styleId="Galvene">
    <w:name w:val="header"/>
    <w:basedOn w:val="Parastais"/>
    <w:link w:val="GalveneRakstz"/>
    <w:uiPriority w:val="99"/>
    <w:rsid w:val="00215205"/>
    <w:pPr>
      <w:tabs>
        <w:tab w:val="center" w:pos="4153"/>
        <w:tab w:val="right" w:pos="8306"/>
      </w:tabs>
      <w:spacing w:after="0" w:line="240" w:lineRule="auto"/>
    </w:pPr>
    <w:rPr>
      <w:sz w:val="20"/>
      <w:szCs w:val="20"/>
      <w:lang/>
    </w:rPr>
  </w:style>
  <w:style w:type="character" w:customStyle="1" w:styleId="GalveneRakstz">
    <w:name w:val="Galvene Rakstz."/>
    <w:link w:val="Galvene"/>
    <w:uiPriority w:val="99"/>
    <w:locked/>
    <w:rsid w:val="00215205"/>
    <w:rPr>
      <w:rFonts w:eastAsia="Times New Roman"/>
      <w:lang w:eastAsia="lv-LV"/>
    </w:rPr>
  </w:style>
  <w:style w:type="paragraph" w:styleId="Kjene">
    <w:name w:val="footer"/>
    <w:basedOn w:val="Parastais"/>
    <w:link w:val="KjeneRakstz"/>
    <w:uiPriority w:val="99"/>
    <w:rsid w:val="00215205"/>
    <w:pPr>
      <w:tabs>
        <w:tab w:val="center" w:pos="4153"/>
        <w:tab w:val="right" w:pos="8306"/>
      </w:tabs>
      <w:spacing w:after="0" w:line="240" w:lineRule="auto"/>
    </w:pPr>
    <w:rPr>
      <w:sz w:val="20"/>
      <w:szCs w:val="20"/>
      <w:lang/>
    </w:rPr>
  </w:style>
  <w:style w:type="character" w:customStyle="1" w:styleId="KjeneRakstz">
    <w:name w:val="Kājene Rakstz."/>
    <w:link w:val="Kjene"/>
    <w:uiPriority w:val="99"/>
    <w:locked/>
    <w:rsid w:val="00215205"/>
    <w:rPr>
      <w:rFonts w:eastAsia="Times New Roman"/>
      <w:lang w:eastAsia="lv-LV"/>
    </w:rPr>
  </w:style>
  <w:style w:type="paragraph" w:styleId="Balonteksts">
    <w:name w:val="Balloon Text"/>
    <w:basedOn w:val="Parastais"/>
    <w:link w:val="BalontekstsRakstz"/>
    <w:uiPriority w:val="99"/>
    <w:semiHidden/>
    <w:rsid w:val="00215205"/>
    <w:pPr>
      <w:spacing w:after="0" w:line="240" w:lineRule="auto"/>
    </w:pPr>
    <w:rPr>
      <w:rFonts w:ascii="Tahoma" w:eastAsia="Calibri" w:hAnsi="Tahoma"/>
      <w:sz w:val="16"/>
      <w:szCs w:val="20"/>
      <w:lang/>
    </w:rPr>
  </w:style>
  <w:style w:type="character" w:customStyle="1" w:styleId="BalontekstsRakstz">
    <w:name w:val="Balonteksts Rakstz."/>
    <w:link w:val="Balonteksts"/>
    <w:uiPriority w:val="99"/>
    <w:semiHidden/>
    <w:locked/>
    <w:rsid w:val="00215205"/>
    <w:rPr>
      <w:rFonts w:ascii="Tahoma" w:hAnsi="Tahoma"/>
      <w:sz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756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LexUriServ/LexUriServ.do?uri=CONSLEG:2004R1860:20070801:LV: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07:193:0006:01:LV:HTML"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ur-lex.europa.eu/LexUriServ/LexUriServ.do?uri=OJ:L:2007:337:0035:01:L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1074</Words>
  <Characters>6725</Characters>
  <Application>Microsoft Office Word</Application>
  <DocSecurity>0</DocSecurity>
  <Lines>395</Lines>
  <Paragraphs>236</Paragraphs>
  <ScaleCrop>false</ScaleCrop>
  <Company>Zemkopības Ministrija</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Voiče</dc:creator>
  <cp:keywords/>
  <dc:description/>
  <cp:lastModifiedBy>Renārs Žagars</cp:lastModifiedBy>
  <cp:revision>18</cp:revision>
  <dcterms:created xsi:type="dcterms:W3CDTF">2014-01-13T08:26:00Z</dcterms:created>
  <dcterms:modified xsi:type="dcterms:W3CDTF">2014-02-07T09:37:00Z</dcterms:modified>
</cp:coreProperties>
</file>