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36" w:rsidRPr="00A97FB4" w:rsidRDefault="006C1336" w:rsidP="000E3EAE">
      <w:pPr>
        <w:jc w:val="center"/>
        <w:rPr>
          <w:b/>
          <w:bCs/>
          <w:sz w:val="28"/>
          <w:szCs w:val="28"/>
        </w:rPr>
      </w:pPr>
      <w:r w:rsidRPr="00A97FB4">
        <w:rPr>
          <w:b/>
          <w:sz w:val="28"/>
          <w:szCs w:val="28"/>
        </w:rPr>
        <w:t>Ministru kabineta rīkojuma projekta „Par finanšu līdz</w:t>
      </w:r>
      <w:r>
        <w:rPr>
          <w:b/>
          <w:sz w:val="28"/>
          <w:szCs w:val="28"/>
        </w:rPr>
        <w:t xml:space="preserve">ekļu piešķiršanu no valsts </w:t>
      </w:r>
      <w:r w:rsidRPr="00A97FB4">
        <w:rPr>
          <w:b/>
          <w:sz w:val="28"/>
          <w:szCs w:val="28"/>
        </w:rPr>
        <w:t>budžeta programmas „Līdzekļi neparedzētiem gadījumiem””</w:t>
      </w:r>
    </w:p>
    <w:p w:rsidR="006C1336" w:rsidRPr="00A97FB4" w:rsidRDefault="006C1336" w:rsidP="000E3EAE">
      <w:pPr>
        <w:jc w:val="center"/>
        <w:rPr>
          <w:b/>
          <w:bCs/>
          <w:sz w:val="28"/>
          <w:szCs w:val="28"/>
        </w:rPr>
      </w:pPr>
      <w:r w:rsidRPr="00A97FB4">
        <w:rPr>
          <w:b/>
          <w:bCs/>
          <w:sz w:val="28"/>
          <w:szCs w:val="28"/>
        </w:rPr>
        <w:t>sākotnējās ietekmes novērtējuma ziņojums (anotācija)</w:t>
      </w:r>
    </w:p>
    <w:p w:rsidR="006C1336" w:rsidRPr="003106A2" w:rsidRDefault="006C1336" w:rsidP="000E3EA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219"/>
      </w:tblGrid>
      <w:tr w:rsidR="006C1336" w:rsidTr="00C5008A">
        <w:tc>
          <w:tcPr>
            <w:tcW w:w="9287" w:type="dxa"/>
            <w:gridSpan w:val="3"/>
          </w:tcPr>
          <w:p w:rsidR="006C1336" w:rsidRDefault="006C1336" w:rsidP="00C5008A">
            <w:pPr>
              <w:jc w:val="center"/>
            </w:pPr>
            <w:r w:rsidRPr="00802643">
              <w:rPr>
                <w:b/>
                <w:bCs/>
              </w:rPr>
              <w:t>I. Tiesību akta projekta izstrādes nepieciešamība</w:t>
            </w:r>
          </w:p>
        </w:tc>
      </w:tr>
      <w:tr w:rsidR="006C1336" w:rsidTr="00C5008A">
        <w:tc>
          <w:tcPr>
            <w:tcW w:w="648" w:type="dxa"/>
          </w:tcPr>
          <w:p w:rsidR="006C1336" w:rsidRDefault="006C1336" w:rsidP="00C5008A">
            <w:pPr>
              <w:jc w:val="both"/>
            </w:pPr>
            <w:r>
              <w:t>1.</w:t>
            </w:r>
          </w:p>
        </w:tc>
        <w:tc>
          <w:tcPr>
            <w:tcW w:w="3420" w:type="dxa"/>
          </w:tcPr>
          <w:p w:rsidR="006C1336" w:rsidRDefault="006C1336" w:rsidP="00C5008A">
            <w:pPr>
              <w:jc w:val="both"/>
            </w:pPr>
            <w:r>
              <w:t> Pamatojums</w:t>
            </w:r>
          </w:p>
        </w:tc>
        <w:tc>
          <w:tcPr>
            <w:tcW w:w="5219" w:type="dxa"/>
          </w:tcPr>
          <w:p w:rsidR="006C1336" w:rsidRDefault="006C1336" w:rsidP="00C5008A">
            <w:pPr>
              <w:jc w:val="both"/>
            </w:pPr>
            <w:r>
              <w:t>Veterinārmedicīnas likuma 38.panta pirmā daļa.</w:t>
            </w:r>
          </w:p>
          <w:p w:rsidR="006C1336" w:rsidRDefault="006C1336" w:rsidP="00C5008A">
            <w:pPr>
              <w:jc w:val="both"/>
            </w:pPr>
            <w:r>
              <w:t xml:space="preserve">Ministru kabineta 2009.gada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–noteikumi Nr.177). </w:t>
            </w:r>
          </w:p>
        </w:tc>
      </w:tr>
      <w:tr w:rsidR="006C1336" w:rsidTr="00C5008A">
        <w:tc>
          <w:tcPr>
            <w:tcW w:w="648" w:type="dxa"/>
          </w:tcPr>
          <w:p w:rsidR="006C1336" w:rsidRDefault="006C1336" w:rsidP="00C5008A">
            <w:pPr>
              <w:jc w:val="both"/>
            </w:pPr>
            <w:r>
              <w:t>2.</w:t>
            </w:r>
          </w:p>
        </w:tc>
        <w:tc>
          <w:tcPr>
            <w:tcW w:w="3420" w:type="dxa"/>
          </w:tcPr>
          <w:p w:rsidR="006C1336" w:rsidRDefault="006C1336" w:rsidP="00C5008A">
            <w:pPr>
              <w:jc w:val="both"/>
            </w:pPr>
            <w:r>
              <w:t>Pašreizējā situācija un problēmas</w:t>
            </w:r>
          </w:p>
        </w:tc>
        <w:tc>
          <w:tcPr>
            <w:tcW w:w="5219" w:type="dxa"/>
          </w:tcPr>
          <w:p w:rsidR="006C1336" w:rsidRPr="003A095A" w:rsidRDefault="006C1336" w:rsidP="00C5008A">
            <w:pPr>
              <w:pStyle w:val="Bezatstarpm"/>
              <w:jc w:val="both"/>
            </w:pPr>
            <w:r w:rsidRPr="003A095A">
              <w:t xml:space="preserve">Veterinārmedicīnas likuma </w:t>
            </w:r>
            <w:r w:rsidRPr="003A095A">
              <w:rPr>
                <w:bCs/>
              </w:rPr>
              <w:t>38.panta pirmās daļas 3.punktā ir noteikts, ka d</w:t>
            </w:r>
            <w:r w:rsidRPr="003A095A">
              <w:t xml:space="preserve">zīvnieku īpašniekam ir tiesības saņemt zaudējumu kompensāciju par salmonelozes uzliesmojuma apkarošanas laikā iznīcinātajiem cāļiem, jaunputniem vai pieaugušajiem putniem, iznīcinātajām olām, kas paredzētas patēriņam cilvēku uzturā un </w:t>
            </w:r>
            <w:proofErr w:type="spellStart"/>
            <w:r w:rsidRPr="003A095A">
              <w:t>inkubēšanai</w:t>
            </w:r>
            <w:proofErr w:type="spellEnd"/>
            <w:r w:rsidRPr="003A095A">
              <w:t xml:space="preserve">, produktiem, kas paredzēti patēriņam cilvēku uzturā, kā arī par dzīvnieku barību. </w:t>
            </w:r>
          </w:p>
          <w:p w:rsidR="006C1336" w:rsidRPr="003A095A" w:rsidRDefault="006C1336" w:rsidP="00C5008A">
            <w:pPr>
              <w:pStyle w:val="Bezatstarpm"/>
              <w:jc w:val="both"/>
            </w:pPr>
            <w:r w:rsidRPr="003A095A">
              <w:t xml:space="preserve">Noteikumi Nr.177 nosaka kārtību, kādā piešķir un dzīvnieku īpašnieks saņem kompensāciju par zaudējumiem, kas radušies valsts uzraudzībā esošo dzīvnieku infekcijas slimību un epizootiju uzliesmojuma laikā. </w:t>
            </w:r>
          </w:p>
          <w:p w:rsidR="006C1336" w:rsidRPr="003A095A" w:rsidRDefault="006C1336" w:rsidP="00C5008A">
            <w:pPr>
              <w:pStyle w:val="Bezatstarpm"/>
              <w:jc w:val="both"/>
            </w:pPr>
            <w:r w:rsidRPr="003A095A">
              <w:t>Dzīvnieku īpašniekam AS „</w:t>
            </w:r>
            <w:proofErr w:type="spellStart"/>
            <w:r w:rsidRPr="003A095A">
              <w:t>Balticovo</w:t>
            </w:r>
            <w:proofErr w:type="spellEnd"/>
            <w:r w:rsidRPr="003A095A">
              <w:t xml:space="preserve">” radušies materiāli zaudējumi, lai savā ganāmpulkā apkarotu putnu salmonelozi. </w:t>
            </w:r>
          </w:p>
          <w:p w:rsidR="006C1336" w:rsidRPr="003A095A" w:rsidRDefault="006C1336" w:rsidP="00C5008A">
            <w:pPr>
              <w:pStyle w:val="Bezatstarpm"/>
              <w:jc w:val="both"/>
            </w:pPr>
            <w:r w:rsidRPr="003A095A">
              <w:t>Lai izpildītu Veterinārmedicīnas likumā un noteikumos Nr.177 noteikto, jāizdod Ministru kabineta rīkojums, kas nosaka kompensācijas izmaksu dzīvnieku īpašniekam, lai segtu zaudējumus, kas dzīvnieku īpašniekam radušies putnu salmonelozes uzliesmojuma apkarošanas laikā.</w:t>
            </w:r>
          </w:p>
          <w:p w:rsidR="006C1336" w:rsidRPr="003A095A" w:rsidRDefault="006C1336" w:rsidP="00F168B8">
            <w:pPr>
              <w:pStyle w:val="Bezatstarpm"/>
              <w:jc w:val="both"/>
            </w:pPr>
            <w:r w:rsidRPr="003A095A">
              <w:t xml:space="preserve">Salmonelozi ierosina </w:t>
            </w:r>
            <w:r w:rsidRPr="003A095A">
              <w:rPr>
                <w:i/>
              </w:rPr>
              <w:t xml:space="preserve">Salmonella </w:t>
            </w:r>
            <w:proofErr w:type="spellStart"/>
            <w:r w:rsidRPr="003A095A">
              <w:rPr>
                <w:i/>
              </w:rPr>
              <w:t>spp</w:t>
            </w:r>
            <w:proofErr w:type="spellEnd"/>
            <w:r w:rsidRPr="003A095A">
              <w:rPr>
                <w:i/>
              </w:rPr>
              <w:t xml:space="preserve">. </w:t>
            </w:r>
            <w:r w:rsidRPr="003A095A">
              <w:t xml:space="preserve">ģints dažādas baktērijas (gan </w:t>
            </w:r>
            <w:proofErr w:type="spellStart"/>
            <w:r w:rsidRPr="003A095A">
              <w:t>zoonotiska</w:t>
            </w:r>
            <w:proofErr w:type="spellEnd"/>
            <w:r w:rsidRPr="003A095A">
              <w:t xml:space="preserve"> rakstu</w:t>
            </w:r>
            <w:r w:rsidR="009C41B6">
              <w:t>ra</w:t>
            </w:r>
            <w:r w:rsidRPr="003A095A">
              <w:t xml:space="preserve">, gan tikai putniem bīstamas), kas izraisa dažādas slimības – </w:t>
            </w:r>
            <w:r w:rsidR="009C41B6">
              <w:t>s</w:t>
            </w:r>
            <w:r w:rsidRPr="003A095A">
              <w:t>almonelozi, putnu tīfu u.c. AS „</w:t>
            </w:r>
            <w:proofErr w:type="spellStart"/>
            <w:r w:rsidRPr="003A095A">
              <w:t>Balticovo</w:t>
            </w:r>
            <w:proofErr w:type="spellEnd"/>
            <w:r w:rsidRPr="003A095A">
              <w:t>” un SIA „Daugavpils putni” ir konstatētas un apkarotas divas dažādas slimības</w:t>
            </w:r>
            <w:r w:rsidR="009C41B6">
              <w:t>:</w:t>
            </w:r>
            <w:r w:rsidRPr="003A095A">
              <w:t xml:space="preserve"> saskaņā ar Dzīvnieku veselības organizācijas (angliski – </w:t>
            </w:r>
            <w:r w:rsidRPr="003F7FF0">
              <w:rPr>
                <w:i/>
              </w:rPr>
              <w:t>OIE</w:t>
            </w:r>
            <w:r w:rsidRPr="003A095A">
              <w:t xml:space="preserve">) noteikto sarakstu – </w:t>
            </w:r>
            <w:proofErr w:type="spellStart"/>
            <w:r w:rsidRPr="003A095A">
              <w:t>zoonotiskā</w:t>
            </w:r>
            <w:proofErr w:type="spellEnd"/>
            <w:r w:rsidRPr="003A095A">
              <w:t xml:space="preserve"> salmoneloze, k</w:t>
            </w:r>
            <w:r w:rsidR="009C41B6">
              <w:t>o</w:t>
            </w:r>
            <w:r w:rsidRPr="003A095A">
              <w:t xml:space="preserve"> ierosina </w:t>
            </w:r>
            <w:r w:rsidRPr="003A095A">
              <w:rPr>
                <w:i/>
              </w:rPr>
              <w:t xml:space="preserve">Salmonella </w:t>
            </w:r>
            <w:proofErr w:type="spellStart"/>
            <w:r w:rsidRPr="003A095A">
              <w:rPr>
                <w:i/>
              </w:rPr>
              <w:t>Enteritidis</w:t>
            </w:r>
            <w:proofErr w:type="spellEnd"/>
            <w:r w:rsidRPr="003A095A">
              <w:t xml:space="preserve">, </w:t>
            </w:r>
            <w:r w:rsidRPr="003A095A">
              <w:rPr>
                <w:i/>
              </w:rPr>
              <w:t xml:space="preserve">Salmonella </w:t>
            </w:r>
            <w:proofErr w:type="spellStart"/>
            <w:r w:rsidRPr="003A095A">
              <w:rPr>
                <w:i/>
              </w:rPr>
              <w:t>Typhimurium</w:t>
            </w:r>
            <w:proofErr w:type="spellEnd"/>
            <w:r w:rsidR="009C41B6">
              <w:t>,</w:t>
            </w:r>
            <w:r w:rsidRPr="003A095A">
              <w:rPr>
                <w:i/>
              </w:rPr>
              <w:t xml:space="preserve"> </w:t>
            </w:r>
            <w:r w:rsidRPr="003A095A">
              <w:t>un putnu tīfs, k</w:t>
            </w:r>
            <w:r w:rsidR="009C41B6">
              <w:t>o</w:t>
            </w:r>
            <w:r w:rsidRPr="003A095A">
              <w:t xml:space="preserve"> ierosina </w:t>
            </w:r>
            <w:r w:rsidRPr="003A095A">
              <w:rPr>
                <w:i/>
              </w:rPr>
              <w:t xml:space="preserve">Salmonella </w:t>
            </w:r>
            <w:proofErr w:type="spellStart"/>
            <w:r w:rsidRPr="003A095A">
              <w:rPr>
                <w:i/>
              </w:rPr>
              <w:t>Gallinarum</w:t>
            </w:r>
            <w:proofErr w:type="spellEnd"/>
            <w:r w:rsidRPr="003A095A">
              <w:t xml:space="preserve">. </w:t>
            </w:r>
            <w:r w:rsidRPr="003A095A">
              <w:lastRenderedPageBreak/>
              <w:t>2011.gadā un 2012.gadā AS „</w:t>
            </w:r>
            <w:proofErr w:type="spellStart"/>
            <w:r w:rsidRPr="003A095A">
              <w:t>Balticovo</w:t>
            </w:r>
            <w:proofErr w:type="spellEnd"/>
            <w:r w:rsidRPr="003A095A">
              <w:t xml:space="preserve">” un SIA „Daugavpils putni” kompensācijas izmaksāja par </w:t>
            </w:r>
            <w:proofErr w:type="spellStart"/>
            <w:r w:rsidRPr="003A095A">
              <w:t>zoonotiskās</w:t>
            </w:r>
            <w:proofErr w:type="spellEnd"/>
            <w:r w:rsidRPr="003A095A">
              <w:t xml:space="preserve"> salmonelozes apkarošanas laikā piespiedu kārtā nokautajām dējējvistām. Lai novērstu turpmāku dējējvistu inficēšanos ar </w:t>
            </w:r>
            <w:proofErr w:type="spellStart"/>
            <w:r w:rsidRPr="003A095A">
              <w:t>zoonotisko</w:t>
            </w:r>
            <w:proofErr w:type="spellEnd"/>
            <w:r w:rsidRPr="003A095A">
              <w:t xml:space="preserve"> salmonelozi, 2011.gada otrajā pusgadā AS „</w:t>
            </w:r>
            <w:proofErr w:type="spellStart"/>
            <w:r w:rsidRPr="003A095A">
              <w:t>Balticovo</w:t>
            </w:r>
            <w:proofErr w:type="spellEnd"/>
            <w:r w:rsidRPr="003A095A">
              <w:t xml:space="preserve">” uzsāka visu jaunputnu (dējējvistu) vakcināciju pret </w:t>
            </w:r>
            <w:r w:rsidRPr="003A095A">
              <w:rPr>
                <w:i/>
              </w:rPr>
              <w:t xml:space="preserve">Salmonella </w:t>
            </w:r>
            <w:proofErr w:type="spellStart"/>
            <w:r w:rsidRPr="003A095A">
              <w:rPr>
                <w:i/>
              </w:rPr>
              <w:t>Enteritidis</w:t>
            </w:r>
            <w:proofErr w:type="spellEnd"/>
            <w:r w:rsidRPr="003A095A">
              <w:t xml:space="preserve"> saskaņā ar Ministru kabineta 2011.gada 21.jūnija noteikumos Nr.477 „Kārtība, kādā veic salmonelozes profilakses un apkarošanas pasākumus, vakcinējot vistas pret salmonelozi” noteikto kārtību. AS „</w:t>
            </w:r>
            <w:proofErr w:type="spellStart"/>
            <w:r w:rsidRPr="003A095A">
              <w:t>Balticovo</w:t>
            </w:r>
            <w:proofErr w:type="spellEnd"/>
            <w:r w:rsidRPr="003A095A">
              <w:t xml:space="preserve">” un SIA „Daugavpils putni” veic regulārus paškontroles izmeklējumus, ievērojot </w:t>
            </w:r>
            <w:r w:rsidR="009C41B6">
              <w:t>normatīvajos aktos</w:t>
            </w:r>
            <w:r w:rsidRPr="003A095A">
              <w:t xml:space="preserve"> noteikto paraugu noņemšanas un izmeklēšanas biežumu. Līdz šī gada decembrim AS „</w:t>
            </w:r>
            <w:proofErr w:type="spellStart"/>
            <w:r w:rsidRPr="003A095A">
              <w:t>Balticovo</w:t>
            </w:r>
            <w:proofErr w:type="spellEnd"/>
            <w:r w:rsidRPr="003A095A">
              <w:t xml:space="preserve">” un SIA „Daugavpils putni” nav konstatēti jauni dējējvistu inficēšanās gadījumi ar </w:t>
            </w:r>
            <w:proofErr w:type="spellStart"/>
            <w:r w:rsidRPr="003A095A">
              <w:t>zoonotisko</w:t>
            </w:r>
            <w:proofErr w:type="spellEnd"/>
            <w:r w:rsidRPr="003A095A">
              <w:t xml:space="preserve"> salmonelozi. Eiropas Komisija līdzfinansē </w:t>
            </w:r>
            <w:proofErr w:type="spellStart"/>
            <w:r w:rsidRPr="003A095A">
              <w:t>zoonotiskās</w:t>
            </w:r>
            <w:proofErr w:type="spellEnd"/>
            <w:r w:rsidRPr="003A095A">
              <w:t xml:space="preserve"> salmonelozes profilakses un apkarošanas pasākumus. </w:t>
            </w:r>
          </w:p>
          <w:p w:rsidR="006C1336" w:rsidRPr="003A095A" w:rsidRDefault="006C1336" w:rsidP="00F168B8">
            <w:pPr>
              <w:pStyle w:val="Bezatstarpm"/>
              <w:jc w:val="both"/>
            </w:pPr>
            <w:r w:rsidRPr="003A095A">
              <w:t xml:space="preserve">Putnu tīfs ir slimība ar atšķirīgu etioloģiju un slimības gaitu. Putnu tīfs ir iekļauta valsts uzraudzības slimību sarakstā, jo ir ļoti </w:t>
            </w:r>
            <w:proofErr w:type="spellStart"/>
            <w:r w:rsidRPr="003A095A">
              <w:t>kontagioza</w:t>
            </w:r>
            <w:proofErr w:type="spellEnd"/>
            <w:r w:rsidRPr="003A095A">
              <w:t xml:space="preserve"> putnu slimība – ar saslimstību līdz 50–80% un </w:t>
            </w:r>
            <w:proofErr w:type="spellStart"/>
            <w:r w:rsidRPr="003A095A">
              <w:t>letalitāti</w:t>
            </w:r>
            <w:proofErr w:type="spellEnd"/>
            <w:r w:rsidRPr="003A095A">
              <w:t xml:space="preserve"> līdz 30%. Ja konstatē</w:t>
            </w:r>
            <w:r w:rsidR="009C41B6">
              <w:t>tais</w:t>
            </w:r>
            <w:r w:rsidRPr="003A095A">
              <w:t xml:space="preserve"> putnu tīf</w:t>
            </w:r>
            <w:r w:rsidR="009C41B6">
              <w:t>s</w:t>
            </w:r>
            <w:r w:rsidRPr="003A095A">
              <w:t xml:space="preserve"> ne</w:t>
            </w:r>
            <w:r w:rsidR="009C41B6">
              <w:t xml:space="preserve">tiek </w:t>
            </w:r>
            <w:r w:rsidRPr="003A095A">
              <w:t>apkaro</w:t>
            </w:r>
            <w:r w:rsidR="009C41B6">
              <w:t>ts</w:t>
            </w:r>
            <w:r w:rsidRPr="003A095A">
              <w:t xml:space="preserve">, Eiropas Komisija valstij var piemērot tirdzniecības ierobežojumus. </w:t>
            </w:r>
            <w:r w:rsidR="009C41B6">
              <w:t>V</w:t>
            </w:r>
            <w:r w:rsidR="009C41B6" w:rsidRPr="003A095A">
              <w:t xml:space="preserve">ienīgā </w:t>
            </w:r>
            <w:r w:rsidR="009C41B6">
              <w:t>p</w:t>
            </w:r>
            <w:r w:rsidRPr="003A095A">
              <w:t xml:space="preserve">utnu tīfa apkarošanas metode ir putnu izkaušana. Latvijā </w:t>
            </w:r>
            <w:r w:rsidR="009C41B6" w:rsidRPr="003A095A">
              <w:t xml:space="preserve">šīs slimības profilaksei </w:t>
            </w:r>
            <w:r w:rsidRPr="003A095A">
              <w:t xml:space="preserve">nekad nav piemērota vakcinācija, jo tā netiek uzskatīta par pietiekami efektīvu. Latvijā putnu tīfs pēdējo reizi konstatēts 1995.gadā, kad to veiksmīgi apkaroja, izkaujot slimos putnus un nepieļaujot vakcināciju. </w:t>
            </w:r>
            <w:r w:rsidR="009C41B6">
              <w:t>Tā kā</w:t>
            </w:r>
            <w:r w:rsidRPr="003A095A">
              <w:t xml:space="preserve"> putnu tīf</w:t>
            </w:r>
            <w:r w:rsidR="009C41B6">
              <w:t>s</w:t>
            </w:r>
            <w:r w:rsidRPr="003A095A">
              <w:t xml:space="preserve"> joprojām </w:t>
            </w:r>
            <w:r w:rsidR="009C41B6">
              <w:t xml:space="preserve">tiek </w:t>
            </w:r>
            <w:r w:rsidRPr="003A095A">
              <w:t>konstatē</w:t>
            </w:r>
            <w:r w:rsidR="009C41B6">
              <w:t>ts citās</w:t>
            </w:r>
            <w:r w:rsidRPr="003A095A">
              <w:t xml:space="preserve"> Eiropas Savienības dalībvalstīs un trešajās valstīs, pamatojoties uz </w:t>
            </w:r>
            <w:r w:rsidR="009C41B6">
              <w:t>normatīvo aktu</w:t>
            </w:r>
            <w:r w:rsidRPr="003A095A">
              <w:t xml:space="preserve"> prasībām, AS „</w:t>
            </w:r>
            <w:proofErr w:type="spellStart"/>
            <w:r w:rsidRPr="003A095A">
              <w:t>Balticovo</w:t>
            </w:r>
            <w:proofErr w:type="spellEnd"/>
            <w:r w:rsidRPr="003A095A">
              <w:t xml:space="preserve">” un SIA „Daugavpils putni” dējējvistu novietnēs katru gadu </w:t>
            </w:r>
            <w:r w:rsidR="009C41B6">
              <w:t xml:space="preserve">ir </w:t>
            </w:r>
            <w:r w:rsidRPr="003A095A">
              <w:t>vei</w:t>
            </w:r>
            <w:r w:rsidR="009C41B6">
              <w:t>kušas</w:t>
            </w:r>
            <w:r w:rsidRPr="003A095A">
              <w:t xml:space="preserve"> putnu tīfa paškontroles izmeklējumus, lai kontrolētu epidemioloģisko situāciju valstī. Slimības konstatēšanas gadījumā pēc iespējas ātrāk jā</w:t>
            </w:r>
            <w:r w:rsidR="009C41B6">
              <w:t>sāk tās</w:t>
            </w:r>
            <w:r w:rsidRPr="003A095A">
              <w:t xml:space="preserve"> apkarošanas pasākumi un nedrīkst pieļaut slimības izplatīšanos valstī. Eiropas Komisija nelīdzfinansē putnu tīfa profilakses un apkarošanas pasākumus.</w:t>
            </w:r>
          </w:p>
          <w:p w:rsidR="006C1336" w:rsidRPr="003A095A" w:rsidRDefault="006C1336" w:rsidP="003F7FF0">
            <w:pPr>
              <w:pStyle w:val="Bezatstarpm"/>
              <w:jc w:val="both"/>
            </w:pPr>
            <w:r w:rsidRPr="003A095A">
              <w:t xml:space="preserve">2013.gada 20.augustā Ministru kabinets </w:t>
            </w:r>
            <w:r w:rsidR="009C41B6">
              <w:t>izdeva</w:t>
            </w:r>
            <w:r w:rsidRPr="003A095A">
              <w:t xml:space="preserve"> noteikumus Nr.621 „Noteikumi par </w:t>
            </w:r>
            <w:proofErr w:type="spellStart"/>
            <w:r w:rsidRPr="003A095A">
              <w:t>biodrošības</w:t>
            </w:r>
            <w:proofErr w:type="spellEnd"/>
            <w:r w:rsidRPr="003A095A">
              <w:t xml:space="preserve"> pasākumu kopumu dzīvnieku turēšanas vietās”, kas stāsies spēkā 2014.gada 1.janvārī. </w:t>
            </w:r>
            <w:r w:rsidR="009C41B6">
              <w:t>Tajos</w:t>
            </w:r>
            <w:r w:rsidRPr="003A095A">
              <w:t xml:space="preserve"> noteik</w:t>
            </w:r>
            <w:r w:rsidR="009C41B6">
              <w:t>t</w:t>
            </w:r>
            <w:r w:rsidRPr="003A095A">
              <w:t xml:space="preserve">s, ka dzīvnieku īpašnieks vai turētājs ir atbildīgs par </w:t>
            </w:r>
            <w:proofErr w:type="spellStart"/>
            <w:r w:rsidRPr="003A095A">
              <w:t>biodrošības</w:t>
            </w:r>
            <w:proofErr w:type="spellEnd"/>
            <w:r w:rsidRPr="003A095A">
              <w:t xml:space="preserve"> pasākumu kopuma (turpmāk – </w:t>
            </w:r>
            <w:r w:rsidRPr="003A095A">
              <w:lastRenderedPageBreak/>
              <w:t xml:space="preserve">pasākumu plāns) izstrādi un tā izpildi dzīvnieku turēšanas vietā. </w:t>
            </w:r>
          </w:p>
        </w:tc>
      </w:tr>
      <w:tr w:rsidR="006C1336" w:rsidTr="00C5008A">
        <w:tc>
          <w:tcPr>
            <w:tcW w:w="648" w:type="dxa"/>
          </w:tcPr>
          <w:p w:rsidR="006C1336" w:rsidRDefault="006C1336" w:rsidP="00C5008A">
            <w:pPr>
              <w:jc w:val="both"/>
            </w:pPr>
            <w:r>
              <w:lastRenderedPageBreak/>
              <w:t>3.</w:t>
            </w:r>
          </w:p>
        </w:tc>
        <w:tc>
          <w:tcPr>
            <w:tcW w:w="3420" w:type="dxa"/>
          </w:tcPr>
          <w:p w:rsidR="006C1336" w:rsidRDefault="006C1336" w:rsidP="00C5008A">
            <w:pPr>
              <w:jc w:val="both"/>
            </w:pPr>
            <w:r>
              <w:t>Saistītie politikas ietekmes novērtējumi un pētījumi</w:t>
            </w:r>
          </w:p>
        </w:tc>
        <w:tc>
          <w:tcPr>
            <w:tcW w:w="5219" w:type="dxa"/>
          </w:tcPr>
          <w:p w:rsidR="006C1336" w:rsidRDefault="006C1336" w:rsidP="00C5008A">
            <w:pPr>
              <w:jc w:val="both"/>
            </w:pPr>
            <w:r>
              <w:t>Projekts šo jomu neskar.</w:t>
            </w:r>
          </w:p>
        </w:tc>
      </w:tr>
      <w:tr w:rsidR="006C1336" w:rsidTr="00C5008A">
        <w:tc>
          <w:tcPr>
            <w:tcW w:w="648" w:type="dxa"/>
          </w:tcPr>
          <w:p w:rsidR="006C1336" w:rsidRDefault="006C1336" w:rsidP="00C5008A">
            <w:pPr>
              <w:jc w:val="both"/>
            </w:pPr>
            <w:r>
              <w:t>4.</w:t>
            </w:r>
          </w:p>
        </w:tc>
        <w:tc>
          <w:tcPr>
            <w:tcW w:w="3420" w:type="dxa"/>
          </w:tcPr>
          <w:p w:rsidR="006C1336" w:rsidRDefault="006C1336" w:rsidP="00C5008A">
            <w:pPr>
              <w:jc w:val="both"/>
            </w:pPr>
            <w:r>
              <w:t>Tiesiskā regulējuma mērķis un būtība</w:t>
            </w:r>
          </w:p>
        </w:tc>
        <w:tc>
          <w:tcPr>
            <w:tcW w:w="5219" w:type="dxa"/>
          </w:tcPr>
          <w:p w:rsidR="006C1336" w:rsidRDefault="006C1336" w:rsidP="00C5008A">
            <w:pPr>
              <w:jc w:val="both"/>
            </w:pPr>
            <w:r w:rsidRPr="00F36F95">
              <w:t> </w:t>
            </w:r>
            <w:r>
              <w:t>Saskaņā ar noteikumiem Nr.1644 valsts iestāde iesniedz pieprasījumu, t.i., tiesību akta projektu, Ministru kabinetā. Ministru kabineta rīkojuma projekts</w:t>
            </w:r>
            <w:r w:rsidRPr="00F36F95">
              <w:t xml:space="preserve"> „Par finanšu līdzekļu piešķiršanu no valsts budžeta programmas „Līdz</w:t>
            </w:r>
            <w:r>
              <w:t xml:space="preserve">ekļi neparedzētiem gadījumiem”” ir sagatavots saskaņā ar noteikumu Nr.1644 prasībām un paredz kompensēt lauksaimniecības dzīvnieku īpašniekam izdevumus, kas radušies putnu salmonelozes uzliesmojuma apkarošanas laikā. </w:t>
            </w:r>
          </w:p>
          <w:p w:rsidR="006C1336" w:rsidRDefault="006C1336" w:rsidP="00C5008A">
            <w:pPr>
              <w:jc w:val="both"/>
              <w:rPr>
                <w:bCs/>
              </w:rPr>
            </w:pPr>
            <w:r>
              <w:t xml:space="preserve">Kompensācijas lauksaimniecības dzīvnieku īpašniekam izmaksās Lauku atbalsta dienests pēc naudas līdzekļu saņemšanas no </w:t>
            </w:r>
            <w:r w:rsidRPr="00AB451D">
              <w:rPr>
                <w:bCs/>
              </w:rPr>
              <w:t>valsts budžeta programmas 02.00.00 „Līdzekļi neparedzētiem gadījumiem”</w:t>
            </w:r>
            <w:r>
              <w:rPr>
                <w:bCs/>
              </w:rPr>
              <w:t>.</w:t>
            </w:r>
          </w:p>
          <w:p w:rsidR="006C1336" w:rsidRDefault="006C1336" w:rsidP="00C5008A">
            <w:pPr>
              <w:jc w:val="both"/>
            </w:pPr>
            <w:r>
              <w:rPr>
                <w:bCs/>
              </w:rPr>
              <w:t xml:space="preserve">Ministru kabineta rīkojums nodrošinās noteikumu Nr.177 9.4.apakšpunkta prasības izpildi par to, ka </w:t>
            </w:r>
            <w:r>
              <w:t>kompensāciju, pārskaitot to dzīvnieku īpašnieka norādītajā bankas kontā, izmaksā 90 dienu laikā pēc dzīvnieku īpašnieka iesnieguma saņemšanas.</w:t>
            </w:r>
          </w:p>
          <w:p w:rsidR="006C1336" w:rsidRPr="00F36F95" w:rsidRDefault="006C1336" w:rsidP="00C5008A">
            <w:pPr>
              <w:jc w:val="both"/>
            </w:pPr>
            <w:r>
              <w:t>Ministru kabineta rīkojuma projekts problēmu atrisinās pilnībā.</w:t>
            </w:r>
          </w:p>
        </w:tc>
      </w:tr>
      <w:tr w:rsidR="006C1336" w:rsidTr="00C5008A">
        <w:tc>
          <w:tcPr>
            <w:tcW w:w="648" w:type="dxa"/>
          </w:tcPr>
          <w:p w:rsidR="006C1336" w:rsidRDefault="006C1336" w:rsidP="00C5008A">
            <w:pPr>
              <w:jc w:val="both"/>
            </w:pPr>
            <w:r>
              <w:t>5.</w:t>
            </w:r>
          </w:p>
        </w:tc>
        <w:tc>
          <w:tcPr>
            <w:tcW w:w="3420" w:type="dxa"/>
          </w:tcPr>
          <w:p w:rsidR="006C1336" w:rsidRDefault="006C1336" w:rsidP="00C5008A">
            <w:pPr>
              <w:jc w:val="both"/>
            </w:pPr>
            <w:r>
              <w:t>Projekta izstrādē iesaistītās institūcijas</w:t>
            </w:r>
          </w:p>
        </w:tc>
        <w:tc>
          <w:tcPr>
            <w:tcW w:w="5219" w:type="dxa"/>
          </w:tcPr>
          <w:p w:rsidR="006C1336" w:rsidRDefault="006C1336" w:rsidP="00C5008A">
            <w:pPr>
              <w:jc w:val="both"/>
            </w:pPr>
            <w:r>
              <w:t>Lauku atbalsta dienests.</w:t>
            </w:r>
          </w:p>
        </w:tc>
      </w:tr>
      <w:tr w:rsidR="006C1336" w:rsidTr="00C5008A">
        <w:tc>
          <w:tcPr>
            <w:tcW w:w="648" w:type="dxa"/>
          </w:tcPr>
          <w:p w:rsidR="006C1336" w:rsidRDefault="006C1336" w:rsidP="00C5008A">
            <w:pPr>
              <w:jc w:val="both"/>
            </w:pPr>
            <w:r>
              <w:t>6.</w:t>
            </w:r>
          </w:p>
        </w:tc>
        <w:tc>
          <w:tcPr>
            <w:tcW w:w="3420" w:type="dxa"/>
          </w:tcPr>
          <w:p w:rsidR="006C1336" w:rsidRDefault="006C1336" w:rsidP="00C5008A">
            <w:pPr>
              <w:jc w:val="both"/>
            </w:pPr>
            <w:r>
              <w:t>Iemesli, kādēļ netika nodrošināta sabiedrības līdzdalība</w:t>
            </w:r>
          </w:p>
        </w:tc>
        <w:tc>
          <w:tcPr>
            <w:tcW w:w="5219" w:type="dxa"/>
          </w:tcPr>
          <w:p w:rsidR="006C1336" w:rsidRDefault="006C1336" w:rsidP="00C5008A">
            <w:pPr>
              <w:jc w:val="both"/>
            </w:pPr>
            <w:r>
              <w:t>Ministru kabineta rīkojuma projekts nemaina pastāvošo regulējumu par to, ka dzīvnieku īpašnieks saņem kompensāciju par zaudējumiem, kas radušies valsts uzraudzībā esošās dzīvnieku infekcijas slimības vai epizootijas uzliesmojuma laikā.</w:t>
            </w:r>
          </w:p>
        </w:tc>
      </w:tr>
      <w:tr w:rsidR="006C1336" w:rsidTr="00C5008A">
        <w:tc>
          <w:tcPr>
            <w:tcW w:w="648" w:type="dxa"/>
          </w:tcPr>
          <w:p w:rsidR="006C1336" w:rsidRDefault="006C1336" w:rsidP="00C5008A">
            <w:pPr>
              <w:jc w:val="both"/>
            </w:pPr>
            <w:r>
              <w:t>7.</w:t>
            </w:r>
          </w:p>
        </w:tc>
        <w:tc>
          <w:tcPr>
            <w:tcW w:w="3420" w:type="dxa"/>
          </w:tcPr>
          <w:p w:rsidR="006C1336" w:rsidRDefault="006C1336" w:rsidP="00C5008A">
            <w:pPr>
              <w:jc w:val="both"/>
            </w:pPr>
            <w:r>
              <w:t>Cita informācija</w:t>
            </w:r>
          </w:p>
        </w:tc>
        <w:tc>
          <w:tcPr>
            <w:tcW w:w="5219" w:type="dxa"/>
          </w:tcPr>
          <w:p w:rsidR="006C1336" w:rsidRDefault="006C1336" w:rsidP="00C5008A">
            <w:pPr>
              <w:jc w:val="both"/>
            </w:pPr>
            <w:r>
              <w:t>Nav.</w:t>
            </w:r>
          </w:p>
        </w:tc>
      </w:tr>
    </w:tbl>
    <w:p w:rsidR="006C1336" w:rsidRDefault="006C1336" w:rsidP="000E3EAE">
      <w:pPr>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729"/>
        <w:gridCol w:w="5039"/>
      </w:tblGrid>
      <w:tr w:rsidR="006C1336" w:rsidTr="00C5008A">
        <w:tc>
          <w:tcPr>
            <w:tcW w:w="9287" w:type="dxa"/>
            <w:gridSpan w:val="3"/>
          </w:tcPr>
          <w:p w:rsidR="006C1336" w:rsidRDefault="006C1336" w:rsidP="00C5008A">
            <w:pPr>
              <w:jc w:val="center"/>
            </w:pPr>
            <w:r w:rsidRPr="00802643">
              <w:rPr>
                <w:b/>
                <w:bCs/>
              </w:rPr>
              <w:t>II. Tiesību akta projekta ietekme uz sabiedrību</w:t>
            </w:r>
          </w:p>
        </w:tc>
      </w:tr>
      <w:tr w:rsidR="006C1336" w:rsidTr="00C5008A">
        <w:tc>
          <w:tcPr>
            <w:tcW w:w="519" w:type="dxa"/>
          </w:tcPr>
          <w:p w:rsidR="006C1336" w:rsidRDefault="006C1336" w:rsidP="00C5008A">
            <w:pPr>
              <w:jc w:val="both"/>
            </w:pPr>
            <w:r>
              <w:t>1.</w:t>
            </w:r>
          </w:p>
        </w:tc>
        <w:tc>
          <w:tcPr>
            <w:tcW w:w="3729" w:type="dxa"/>
          </w:tcPr>
          <w:p w:rsidR="006C1336" w:rsidRDefault="006C1336" w:rsidP="00C5008A">
            <w:pPr>
              <w:jc w:val="both"/>
            </w:pPr>
            <w:r>
              <w:t xml:space="preserve">Sabiedrības </w:t>
            </w:r>
            <w:proofErr w:type="spellStart"/>
            <w:r>
              <w:t>mērķgrupa</w:t>
            </w:r>
            <w:proofErr w:type="spellEnd"/>
          </w:p>
        </w:tc>
        <w:tc>
          <w:tcPr>
            <w:tcW w:w="5039" w:type="dxa"/>
          </w:tcPr>
          <w:p w:rsidR="006C1336" w:rsidRDefault="006C1336" w:rsidP="000F428F">
            <w:pPr>
              <w:jc w:val="both"/>
            </w:pPr>
            <w:r>
              <w:t xml:space="preserve"> Sabiedrības </w:t>
            </w:r>
            <w:proofErr w:type="spellStart"/>
            <w:r>
              <w:t>mērķgrupa</w:t>
            </w:r>
            <w:proofErr w:type="spellEnd"/>
            <w:r>
              <w:t xml:space="preserve"> ir lauksaimniecības dzīvnieku īpašnieks AS „</w:t>
            </w:r>
            <w:proofErr w:type="spellStart"/>
            <w:r>
              <w:t>Balticovo</w:t>
            </w:r>
            <w:proofErr w:type="spellEnd"/>
            <w:r>
              <w:t>”.</w:t>
            </w:r>
          </w:p>
        </w:tc>
      </w:tr>
      <w:tr w:rsidR="006C1336" w:rsidTr="00C5008A">
        <w:tc>
          <w:tcPr>
            <w:tcW w:w="519" w:type="dxa"/>
          </w:tcPr>
          <w:p w:rsidR="006C1336" w:rsidRDefault="006C1336" w:rsidP="00C5008A">
            <w:pPr>
              <w:jc w:val="both"/>
            </w:pPr>
            <w:r>
              <w:t>2.</w:t>
            </w:r>
          </w:p>
        </w:tc>
        <w:tc>
          <w:tcPr>
            <w:tcW w:w="3729" w:type="dxa"/>
          </w:tcPr>
          <w:p w:rsidR="006C1336" w:rsidRDefault="006C1336" w:rsidP="00C5008A">
            <w:pPr>
              <w:jc w:val="both"/>
            </w:pPr>
            <w:r>
              <w:t xml:space="preserve">Citas sabiedrības grupas (bez </w:t>
            </w:r>
            <w:proofErr w:type="spellStart"/>
            <w:r>
              <w:t>mērķgrupas</w:t>
            </w:r>
            <w:proofErr w:type="spellEnd"/>
            <w:r>
              <w:t>), kuras tiesiskais regulējums arī ietekmē vai varētu ietekmēt</w:t>
            </w:r>
          </w:p>
        </w:tc>
        <w:tc>
          <w:tcPr>
            <w:tcW w:w="5039" w:type="dxa"/>
          </w:tcPr>
          <w:p w:rsidR="006C1336" w:rsidRDefault="006C1336" w:rsidP="00C5008A">
            <w:pPr>
              <w:jc w:val="both"/>
            </w:pPr>
            <w:r>
              <w:t>Projekts šo jomu neskar.</w:t>
            </w:r>
          </w:p>
        </w:tc>
      </w:tr>
      <w:tr w:rsidR="006C1336" w:rsidTr="00C5008A">
        <w:tc>
          <w:tcPr>
            <w:tcW w:w="519" w:type="dxa"/>
          </w:tcPr>
          <w:p w:rsidR="006C1336" w:rsidRDefault="006C1336" w:rsidP="00C5008A">
            <w:pPr>
              <w:jc w:val="both"/>
            </w:pPr>
            <w:r>
              <w:t>3.</w:t>
            </w:r>
          </w:p>
        </w:tc>
        <w:tc>
          <w:tcPr>
            <w:tcW w:w="3729" w:type="dxa"/>
          </w:tcPr>
          <w:p w:rsidR="006C1336" w:rsidRDefault="006C1336" w:rsidP="00C5008A">
            <w:pPr>
              <w:jc w:val="both"/>
            </w:pPr>
            <w:r>
              <w:t>Tiesiskā regulējuma finansiālā ietekme</w:t>
            </w:r>
          </w:p>
        </w:tc>
        <w:tc>
          <w:tcPr>
            <w:tcW w:w="5039" w:type="dxa"/>
          </w:tcPr>
          <w:p w:rsidR="006C1336" w:rsidRDefault="006C1336" w:rsidP="000F428F">
            <w:pPr>
              <w:jc w:val="both"/>
            </w:pPr>
            <w:r>
              <w:t>Ministru kabineta rīkojuma projekts paredz i</w:t>
            </w:r>
            <w:smartTag w:uri="urn:schemas-microsoft-com:office:smarttags" w:element="PersonName">
              <w:r>
                <w:t>zm</w:t>
              </w:r>
            </w:smartTag>
            <w:r>
              <w:t xml:space="preserve">aksāt lauksaimniecības dzīvnieku īpašniekam </w:t>
            </w:r>
            <w:smartTag w:uri="schemas-tilde-lv/tildestengine" w:element="currency2">
              <w:smartTagPr>
                <w:attr w:name="currency_id" w:val="48"/>
                <w:attr w:name="currency_key" w:val="LVL"/>
                <w:attr w:name="currency_value" w:val="142"/>
                <w:attr w:name="currency_text" w:val="Ls"/>
              </w:smartTagPr>
              <w:r>
                <w:t>Ls 142</w:t>
              </w:r>
            </w:smartTag>
            <w:r>
              <w:t xml:space="preserve"> 438,20.</w:t>
            </w:r>
          </w:p>
        </w:tc>
      </w:tr>
      <w:tr w:rsidR="006C1336" w:rsidTr="00C5008A">
        <w:tc>
          <w:tcPr>
            <w:tcW w:w="519" w:type="dxa"/>
          </w:tcPr>
          <w:p w:rsidR="006C1336" w:rsidRDefault="006C1336" w:rsidP="00C5008A">
            <w:pPr>
              <w:jc w:val="both"/>
            </w:pPr>
            <w:r>
              <w:t>4.</w:t>
            </w:r>
          </w:p>
        </w:tc>
        <w:tc>
          <w:tcPr>
            <w:tcW w:w="3729" w:type="dxa"/>
          </w:tcPr>
          <w:p w:rsidR="006C1336" w:rsidRDefault="006C1336" w:rsidP="00C5008A">
            <w:pPr>
              <w:jc w:val="both"/>
            </w:pPr>
            <w:r>
              <w:t> Tiesiskā regulējuma nefinansiālā ietekme</w:t>
            </w:r>
          </w:p>
        </w:tc>
        <w:tc>
          <w:tcPr>
            <w:tcW w:w="5039" w:type="dxa"/>
          </w:tcPr>
          <w:p w:rsidR="006C1336" w:rsidRDefault="006C1336" w:rsidP="00C5008A">
            <w:pPr>
              <w:jc w:val="both"/>
            </w:pPr>
            <w:r>
              <w:t> Projekts šo jomu neskar.</w:t>
            </w:r>
          </w:p>
        </w:tc>
      </w:tr>
      <w:tr w:rsidR="006C1336" w:rsidTr="00C5008A">
        <w:tc>
          <w:tcPr>
            <w:tcW w:w="519" w:type="dxa"/>
          </w:tcPr>
          <w:p w:rsidR="006C1336" w:rsidRDefault="006C1336" w:rsidP="00C5008A">
            <w:pPr>
              <w:jc w:val="both"/>
            </w:pPr>
            <w:r>
              <w:t>5.</w:t>
            </w:r>
          </w:p>
        </w:tc>
        <w:tc>
          <w:tcPr>
            <w:tcW w:w="3729" w:type="dxa"/>
          </w:tcPr>
          <w:p w:rsidR="006C1336" w:rsidRDefault="006C1336" w:rsidP="00C5008A">
            <w:pPr>
              <w:jc w:val="both"/>
            </w:pPr>
            <w:r>
              <w:t>Administratīvās procedūras raksturojums</w:t>
            </w:r>
          </w:p>
        </w:tc>
        <w:tc>
          <w:tcPr>
            <w:tcW w:w="5039" w:type="dxa"/>
          </w:tcPr>
          <w:p w:rsidR="006C1336" w:rsidRDefault="006C1336" w:rsidP="00C5008A">
            <w:pPr>
              <w:jc w:val="both"/>
            </w:pPr>
            <w:r>
              <w:t>Projekts šo jomu neskar.</w:t>
            </w:r>
          </w:p>
        </w:tc>
      </w:tr>
      <w:tr w:rsidR="006C1336" w:rsidTr="00C5008A">
        <w:tc>
          <w:tcPr>
            <w:tcW w:w="519" w:type="dxa"/>
          </w:tcPr>
          <w:p w:rsidR="006C1336" w:rsidRDefault="006C1336" w:rsidP="00C5008A">
            <w:pPr>
              <w:jc w:val="both"/>
            </w:pPr>
            <w:r>
              <w:t>6.</w:t>
            </w:r>
          </w:p>
        </w:tc>
        <w:tc>
          <w:tcPr>
            <w:tcW w:w="3729" w:type="dxa"/>
          </w:tcPr>
          <w:p w:rsidR="006C1336" w:rsidRDefault="006C1336" w:rsidP="00C5008A">
            <w:pPr>
              <w:jc w:val="both"/>
            </w:pPr>
            <w:r>
              <w:t>Administratīvo i</w:t>
            </w:r>
            <w:smartTag w:uri="urn:schemas-microsoft-com:office:smarttags" w:element="PersonName">
              <w:r>
                <w:t>zm</w:t>
              </w:r>
            </w:smartTag>
            <w:r>
              <w:t xml:space="preserve">aksu monetārs </w:t>
            </w:r>
            <w:r>
              <w:lastRenderedPageBreak/>
              <w:t>novērtējums</w:t>
            </w:r>
          </w:p>
        </w:tc>
        <w:tc>
          <w:tcPr>
            <w:tcW w:w="5039" w:type="dxa"/>
          </w:tcPr>
          <w:p w:rsidR="006C1336" w:rsidRDefault="006C1336" w:rsidP="00C5008A">
            <w:pPr>
              <w:jc w:val="both"/>
            </w:pPr>
            <w:r>
              <w:lastRenderedPageBreak/>
              <w:t>Projekts šo jomu neskar.</w:t>
            </w:r>
          </w:p>
        </w:tc>
      </w:tr>
      <w:tr w:rsidR="006C1336" w:rsidTr="00C5008A">
        <w:tc>
          <w:tcPr>
            <w:tcW w:w="519" w:type="dxa"/>
          </w:tcPr>
          <w:p w:rsidR="006C1336" w:rsidRDefault="006C1336" w:rsidP="00C5008A">
            <w:pPr>
              <w:jc w:val="both"/>
            </w:pPr>
            <w:r>
              <w:lastRenderedPageBreak/>
              <w:t>7.</w:t>
            </w:r>
          </w:p>
        </w:tc>
        <w:tc>
          <w:tcPr>
            <w:tcW w:w="3729" w:type="dxa"/>
          </w:tcPr>
          <w:p w:rsidR="006C1336" w:rsidRDefault="006C1336" w:rsidP="00C5008A">
            <w:pPr>
              <w:jc w:val="both"/>
            </w:pPr>
            <w:r>
              <w:t>Cita informācija</w:t>
            </w:r>
          </w:p>
        </w:tc>
        <w:tc>
          <w:tcPr>
            <w:tcW w:w="5039" w:type="dxa"/>
          </w:tcPr>
          <w:p w:rsidR="006C1336" w:rsidRDefault="006C1336" w:rsidP="00C5008A">
            <w:pPr>
              <w:jc w:val="both"/>
            </w:pPr>
            <w:r>
              <w:t>Nav.</w:t>
            </w:r>
          </w:p>
        </w:tc>
      </w:tr>
    </w:tbl>
    <w:p w:rsidR="006C1336" w:rsidRDefault="006C1336" w:rsidP="000E3EAE">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440"/>
        <w:gridCol w:w="1440"/>
        <w:gridCol w:w="1440"/>
        <w:gridCol w:w="1440"/>
      </w:tblGrid>
      <w:tr w:rsidR="006C1336" w:rsidTr="00C5008A">
        <w:tc>
          <w:tcPr>
            <w:tcW w:w="9288" w:type="dxa"/>
            <w:gridSpan w:val="6"/>
          </w:tcPr>
          <w:p w:rsidR="006C1336" w:rsidRDefault="006C1336" w:rsidP="00C5008A">
            <w:pPr>
              <w:jc w:val="center"/>
            </w:pPr>
            <w:r w:rsidRPr="00802643">
              <w:rPr>
                <w:b/>
                <w:bCs/>
              </w:rPr>
              <w:t>III. Tiesību akta projekta ietekme uz valsts budžetu un pašvaldību budžetiem</w:t>
            </w:r>
          </w:p>
        </w:tc>
      </w:tr>
      <w:tr w:rsidR="006C1336" w:rsidTr="00C5008A">
        <w:tc>
          <w:tcPr>
            <w:tcW w:w="2268" w:type="dxa"/>
            <w:vMerge w:val="restart"/>
          </w:tcPr>
          <w:p w:rsidR="006C1336" w:rsidRDefault="006C1336" w:rsidP="00C5008A">
            <w:pPr>
              <w:jc w:val="center"/>
            </w:pPr>
            <w:r w:rsidRPr="00802643">
              <w:rPr>
                <w:b/>
                <w:bCs/>
              </w:rPr>
              <w:t>Rādītāji</w:t>
            </w:r>
          </w:p>
        </w:tc>
        <w:tc>
          <w:tcPr>
            <w:tcW w:w="2700" w:type="dxa"/>
            <w:gridSpan w:val="2"/>
            <w:vMerge w:val="restart"/>
          </w:tcPr>
          <w:p w:rsidR="006C1336" w:rsidRDefault="006C1336" w:rsidP="00C5008A">
            <w:pPr>
              <w:jc w:val="center"/>
            </w:pPr>
            <w:r>
              <w:rPr>
                <w:b/>
                <w:bCs/>
              </w:rPr>
              <w:t>2013</w:t>
            </w:r>
            <w:r w:rsidRPr="00802643">
              <w:rPr>
                <w:b/>
                <w:bCs/>
              </w:rPr>
              <w:t>.gads</w:t>
            </w:r>
          </w:p>
        </w:tc>
        <w:tc>
          <w:tcPr>
            <w:tcW w:w="4320" w:type="dxa"/>
            <w:gridSpan w:val="3"/>
          </w:tcPr>
          <w:p w:rsidR="006C1336" w:rsidRPr="00802643" w:rsidRDefault="006C1336" w:rsidP="00C5008A">
            <w:pPr>
              <w:tabs>
                <w:tab w:val="left" w:pos="3480"/>
              </w:tabs>
              <w:jc w:val="center"/>
              <w:rPr>
                <w:b/>
              </w:rPr>
            </w:pPr>
            <w:r w:rsidRPr="00802643">
              <w:rPr>
                <w:b/>
              </w:rPr>
              <w:t>Turpmākie trīs gadi (tūkst</w:t>
            </w:r>
            <w:smartTag w:uri="urn:schemas-microsoft-com:office:smarttags" w:element="PersonName">
              <w:r w:rsidRPr="00802643">
                <w:rPr>
                  <w:b/>
                </w:rPr>
                <w:t>. latu</w:t>
              </w:r>
            </w:smartTag>
            <w:r w:rsidRPr="00802643">
              <w:rPr>
                <w:b/>
              </w:rPr>
              <w:t>)</w:t>
            </w:r>
          </w:p>
        </w:tc>
      </w:tr>
      <w:tr w:rsidR="006C1336" w:rsidTr="00C5008A">
        <w:tc>
          <w:tcPr>
            <w:tcW w:w="2268" w:type="dxa"/>
            <w:vMerge/>
          </w:tcPr>
          <w:p w:rsidR="006C1336" w:rsidRDefault="006C1336" w:rsidP="00C5008A">
            <w:pPr>
              <w:jc w:val="both"/>
            </w:pPr>
          </w:p>
        </w:tc>
        <w:tc>
          <w:tcPr>
            <w:tcW w:w="2700" w:type="dxa"/>
            <w:gridSpan w:val="2"/>
            <w:vMerge/>
          </w:tcPr>
          <w:p w:rsidR="006C1336" w:rsidRDefault="006C1336" w:rsidP="00C5008A">
            <w:pPr>
              <w:jc w:val="both"/>
            </w:pPr>
          </w:p>
        </w:tc>
        <w:tc>
          <w:tcPr>
            <w:tcW w:w="1440" w:type="dxa"/>
          </w:tcPr>
          <w:p w:rsidR="006C1336" w:rsidRPr="00BE099C" w:rsidRDefault="006C1336" w:rsidP="00C5008A">
            <w:pPr>
              <w:jc w:val="center"/>
            </w:pPr>
            <w:r>
              <w:rPr>
                <w:b/>
                <w:bCs/>
              </w:rPr>
              <w:t xml:space="preserve"> 2014</w:t>
            </w:r>
            <w:r w:rsidRPr="00BE099C">
              <w:rPr>
                <w:b/>
                <w:bCs/>
              </w:rPr>
              <w:t>.gads</w:t>
            </w:r>
          </w:p>
        </w:tc>
        <w:tc>
          <w:tcPr>
            <w:tcW w:w="1440" w:type="dxa"/>
          </w:tcPr>
          <w:p w:rsidR="006C1336" w:rsidRPr="00BE099C" w:rsidRDefault="006C1336" w:rsidP="00C5008A">
            <w:pPr>
              <w:jc w:val="center"/>
            </w:pPr>
            <w:r w:rsidRPr="00BE099C">
              <w:rPr>
                <w:b/>
                <w:bCs/>
              </w:rPr>
              <w:t xml:space="preserve"> 201</w:t>
            </w:r>
            <w:r>
              <w:rPr>
                <w:b/>
                <w:bCs/>
              </w:rPr>
              <w:t>5</w:t>
            </w:r>
            <w:r w:rsidRPr="00BE099C">
              <w:rPr>
                <w:b/>
                <w:bCs/>
              </w:rPr>
              <w:t>.gads</w:t>
            </w:r>
          </w:p>
        </w:tc>
        <w:tc>
          <w:tcPr>
            <w:tcW w:w="1440" w:type="dxa"/>
          </w:tcPr>
          <w:p w:rsidR="006C1336" w:rsidRPr="00BE099C" w:rsidRDefault="006C1336" w:rsidP="00C5008A">
            <w:pPr>
              <w:ind w:right="4"/>
              <w:jc w:val="center"/>
            </w:pPr>
            <w:r w:rsidRPr="00BE099C">
              <w:rPr>
                <w:b/>
                <w:bCs/>
              </w:rPr>
              <w:t xml:space="preserve"> 201</w:t>
            </w:r>
            <w:r>
              <w:rPr>
                <w:b/>
                <w:bCs/>
              </w:rPr>
              <w:t>6</w:t>
            </w:r>
            <w:r w:rsidRPr="00BE099C">
              <w:rPr>
                <w:b/>
                <w:bCs/>
              </w:rPr>
              <w:t>.gads</w:t>
            </w:r>
          </w:p>
        </w:tc>
      </w:tr>
      <w:tr w:rsidR="006C1336" w:rsidTr="00C5008A">
        <w:tc>
          <w:tcPr>
            <w:tcW w:w="2268" w:type="dxa"/>
            <w:vMerge/>
          </w:tcPr>
          <w:p w:rsidR="006C1336" w:rsidRDefault="006C1336" w:rsidP="00C5008A">
            <w:pPr>
              <w:jc w:val="both"/>
            </w:pPr>
          </w:p>
        </w:tc>
        <w:tc>
          <w:tcPr>
            <w:tcW w:w="1260" w:type="dxa"/>
          </w:tcPr>
          <w:p w:rsidR="006C1336" w:rsidRDefault="006C1336" w:rsidP="00C5008A">
            <w:pPr>
              <w:jc w:val="both"/>
            </w:pPr>
            <w:r>
              <w:t> Saskaņā ar valsts budžetu kārtējam gadam</w:t>
            </w:r>
          </w:p>
        </w:tc>
        <w:tc>
          <w:tcPr>
            <w:tcW w:w="1440" w:type="dxa"/>
          </w:tcPr>
          <w:p w:rsidR="006C1336" w:rsidRDefault="006C1336" w:rsidP="00C5008A">
            <w:pPr>
              <w:ind w:left="-61"/>
              <w:jc w:val="both"/>
            </w:pPr>
            <w:r>
              <w:t> I</w:t>
            </w:r>
            <w:smartTag w:uri="urn:schemas-microsoft-com:office:smarttags" w:element="PersonName">
              <w:r>
                <w:t>zm</w:t>
              </w:r>
            </w:smartTag>
            <w:r>
              <w:t>aiņas kārtējā gadā, salīdzinot ar budžetu kārtējam gadam</w:t>
            </w:r>
          </w:p>
        </w:tc>
        <w:tc>
          <w:tcPr>
            <w:tcW w:w="1440" w:type="dxa"/>
          </w:tcPr>
          <w:p w:rsidR="006C1336" w:rsidRDefault="006C1336" w:rsidP="00C5008A">
            <w:pPr>
              <w:ind w:left="-108"/>
              <w:jc w:val="both"/>
            </w:pPr>
            <w:r>
              <w:t>I</w:t>
            </w:r>
            <w:smartTag w:uri="urn:schemas-microsoft-com:office:smarttags" w:element="PersonName">
              <w:r>
                <w:t>zm</w:t>
              </w:r>
            </w:smartTag>
            <w:r>
              <w:t>aiņas, salīdzinot ar kārtējo (n) gadu</w:t>
            </w:r>
          </w:p>
        </w:tc>
        <w:tc>
          <w:tcPr>
            <w:tcW w:w="1440" w:type="dxa"/>
          </w:tcPr>
          <w:p w:rsidR="006C1336" w:rsidRDefault="006C1336" w:rsidP="00C5008A">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6C1336" w:rsidRDefault="006C1336" w:rsidP="00C5008A">
            <w:pPr>
              <w:jc w:val="both"/>
            </w:pPr>
            <w:r>
              <w:t> I</w:t>
            </w:r>
            <w:smartTag w:uri="urn:schemas-microsoft-com:office:smarttags" w:element="PersonName">
              <w:r>
                <w:t>zm</w:t>
              </w:r>
            </w:smartTag>
            <w:r>
              <w:t>aiņas, salīdzinot ar kārtējo (n) gadu</w:t>
            </w:r>
          </w:p>
        </w:tc>
      </w:tr>
      <w:tr w:rsidR="006C1336" w:rsidTr="00C5008A">
        <w:tc>
          <w:tcPr>
            <w:tcW w:w="2268" w:type="dxa"/>
          </w:tcPr>
          <w:p w:rsidR="006C1336" w:rsidRDefault="006C1336" w:rsidP="00C5008A">
            <w:pPr>
              <w:jc w:val="center"/>
            </w:pPr>
            <w:r>
              <w:t>1</w:t>
            </w:r>
          </w:p>
        </w:tc>
        <w:tc>
          <w:tcPr>
            <w:tcW w:w="1260" w:type="dxa"/>
          </w:tcPr>
          <w:p w:rsidR="006C1336" w:rsidRDefault="006C1336" w:rsidP="00C5008A">
            <w:pPr>
              <w:jc w:val="center"/>
            </w:pPr>
            <w:r>
              <w:t>2</w:t>
            </w:r>
          </w:p>
        </w:tc>
        <w:tc>
          <w:tcPr>
            <w:tcW w:w="1440" w:type="dxa"/>
          </w:tcPr>
          <w:p w:rsidR="006C1336" w:rsidRDefault="006C1336" w:rsidP="00C5008A">
            <w:pPr>
              <w:jc w:val="center"/>
            </w:pPr>
            <w:r>
              <w:t>3</w:t>
            </w:r>
          </w:p>
        </w:tc>
        <w:tc>
          <w:tcPr>
            <w:tcW w:w="1440" w:type="dxa"/>
          </w:tcPr>
          <w:p w:rsidR="006C1336" w:rsidRDefault="006C1336" w:rsidP="00C5008A">
            <w:pPr>
              <w:jc w:val="center"/>
            </w:pPr>
            <w:r>
              <w:t>4</w:t>
            </w:r>
          </w:p>
        </w:tc>
        <w:tc>
          <w:tcPr>
            <w:tcW w:w="1440" w:type="dxa"/>
          </w:tcPr>
          <w:p w:rsidR="006C1336" w:rsidRDefault="006C1336" w:rsidP="00C5008A">
            <w:pPr>
              <w:jc w:val="center"/>
            </w:pPr>
            <w:r>
              <w:t>5</w:t>
            </w:r>
          </w:p>
        </w:tc>
        <w:tc>
          <w:tcPr>
            <w:tcW w:w="1440" w:type="dxa"/>
          </w:tcPr>
          <w:p w:rsidR="006C1336" w:rsidRDefault="006C1336" w:rsidP="00C5008A">
            <w:pPr>
              <w:jc w:val="center"/>
            </w:pPr>
            <w:r>
              <w:t>6</w:t>
            </w:r>
          </w:p>
        </w:tc>
      </w:tr>
      <w:tr w:rsidR="006C1336" w:rsidTr="00C5008A">
        <w:tc>
          <w:tcPr>
            <w:tcW w:w="2268" w:type="dxa"/>
          </w:tcPr>
          <w:p w:rsidR="006C1336" w:rsidRDefault="006C1336" w:rsidP="00C5008A">
            <w:pPr>
              <w:jc w:val="both"/>
            </w:pPr>
            <w:r>
              <w:t>1. Budžeta ieņēmumi:</w:t>
            </w:r>
          </w:p>
        </w:tc>
        <w:tc>
          <w:tcPr>
            <w:tcW w:w="126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1.1. valsts pamatbudžets, tai skaitā ieņēmumi no maksas pakalpo-</w:t>
            </w:r>
            <w:proofErr w:type="spellStart"/>
            <w:r>
              <w:t>jumiem</w:t>
            </w:r>
            <w:proofErr w:type="spellEnd"/>
            <w:r>
              <w:t xml:space="preserve"> un citi pašu ieņēmumi</w:t>
            </w:r>
          </w:p>
        </w:tc>
        <w:tc>
          <w:tcPr>
            <w:tcW w:w="126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1.2. valsts speciālais budžets</w:t>
            </w:r>
          </w:p>
        </w:tc>
        <w:tc>
          <w:tcPr>
            <w:tcW w:w="126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1.3. pašvaldību budžets</w:t>
            </w:r>
          </w:p>
        </w:tc>
        <w:tc>
          <w:tcPr>
            <w:tcW w:w="126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2. Budžeta izdevumi:</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t>142,4</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2.1. valsts pamatbudžets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t>142,4</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2.2. valsts speciālais 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2.3. pašvaldību 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3. Finansiālā ietekme:</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t>–142,4</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3.1. valsts pamatbudžets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t>–142,4</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3.2. speciālais 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3.3. pašvaldību budžets</w:t>
            </w:r>
          </w:p>
        </w:tc>
        <w:tc>
          <w:tcPr>
            <w:tcW w:w="1260" w:type="dxa"/>
          </w:tcPr>
          <w:p w:rsidR="006C1336" w:rsidRDefault="006C1336" w:rsidP="00C5008A">
            <w:pPr>
              <w:jc w:val="center"/>
            </w:pPr>
            <w:r>
              <w:t>0</w:t>
            </w: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vMerge w:val="restart"/>
          </w:tcPr>
          <w:p w:rsidR="006C1336" w:rsidRDefault="006C1336" w:rsidP="00C5008A">
            <w:pPr>
              <w:jc w:val="both"/>
            </w:pPr>
            <w:r>
              <w:t>4. Finanšu līdzekļi papildu izde</w:t>
            </w:r>
            <w:r>
              <w:softHyphen/>
              <w:t>vumu finansēšanai (kompensējošu izdevumu samazinājumu norāda ar "+" zīmi)</w:t>
            </w:r>
          </w:p>
        </w:tc>
        <w:tc>
          <w:tcPr>
            <w:tcW w:w="1260" w:type="dxa"/>
            <w:vMerge w:val="restart"/>
          </w:tcPr>
          <w:p w:rsidR="006C1336" w:rsidRDefault="006C1336" w:rsidP="00C5008A">
            <w:pPr>
              <w:jc w:val="center"/>
            </w:pPr>
            <w:r>
              <w:t>X</w:t>
            </w: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vMerge/>
          </w:tcPr>
          <w:p w:rsidR="006C1336" w:rsidRDefault="006C1336" w:rsidP="00C5008A">
            <w:pPr>
              <w:jc w:val="both"/>
            </w:pPr>
          </w:p>
        </w:tc>
        <w:tc>
          <w:tcPr>
            <w:tcW w:w="1260" w:type="dxa"/>
            <w:vMerge/>
          </w:tcPr>
          <w:p w:rsidR="006C1336" w:rsidRDefault="006C1336" w:rsidP="00C5008A">
            <w:pPr>
              <w:jc w:val="both"/>
            </w:pPr>
          </w:p>
        </w:tc>
        <w:tc>
          <w:tcPr>
            <w:tcW w:w="1440" w:type="dxa"/>
          </w:tcPr>
          <w:p w:rsidR="006C1336" w:rsidRPr="009941DE" w:rsidRDefault="006C1336" w:rsidP="00C5008A">
            <w:pPr>
              <w:jc w:val="center"/>
            </w:pPr>
            <w:r w:rsidRPr="009941DE">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vMerge/>
          </w:tcPr>
          <w:p w:rsidR="006C1336" w:rsidRDefault="006C1336" w:rsidP="00C5008A">
            <w:pPr>
              <w:jc w:val="both"/>
            </w:pPr>
          </w:p>
        </w:tc>
        <w:tc>
          <w:tcPr>
            <w:tcW w:w="1260" w:type="dxa"/>
            <w:vMerge/>
          </w:tcPr>
          <w:p w:rsidR="006C1336" w:rsidRDefault="006C1336" w:rsidP="00C5008A">
            <w:pPr>
              <w:jc w:val="both"/>
            </w:pPr>
          </w:p>
        </w:tc>
        <w:tc>
          <w:tcPr>
            <w:tcW w:w="1440" w:type="dxa"/>
          </w:tcPr>
          <w:p w:rsidR="006C1336" w:rsidRPr="009941DE" w:rsidRDefault="006C1336" w:rsidP="00C5008A">
            <w:pPr>
              <w:jc w:val="center"/>
            </w:pPr>
            <w:r>
              <w:t>+142,4</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5. Precizēta finansiālā ietekme:</w:t>
            </w:r>
          </w:p>
        </w:tc>
        <w:tc>
          <w:tcPr>
            <w:tcW w:w="1260" w:type="dxa"/>
            <w:vMerge w:val="restart"/>
          </w:tcPr>
          <w:p w:rsidR="006C1336" w:rsidRDefault="006C1336" w:rsidP="00C5008A">
            <w:pPr>
              <w:jc w:val="center"/>
            </w:pPr>
            <w:r>
              <w:t>X</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 xml:space="preserve">5.1. valsts </w:t>
            </w:r>
            <w:r>
              <w:lastRenderedPageBreak/>
              <w:t>pamatbudžets</w:t>
            </w:r>
          </w:p>
        </w:tc>
        <w:tc>
          <w:tcPr>
            <w:tcW w:w="1260" w:type="dxa"/>
            <w:vMerge/>
          </w:tcPr>
          <w:p w:rsidR="006C1336" w:rsidRDefault="006C1336" w:rsidP="00C5008A">
            <w:pPr>
              <w:jc w:val="both"/>
            </w:pP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lastRenderedPageBreak/>
              <w:t>5.2. speciālais budžets</w:t>
            </w:r>
          </w:p>
        </w:tc>
        <w:tc>
          <w:tcPr>
            <w:tcW w:w="1260" w:type="dxa"/>
            <w:vMerge/>
          </w:tcPr>
          <w:p w:rsidR="006C1336" w:rsidRDefault="006C1336" w:rsidP="00C5008A">
            <w:pPr>
              <w:jc w:val="both"/>
            </w:pP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 5.3. pašvaldību budžets</w:t>
            </w:r>
          </w:p>
        </w:tc>
        <w:tc>
          <w:tcPr>
            <w:tcW w:w="1260" w:type="dxa"/>
            <w:vMerge/>
          </w:tcPr>
          <w:p w:rsidR="006C1336" w:rsidRDefault="006C1336" w:rsidP="00C5008A">
            <w:pPr>
              <w:jc w:val="both"/>
            </w:pP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c>
          <w:tcPr>
            <w:tcW w:w="1440" w:type="dxa"/>
          </w:tcPr>
          <w:p w:rsidR="006C1336" w:rsidRDefault="006C1336" w:rsidP="00C5008A">
            <w:pPr>
              <w:jc w:val="center"/>
            </w:pPr>
            <w:r>
              <w:t>0</w:t>
            </w:r>
          </w:p>
        </w:tc>
      </w:tr>
      <w:tr w:rsidR="006C1336" w:rsidTr="00C5008A">
        <w:tc>
          <w:tcPr>
            <w:tcW w:w="2268" w:type="dxa"/>
          </w:tcPr>
          <w:p w:rsidR="006C1336" w:rsidRDefault="006C1336" w:rsidP="00C5008A">
            <w:pPr>
              <w:jc w:val="both"/>
            </w:pPr>
            <w:r>
              <w:t>6. Detalizēts ieņēmumu un izdevu</w:t>
            </w:r>
            <w:r>
              <w:softHyphen/>
              <w:t>mu aprēķins (ja nepieciešams, detalizētu ieņēmumu un izdevumu aprēķinu var pievienot anotācijas pielikumā):</w:t>
            </w:r>
          </w:p>
        </w:tc>
        <w:tc>
          <w:tcPr>
            <w:tcW w:w="7020" w:type="dxa"/>
            <w:gridSpan w:val="5"/>
          </w:tcPr>
          <w:p w:rsidR="006C1336" w:rsidRDefault="006C1336" w:rsidP="000F428F">
            <w:pPr>
              <w:jc w:val="both"/>
            </w:pPr>
            <w:r>
              <w:t>Saskaņā ar Ministru kabineta rīkojuma projektu paredzēts izmaksāt kompensāciju AS „</w:t>
            </w:r>
            <w:proofErr w:type="spellStart"/>
            <w:r>
              <w:t>Balticovo</w:t>
            </w:r>
            <w:proofErr w:type="spellEnd"/>
            <w:r>
              <w:t>” LVL 142 438,20 apmērā. (Saskaņā ar noteikumu Nr.177 2.pielikuma 30.3.2.apakšpunktu par dējējvistas līdz 48 nedēļu vecumam iznīcināšanu paredzēta kompensācija LVL 1,88 apmērā. AS „</w:t>
            </w:r>
            <w:proofErr w:type="spellStart"/>
            <w:r>
              <w:t>Balticovo</w:t>
            </w:r>
            <w:proofErr w:type="spellEnd"/>
            <w:r>
              <w:t xml:space="preserve">” iznīcinātas 75 765 dējējvistas.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Pārtikas un veterinārā dienesta inspektors atzīmējis norādi par kompensācijas nesamazināšanu, dzīvnieku īpašniekam pienākas kompensācija LVL 142 438,20 apmērā.) </w:t>
            </w:r>
          </w:p>
        </w:tc>
      </w:tr>
      <w:tr w:rsidR="006C1336" w:rsidTr="00C5008A">
        <w:tc>
          <w:tcPr>
            <w:tcW w:w="2268" w:type="dxa"/>
          </w:tcPr>
          <w:p w:rsidR="006C1336" w:rsidRDefault="006C1336" w:rsidP="00C5008A">
            <w:pPr>
              <w:jc w:val="both"/>
            </w:pPr>
            <w:r>
              <w:t>6.1. detalizēts ieņēmumu aprēķins</w:t>
            </w:r>
          </w:p>
        </w:tc>
        <w:tc>
          <w:tcPr>
            <w:tcW w:w="7020" w:type="dxa"/>
            <w:gridSpan w:val="5"/>
          </w:tcPr>
          <w:p w:rsidR="006C1336" w:rsidRDefault="006C1336" w:rsidP="00C5008A">
            <w:pPr>
              <w:jc w:val="both"/>
            </w:pPr>
          </w:p>
        </w:tc>
      </w:tr>
      <w:tr w:rsidR="006C1336" w:rsidTr="00C5008A">
        <w:tc>
          <w:tcPr>
            <w:tcW w:w="2268" w:type="dxa"/>
          </w:tcPr>
          <w:p w:rsidR="006C1336" w:rsidRDefault="006C1336" w:rsidP="00C5008A">
            <w:pPr>
              <w:jc w:val="both"/>
            </w:pPr>
            <w:r>
              <w:t>6.2. detalizēts izdevumu aprēķins</w:t>
            </w:r>
          </w:p>
        </w:tc>
        <w:tc>
          <w:tcPr>
            <w:tcW w:w="7020" w:type="dxa"/>
            <w:gridSpan w:val="5"/>
          </w:tcPr>
          <w:p w:rsidR="006C1336" w:rsidRDefault="006C1336" w:rsidP="00C5008A">
            <w:pPr>
              <w:jc w:val="both"/>
            </w:pPr>
          </w:p>
        </w:tc>
      </w:tr>
      <w:tr w:rsidR="006C1336" w:rsidTr="00C5008A">
        <w:tc>
          <w:tcPr>
            <w:tcW w:w="2268" w:type="dxa"/>
          </w:tcPr>
          <w:p w:rsidR="006C1336" w:rsidRDefault="006C1336" w:rsidP="00C5008A">
            <w:pPr>
              <w:jc w:val="both"/>
            </w:pPr>
            <w:r>
              <w:t>7. Cita informācija</w:t>
            </w:r>
          </w:p>
        </w:tc>
        <w:tc>
          <w:tcPr>
            <w:tcW w:w="7020" w:type="dxa"/>
            <w:gridSpan w:val="5"/>
          </w:tcPr>
          <w:p w:rsidR="006C1336" w:rsidRDefault="006C1336" w:rsidP="00C5008A">
            <w:pPr>
              <w:jc w:val="both"/>
            </w:pPr>
            <w:r>
              <w:t>Lēmums par kompensācijas apmēru pieņemts individuāli. Noteikumu Nr.177 6.punktā noteikti kritēriji, pēc kuriem var samazināt izmaksājamo kompensāciju. Turklāt Pārtikas un veterinārā dienesta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6C1336" w:rsidRDefault="006C1336" w:rsidP="00C5008A">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p w:rsidR="006C1336" w:rsidRPr="003A095A" w:rsidRDefault="006C1336" w:rsidP="009C41B6">
            <w:pPr>
              <w:jc w:val="both"/>
            </w:pPr>
            <w:r w:rsidRPr="003A095A">
              <w:rPr>
                <w:bCs/>
                <w:color w:val="000000"/>
              </w:rPr>
              <w:t xml:space="preserve">Eiropas Komisija līdzfinansē tikai </w:t>
            </w:r>
            <w:proofErr w:type="spellStart"/>
            <w:r w:rsidRPr="003A095A">
              <w:rPr>
                <w:bCs/>
                <w:color w:val="000000"/>
              </w:rPr>
              <w:t>zoonotiskās</w:t>
            </w:r>
            <w:proofErr w:type="spellEnd"/>
            <w:r w:rsidRPr="003A095A">
              <w:rPr>
                <w:bCs/>
                <w:color w:val="000000"/>
              </w:rPr>
              <w:t xml:space="preserve"> salmonelozes uzraudzības un apkarošanas pasākumus. Tā kā putnu tīfu neizraisa </w:t>
            </w:r>
            <w:proofErr w:type="spellStart"/>
            <w:r w:rsidRPr="003A095A">
              <w:rPr>
                <w:bCs/>
                <w:color w:val="000000"/>
              </w:rPr>
              <w:t>zoonotiskā</w:t>
            </w:r>
            <w:proofErr w:type="spellEnd"/>
            <w:r w:rsidRPr="003A095A">
              <w:rPr>
                <w:bCs/>
                <w:color w:val="000000"/>
              </w:rPr>
              <w:t xml:space="preserve"> </w:t>
            </w:r>
            <w:r w:rsidRPr="003A095A">
              <w:rPr>
                <w:bCs/>
                <w:i/>
                <w:color w:val="000000"/>
              </w:rPr>
              <w:t>salmonella</w:t>
            </w:r>
            <w:r w:rsidRPr="003A095A">
              <w:rPr>
                <w:bCs/>
                <w:color w:val="000000"/>
              </w:rPr>
              <w:t xml:space="preserve">, tad Latvija no Eiropas Komisijas </w:t>
            </w:r>
            <w:r w:rsidR="009C41B6" w:rsidRPr="003A095A">
              <w:rPr>
                <w:bCs/>
                <w:color w:val="000000"/>
              </w:rPr>
              <w:t xml:space="preserve">nevar atgūt </w:t>
            </w:r>
            <w:r w:rsidRPr="003A095A">
              <w:rPr>
                <w:bCs/>
                <w:color w:val="000000"/>
              </w:rPr>
              <w:t>50% no dzīvnieku īpašniekam kompensācijās izmaksātajiem līdzekļiem.</w:t>
            </w:r>
          </w:p>
        </w:tc>
      </w:tr>
    </w:tbl>
    <w:p w:rsidR="006C1336" w:rsidRDefault="006C1336" w:rsidP="000E3EAE">
      <w:pPr>
        <w:jc w:val="both"/>
      </w:pPr>
    </w:p>
    <w:p w:rsidR="006C1336" w:rsidRPr="00DA6E63" w:rsidRDefault="006C1336" w:rsidP="000E3EAE">
      <w:pPr>
        <w:jc w:val="both"/>
        <w:rPr>
          <w:i/>
        </w:rPr>
      </w:pPr>
      <w:r w:rsidRPr="00DA6E63">
        <w:rPr>
          <w:i/>
        </w:rPr>
        <w:t>Anotācijas IV, V, VI un VII sadaļa – projekts šīs jomas neskar.</w:t>
      </w:r>
    </w:p>
    <w:p w:rsidR="006C1336" w:rsidRDefault="006C1336" w:rsidP="000E3EAE">
      <w:pPr>
        <w:ind w:firstLine="720"/>
        <w:jc w:val="both"/>
        <w:rPr>
          <w:color w:val="000000"/>
          <w:sz w:val="28"/>
          <w:szCs w:val="28"/>
        </w:rPr>
      </w:pPr>
    </w:p>
    <w:p w:rsidR="006C1336" w:rsidRDefault="006C1336" w:rsidP="000E3EAE">
      <w:pPr>
        <w:ind w:firstLine="720"/>
        <w:jc w:val="both"/>
        <w:rPr>
          <w:color w:val="000000"/>
          <w:sz w:val="28"/>
          <w:szCs w:val="28"/>
        </w:rPr>
      </w:pPr>
      <w:r>
        <w:rPr>
          <w:color w:val="000000"/>
          <w:sz w:val="28"/>
          <w:szCs w:val="28"/>
        </w:rPr>
        <w:t xml:space="preserve">Zemkopības ministre </w:t>
      </w:r>
      <w:r w:rsidRPr="00C7242E">
        <w:rPr>
          <w:color w:val="000000"/>
          <w:sz w:val="28"/>
          <w:szCs w:val="28"/>
        </w:rPr>
        <w:tab/>
      </w:r>
      <w:r w:rsidRPr="00C7242E">
        <w:rPr>
          <w:color w:val="000000"/>
          <w:sz w:val="28"/>
          <w:szCs w:val="28"/>
        </w:rPr>
        <w:tab/>
      </w:r>
      <w:r w:rsidRPr="00C7242E">
        <w:rPr>
          <w:color w:val="000000"/>
          <w:sz w:val="28"/>
          <w:szCs w:val="28"/>
        </w:rPr>
        <w:tab/>
      </w:r>
      <w:r w:rsidRPr="00C7242E">
        <w:rPr>
          <w:color w:val="000000"/>
          <w:sz w:val="28"/>
          <w:szCs w:val="28"/>
        </w:rPr>
        <w:tab/>
      </w:r>
      <w:r w:rsidRPr="00C7242E">
        <w:rPr>
          <w:color w:val="000000"/>
          <w:sz w:val="28"/>
          <w:szCs w:val="28"/>
        </w:rPr>
        <w:tab/>
      </w:r>
      <w:r w:rsidRPr="00C7242E">
        <w:rPr>
          <w:color w:val="000000"/>
          <w:sz w:val="28"/>
          <w:szCs w:val="28"/>
        </w:rPr>
        <w:tab/>
      </w:r>
      <w:r>
        <w:rPr>
          <w:color w:val="000000"/>
          <w:sz w:val="28"/>
          <w:szCs w:val="28"/>
        </w:rPr>
        <w:t>L.Straujuma</w:t>
      </w:r>
    </w:p>
    <w:p w:rsidR="003F7FF0" w:rsidRDefault="003F7FF0" w:rsidP="000E3EAE">
      <w:pPr>
        <w:ind w:firstLine="720"/>
        <w:jc w:val="both"/>
        <w:rPr>
          <w:color w:val="000000"/>
          <w:sz w:val="28"/>
          <w:szCs w:val="28"/>
        </w:rPr>
      </w:pPr>
    </w:p>
    <w:p w:rsidR="00051B57" w:rsidRDefault="00051B57" w:rsidP="000E3EAE">
      <w:pPr>
        <w:ind w:firstLine="720"/>
        <w:jc w:val="both"/>
        <w:rPr>
          <w:color w:val="000000"/>
          <w:sz w:val="28"/>
          <w:szCs w:val="28"/>
        </w:rPr>
      </w:pPr>
    </w:p>
    <w:p w:rsidR="00051B57" w:rsidRDefault="00051B57" w:rsidP="000E3EAE">
      <w:pPr>
        <w:ind w:firstLine="720"/>
        <w:jc w:val="both"/>
        <w:rPr>
          <w:color w:val="000000"/>
          <w:sz w:val="28"/>
          <w:szCs w:val="28"/>
        </w:rPr>
      </w:pPr>
    </w:p>
    <w:p w:rsidR="00051B57" w:rsidRPr="00051B57" w:rsidRDefault="00051B57" w:rsidP="000E3EAE">
      <w:pPr>
        <w:ind w:firstLine="720"/>
        <w:jc w:val="both"/>
        <w:rPr>
          <w:color w:val="000000"/>
          <w:sz w:val="20"/>
          <w:szCs w:val="20"/>
        </w:rPr>
      </w:pPr>
    </w:p>
    <w:p w:rsidR="003F7FF0" w:rsidRPr="00051B57" w:rsidRDefault="003F7FF0" w:rsidP="000E3EAE">
      <w:pPr>
        <w:ind w:firstLine="720"/>
        <w:jc w:val="both"/>
        <w:rPr>
          <w:color w:val="000000"/>
          <w:sz w:val="20"/>
          <w:szCs w:val="20"/>
        </w:rPr>
      </w:pPr>
      <w:bookmarkStart w:id="0" w:name="_GoBack"/>
      <w:bookmarkEnd w:id="0"/>
    </w:p>
    <w:p w:rsidR="00051B57" w:rsidRDefault="00051B57" w:rsidP="000E3EAE">
      <w:pPr>
        <w:jc w:val="both"/>
        <w:rPr>
          <w:sz w:val="20"/>
          <w:szCs w:val="20"/>
        </w:rPr>
      </w:pPr>
      <w:r>
        <w:rPr>
          <w:sz w:val="20"/>
          <w:szCs w:val="20"/>
        </w:rPr>
        <w:t>2013.12.11. 16:06</w:t>
      </w:r>
    </w:p>
    <w:p w:rsidR="00051B57" w:rsidRDefault="00051B57" w:rsidP="000E3EAE">
      <w:pPr>
        <w:jc w:val="both"/>
        <w:rPr>
          <w:sz w:val="20"/>
          <w:szCs w:val="20"/>
        </w:rPr>
      </w:pPr>
      <w:fldSimple w:instr=" NUMWORDS   \* MERGEFORMAT ">
        <w:r>
          <w:rPr>
            <w:noProof/>
            <w:sz w:val="20"/>
            <w:szCs w:val="20"/>
          </w:rPr>
          <w:t>1301</w:t>
        </w:r>
      </w:fldSimple>
    </w:p>
    <w:p w:rsidR="006C1336" w:rsidRPr="00051B57" w:rsidRDefault="006C1336" w:rsidP="000E3EAE">
      <w:pPr>
        <w:jc w:val="both"/>
        <w:rPr>
          <w:sz w:val="20"/>
          <w:szCs w:val="20"/>
        </w:rPr>
      </w:pPr>
      <w:r w:rsidRPr="00051B57">
        <w:rPr>
          <w:sz w:val="20"/>
          <w:szCs w:val="20"/>
        </w:rPr>
        <w:t>S.Vanaga</w:t>
      </w:r>
    </w:p>
    <w:p w:rsidR="006C1336" w:rsidRPr="00051B57" w:rsidRDefault="006C1336" w:rsidP="00DA718A">
      <w:pPr>
        <w:jc w:val="both"/>
        <w:rPr>
          <w:sz w:val="20"/>
          <w:szCs w:val="20"/>
        </w:rPr>
      </w:pPr>
      <w:r w:rsidRPr="00051B57">
        <w:rPr>
          <w:sz w:val="20"/>
          <w:szCs w:val="20"/>
        </w:rPr>
        <w:t>67027363, Sanita.Vanaga@zm.gov.lv</w:t>
      </w:r>
    </w:p>
    <w:sectPr w:rsidR="006C1336" w:rsidRPr="00051B57" w:rsidSect="00051B57">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22" w:rsidRDefault="00C97022" w:rsidP="000F428F">
      <w:r>
        <w:separator/>
      </w:r>
    </w:p>
  </w:endnote>
  <w:endnote w:type="continuationSeparator" w:id="0">
    <w:p w:rsidR="00C97022" w:rsidRDefault="00C97022" w:rsidP="000F4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36" w:rsidRPr="006A7080" w:rsidRDefault="006C1336" w:rsidP="009248B9">
    <w:pPr>
      <w:pStyle w:val="Kjene"/>
      <w:jc w:val="both"/>
      <w:rPr>
        <w:sz w:val="20"/>
        <w:szCs w:val="20"/>
      </w:rPr>
    </w:pPr>
    <w:r>
      <w:rPr>
        <w:sz w:val="20"/>
        <w:szCs w:val="20"/>
      </w:rPr>
      <w:t>ZMAnot_091213</w:t>
    </w:r>
    <w:r w:rsidRPr="006A7080">
      <w:rPr>
        <w:sz w:val="20"/>
        <w:szCs w:val="20"/>
      </w:rPr>
      <w:t>_kompensāciju izmaksa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36" w:rsidRPr="006A7080" w:rsidRDefault="006C1336" w:rsidP="009248B9">
    <w:pPr>
      <w:pStyle w:val="Kjene"/>
      <w:jc w:val="both"/>
      <w:rPr>
        <w:sz w:val="20"/>
        <w:szCs w:val="20"/>
      </w:rPr>
    </w:pPr>
    <w:r>
      <w:rPr>
        <w:sz w:val="20"/>
        <w:szCs w:val="20"/>
      </w:rPr>
      <w:t>ZMAnot_091213</w:t>
    </w:r>
    <w:r w:rsidRPr="006A7080">
      <w:rPr>
        <w:sz w:val="20"/>
        <w:szCs w:val="20"/>
      </w:rPr>
      <w:t>_kompensāciju izmaksa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22" w:rsidRDefault="00C97022" w:rsidP="000F428F">
      <w:r>
        <w:separator/>
      </w:r>
    </w:p>
  </w:footnote>
  <w:footnote w:type="continuationSeparator" w:id="0">
    <w:p w:rsidR="00C97022" w:rsidRDefault="00C97022" w:rsidP="000F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36" w:rsidRDefault="00E30294" w:rsidP="009248B9">
    <w:pPr>
      <w:pStyle w:val="Galvene"/>
      <w:jc w:val="center"/>
    </w:pPr>
    <w:r>
      <w:rPr>
        <w:rStyle w:val="Lappusesnumurs"/>
      </w:rPr>
      <w:fldChar w:fldCharType="begin"/>
    </w:r>
    <w:r w:rsidR="006C1336">
      <w:rPr>
        <w:rStyle w:val="Lappusesnumurs"/>
      </w:rPr>
      <w:instrText xml:space="preserve"> PAGE </w:instrText>
    </w:r>
    <w:r>
      <w:rPr>
        <w:rStyle w:val="Lappusesnumurs"/>
      </w:rPr>
      <w:fldChar w:fldCharType="separate"/>
    </w:r>
    <w:r w:rsidR="00051B57">
      <w:rPr>
        <w:rStyle w:val="Lappusesnumurs"/>
        <w:noProof/>
      </w:rPr>
      <w:t>5</w:t>
    </w:r>
    <w:r>
      <w:rPr>
        <w:rStyle w:val="Lappusesnumur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3EAE"/>
    <w:rsid w:val="00033D0F"/>
    <w:rsid w:val="00044B62"/>
    <w:rsid w:val="00051B57"/>
    <w:rsid w:val="000564BC"/>
    <w:rsid w:val="000646E7"/>
    <w:rsid w:val="000C2F6A"/>
    <w:rsid w:val="000E3EAE"/>
    <w:rsid w:val="000F1DBF"/>
    <w:rsid w:val="000F1F41"/>
    <w:rsid w:val="000F428F"/>
    <w:rsid w:val="0019718D"/>
    <w:rsid w:val="001E2A69"/>
    <w:rsid w:val="001F5E72"/>
    <w:rsid w:val="002304FC"/>
    <w:rsid w:val="002D1D43"/>
    <w:rsid w:val="002D5302"/>
    <w:rsid w:val="002E27E1"/>
    <w:rsid w:val="002F4CE1"/>
    <w:rsid w:val="00300BDA"/>
    <w:rsid w:val="00303FB6"/>
    <w:rsid w:val="003106A2"/>
    <w:rsid w:val="003371A8"/>
    <w:rsid w:val="003A095A"/>
    <w:rsid w:val="003A44D5"/>
    <w:rsid w:val="003F7FF0"/>
    <w:rsid w:val="00434198"/>
    <w:rsid w:val="004F6163"/>
    <w:rsid w:val="00526D81"/>
    <w:rsid w:val="005B4CD3"/>
    <w:rsid w:val="006A7080"/>
    <w:rsid w:val="006C1336"/>
    <w:rsid w:val="006D1429"/>
    <w:rsid w:val="007262C8"/>
    <w:rsid w:val="00776DFB"/>
    <w:rsid w:val="007A0EC2"/>
    <w:rsid w:val="00802643"/>
    <w:rsid w:val="008D0A6B"/>
    <w:rsid w:val="0091545D"/>
    <w:rsid w:val="00922599"/>
    <w:rsid w:val="009248B9"/>
    <w:rsid w:val="00950501"/>
    <w:rsid w:val="009931C8"/>
    <w:rsid w:val="009941DE"/>
    <w:rsid w:val="009C41B6"/>
    <w:rsid w:val="009E507A"/>
    <w:rsid w:val="00A97FB4"/>
    <w:rsid w:val="00AB451D"/>
    <w:rsid w:val="00AF00CD"/>
    <w:rsid w:val="00B929B0"/>
    <w:rsid w:val="00BA5232"/>
    <w:rsid w:val="00BD42F8"/>
    <w:rsid w:val="00BE099C"/>
    <w:rsid w:val="00C25004"/>
    <w:rsid w:val="00C26E7E"/>
    <w:rsid w:val="00C30A4C"/>
    <w:rsid w:val="00C5008A"/>
    <w:rsid w:val="00C7242E"/>
    <w:rsid w:val="00C81E77"/>
    <w:rsid w:val="00C92BDD"/>
    <w:rsid w:val="00C97022"/>
    <w:rsid w:val="00CD6BD8"/>
    <w:rsid w:val="00D52F51"/>
    <w:rsid w:val="00D72F62"/>
    <w:rsid w:val="00DA6E63"/>
    <w:rsid w:val="00DA718A"/>
    <w:rsid w:val="00DA7AC8"/>
    <w:rsid w:val="00E30294"/>
    <w:rsid w:val="00ED293C"/>
    <w:rsid w:val="00EE61A9"/>
    <w:rsid w:val="00EE624F"/>
    <w:rsid w:val="00F1150D"/>
    <w:rsid w:val="00F12677"/>
    <w:rsid w:val="00F168B8"/>
    <w:rsid w:val="00F36F95"/>
    <w:rsid w:val="00F37C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3EAE"/>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E3EAE"/>
    <w:pPr>
      <w:tabs>
        <w:tab w:val="center" w:pos="4153"/>
        <w:tab w:val="right" w:pos="8306"/>
      </w:tabs>
    </w:pPr>
  </w:style>
  <w:style w:type="character" w:customStyle="1" w:styleId="GalveneRakstz">
    <w:name w:val="Galvene Rakstz."/>
    <w:basedOn w:val="Noklusjumarindkopasfonts"/>
    <w:link w:val="Galvene"/>
    <w:uiPriority w:val="99"/>
    <w:locked/>
    <w:rsid w:val="000E3EAE"/>
    <w:rPr>
      <w:rFonts w:ascii="Times New Roman" w:hAnsi="Times New Roman" w:cs="Times New Roman"/>
      <w:sz w:val="24"/>
      <w:szCs w:val="24"/>
      <w:lang w:eastAsia="lv-LV"/>
    </w:rPr>
  </w:style>
  <w:style w:type="paragraph" w:styleId="Kjene">
    <w:name w:val="footer"/>
    <w:basedOn w:val="Parastais"/>
    <w:link w:val="KjeneRakstz"/>
    <w:uiPriority w:val="99"/>
    <w:rsid w:val="000E3EAE"/>
    <w:pPr>
      <w:tabs>
        <w:tab w:val="center" w:pos="4153"/>
        <w:tab w:val="right" w:pos="8306"/>
      </w:tabs>
    </w:pPr>
  </w:style>
  <w:style w:type="character" w:customStyle="1" w:styleId="KjeneRakstz">
    <w:name w:val="Kājene Rakstz."/>
    <w:basedOn w:val="Noklusjumarindkopasfonts"/>
    <w:link w:val="Kjene"/>
    <w:uiPriority w:val="99"/>
    <w:locked/>
    <w:rsid w:val="000E3EAE"/>
    <w:rPr>
      <w:rFonts w:ascii="Times New Roman" w:hAnsi="Times New Roman" w:cs="Times New Roman"/>
      <w:sz w:val="24"/>
      <w:szCs w:val="24"/>
      <w:lang w:eastAsia="lv-LV"/>
    </w:rPr>
  </w:style>
  <w:style w:type="character" w:styleId="Lappusesnumurs">
    <w:name w:val="page number"/>
    <w:basedOn w:val="Noklusjumarindkopasfonts"/>
    <w:uiPriority w:val="99"/>
    <w:rsid w:val="000E3EAE"/>
    <w:rPr>
      <w:rFonts w:cs="Times New Roman"/>
    </w:rPr>
  </w:style>
  <w:style w:type="paragraph" w:styleId="Bezatstarpm">
    <w:name w:val="No Spacing"/>
    <w:uiPriority w:val="99"/>
    <w:qFormat/>
    <w:rsid w:val="000E3EAE"/>
    <w:rPr>
      <w:rFonts w:ascii="Times New Roman" w:eastAsia="Times New Roman" w:hAnsi="Times New Roman"/>
      <w:sz w:val="24"/>
      <w:szCs w:val="24"/>
    </w:rPr>
  </w:style>
  <w:style w:type="paragraph" w:styleId="Balonteksts">
    <w:name w:val="Balloon Text"/>
    <w:basedOn w:val="Parastais"/>
    <w:link w:val="BalontekstsRakstz"/>
    <w:uiPriority w:val="99"/>
    <w:semiHidden/>
    <w:rsid w:val="00AF00C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F00CD"/>
    <w:rPr>
      <w:rFonts w:ascii="Tahoma" w:hAnsi="Tahoma" w:cs="Tahoma"/>
      <w:sz w:val="16"/>
      <w:szCs w:val="16"/>
      <w:lang w:eastAsia="lv-LV"/>
    </w:rPr>
  </w:style>
  <w:style w:type="paragraph" w:customStyle="1" w:styleId="tv2131">
    <w:name w:val="tv2131"/>
    <w:basedOn w:val="Parastais"/>
    <w:uiPriority w:val="99"/>
    <w:rsid w:val="006D1429"/>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E3EAE"/>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0E3EAE"/>
    <w:pPr>
      <w:tabs>
        <w:tab w:val="center" w:pos="4153"/>
        <w:tab w:val="right" w:pos="8306"/>
      </w:tabs>
    </w:pPr>
  </w:style>
  <w:style w:type="character" w:customStyle="1" w:styleId="GalveneRakstz">
    <w:name w:val="Galvene Rakstz."/>
    <w:basedOn w:val="Noklusjumarindkopasfonts"/>
    <w:link w:val="Galvene"/>
    <w:uiPriority w:val="99"/>
    <w:locked/>
    <w:rsid w:val="000E3EAE"/>
    <w:rPr>
      <w:rFonts w:ascii="Times New Roman" w:hAnsi="Times New Roman" w:cs="Times New Roman"/>
      <w:sz w:val="24"/>
      <w:szCs w:val="24"/>
      <w:lang w:eastAsia="lv-LV"/>
    </w:rPr>
  </w:style>
  <w:style w:type="paragraph" w:styleId="Kjene">
    <w:name w:val="footer"/>
    <w:basedOn w:val="Parasts"/>
    <w:link w:val="KjeneRakstz"/>
    <w:uiPriority w:val="99"/>
    <w:rsid w:val="000E3EAE"/>
    <w:pPr>
      <w:tabs>
        <w:tab w:val="center" w:pos="4153"/>
        <w:tab w:val="right" w:pos="8306"/>
      </w:tabs>
    </w:pPr>
  </w:style>
  <w:style w:type="character" w:customStyle="1" w:styleId="KjeneRakstz">
    <w:name w:val="Kājene Rakstz."/>
    <w:basedOn w:val="Noklusjumarindkopasfonts"/>
    <w:link w:val="Kjene"/>
    <w:uiPriority w:val="99"/>
    <w:locked/>
    <w:rsid w:val="000E3EAE"/>
    <w:rPr>
      <w:rFonts w:ascii="Times New Roman" w:hAnsi="Times New Roman" w:cs="Times New Roman"/>
      <w:sz w:val="24"/>
      <w:szCs w:val="24"/>
      <w:lang w:eastAsia="lv-LV"/>
    </w:rPr>
  </w:style>
  <w:style w:type="character" w:styleId="Lappusesnumurs">
    <w:name w:val="page number"/>
    <w:basedOn w:val="Noklusjumarindkopasfonts"/>
    <w:uiPriority w:val="99"/>
    <w:rsid w:val="000E3EAE"/>
    <w:rPr>
      <w:rFonts w:cs="Times New Roman"/>
    </w:rPr>
  </w:style>
  <w:style w:type="paragraph" w:styleId="Bezatstarpm">
    <w:name w:val="No Spacing"/>
    <w:uiPriority w:val="99"/>
    <w:qFormat/>
    <w:rsid w:val="000E3EAE"/>
    <w:rPr>
      <w:rFonts w:ascii="Times New Roman" w:eastAsia="Times New Roman" w:hAnsi="Times New Roman"/>
      <w:sz w:val="24"/>
      <w:szCs w:val="24"/>
    </w:rPr>
  </w:style>
  <w:style w:type="paragraph" w:styleId="Balonteksts">
    <w:name w:val="Balloon Text"/>
    <w:basedOn w:val="Parasts"/>
    <w:link w:val="BalontekstsRakstz"/>
    <w:uiPriority w:val="99"/>
    <w:semiHidden/>
    <w:rsid w:val="00AF00C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F00CD"/>
    <w:rPr>
      <w:rFonts w:ascii="Tahoma" w:hAnsi="Tahoma" w:cs="Tahoma"/>
      <w:sz w:val="16"/>
      <w:szCs w:val="16"/>
      <w:lang w:eastAsia="lv-LV"/>
    </w:rPr>
  </w:style>
  <w:style w:type="paragraph" w:customStyle="1" w:styleId="tv2131">
    <w:name w:val="tv2131"/>
    <w:basedOn w:val="Parasts"/>
    <w:uiPriority w:val="99"/>
    <w:rsid w:val="006D1429"/>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1144661168">
      <w:marLeft w:val="0"/>
      <w:marRight w:val="0"/>
      <w:marTop w:val="0"/>
      <w:marBottom w:val="0"/>
      <w:divBdr>
        <w:top w:val="none" w:sz="0" w:space="0" w:color="auto"/>
        <w:left w:val="none" w:sz="0" w:space="0" w:color="auto"/>
        <w:bottom w:val="none" w:sz="0" w:space="0" w:color="auto"/>
        <w:right w:val="none" w:sz="0" w:space="0" w:color="auto"/>
      </w:divBdr>
      <w:divsChild>
        <w:div w:id="1144661167">
          <w:marLeft w:val="0"/>
          <w:marRight w:val="0"/>
          <w:marTop w:val="0"/>
          <w:marBottom w:val="0"/>
          <w:divBdr>
            <w:top w:val="none" w:sz="0" w:space="0" w:color="auto"/>
            <w:left w:val="none" w:sz="0" w:space="0" w:color="auto"/>
            <w:bottom w:val="none" w:sz="0" w:space="0" w:color="auto"/>
            <w:right w:val="none" w:sz="0" w:space="0" w:color="auto"/>
          </w:divBdr>
          <w:divsChild>
            <w:div w:id="1144661170">
              <w:marLeft w:val="0"/>
              <w:marRight w:val="0"/>
              <w:marTop w:val="0"/>
              <w:marBottom w:val="0"/>
              <w:divBdr>
                <w:top w:val="none" w:sz="0" w:space="0" w:color="auto"/>
                <w:left w:val="none" w:sz="0" w:space="0" w:color="auto"/>
                <w:bottom w:val="none" w:sz="0" w:space="0" w:color="auto"/>
                <w:right w:val="none" w:sz="0" w:space="0" w:color="auto"/>
              </w:divBdr>
              <w:divsChild>
                <w:div w:id="1144661164">
                  <w:marLeft w:val="0"/>
                  <w:marRight w:val="0"/>
                  <w:marTop w:val="0"/>
                  <w:marBottom w:val="0"/>
                  <w:divBdr>
                    <w:top w:val="none" w:sz="0" w:space="0" w:color="auto"/>
                    <w:left w:val="none" w:sz="0" w:space="0" w:color="auto"/>
                    <w:bottom w:val="none" w:sz="0" w:space="0" w:color="auto"/>
                    <w:right w:val="none" w:sz="0" w:space="0" w:color="auto"/>
                  </w:divBdr>
                  <w:divsChild>
                    <w:div w:id="1144661169">
                      <w:marLeft w:val="0"/>
                      <w:marRight w:val="0"/>
                      <w:marTop w:val="0"/>
                      <w:marBottom w:val="0"/>
                      <w:divBdr>
                        <w:top w:val="none" w:sz="0" w:space="0" w:color="auto"/>
                        <w:left w:val="none" w:sz="0" w:space="0" w:color="auto"/>
                        <w:bottom w:val="none" w:sz="0" w:space="0" w:color="auto"/>
                        <w:right w:val="none" w:sz="0" w:space="0" w:color="auto"/>
                      </w:divBdr>
                      <w:divsChild>
                        <w:div w:id="1144661165">
                          <w:marLeft w:val="0"/>
                          <w:marRight w:val="0"/>
                          <w:marTop w:val="300"/>
                          <w:marBottom w:val="0"/>
                          <w:divBdr>
                            <w:top w:val="none" w:sz="0" w:space="0" w:color="auto"/>
                            <w:left w:val="none" w:sz="0" w:space="0" w:color="auto"/>
                            <w:bottom w:val="none" w:sz="0" w:space="0" w:color="auto"/>
                            <w:right w:val="none" w:sz="0" w:space="0" w:color="auto"/>
                          </w:divBdr>
                          <w:divsChild>
                            <w:div w:id="1144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8980</Characters>
  <Application>Microsoft Office Word</Application>
  <DocSecurity>0</DocSecurity>
  <Lines>449</Lines>
  <Paragraphs>223</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Zemkopības ministrija</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sanita.vanaga</dc:creator>
  <cp:keywords/>
  <dc:description>Sanita.Vanaga@zm.gov.lv, 67027363</dc:description>
  <cp:lastModifiedBy>Renārs Žagars</cp:lastModifiedBy>
  <cp:revision>3</cp:revision>
  <dcterms:created xsi:type="dcterms:W3CDTF">2013-12-11T13:13:00Z</dcterms:created>
  <dcterms:modified xsi:type="dcterms:W3CDTF">2013-12-11T14:06:00Z</dcterms:modified>
</cp:coreProperties>
</file>