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DF0F7D" w:rsidRDefault="00D12371" w:rsidP="008665A4">
      <w:pPr>
        <w:pStyle w:val="naislab"/>
        <w:spacing w:before="0" w:beforeAutospacing="0" w:after="0" w:afterAutospacing="0"/>
        <w:jc w:val="center"/>
        <w:rPr>
          <w:b/>
          <w:sz w:val="28"/>
          <w:lang w:val="lv-LV"/>
        </w:rPr>
      </w:pPr>
      <w:r w:rsidRPr="00DF0F7D">
        <w:rPr>
          <w:b/>
          <w:sz w:val="28"/>
          <w:lang w:val="lv-LV"/>
        </w:rPr>
        <w:t>Ministru kabineta noteikumu projekta</w:t>
      </w:r>
    </w:p>
    <w:p w:rsidR="00D12371" w:rsidRPr="00DF0F7D" w:rsidRDefault="002669C3" w:rsidP="008665A4">
      <w:pPr>
        <w:jc w:val="center"/>
        <w:rPr>
          <w:sz w:val="28"/>
          <w:lang w:val="lv-LV"/>
        </w:rPr>
      </w:pPr>
      <w:r w:rsidRPr="00DF0F7D">
        <w:rPr>
          <w:b/>
          <w:bCs/>
          <w:sz w:val="28"/>
          <w:lang w:val="lv-LV"/>
        </w:rPr>
        <w:t>„</w:t>
      </w:r>
      <w:bookmarkStart w:id="0" w:name="OLE_LINK7"/>
      <w:bookmarkStart w:id="1" w:name="OLE_LINK8"/>
      <w:r w:rsidRPr="00DF0F7D">
        <w:rPr>
          <w:b/>
          <w:bCs/>
          <w:sz w:val="28"/>
          <w:lang w:val="lv-LV"/>
        </w:rPr>
        <w:t xml:space="preserve">Grozījumi Ministru kabineta 2010.gada </w:t>
      </w:r>
      <w:r w:rsidR="00C30D24" w:rsidRPr="00DF0F7D">
        <w:rPr>
          <w:b/>
          <w:sz w:val="28"/>
          <w:szCs w:val="28"/>
          <w:lang w:val="lv-LV"/>
        </w:rPr>
        <w:t>28.decembra noteikumos Nr.</w:t>
      </w:r>
      <w:r w:rsidRPr="00DF0F7D">
        <w:rPr>
          <w:b/>
          <w:sz w:val="28"/>
          <w:szCs w:val="28"/>
          <w:lang w:val="lv-LV"/>
        </w:rPr>
        <w:t>1231</w:t>
      </w:r>
      <w:r w:rsidRPr="00DF0F7D">
        <w:rPr>
          <w:b/>
          <w:bCs/>
          <w:sz w:val="28"/>
          <w:lang w:val="lv-LV"/>
        </w:rPr>
        <w:t xml:space="preserve"> „</w:t>
      </w:r>
      <w:r w:rsidRPr="00DF0F7D">
        <w:rPr>
          <w:b/>
          <w:bCs/>
          <w:sz w:val="28"/>
          <w:szCs w:val="28"/>
          <w:lang w:val="lv-LV"/>
        </w:rPr>
        <w:t>Noteikumi par Pārtikas un veterinārā dienesta veikto valsts uzraudzības un kontroles darbību un sniegto maksas pakalpojumu samaksu</w:t>
      </w:r>
      <w:r w:rsidRPr="00DF0F7D">
        <w:rPr>
          <w:b/>
          <w:bCs/>
          <w:sz w:val="28"/>
          <w:lang w:val="lv-LV"/>
        </w:rPr>
        <w:t>””</w:t>
      </w:r>
    </w:p>
    <w:p w:rsidR="00757B05" w:rsidRPr="00DF0F7D" w:rsidRDefault="00E61AD5" w:rsidP="008665A4">
      <w:pPr>
        <w:pStyle w:val="naisf"/>
        <w:spacing w:before="0" w:beforeAutospacing="0" w:after="0" w:afterAutospacing="0"/>
        <w:jc w:val="center"/>
        <w:rPr>
          <w:b/>
          <w:sz w:val="28"/>
          <w:lang w:val="lv-LV"/>
        </w:rPr>
      </w:pPr>
      <w:r w:rsidRPr="00DF0F7D">
        <w:rPr>
          <w:b/>
          <w:sz w:val="28"/>
          <w:lang w:val="lv-LV"/>
        </w:rPr>
        <w:t xml:space="preserve">sākotnējās </w:t>
      </w:r>
      <w:r w:rsidR="00757B05" w:rsidRPr="00DF0F7D">
        <w:rPr>
          <w:b/>
          <w:sz w:val="28"/>
          <w:lang w:val="lv-LV"/>
        </w:rPr>
        <w:t>ietekmes novērtējuma ziņojums</w:t>
      </w:r>
      <w:r w:rsidR="00757B05" w:rsidRPr="00DF0F7D">
        <w:rPr>
          <w:b/>
          <w:bCs/>
          <w:sz w:val="28"/>
          <w:lang w:val="lv-LV"/>
        </w:rPr>
        <w:t xml:space="preserve"> (anotācija)</w:t>
      </w:r>
    </w:p>
    <w:p w:rsidR="00757B05" w:rsidRPr="00DF0F7D" w:rsidRDefault="00757B05"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30"/>
        <w:gridCol w:w="7"/>
        <w:gridCol w:w="561"/>
        <w:gridCol w:w="2333"/>
        <w:gridCol w:w="340"/>
        <w:gridCol w:w="20"/>
        <w:gridCol w:w="1238"/>
        <w:gridCol w:w="1313"/>
        <w:gridCol w:w="1070"/>
        <w:gridCol w:w="1123"/>
        <w:gridCol w:w="1067"/>
        <w:gridCol w:w="31"/>
      </w:tblGrid>
      <w:tr w:rsidR="00AB6A7A" w:rsidRPr="00DF0F7D" w:rsidTr="00A81C53">
        <w:trPr>
          <w:jc w:val="center"/>
        </w:trPr>
        <w:tc>
          <w:tcPr>
            <w:tcW w:w="0" w:type="auto"/>
            <w:gridSpan w:val="12"/>
            <w:vAlign w:val="center"/>
          </w:tcPr>
          <w:bookmarkEnd w:id="0"/>
          <w:bookmarkEnd w:id="1"/>
          <w:p w:rsidR="00A162FE" w:rsidRPr="00DF0F7D" w:rsidRDefault="00A162FE" w:rsidP="008665A4">
            <w:pPr>
              <w:jc w:val="center"/>
              <w:rPr>
                <w:b/>
                <w:bCs/>
                <w:lang w:val="lv-LV" w:eastAsia="lv-LV"/>
              </w:rPr>
            </w:pPr>
            <w:r w:rsidRPr="00A02E05">
              <w:rPr>
                <w:b/>
                <w:bCs/>
                <w:lang w:val="lv-LV" w:eastAsia="lv-LV"/>
              </w:rPr>
              <w:t>I. Tiesību akta projekta izstrādes nepieciešamība</w:t>
            </w:r>
          </w:p>
        </w:tc>
      </w:tr>
      <w:tr w:rsidR="00AB6A7A" w:rsidRPr="00734DD9" w:rsidTr="00D07EC4">
        <w:trPr>
          <w:jc w:val="center"/>
        </w:trPr>
        <w:tc>
          <w:tcPr>
            <w:tcW w:w="327" w:type="pct"/>
            <w:gridSpan w:val="3"/>
          </w:tcPr>
          <w:p w:rsidR="00A162FE" w:rsidRPr="00DF0F7D" w:rsidRDefault="00A162FE" w:rsidP="008665A4">
            <w:pPr>
              <w:rPr>
                <w:lang w:val="lv-LV" w:eastAsia="lv-LV"/>
              </w:rPr>
            </w:pPr>
            <w:r w:rsidRPr="00DF0F7D">
              <w:rPr>
                <w:lang w:val="lv-LV" w:eastAsia="lv-LV"/>
              </w:rPr>
              <w:t>1.</w:t>
            </w:r>
          </w:p>
        </w:tc>
        <w:tc>
          <w:tcPr>
            <w:tcW w:w="1277" w:type="pct"/>
          </w:tcPr>
          <w:p w:rsidR="00A162FE" w:rsidRPr="00DF0F7D" w:rsidRDefault="00A162FE" w:rsidP="008665A4">
            <w:pPr>
              <w:rPr>
                <w:lang w:val="lv-LV" w:eastAsia="lv-LV"/>
              </w:rPr>
            </w:pPr>
            <w:r w:rsidRPr="00DF0F7D">
              <w:rPr>
                <w:lang w:val="lv-LV" w:eastAsia="lv-LV"/>
              </w:rPr>
              <w:t>Pamatojums</w:t>
            </w:r>
          </w:p>
        </w:tc>
        <w:tc>
          <w:tcPr>
            <w:tcW w:w="3395" w:type="pct"/>
            <w:gridSpan w:val="8"/>
          </w:tcPr>
          <w:p w:rsidR="00A162FE" w:rsidRPr="00DF0F7D" w:rsidRDefault="00585BD7" w:rsidP="008665A4">
            <w:pPr>
              <w:jc w:val="both"/>
              <w:rPr>
                <w:lang w:val="lv-LV"/>
              </w:rPr>
            </w:pPr>
            <w:r w:rsidRPr="00DF0F7D">
              <w:rPr>
                <w:lang w:val="lv-LV"/>
              </w:rPr>
              <w:t>Pārtikas aprites uzraudzības likuma 21.</w:t>
            </w:r>
            <w:r w:rsidRPr="00DF0F7D">
              <w:rPr>
                <w:vertAlign w:val="superscript"/>
                <w:lang w:val="lv-LV"/>
              </w:rPr>
              <w:t xml:space="preserve">1 </w:t>
            </w:r>
            <w:r w:rsidRPr="00DF0F7D">
              <w:rPr>
                <w:lang w:val="lv-LV"/>
              </w:rPr>
              <w:t xml:space="preserve">panta devītā daļa, Veterinārmedicīnas likuma 12.pants un </w:t>
            </w:r>
            <w:r w:rsidRPr="00DF0F7D">
              <w:rPr>
                <w:iCs/>
                <w:lang w:val="lv-LV"/>
              </w:rPr>
              <w:t xml:space="preserve">53.panta pirmās daļas 5.punkts, </w:t>
            </w:r>
            <w:r w:rsidRPr="00DF0F7D">
              <w:rPr>
                <w:lang w:val="lv-LV"/>
              </w:rPr>
              <w:t>Dzīvnieku barības aprites likuma 3.panta ceturtā daļa, Likuma par budžetu un finanšu vadību 5.panta devītā daļa un Farmācijas likuma 12.panta otrā daļa</w:t>
            </w:r>
            <w:r w:rsidR="000F2EB4" w:rsidRPr="00DF0F7D">
              <w:rPr>
                <w:lang w:val="lv-LV"/>
              </w:rPr>
              <w:t>.</w:t>
            </w:r>
          </w:p>
        </w:tc>
      </w:tr>
      <w:tr w:rsidR="00AB6A7A" w:rsidRPr="00734DD9" w:rsidTr="00D07EC4">
        <w:trPr>
          <w:jc w:val="center"/>
        </w:trPr>
        <w:tc>
          <w:tcPr>
            <w:tcW w:w="327" w:type="pct"/>
            <w:gridSpan w:val="3"/>
          </w:tcPr>
          <w:p w:rsidR="00A162FE" w:rsidRPr="00DF0F7D" w:rsidRDefault="00A162FE" w:rsidP="008665A4">
            <w:pPr>
              <w:rPr>
                <w:lang w:val="lv-LV" w:eastAsia="lv-LV"/>
              </w:rPr>
            </w:pPr>
            <w:r w:rsidRPr="00DF0F7D">
              <w:rPr>
                <w:lang w:val="lv-LV" w:eastAsia="lv-LV"/>
              </w:rPr>
              <w:t>2.</w:t>
            </w:r>
          </w:p>
        </w:tc>
        <w:tc>
          <w:tcPr>
            <w:tcW w:w="1277" w:type="pct"/>
          </w:tcPr>
          <w:p w:rsidR="00A162FE" w:rsidRPr="00DF0F7D" w:rsidRDefault="00A162FE" w:rsidP="004F4421">
            <w:pPr>
              <w:jc w:val="both"/>
              <w:rPr>
                <w:lang w:val="lv-LV" w:eastAsia="lv-LV"/>
              </w:rPr>
            </w:pPr>
            <w:r w:rsidRPr="00DF0F7D">
              <w:rPr>
                <w:lang w:val="lv-LV" w:eastAsia="lv-LV"/>
              </w:rPr>
              <w:t>Pašreizējā situācija un problēmas</w:t>
            </w:r>
          </w:p>
        </w:tc>
        <w:tc>
          <w:tcPr>
            <w:tcW w:w="3395" w:type="pct"/>
            <w:gridSpan w:val="8"/>
          </w:tcPr>
          <w:p w:rsidR="00C30D24" w:rsidRPr="00FD5309" w:rsidRDefault="00171315" w:rsidP="00370D24">
            <w:pPr>
              <w:pStyle w:val="naislab"/>
              <w:spacing w:before="0" w:beforeAutospacing="0" w:after="0" w:afterAutospacing="0"/>
              <w:jc w:val="both"/>
              <w:rPr>
                <w:lang w:val="lv-LV"/>
              </w:rPr>
            </w:pPr>
            <w:r w:rsidRPr="00FD5309">
              <w:rPr>
                <w:lang w:val="lv-LV"/>
              </w:rPr>
              <w:t xml:space="preserve">Patlaban </w:t>
            </w:r>
            <w:r w:rsidR="00C30D24" w:rsidRPr="00FD5309">
              <w:rPr>
                <w:lang w:val="lv-LV"/>
              </w:rPr>
              <w:t xml:space="preserve">ir spēkā Ministru kabineta </w:t>
            </w:r>
            <w:r w:rsidR="00C30D24" w:rsidRPr="00FD5309">
              <w:rPr>
                <w:bCs/>
                <w:lang w:val="lv-LV"/>
              </w:rPr>
              <w:t xml:space="preserve">2010.gada </w:t>
            </w:r>
            <w:r w:rsidR="00C30D24" w:rsidRPr="00FD5309">
              <w:rPr>
                <w:lang w:val="lv-LV"/>
              </w:rPr>
              <w:t>28.decembra noteikum</w:t>
            </w:r>
            <w:r w:rsidR="000828B5" w:rsidRPr="00FD5309">
              <w:rPr>
                <w:lang w:val="lv-LV"/>
              </w:rPr>
              <w:t>i</w:t>
            </w:r>
            <w:r w:rsidR="00C30D24" w:rsidRPr="00FD5309">
              <w:rPr>
                <w:lang w:val="lv-LV"/>
              </w:rPr>
              <w:t xml:space="preserve"> Nr.1231</w:t>
            </w:r>
            <w:r w:rsidR="00C30D24" w:rsidRPr="00FD5309">
              <w:rPr>
                <w:bCs/>
                <w:lang w:val="lv-LV"/>
              </w:rPr>
              <w:t xml:space="preserve"> „Noteikumi par Pārtikas un veterinārā dienesta veikto valsts uzraudzības un kontroles darbību un sniegto maksas pakalpojumu samaksu”</w:t>
            </w:r>
            <w:r w:rsidR="000828B5" w:rsidRPr="00FD5309">
              <w:rPr>
                <w:bCs/>
                <w:lang w:val="lv-LV"/>
              </w:rPr>
              <w:t xml:space="preserve"> (turpmāk – noteikumi Nr.1231).</w:t>
            </w:r>
          </w:p>
          <w:p w:rsidR="00651106" w:rsidRPr="00FD5309" w:rsidRDefault="00FD27DC" w:rsidP="00370D24">
            <w:pPr>
              <w:jc w:val="both"/>
              <w:rPr>
                <w:lang w:val="lv-LV"/>
              </w:rPr>
            </w:pPr>
            <w:r w:rsidRPr="00FD5309">
              <w:rPr>
                <w:lang w:val="lv-LV"/>
              </w:rPr>
              <w:t>1.</w:t>
            </w:r>
            <w:r w:rsidR="00651106" w:rsidRPr="00FD5309">
              <w:rPr>
                <w:lang w:val="lv-LV"/>
              </w:rPr>
              <w:t xml:space="preserve"> </w:t>
            </w:r>
            <w:r w:rsidR="00370D24" w:rsidRPr="00FD5309">
              <w:rPr>
                <w:lang w:val="lv-LV"/>
              </w:rPr>
              <w:t xml:space="preserve">Noteikumu Nr.1231 1.pielikuma 1.punktā nepieciešams precizēt, ka noteiktā maksa par veterinārā (veselības) sertifikāta sagatavošanu un izsniegšanu dzīvniekiem ietver arī </w:t>
            </w:r>
            <w:r w:rsidR="007826AB" w:rsidRPr="00FD5309">
              <w:rPr>
                <w:lang w:val="lv-LV"/>
              </w:rPr>
              <w:t xml:space="preserve">dzīvnieku apsekošanu, uzsākot </w:t>
            </w:r>
            <w:proofErr w:type="spellStart"/>
            <w:r w:rsidR="007826AB" w:rsidRPr="00FD5309">
              <w:rPr>
                <w:lang w:val="lv-LV"/>
              </w:rPr>
              <w:t>karantinēšanu</w:t>
            </w:r>
            <w:proofErr w:type="spellEnd"/>
            <w:r w:rsidR="007826AB" w:rsidRPr="00FD5309">
              <w:rPr>
                <w:lang w:val="lv-LV"/>
              </w:rPr>
              <w:t xml:space="preserve"> un </w:t>
            </w:r>
            <w:proofErr w:type="spellStart"/>
            <w:r w:rsidR="007826AB" w:rsidRPr="00FD5309">
              <w:rPr>
                <w:lang w:val="lv-LV"/>
              </w:rPr>
              <w:t>karantinēšanas</w:t>
            </w:r>
            <w:proofErr w:type="spellEnd"/>
            <w:r w:rsidR="007826AB" w:rsidRPr="00FD5309">
              <w:rPr>
                <w:lang w:val="lv-LV"/>
              </w:rPr>
              <w:t xml:space="preserve"> laikā. </w:t>
            </w:r>
            <w:r w:rsidR="00651106" w:rsidRPr="00FD5309">
              <w:rPr>
                <w:lang w:val="lv-LV"/>
              </w:rPr>
              <w:t>Šāda veida pārbaudes</w:t>
            </w:r>
            <w:r w:rsidR="007826AB" w:rsidRPr="00FD5309">
              <w:rPr>
                <w:lang w:val="lv-LV"/>
              </w:rPr>
              <w:t xml:space="preserve"> nepieciešamas, lai nodrošinātu dzīvnieku eksportu.</w:t>
            </w:r>
            <w:r w:rsidR="00651106" w:rsidRPr="00FD5309">
              <w:rPr>
                <w:lang w:val="lv-LV"/>
              </w:rPr>
              <w:t xml:space="preserve"> T</w:t>
            </w:r>
            <w:r w:rsidR="007826AB" w:rsidRPr="00FD5309">
              <w:rPr>
                <w:lang w:val="lv-LV"/>
              </w:rPr>
              <w:t xml:space="preserve">ā ir </w:t>
            </w:r>
            <w:r w:rsidR="00651106" w:rsidRPr="00FD5309">
              <w:rPr>
                <w:lang w:val="lv-LV"/>
              </w:rPr>
              <w:t>atsevišķ</w:t>
            </w:r>
            <w:r w:rsidR="007826AB" w:rsidRPr="00FD5309">
              <w:rPr>
                <w:lang w:val="lv-LV"/>
              </w:rPr>
              <w:t>a</w:t>
            </w:r>
            <w:r w:rsidR="00651106" w:rsidRPr="00FD5309">
              <w:rPr>
                <w:lang w:val="lv-LV"/>
              </w:rPr>
              <w:t xml:space="preserve"> </w:t>
            </w:r>
            <w:r w:rsidR="00514AF7" w:rsidRPr="00FD5309">
              <w:rPr>
                <w:lang w:val="lv-LV"/>
              </w:rPr>
              <w:t xml:space="preserve">Pārtikas un veterinārā dienesta (turpmāk – dienests) </w:t>
            </w:r>
            <w:r w:rsidR="007826AB" w:rsidRPr="00FD5309">
              <w:rPr>
                <w:lang w:val="lv-LV"/>
              </w:rPr>
              <w:t xml:space="preserve">inspektora </w:t>
            </w:r>
            <w:r w:rsidR="00651106" w:rsidRPr="00FD5309">
              <w:rPr>
                <w:lang w:val="lv-LV"/>
              </w:rPr>
              <w:t>vizīt</w:t>
            </w:r>
            <w:r w:rsidR="007826AB" w:rsidRPr="00FD5309">
              <w:rPr>
                <w:lang w:val="lv-LV"/>
              </w:rPr>
              <w:t>e</w:t>
            </w:r>
            <w:r w:rsidR="00244FD8" w:rsidRPr="00FD5309">
              <w:rPr>
                <w:lang w:val="lv-LV"/>
              </w:rPr>
              <w:t xml:space="preserve"> </w:t>
            </w:r>
            <w:r w:rsidR="00D726AE" w:rsidRPr="00FD5309">
              <w:rPr>
                <w:lang w:val="lv-LV"/>
              </w:rPr>
              <w:t xml:space="preserve">dzīvnieku novietnē </w:t>
            </w:r>
            <w:r w:rsidR="00244FD8" w:rsidRPr="00FD5309">
              <w:rPr>
                <w:lang w:val="lv-LV"/>
              </w:rPr>
              <w:t>un pārbaude</w:t>
            </w:r>
            <w:r w:rsidR="00651106" w:rsidRPr="00FD5309">
              <w:rPr>
                <w:lang w:val="lv-LV"/>
              </w:rPr>
              <w:t xml:space="preserve"> saistībā ar sertifikātā izvirzītajām prasībām</w:t>
            </w:r>
            <w:r w:rsidR="00A2395A" w:rsidRPr="00FD5309">
              <w:rPr>
                <w:lang w:val="lv-LV"/>
              </w:rPr>
              <w:t>,</w:t>
            </w:r>
            <w:r w:rsidR="00651106" w:rsidRPr="00FD5309">
              <w:rPr>
                <w:lang w:val="lv-LV"/>
              </w:rPr>
              <w:t xml:space="preserve"> un par to ir jāpārliecinās </w:t>
            </w:r>
            <w:r w:rsidR="00244FD8" w:rsidRPr="00FD5309">
              <w:rPr>
                <w:lang w:val="lv-LV"/>
              </w:rPr>
              <w:t xml:space="preserve">20–30 dienas pirms </w:t>
            </w:r>
            <w:r w:rsidR="00651106" w:rsidRPr="00FD5309">
              <w:rPr>
                <w:lang w:val="lv-LV"/>
              </w:rPr>
              <w:t>sertifikāta izrakstīšanas (</w:t>
            </w:r>
            <w:r w:rsidR="00244FD8" w:rsidRPr="00FD5309">
              <w:rPr>
                <w:lang w:val="lv-LV"/>
              </w:rPr>
              <w:t xml:space="preserve">periods </w:t>
            </w:r>
            <w:r w:rsidR="00651106" w:rsidRPr="00FD5309">
              <w:rPr>
                <w:lang w:val="lv-LV"/>
              </w:rPr>
              <w:t>atkarī</w:t>
            </w:r>
            <w:r w:rsidR="00244FD8" w:rsidRPr="00FD5309">
              <w:rPr>
                <w:lang w:val="lv-LV"/>
              </w:rPr>
              <w:t>gs no tā</w:t>
            </w:r>
            <w:r w:rsidR="00651106" w:rsidRPr="00FD5309">
              <w:rPr>
                <w:lang w:val="lv-LV"/>
              </w:rPr>
              <w:t xml:space="preserve">, cik ilgu karantīnu pieprasa </w:t>
            </w:r>
            <w:r w:rsidR="00244FD8" w:rsidRPr="00FD5309">
              <w:rPr>
                <w:lang w:val="lv-LV"/>
              </w:rPr>
              <w:t xml:space="preserve">attiecīgā </w:t>
            </w:r>
            <w:r w:rsidR="00651106" w:rsidRPr="00FD5309">
              <w:rPr>
                <w:lang w:val="lv-LV"/>
              </w:rPr>
              <w:t>importētājvalsts).</w:t>
            </w:r>
          </w:p>
          <w:p w:rsidR="00A2395A" w:rsidRPr="00FD5309" w:rsidRDefault="006E6815" w:rsidP="00290710">
            <w:pPr>
              <w:pStyle w:val="naiskr"/>
              <w:spacing w:before="0" w:beforeAutospacing="0" w:after="0" w:afterAutospacing="0"/>
              <w:ind w:left="28"/>
              <w:jc w:val="both"/>
              <w:rPr>
                <w:iCs/>
              </w:rPr>
            </w:pPr>
            <w:r w:rsidRPr="00FD5309">
              <w:t xml:space="preserve">2. Iesniegšanai Ministru kabinetā ir sagatavots </w:t>
            </w:r>
            <w:r w:rsidRPr="00FD5309">
              <w:rPr>
                <w:bCs/>
              </w:rPr>
              <w:t xml:space="preserve">Ministru kabineta noteikumu projekts </w:t>
            </w:r>
            <w:r w:rsidRPr="00FD5309">
              <w:t xml:space="preserve">„Grozījumi Ministru kabineta 2009.gada 26.maija noteikumos Nr.485 „Bioloģiskās lauksaimniecības uzraudzības un kontroles kārtība””, kas </w:t>
            </w:r>
            <w:r w:rsidRPr="00FD5309">
              <w:rPr>
                <w:iCs/>
              </w:rPr>
              <w:t>nosaka</w:t>
            </w:r>
            <w:r w:rsidR="00A2395A" w:rsidRPr="00FD5309">
              <w:rPr>
                <w:iCs/>
              </w:rPr>
              <w:t>:</w:t>
            </w:r>
          </w:p>
          <w:p w:rsidR="006E6815" w:rsidRPr="00FD5309" w:rsidRDefault="00A2395A" w:rsidP="00290710">
            <w:pPr>
              <w:pStyle w:val="naiskr"/>
              <w:spacing w:before="0" w:beforeAutospacing="0" w:after="0" w:afterAutospacing="0"/>
              <w:ind w:left="28"/>
              <w:jc w:val="both"/>
              <w:rPr>
                <w:iCs/>
              </w:rPr>
            </w:pPr>
            <w:r w:rsidRPr="00FD5309">
              <w:rPr>
                <w:iCs/>
              </w:rPr>
              <w:t>2.1.</w:t>
            </w:r>
            <w:r w:rsidR="006E6815" w:rsidRPr="00FD5309">
              <w:rPr>
                <w:iCs/>
              </w:rPr>
              <w:t xml:space="preserve"> dienesta</w:t>
            </w:r>
            <w:r w:rsidRPr="00FD5309">
              <w:rPr>
                <w:iCs/>
              </w:rPr>
              <w:t>m</w:t>
            </w:r>
            <w:r w:rsidR="006E6815" w:rsidRPr="00FD5309">
              <w:rPr>
                <w:iCs/>
              </w:rPr>
              <w:t xml:space="preserve"> </w:t>
            </w:r>
            <w:r w:rsidRPr="00FD5309">
              <w:rPr>
                <w:iCs/>
              </w:rPr>
              <w:t xml:space="preserve">bioloģiskās lauksaimniecības jomā </w:t>
            </w:r>
            <w:r w:rsidR="006E6815" w:rsidRPr="00FD5309">
              <w:rPr>
                <w:iCs/>
              </w:rPr>
              <w:t>veicamās darbības, par kurām nepieciešams noteikt samaksas apmēru:</w:t>
            </w:r>
          </w:p>
          <w:p w:rsidR="006E6815" w:rsidRPr="00FD5309" w:rsidRDefault="006E6815" w:rsidP="00232132">
            <w:pPr>
              <w:pStyle w:val="naiskr"/>
              <w:spacing w:before="0" w:beforeAutospacing="0" w:after="0" w:afterAutospacing="0"/>
              <w:ind w:left="28"/>
              <w:jc w:val="both"/>
            </w:pPr>
            <w:r w:rsidRPr="00FD5309">
              <w:t>2.</w:t>
            </w:r>
            <w:r w:rsidR="00A2395A" w:rsidRPr="00FD5309">
              <w:t>2</w:t>
            </w:r>
            <w:r w:rsidRPr="00FD5309">
              <w:t xml:space="preserve">. </w:t>
            </w:r>
            <w:r w:rsidR="00A2395A" w:rsidRPr="00FD5309">
              <w:t xml:space="preserve">izvērtēšanas kārtību </w:t>
            </w:r>
            <w:r w:rsidRPr="00FD5309">
              <w:t>kontroles institūcijas darbība</w:t>
            </w:r>
            <w:r w:rsidR="00A2395A" w:rsidRPr="00FD5309">
              <w:t>i</w:t>
            </w:r>
            <w:r w:rsidRPr="00FD5309">
              <w:t xml:space="preserve"> trešajās valstīs;</w:t>
            </w:r>
          </w:p>
          <w:p w:rsidR="006E6815" w:rsidRPr="00FD5309" w:rsidRDefault="006E6815" w:rsidP="00232132">
            <w:pPr>
              <w:pStyle w:val="naiskr"/>
              <w:spacing w:before="0" w:beforeAutospacing="0" w:after="0" w:afterAutospacing="0"/>
              <w:ind w:left="28"/>
              <w:jc w:val="both"/>
              <w:rPr>
                <w:iCs/>
              </w:rPr>
            </w:pPr>
            <w:r w:rsidRPr="00FD5309">
              <w:rPr>
                <w:iCs/>
              </w:rPr>
              <w:t>2.</w:t>
            </w:r>
            <w:r w:rsidR="00A2395A" w:rsidRPr="00FD5309">
              <w:rPr>
                <w:iCs/>
              </w:rPr>
              <w:t>3</w:t>
            </w:r>
            <w:r w:rsidRPr="00FD5309">
              <w:rPr>
                <w:iCs/>
              </w:rPr>
              <w:t xml:space="preserve">. sertifikāta izraksta </w:t>
            </w:r>
            <w:r w:rsidR="0076221A" w:rsidRPr="00FD5309">
              <w:rPr>
                <w:iCs/>
              </w:rPr>
              <w:t>apstiprināšanu</w:t>
            </w:r>
            <w:r w:rsidRPr="00FD5309">
              <w:rPr>
                <w:iCs/>
              </w:rPr>
              <w:t>, ja importēto produktu sūtījums tiek sadalīts.</w:t>
            </w:r>
          </w:p>
          <w:p w:rsidR="00232132" w:rsidRPr="00FD5309" w:rsidRDefault="006638B3" w:rsidP="00232132">
            <w:pPr>
              <w:pStyle w:val="tv2131"/>
              <w:spacing w:before="0" w:line="240" w:lineRule="auto"/>
              <w:ind w:firstLine="0"/>
              <w:rPr>
                <w:rFonts w:ascii="Times New Roman" w:hAnsi="Times New Roman"/>
                <w:sz w:val="24"/>
                <w:szCs w:val="24"/>
              </w:rPr>
            </w:pPr>
            <w:r w:rsidRPr="00FD5309">
              <w:rPr>
                <w:rFonts w:ascii="Times New Roman" w:hAnsi="Times New Roman"/>
                <w:iCs/>
                <w:sz w:val="24"/>
                <w:szCs w:val="24"/>
              </w:rPr>
              <w:t>3. Ar 2013.gada 1.janvāri dienests</w:t>
            </w:r>
            <w:r w:rsidR="00376DB3" w:rsidRPr="00FD5309">
              <w:rPr>
                <w:rFonts w:ascii="Times New Roman" w:hAnsi="Times New Roman"/>
                <w:iCs/>
                <w:sz w:val="24"/>
                <w:szCs w:val="24"/>
              </w:rPr>
              <w:t xml:space="preserve"> </w:t>
            </w:r>
            <w:r w:rsidR="00427DB7" w:rsidRPr="00FD5309">
              <w:rPr>
                <w:rFonts w:ascii="Times New Roman" w:hAnsi="Times New Roman"/>
                <w:sz w:val="24"/>
                <w:szCs w:val="24"/>
              </w:rPr>
              <w:t xml:space="preserve">sertificē </w:t>
            </w:r>
            <w:r w:rsidR="00376DB3" w:rsidRPr="00FD5309">
              <w:rPr>
                <w:rFonts w:ascii="Times New Roman" w:hAnsi="Times New Roman"/>
                <w:sz w:val="24"/>
                <w:szCs w:val="24"/>
              </w:rPr>
              <w:t>produktu</w:t>
            </w:r>
            <w:r w:rsidR="00A2395A" w:rsidRPr="00FD5309">
              <w:rPr>
                <w:rFonts w:ascii="Times New Roman" w:hAnsi="Times New Roman"/>
                <w:sz w:val="24"/>
                <w:szCs w:val="24"/>
              </w:rPr>
              <w:t>s</w:t>
            </w:r>
            <w:r w:rsidR="00376DB3" w:rsidRPr="00FD5309">
              <w:rPr>
                <w:rFonts w:ascii="Times New Roman" w:hAnsi="Times New Roman"/>
                <w:sz w:val="24"/>
                <w:szCs w:val="24"/>
              </w:rPr>
              <w:t xml:space="preserve"> Nacionālajā pārtikas kvalitātes shēmā, kā arī nodrošina shēmā iesaistīto personu uzraudzību un kontroli. Ministru kabineta 2008.gada 18.augusta noteikumi Nr.663 „Prasības pārtikas kvalitātes shēmām, to ieviešanas, darbības, uzraudzības un kontroles kārtība” nosaka, ka</w:t>
            </w:r>
            <w:r w:rsidR="00232132" w:rsidRPr="00FD5309">
              <w:rPr>
                <w:rFonts w:ascii="Times New Roman" w:hAnsi="Times New Roman"/>
                <w:sz w:val="24"/>
                <w:szCs w:val="24"/>
              </w:rPr>
              <w:t xml:space="preserve"> kvalitātes shēmā iesaistītās personas sedz šādus dienesta izdevumus:</w:t>
            </w:r>
          </w:p>
          <w:p w:rsidR="00232132" w:rsidRPr="00FD5309" w:rsidRDefault="00232132" w:rsidP="00232132">
            <w:pPr>
              <w:pStyle w:val="tv2131"/>
              <w:spacing w:before="0" w:line="240" w:lineRule="auto"/>
              <w:ind w:firstLine="0"/>
              <w:rPr>
                <w:rFonts w:ascii="Times New Roman" w:hAnsi="Times New Roman"/>
                <w:sz w:val="24"/>
                <w:szCs w:val="24"/>
              </w:rPr>
            </w:pPr>
            <w:r w:rsidRPr="00FD5309">
              <w:rPr>
                <w:rFonts w:ascii="Times New Roman" w:hAnsi="Times New Roman"/>
                <w:sz w:val="24"/>
                <w:szCs w:val="24"/>
              </w:rPr>
              <w:t xml:space="preserve">1) operators – par produktu sertificēšanu nacionālajā pārtikas kvalitātes shēmā, ikgadējo pārbaudi un atkārtotu pārbaudi, ja plānveida pārbaudē konstatēta neatbilstība nacionālās pārtikas </w:t>
            </w:r>
            <w:r w:rsidRPr="00FD5309">
              <w:rPr>
                <w:rFonts w:ascii="Times New Roman" w:hAnsi="Times New Roman"/>
                <w:sz w:val="24"/>
                <w:szCs w:val="24"/>
              </w:rPr>
              <w:lastRenderedPageBreak/>
              <w:t xml:space="preserve">kvalitātes shēmas prasībām; </w:t>
            </w:r>
          </w:p>
          <w:p w:rsidR="00232132" w:rsidRPr="00FD5309" w:rsidRDefault="00232132" w:rsidP="00232132">
            <w:pPr>
              <w:pStyle w:val="tv2131"/>
              <w:spacing w:before="0" w:line="240" w:lineRule="auto"/>
              <w:ind w:firstLine="0"/>
              <w:rPr>
                <w:rFonts w:ascii="Times New Roman" w:hAnsi="Times New Roman"/>
                <w:sz w:val="24"/>
                <w:szCs w:val="24"/>
              </w:rPr>
            </w:pPr>
            <w:r w:rsidRPr="00FD5309">
              <w:rPr>
                <w:rFonts w:ascii="Times New Roman" w:hAnsi="Times New Roman"/>
                <w:sz w:val="24"/>
                <w:szCs w:val="24"/>
              </w:rPr>
              <w:t>2) izejvielu piegādātājs – par atkārtotu pārbaudi, ja plānveida pārbaudē konstatēta neatbilstība nacionālās pārtikas kvalitātes shēmas prasībām.</w:t>
            </w:r>
          </w:p>
          <w:p w:rsidR="006638B3" w:rsidRPr="00FD5309" w:rsidRDefault="00A2395A" w:rsidP="00232132">
            <w:pPr>
              <w:pStyle w:val="naiskr"/>
              <w:spacing w:before="0" w:beforeAutospacing="0" w:after="0" w:afterAutospacing="0"/>
              <w:ind w:left="28"/>
              <w:jc w:val="both"/>
            </w:pPr>
            <w:r w:rsidRPr="00FD5309">
              <w:t>Ievērojot</w:t>
            </w:r>
            <w:r w:rsidR="00232132" w:rsidRPr="00FD5309">
              <w:t xml:space="preserve"> minēto, noteikumos Nr.1231 no</w:t>
            </w:r>
            <w:r w:rsidRPr="00FD5309">
              <w:t>sakāma</w:t>
            </w:r>
            <w:r w:rsidR="00232132" w:rsidRPr="00FD5309">
              <w:t xml:space="preserve"> maks</w:t>
            </w:r>
            <w:r w:rsidRPr="00FD5309">
              <w:t>a</w:t>
            </w:r>
            <w:r w:rsidR="00232132" w:rsidRPr="00FD5309">
              <w:t xml:space="preserve"> par dienesta veiktajām darbībām.</w:t>
            </w:r>
          </w:p>
          <w:p w:rsidR="00FD27DC" w:rsidRPr="00FD5309" w:rsidRDefault="006638B3" w:rsidP="00232132">
            <w:pPr>
              <w:pStyle w:val="naiskr"/>
              <w:spacing w:before="0" w:beforeAutospacing="0" w:after="0" w:afterAutospacing="0"/>
              <w:jc w:val="both"/>
            </w:pPr>
            <w:r w:rsidRPr="00FD5309">
              <w:t>4</w:t>
            </w:r>
            <w:r w:rsidR="00FD27DC" w:rsidRPr="00FD5309">
              <w:t xml:space="preserve">. </w:t>
            </w:r>
            <w:r w:rsidR="00EB722D" w:rsidRPr="00FD5309">
              <w:t>N</w:t>
            </w:r>
            <w:r w:rsidR="0051661B" w:rsidRPr="00FD5309">
              <w:t>oteikum</w:t>
            </w:r>
            <w:r w:rsidR="008C36EE" w:rsidRPr="00FD5309">
              <w:t>u</w:t>
            </w:r>
            <w:r w:rsidR="0051661B" w:rsidRPr="00FD5309">
              <w:t xml:space="preserve"> Nr.1231 </w:t>
            </w:r>
            <w:r w:rsidR="008C36EE" w:rsidRPr="00FD5309">
              <w:t xml:space="preserve">3.pielikuma 2.punktā noteikta </w:t>
            </w:r>
            <w:r w:rsidR="00A2395A" w:rsidRPr="00FD5309">
              <w:t xml:space="preserve">arī </w:t>
            </w:r>
            <w:r w:rsidR="008C36EE" w:rsidRPr="00FD5309">
              <w:t xml:space="preserve">samaksa par rotaļlietu robežkontroli. </w:t>
            </w:r>
            <w:r w:rsidR="00A2395A" w:rsidRPr="00FD5309">
              <w:t>Tā kā</w:t>
            </w:r>
            <w:r w:rsidR="008C36EE" w:rsidRPr="00FD5309">
              <w:t xml:space="preserve"> dienests </w:t>
            </w:r>
            <w:r w:rsidR="00A2395A" w:rsidRPr="00FD5309">
              <w:t xml:space="preserve">no 2011.gada 20.jūlija, kad stājās spēkā Ministru kabineta 2011.gada 15.februāra noteikumi Nr.132 „Rotaļlietu drošuma noteikumi”, vairs neveic </w:t>
            </w:r>
            <w:r w:rsidR="008C36EE" w:rsidRPr="00FD5309">
              <w:t>rotaļlietu kontroli</w:t>
            </w:r>
            <w:r w:rsidR="00A2395A" w:rsidRPr="00FD5309">
              <w:t>,</w:t>
            </w:r>
            <w:r w:rsidR="008C36EE" w:rsidRPr="00FD5309">
              <w:t xml:space="preserve"> </w:t>
            </w:r>
            <w:r w:rsidR="00C56475" w:rsidRPr="00FD5309">
              <w:t>nepieciešams precizēt minēto cenrāža punktu.</w:t>
            </w:r>
          </w:p>
          <w:p w:rsidR="00A0709D" w:rsidRPr="00FD5309" w:rsidRDefault="006638B3" w:rsidP="004307C5">
            <w:pPr>
              <w:pStyle w:val="naiskr"/>
              <w:spacing w:before="0" w:beforeAutospacing="0" w:after="0" w:afterAutospacing="0"/>
              <w:jc w:val="both"/>
              <w:rPr>
                <w:bCs/>
              </w:rPr>
            </w:pPr>
            <w:r w:rsidRPr="00FD5309">
              <w:t>5</w:t>
            </w:r>
            <w:r w:rsidR="00FD0941" w:rsidRPr="00FD5309">
              <w:t xml:space="preserve">. </w:t>
            </w:r>
            <w:r w:rsidR="006D49DC" w:rsidRPr="00FD5309">
              <w:t>N</w:t>
            </w:r>
            <w:r w:rsidR="00FD0941" w:rsidRPr="00FD5309">
              <w:t>oteikum</w:t>
            </w:r>
            <w:r w:rsidR="006D49DC" w:rsidRPr="00FD5309">
              <w:t>i</w:t>
            </w:r>
            <w:r w:rsidR="00FD0941" w:rsidRPr="00FD5309">
              <w:t xml:space="preserve"> Nr.1231 </w:t>
            </w:r>
            <w:r w:rsidR="006D49DC" w:rsidRPr="00FD5309">
              <w:t xml:space="preserve">(1., 2., 3. un 4.pielikums) </w:t>
            </w:r>
            <w:r w:rsidR="00A2395A" w:rsidRPr="00FD5309">
              <w:t>paredz</w:t>
            </w:r>
            <w:r w:rsidR="006D49DC" w:rsidRPr="00FD5309">
              <w:t>, ka</w:t>
            </w:r>
            <w:r w:rsidR="00A2395A" w:rsidRPr="00FD5309">
              <w:t>,</w:t>
            </w:r>
            <w:r w:rsidR="006D49DC" w:rsidRPr="00FD5309">
              <w:t xml:space="preserve"> veicot darbības, kas saistītas ar izbraukumu pie uzņēmēja, dienests iekasē arī maksu, kas sedz t</w:t>
            </w:r>
            <w:r w:rsidR="00585561" w:rsidRPr="00FD5309">
              <w:t>ransporta izmaksas</w:t>
            </w:r>
            <w:r w:rsidR="006D49DC" w:rsidRPr="00FD5309">
              <w:t xml:space="preserve">. </w:t>
            </w:r>
            <w:r w:rsidR="00A2395A" w:rsidRPr="00FD5309">
              <w:t xml:space="preserve">Patlaban </w:t>
            </w:r>
            <w:r w:rsidR="006D49DC" w:rsidRPr="00FD5309">
              <w:t xml:space="preserve">noteiktā maksa </w:t>
            </w:r>
            <w:r w:rsidR="003A417C" w:rsidRPr="00FD5309">
              <w:t xml:space="preserve">ir Ls 0,09 par vienu kilometru, </w:t>
            </w:r>
            <w:r w:rsidR="00A2395A" w:rsidRPr="00FD5309">
              <w:t>bet tā</w:t>
            </w:r>
            <w:r w:rsidR="003A417C" w:rsidRPr="00FD5309">
              <w:t xml:space="preserve"> nesedz ar automašīnu ekspluatāciju saistītās izmaksas, it sevišķi ņemot vērā degvielas cenu sadārdzinājumu</w:t>
            </w:r>
            <w:r w:rsidR="00A0709D" w:rsidRPr="00FD5309">
              <w:t>.</w:t>
            </w:r>
            <w:r w:rsidR="0070032A" w:rsidRPr="00FD5309">
              <w:t xml:space="preserve"> Minimālā maksa, kas segtu dienesta transportlīdzekļu ekspluatācijas izdevumus</w:t>
            </w:r>
            <w:r w:rsidR="00A2395A" w:rsidRPr="00FD5309">
              <w:t>,</w:t>
            </w:r>
            <w:r w:rsidR="0070032A" w:rsidRPr="00FD5309">
              <w:t xml:space="preserve"> ir Ls 0,18 par vienu kilometru. Patlaban citu valsts</w:t>
            </w:r>
            <w:r w:rsidR="00F5314C" w:rsidRPr="00FD5309">
              <w:t xml:space="preserve"> pārvaldes </w:t>
            </w:r>
            <w:r w:rsidR="0070032A" w:rsidRPr="00FD5309">
              <w:t>iestāžu cenrāžos noteiktā maksa par transportlīdzekļu lietošanu vidēji ir 0,2</w:t>
            </w:r>
            <w:r w:rsidR="00966022" w:rsidRPr="00FD5309">
              <w:t>8</w:t>
            </w:r>
            <w:r w:rsidR="0070032A" w:rsidRPr="00FD5309">
              <w:t xml:space="preserve"> par vienu kilometru</w:t>
            </w:r>
            <w:r w:rsidR="00F34814" w:rsidRPr="00FD5309">
              <w:t xml:space="preserve"> (no Ls 0,14 līdz Ls 0,</w:t>
            </w:r>
            <w:r w:rsidR="00966022" w:rsidRPr="00FD5309">
              <w:t>66</w:t>
            </w:r>
            <w:r w:rsidR="00F34814" w:rsidRPr="00FD5309">
              <w:t xml:space="preserve"> par vienu kilometru)</w:t>
            </w:r>
            <w:r w:rsidR="0070032A" w:rsidRPr="00FD5309">
              <w:t>.</w:t>
            </w:r>
          </w:p>
          <w:p w:rsidR="00585BD7" w:rsidRPr="00FD5309" w:rsidRDefault="006638B3" w:rsidP="00A2395A">
            <w:pPr>
              <w:jc w:val="both"/>
              <w:rPr>
                <w:lang w:val="lv-LV"/>
              </w:rPr>
            </w:pPr>
            <w:r w:rsidRPr="00FD5309">
              <w:rPr>
                <w:lang w:val="lv-LV"/>
              </w:rPr>
              <w:t>6</w:t>
            </w:r>
            <w:r w:rsidR="00FD0941" w:rsidRPr="00FD5309">
              <w:rPr>
                <w:lang w:val="lv-LV"/>
              </w:rPr>
              <w:t xml:space="preserve">. </w:t>
            </w:r>
            <w:r w:rsidR="007C6E47" w:rsidRPr="00FD5309">
              <w:rPr>
                <w:lang w:val="lv-LV"/>
              </w:rPr>
              <w:t>Noteikumu Nr.1231 1., 3., 4. un 5.pielikumā noteikts, ka maks</w:t>
            </w:r>
            <w:r w:rsidR="00A2395A" w:rsidRPr="00FD5309">
              <w:rPr>
                <w:lang w:val="lv-LV"/>
              </w:rPr>
              <w:t>ājumam</w:t>
            </w:r>
            <w:r w:rsidR="007C6E47" w:rsidRPr="00FD5309">
              <w:rPr>
                <w:lang w:val="lv-LV"/>
              </w:rPr>
              <w:t xml:space="preserve"> par šajos pielikumos noteiktajām darbībām </w:t>
            </w:r>
            <w:r w:rsidR="00A2395A" w:rsidRPr="00FD5309">
              <w:rPr>
                <w:lang w:val="lv-LV"/>
              </w:rPr>
              <w:t xml:space="preserve">nepiemēro </w:t>
            </w:r>
            <w:r w:rsidR="007C6E47" w:rsidRPr="00FD5309">
              <w:rPr>
                <w:lang w:val="lv-LV"/>
              </w:rPr>
              <w:t xml:space="preserve">pievienotās vērtības nodokli saskaņā ar likuma „Par pievienotās vērtības nodokli” 2.panta divdesmit otro daļu. </w:t>
            </w:r>
            <w:r w:rsidR="00A2395A" w:rsidRPr="00FD5309">
              <w:rPr>
                <w:lang w:val="lv-LV"/>
              </w:rPr>
              <w:t>Tā kā</w:t>
            </w:r>
            <w:r w:rsidR="005C3E0C" w:rsidRPr="00FD5309">
              <w:rPr>
                <w:lang w:val="lv-LV"/>
              </w:rPr>
              <w:t xml:space="preserve"> minētais likums </w:t>
            </w:r>
            <w:r w:rsidR="00A2395A" w:rsidRPr="00FD5309">
              <w:rPr>
                <w:lang w:val="lv-LV"/>
              </w:rPr>
              <w:t xml:space="preserve">no 2013.gada 1.janvāra </w:t>
            </w:r>
            <w:r w:rsidR="005C3E0C" w:rsidRPr="00FD5309">
              <w:rPr>
                <w:lang w:val="lv-LV"/>
              </w:rPr>
              <w:t xml:space="preserve">ir zaudējis spēku, noteikumu Nr.1231 pielikumos </w:t>
            </w:r>
            <w:r w:rsidR="00D74DBE" w:rsidRPr="00FD5309">
              <w:rPr>
                <w:lang w:val="lv-LV"/>
              </w:rPr>
              <w:t>jāi</w:t>
            </w:r>
            <w:r w:rsidR="00A2395A" w:rsidRPr="00FD5309">
              <w:rPr>
                <w:lang w:val="lv-LV"/>
              </w:rPr>
              <w:t>etver</w:t>
            </w:r>
            <w:r w:rsidR="00D74DBE" w:rsidRPr="00FD5309">
              <w:rPr>
                <w:lang w:val="lv-LV"/>
              </w:rPr>
              <w:t xml:space="preserve"> atsauce uz Pievienotās vērtības nodokļa likumu.</w:t>
            </w:r>
          </w:p>
          <w:p w:rsidR="00D27570" w:rsidRPr="00FD5309" w:rsidRDefault="00D27570" w:rsidP="00AB3027">
            <w:pPr>
              <w:jc w:val="both"/>
              <w:rPr>
                <w:lang w:val="lv-LV"/>
              </w:rPr>
            </w:pPr>
            <w:r w:rsidRPr="00FD5309">
              <w:rPr>
                <w:lang w:val="lv-LV"/>
              </w:rPr>
              <w:t xml:space="preserve">7. Noteikumu Nr.1231 5.pielikumā noteikts, ka maksājumam par šajā pielikumā noteiktajām darbībām nepiemēro pievienotās vērtības nodokli </w:t>
            </w:r>
            <w:r w:rsidR="007C486A" w:rsidRPr="00FD5309">
              <w:rPr>
                <w:lang w:val="lv-LV"/>
              </w:rPr>
              <w:t xml:space="preserve">arī </w:t>
            </w:r>
            <w:r w:rsidRPr="00FD5309">
              <w:rPr>
                <w:lang w:val="lv-LV"/>
              </w:rPr>
              <w:t xml:space="preserve">saskaņā ar likuma „Par pievienotās vērtības nodokli” </w:t>
            </w:r>
            <w:r w:rsidR="007C486A" w:rsidRPr="00FD5309">
              <w:rPr>
                <w:lang w:val="lv-LV"/>
              </w:rPr>
              <w:t>6</w:t>
            </w:r>
            <w:r w:rsidRPr="00FD5309">
              <w:rPr>
                <w:lang w:val="lv-LV"/>
              </w:rPr>
              <w:t xml:space="preserve">.panta </w:t>
            </w:r>
            <w:r w:rsidR="007C486A" w:rsidRPr="00FD5309">
              <w:rPr>
                <w:lang w:val="lv-LV"/>
              </w:rPr>
              <w:t>pirmās daļas 9.</w:t>
            </w:r>
            <w:r w:rsidR="007C486A" w:rsidRPr="00FD5309">
              <w:rPr>
                <w:vertAlign w:val="superscript"/>
                <w:lang w:val="lv-LV"/>
              </w:rPr>
              <w:t>1</w:t>
            </w:r>
            <w:r w:rsidR="007C486A" w:rsidRPr="00FD5309">
              <w:rPr>
                <w:lang w:val="lv-LV"/>
              </w:rPr>
              <w:t xml:space="preserve"> punktu. Minētā norma šobrīd ir pārcelta uz</w:t>
            </w:r>
            <w:r w:rsidRPr="00FD5309">
              <w:rPr>
                <w:lang w:val="lv-LV"/>
              </w:rPr>
              <w:t xml:space="preserve"> Pievienotās vērtības nodokļa likuma 52.panta pirmās daļas 3. un 4.punktu</w:t>
            </w:r>
            <w:r w:rsidR="007C486A" w:rsidRPr="00FD5309">
              <w:rPr>
                <w:lang w:val="lv-LV"/>
              </w:rPr>
              <w:t xml:space="preserve"> un neattiecas uz </w:t>
            </w:r>
            <w:r w:rsidR="00AB3027" w:rsidRPr="00FD5309">
              <w:rPr>
                <w:lang w:val="lv-LV"/>
              </w:rPr>
              <w:t xml:space="preserve">sniegtajiem pakalpojumiem veterināro zāļu apritē, tāpēc attiecīgā atsauce </w:t>
            </w:r>
            <w:r w:rsidR="00301426" w:rsidRPr="00FD5309">
              <w:rPr>
                <w:lang w:val="lv-LV"/>
              </w:rPr>
              <w:t xml:space="preserve">pielikuma piezīmē </w:t>
            </w:r>
            <w:r w:rsidR="00AB3027" w:rsidRPr="00FD5309">
              <w:rPr>
                <w:lang w:val="lv-LV"/>
              </w:rPr>
              <w:t>ir svītrojama.</w:t>
            </w:r>
          </w:p>
        </w:tc>
      </w:tr>
      <w:tr w:rsidR="00AB6A7A" w:rsidRPr="00DF0F7D" w:rsidTr="00D07EC4">
        <w:trPr>
          <w:jc w:val="center"/>
        </w:trPr>
        <w:tc>
          <w:tcPr>
            <w:tcW w:w="327" w:type="pct"/>
            <w:gridSpan w:val="3"/>
          </w:tcPr>
          <w:p w:rsidR="00A162FE" w:rsidRPr="00DF0F7D" w:rsidRDefault="00A162FE" w:rsidP="008665A4">
            <w:pPr>
              <w:rPr>
                <w:lang w:val="lv-LV" w:eastAsia="lv-LV"/>
              </w:rPr>
            </w:pPr>
            <w:r w:rsidRPr="00DF0F7D">
              <w:rPr>
                <w:lang w:val="lv-LV" w:eastAsia="lv-LV"/>
              </w:rPr>
              <w:lastRenderedPageBreak/>
              <w:t>3.</w:t>
            </w:r>
          </w:p>
        </w:tc>
        <w:tc>
          <w:tcPr>
            <w:tcW w:w="1277" w:type="pct"/>
          </w:tcPr>
          <w:p w:rsidR="00A162FE" w:rsidRPr="00DF0F7D" w:rsidRDefault="00A162FE" w:rsidP="004F4421">
            <w:pPr>
              <w:jc w:val="both"/>
              <w:rPr>
                <w:lang w:val="lv-LV" w:eastAsia="lv-LV"/>
              </w:rPr>
            </w:pPr>
            <w:r w:rsidRPr="00DF0F7D">
              <w:rPr>
                <w:lang w:val="lv-LV" w:eastAsia="lv-LV"/>
              </w:rPr>
              <w:t>Saistītie politikas ietekmes novērtējumi un pētījumi</w:t>
            </w:r>
          </w:p>
        </w:tc>
        <w:tc>
          <w:tcPr>
            <w:tcW w:w="3395" w:type="pct"/>
            <w:gridSpan w:val="8"/>
          </w:tcPr>
          <w:p w:rsidR="00A162FE" w:rsidRPr="00FD5309" w:rsidRDefault="00384564" w:rsidP="008665A4">
            <w:pPr>
              <w:jc w:val="both"/>
              <w:rPr>
                <w:highlight w:val="yellow"/>
                <w:lang w:val="lv-LV" w:eastAsia="lv-LV"/>
              </w:rPr>
            </w:pPr>
            <w:r w:rsidRPr="00FD5309">
              <w:rPr>
                <w:iCs/>
                <w:lang w:val="lv-LV"/>
              </w:rPr>
              <w:t>Projekts šo jomu neskar</w:t>
            </w:r>
            <w:r w:rsidRPr="00FD5309">
              <w:rPr>
                <w:lang w:val="lv-LV"/>
              </w:rPr>
              <w:t>.</w:t>
            </w:r>
          </w:p>
        </w:tc>
      </w:tr>
      <w:tr w:rsidR="00AB6A7A" w:rsidRPr="00DF0F7D" w:rsidTr="00D07EC4">
        <w:trPr>
          <w:jc w:val="center"/>
        </w:trPr>
        <w:tc>
          <w:tcPr>
            <w:tcW w:w="327" w:type="pct"/>
            <w:gridSpan w:val="3"/>
          </w:tcPr>
          <w:p w:rsidR="00A162FE" w:rsidRPr="00DF0F7D" w:rsidRDefault="00A162FE" w:rsidP="008665A4">
            <w:pPr>
              <w:rPr>
                <w:lang w:val="lv-LV" w:eastAsia="lv-LV"/>
              </w:rPr>
            </w:pPr>
            <w:r w:rsidRPr="00DF0F7D">
              <w:rPr>
                <w:lang w:val="lv-LV" w:eastAsia="lv-LV"/>
              </w:rPr>
              <w:t>4.</w:t>
            </w:r>
          </w:p>
        </w:tc>
        <w:tc>
          <w:tcPr>
            <w:tcW w:w="1277" w:type="pct"/>
          </w:tcPr>
          <w:p w:rsidR="00A162FE" w:rsidRPr="00DF0F7D" w:rsidRDefault="00A162FE" w:rsidP="004F4421">
            <w:pPr>
              <w:jc w:val="both"/>
              <w:rPr>
                <w:lang w:val="lv-LV" w:eastAsia="lv-LV"/>
              </w:rPr>
            </w:pPr>
            <w:r w:rsidRPr="00DF0F7D">
              <w:rPr>
                <w:lang w:val="lv-LV" w:eastAsia="lv-LV"/>
              </w:rPr>
              <w:t>Tiesiskā regulējuma mērķis un būtība</w:t>
            </w:r>
          </w:p>
        </w:tc>
        <w:tc>
          <w:tcPr>
            <w:tcW w:w="3395" w:type="pct"/>
            <w:gridSpan w:val="8"/>
          </w:tcPr>
          <w:p w:rsidR="00895210" w:rsidRPr="0020271B" w:rsidRDefault="007677EC" w:rsidP="008665A4">
            <w:pPr>
              <w:jc w:val="both"/>
              <w:rPr>
                <w:bCs/>
                <w:lang w:val="lv-LV"/>
              </w:rPr>
            </w:pPr>
            <w:r w:rsidRPr="0020271B">
              <w:rPr>
                <w:lang w:val="lv-LV"/>
              </w:rPr>
              <w:t xml:space="preserve">Sagatavots Ministru kabineta noteikumu projekts </w:t>
            </w:r>
            <w:r w:rsidRPr="0020271B">
              <w:rPr>
                <w:bCs/>
                <w:lang w:val="lv-LV"/>
              </w:rPr>
              <w:t xml:space="preserve">„Grozījumi Ministru kabineta 2010.gada </w:t>
            </w:r>
            <w:r w:rsidRPr="0020271B">
              <w:rPr>
                <w:lang w:val="lv-LV"/>
              </w:rPr>
              <w:t>28.decembra noteikumos Nr.1231</w:t>
            </w:r>
            <w:r w:rsidRPr="0020271B">
              <w:rPr>
                <w:bCs/>
                <w:lang w:val="lv-LV"/>
              </w:rPr>
              <w:t xml:space="preserve"> „Noteikumi par Pārtikas un veterinārā dienesta veikto valsts uzraudzības un kontroles darbību un sniegto maksas pakalpojumu samaksu””</w:t>
            </w:r>
            <w:r w:rsidR="00FF3355" w:rsidRPr="0020271B">
              <w:rPr>
                <w:bCs/>
                <w:lang w:val="lv-LV"/>
              </w:rPr>
              <w:t xml:space="preserve"> (turpmāk – noteikumu projekts)</w:t>
            </w:r>
            <w:r w:rsidR="00895210" w:rsidRPr="0020271B">
              <w:rPr>
                <w:bCs/>
                <w:lang w:val="lv-LV"/>
              </w:rPr>
              <w:t>.</w:t>
            </w:r>
          </w:p>
          <w:p w:rsidR="00B00617" w:rsidRPr="0020271B" w:rsidRDefault="00895210" w:rsidP="00C83ED2">
            <w:pPr>
              <w:jc w:val="both"/>
              <w:rPr>
                <w:lang w:val="lv-LV"/>
              </w:rPr>
            </w:pPr>
            <w:r w:rsidRPr="0020271B">
              <w:rPr>
                <w:bCs/>
                <w:lang w:val="lv-LV"/>
              </w:rPr>
              <w:t>Noteikumu projekts</w:t>
            </w:r>
            <w:r w:rsidR="00B00617" w:rsidRPr="0020271B">
              <w:rPr>
                <w:lang w:val="lv-LV"/>
              </w:rPr>
              <w:t>:</w:t>
            </w:r>
          </w:p>
          <w:p w:rsidR="00B00617" w:rsidRPr="0020271B" w:rsidRDefault="00B00617" w:rsidP="00504ECD">
            <w:pPr>
              <w:pStyle w:val="naiskr"/>
              <w:spacing w:before="0" w:beforeAutospacing="0" w:after="0" w:afterAutospacing="0"/>
              <w:ind w:hanging="13"/>
              <w:jc w:val="both"/>
            </w:pPr>
            <w:r w:rsidRPr="0020271B">
              <w:t>1)</w:t>
            </w:r>
            <w:r w:rsidR="00860B22" w:rsidRPr="0020271B">
              <w:t xml:space="preserve"> </w:t>
            </w:r>
            <w:r w:rsidR="00A8748A" w:rsidRPr="0020271B">
              <w:t xml:space="preserve">nosaka, </w:t>
            </w:r>
            <w:r w:rsidR="00860B22" w:rsidRPr="0020271B">
              <w:t xml:space="preserve">ka noteiktā maksa par veterinārā (veselības) sertifikāta sagatavošanu un izsniegšanu dzīvniekiem (1.pielikuma 1.punkts) ietver arī dzīvnieku apsekošanu, uzsākot </w:t>
            </w:r>
            <w:proofErr w:type="spellStart"/>
            <w:r w:rsidR="00860B22" w:rsidRPr="0020271B">
              <w:lastRenderedPageBreak/>
              <w:t>karantinēšanu</w:t>
            </w:r>
            <w:proofErr w:type="spellEnd"/>
            <w:r w:rsidR="00860B22" w:rsidRPr="0020271B">
              <w:t xml:space="preserve"> un </w:t>
            </w:r>
            <w:proofErr w:type="spellStart"/>
            <w:r w:rsidR="00860B22" w:rsidRPr="0020271B">
              <w:t>karantinēšanas</w:t>
            </w:r>
            <w:proofErr w:type="spellEnd"/>
            <w:r w:rsidR="00860B22" w:rsidRPr="0020271B">
              <w:t xml:space="preserve"> laikā</w:t>
            </w:r>
            <w:r w:rsidRPr="0020271B">
              <w:t>;</w:t>
            </w:r>
          </w:p>
          <w:p w:rsidR="00B00617" w:rsidRPr="00FD5309" w:rsidRDefault="00B00617" w:rsidP="00504ECD">
            <w:pPr>
              <w:pStyle w:val="naiskr"/>
              <w:spacing w:before="0" w:beforeAutospacing="0" w:after="0" w:afterAutospacing="0"/>
              <w:ind w:hanging="13"/>
              <w:jc w:val="both"/>
            </w:pPr>
            <w:r w:rsidRPr="0020271B">
              <w:t xml:space="preserve">2) </w:t>
            </w:r>
            <w:r w:rsidR="00A8748A" w:rsidRPr="0020271B">
              <w:t xml:space="preserve">nosaka </w:t>
            </w:r>
            <w:r w:rsidR="00580A2C" w:rsidRPr="0020271B">
              <w:t xml:space="preserve">maksas apmēru par </w:t>
            </w:r>
            <w:r w:rsidR="00D26DE6" w:rsidRPr="0020271B">
              <w:t xml:space="preserve">bioloģiskās lauksaimniecības </w:t>
            </w:r>
            <w:r w:rsidRPr="0020271B">
              <w:t xml:space="preserve">kontroles institūcijas darbības trešajās valstīs izvērtēšanu un </w:t>
            </w:r>
            <w:r w:rsidRPr="00FD5309">
              <w:t>uzraudzību;</w:t>
            </w:r>
          </w:p>
          <w:p w:rsidR="00B00617" w:rsidRPr="00FD5309" w:rsidRDefault="00B00617" w:rsidP="00504ECD">
            <w:pPr>
              <w:pStyle w:val="naiskr"/>
              <w:spacing w:before="0" w:beforeAutospacing="0" w:after="0" w:afterAutospacing="0"/>
              <w:ind w:hanging="13"/>
              <w:jc w:val="both"/>
            </w:pPr>
            <w:r w:rsidRPr="00FD5309">
              <w:t xml:space="preserve">3) </w:t>
            </w:r>
            <w:r w:rsidR="0089656E" w:rsidRPr="00FD5309">
              <w:t xml:space="preserve">papildina 1.pielikuma 17.punktu, </w:t>
            </w:r>
            <w:r w:rsidR="00A8748A" w:rsidRPr="00FD5309">
              <w:t>nosak</w:t>
            </w:r>
            <w:r w:rsidR="0089656E" w:rsidRPr="00FD5309">
              <w:t>ot, ka šobrīd noteiktā maksa</w:t>
            </w:r>
            <w:r w:rsidR="00A8748A" w:rsidRPr="00FD5309">
              <w:t xml:space="preserve"> </w:t>
            </w:r>
            <w:r w:rsidR="009456E2" w:rsidRPr="00FD5309">
              <w:t xml:space="preserve">Ls 15 par dažādu dokumentu sagatavošanu un izsniegšanu preču un produktu robežkontroles jomā piemērojama </w:t>
            </w:r>
            <w:r w:rsidR="0089656E" w:rsidRPr="00FD5309">
              <w:t xml:space="preserve">arī </w:t>
            </w:r>
            <w:r w:rsidR="009456E2" w:rsidRPr="00FD5309">
              <w:t xml:space="preserve">gadījumos, kad dienests </w:t>
            </w:r>
            <w:r w:rsidR="000F4DC9" w:rsidRPr="00FD5309">
              <w:t>apstiprin</w:t>
            </w:r>
            <w:r w:rsidR="00013772" w:rsidRPr="00FD5309">
              <w:t>a</w:t>
            </w:r>
            <w:r w:rsidR="000F4DC9" w:rsidRPr="00FD5309">
              <w:t xml:space="preserve"> </w:t>
            </w:r>
            <w:r w:rsidR="0089656E" w:rsidRPr="00FD5309">
              <w:t>sertifikāt</w:t>
            </w:r>
            <w:r w:rsidR="00CF3142" w:rsidRPr="00FD5309">
              <w:t>a</w:t>
            </w:r>
            <w:r w:rsidR="0089656E" w:rsidRPr="00FD5309">
              <w:t xml:space="preserve"> izrakst</w:t>
            </w:r>
            <w:r w:rsidR="000F4DC9" w:rsidRPr="00FD5309">
              <w:t>u</w:t>
            </w:r>
            <w:r w:rsidR="0089656E" w:rsidRPr="00FD5309">
              <w:t xml:space="preserve"> </w:t>
            </w:r>
            <w:r w:rsidR="00036178" w:rsidRPr="00FD5309">
              <w:t>(piemēram, ja tiek sadalīts importēto bioloģiskās lauksaimniecības produktu sūtījums)</w:t>
            </w:r>
            <w:r w:rsidR="00A8748A" w:rsidRPr="00FD5309">
              <w:t>;</w:t>
            </w:r>
          </w:p>
          <w:p w:rsidR="009F6C26" w:rsidRPr="00FD5309" w:rsidRDefault="00A8748A" w:rsidP="00BF13DB">
            <w:pPr>
              <w:jc w:val="both"/>
              <w:rPr>
                <w:lang w:val="lv-LV"/>
              </w:rPr>
            </w:pPr>
            <w:r w:rsidRPr="00FD5309">
              <w:rPr>
                <w:lang w:val="lv-LV"/>
              </w:rPr>
              <w:t xml:space="preserve">4) </w:t>
            </w:r>
            <w:r w:rsidR="005D41D3" w:rsidRPr="00FD5309">
              <w:rPr>
                <w:lang w:val="lv-LV"/>
              </w:rPr>
              <w:t xml:space="preserve">nosaka maksu par </w:t>
            </w:r>
            <w:r w:rsidR="00BF13DB" w:rsidRPr="00FD5309">
              <w:rPr>
                <w:lang w:val="lv-LV"/>
              </w:rPr>
              <w:t>produktu sertificēšanu Nacionālajā pārtikas kvalitātes shēmā un atkārtotu pārbaudi neatbilstību gadījumā;</w:t>
            </w:r>
          </w:p>
          <w:p w:rsidR="00A8748A" w:rsidRPr="00FD5309" w:rsidRDefault="009F6C26" w:rsidP="00504ECD">
            <w:pPr>
              <w:pStyle w:val="naiskr"/>
              <w:spacing w:before="0" w:beforeAutospacing="0" w:after="0" w:afterAutospacing="0"/>
              <w:ind w:hanging="13"/>
              <w:jc w:val="both"/>
            </w:pPr>
            <w:r w:rsidRPr="00FD5309">
              <w:t xml:space="preserve">5) </w:t>
            </w:r>
            <w:r w:rsidR="00A8748A" w:rsidRPr="00FD5309">
              <w:t>precizē 3.pielikuma 2.punktu, svītrojot vārdu „rotaļlietām”</w:t>
            </w:r>
            <w:r w:rsidR="00B536F8" w:rsidRPr="00FD5309">
              <w:t>;</w:t>
            </w:r>
          </w:p>
          <w:p w:rsidR="001D5A83" w:rsidRPr="00FD5309" w:rsidRDefault="009F6C26" w:rsidP="00504ECD">
            <w:pPr>
              <w:pStyle w:val="naiskr"/>
              <w:spacing w:before="0" w:beforeAutospacing="0" w:after="0" w:afterAutospacing="0"/>
              <w:ind w:hanging="13"/>
              <w:jc w:val="both"/>
            </w:pPr>
            <w:r w:rsidRPr="00FD5309">
              <w:t>6</w:t>
            </w:r>
            <w:r w:rsidR="001D5A83" w:rsidRPr="00FD5309">
              <w:t xml:space="preserve">) </w:t>
            </w:r>
            <w:r w:rsidR="00DA6CAA" w:rsidRPr="00FD5309">
              <w:t xml:space="preserve">nosaka, ka </w:t>
            </w:r>
            <w:r w:rsidR="003A38BC" w:rsidRPr="00FD5309">
              <w:t xml:space="preserve">maksa par dienesta transportlīdzekļu </w:t>
            </w:r>
            <w:r w:rsidR="000D626C" w:rsidRPr="00FD5309">
              <w:t xml:space="preserve">izmantošanu ir Ls 0,18 par vienu kilometru </w:t>
            </w:r>
            <w:r w:rsidR="00DA6CAA" w:rsidRPr="00FD5309">
              <w:t>(1., 2., 3. un 4.pielikums)</w:t>
            </w:r>
            <w:r w:rsidR="00821C4D" w:rsidRPr="00FD5309">
              <w:t>;</w:t>
            </w:r>
          </w:p>
          <w:p w:rsidR="00C14814" w:rsidRPr="00FD5309" w:rsidRDefault="009F6C26" w:rsidP="00504ECD">
            <w:pPr>
              <w:jc w:val="both"/>
              <w:rPr>
                <w:lang w:val="lv-LV"/>
              </w:rPr>
            </w:pPr>
            <w:r w:rsidRPr="00FD5309">
              <w:rPr>
                <w:lang w:val="lv-LV"/>
              </w:rPr>
              <w:t>7</w:t>
            </w:r>
            <w:r w:rsidR="000B4FBD" w:rsidRPr="00FD5309">
              <w:rPr>
                <w:lang w:val="lv-LV"/>
              </w:rPr>
              <w:t xml:space="preserve">) </w:t>
            </w:r>
            <w:r w:rsidR="00B536F8" w:rsidRPr="00FD5309">
              <w:rPr>
                <w:lang w:val="lv-LV"/>
              </w:rPr>
              <w:t xml:space="preserve">nosaka, </w:t>
            </w:r>
            <w:r w:rsidR="000B4FBD" w:rsidRPr="00FD5309">
              <w:rPr>
                <w:lang w:val="lv-LV"/>
              </w:rPr>
              <w:t>ka maks</w:t>
            </w:r>
            <w:r w:rsidR="00A2395A" w:rsidRPr="00FD5309">
              <w:rPr>
                <w:lang w:val="lv-LV"/>
              </w:rPr>
              <w:t>ājumam</w:t>
            </w:r>
            <w:r w:rsidR="000B4FBD" w:rsidRPr="00FD5309">
              <w:rPr>
                <w:lang w:val="lv-LV"/>
              </w:rPr>
              <w:t xml:space="preserve"> par </w:t>
            </w:r>
            <w:r w:rsidR="00580A2C" w:rsidRPr="00FD5309">
              <w:rPr>
                <w:lang w:val="lv-LV"/>
              </w:rPr>
              <w:t xml:space="preserve">1., 3., 4. un 5.pielikumā noteiktajām darbībām </w:t>
            </w:r>
            <w:r w:rsidR="00A2395A" w:rsidRPr="00FD5309">
              <w:rPr>
                <w:lang w:val="lv-LV"/>
              </w:rPr>
              <w:t xml:space="preserve">nepiemēro </w:t>
            </w:r>
            <w:r w:rsidR="00580A2C" w:rsidRPr="00FD5309">
              <w:rPr>
                <w:lang w:val="lv-LV"/>
              </w:rPr>
              <w:t>pievienotās vērtības nodokli saskaņā ar Piev</w:t>
            </w:r>
            <w:r w:rsidR="000B4FBD" w:rsidRPr="00FD5309">
              <w:rPr>
                <w:lang w:val="lv-LV"/>
              </w:rPr>
              <w:t>ienotās vērtības nodokļa likuma 3.panta astoto daļu.</w:t>
            </w:r>
          </w:p>
          <w:p w:rsidR="00F8482C" w:rsidRPr="00FD5309" w:rsidRDefault="0020271B" w:rsidP="00E222D0">
            <w:pPr>
              <w:jc w:val="both"/>
              <w:rPr>
                <w:lang w:val="lv-LV"/>
              </w:rPr>
            </w:pPr>
            <w:r w:rsidRPr="00FD5309">
              <w:rPr>
                <w:lang w:val="lv-LV"/>
              </w:rPr>
              <w:t>N</w:t>
            </w:r>
            <w:r w:rsidR="00F8482C" w:rsidRPr="00FD5309">
              <w:rPr>
                <w:lang w:val="lv-LV"/>
              </w:rPr>
              <w:t xml:space="preserve">oteikumu </w:t>
            </w:r>
            <w:r w:rsidRPr="00FD5309">
              <w:rPr>
                <w:lang w:val="lv-LV"/>
              </w:rPr>
              <w:t xml:space="preserve">Nr.1231 </w:t>
            </w:r>
            <w:r w:rsidR="00C710FA" w:rsidRPr="00FD5309">
              <w:rPr>
                <w:lang w:val="lv-LV"/>
              </w:rPr>
              <w:t xml:space="preserve">1.pielikumā </w:t>
            </w:r>
            <w:r w:rsidR="00F8482C" w:rsidRPr="00FD5309">
              <w:rPr>
                <w:lang w:val="lv-LV"/>
              </w:rPr>
              <w:t xml:space="preserve">iekļautie </w:t>
            </w:r>
            <w:r w:rsidR="00C710FA" w:rsidRPr="00FD5309">
              <w:rPr>
                <w:lang w:val="lv-LV"/>
              </w:rPr>
              <w:t xml:space="preserve">dienesta veicamie </w:t>
            </w:r>
            <w:r w:rsidR="00F8482C" w:rsidRPr="00FD5309">
              <w:rPr>
                <w:lang w:val="lv-LV"/>
              </w:rPr>
              <w:t>pakalpojumi</w:t>
            </w:r>
            <w:r w:rsidR="00C710FA" w:rsidRPr="00FD5309">
              <w:rPr>
                <w:lang w:val="lv-LV"/>
              </w:rPr>
              <w:t xml:space="preserve"> bioloģiskās lauksaimniecības jomā un </w:t>
            </w:r>
            <w:r w:rsidR="00C710FA" w:rsidRPr="00FD5309">
              <w:rPr>
                <w:lang w:val="lv-LV" w:eastAsia="lv-LV"/>
              </w:rPr>
              <w:t xml:space="preserve">nacionālajā pārtikas kvalitātes shēmā darbojošos uzņēmumu uzraudzība un produktu sertifikācija (noteikumu </w:t>
            </w:r>
            <w:r w:rsidR="00C710FA" w:rsidRPr="00FD5309">
              <w:rPr>
                <w:lang w:val="lv-LV"/>
              </w:rPr>
              <w:t>projekta 1.5.apakšpunkts)</w:t>
            </w:r>
            <w:r w:rsidR="00F8482C" w:rsidRPr="00FD5309">
              <w:rPr>
                <w:lang w:val="lv-LV"/>
              </w:rPr>
              <w:t xml:space="preserve"> ir uzskatāmi par valsts funkciju un tiem nav jāpiemēro pievienotās vērtības nodoklis</w:t>
            </w:r>
            <w:r w:rsidR="00C710FA" w:rsidRPr="00FD5309">
              <w:rPr>
                <w:lang w:val="lv-LV"/>
              </w:rPr>
              <w:t>.</w:t>
            </w:r>
          </w:p>
          <w:p w:rsidR="00B55679" w:rsidRPr="00FD5309" w:rsidRDefault="00E222D0" w:rsidP="00E222D0">
            <w:pPr>
              <w:pStyle w:val="tv2133"/>
              <w:spacing w:line="240" w:lineRule="auto"/>
              <w:ind w:firstLine="0"/>
              <w:jc w:val="both"/>
              <w:rPr>
                <w:color w:val="auto"/>
                <w:sz w:val="24"/>
                <w:szCs w:val="24"/>
              </w:rPr>
            </w:pPr>
            <w:r w:rsidRPr="00FD5309">
              <w:rPr>
                <w:color w:val="auto"/>
                <w:sz w:val="24"/>
                <w:szCs w:val="24"/>
              </w:rPr>
              <w:t>Dienesta f</w:t>
            </w:r>
            <w:r w:rsidR="00B55679" w:rsidRPr="00FD5309">
              <w:rPr>
                <w:color w:val="auto"/>
                <w:sz w:val="24"/>
                <w:szCs w:val="24"/>
              </w:rPr>
              <w:t>unkcija</w:t>
            </w:r>
            <w:r w:rsidRPr="00FD5309">
              <w:rPr>
                <w:color w:val="auto"/>
                <w:sz w:val="24"/>
                <w:szCs w:val="24"/>
              </w:rPr>
              <w:t>s</w:t>
            </w:r>
            <w:r w:rsidR="00B55679" w:rsidRPr="00FD5309">
              <w:rPr>
                <w:color w:val="auto"/>
                <w:sz w:val="24"/>
                <w:szCs w:val="24"/>
              </w:rPr>
              <w:t xml:space="preserve"> bioloģisk</w:t>
            </w:r>
            <w:r w:rsidRPr="00FD5309">
              <w:rPr>
                <w:color w:val="auto"/>
                <w:sz w:val="24"/>
                <w:szCs w:val="24"/>
              </w:rPr>
              <w:t>ās lauksaimniecības jomā</w:t>
            </w:r>
            <w:r w:rsidR="00B55679" w:rsidRPr="00FD5309">
              <w:rPr>
                <w:color w:val="auto"/>
                <w:sz w:val="24"/>
                <w:szCs w:val="24"/>
              </w:rPr>
              <w:t xml:space="preserve">, </w:t>
            </w:r>
            <w:r w:rsidRPr="00FD5309">
              <w:rPr>
                <w:color w:val="auto"/>
                <w:sz w:val="24"/>
                <w:szCs w:val="24"/>
              </w:rPr>
              <w:t xml:space="preserve">noteiktas </w:t>
            </w:r>
            <w:r w:rsidR="00B55679" w:rsidRPr="00FD5309">
              <w:rPr>
                <w:bCs/>
                <w:color w:val="auto"/>
                <w:sz w:val="24"/>
                <w:szCs w:val="24"/>
              </w:rPr>
              <w:t>Pārtikas aprites uzraudzības likum</w:t>
            </w:r>
            <w:r w:rsidRPr="00FD5309">
              <w:rPr>
                <w:bCs/>
                <w:color w:val="auto"/>
                <w:sz w:val="24"/>
                <w:szCs w:val="24"/>
              </w:rPr>
              <w:t>a 21.panta otrās daļas 4.punktā un</w:t>
            </w:r>
            <w:r w:rsidRPr="00FD5309">
              <w:rPr>
                <w:color w:val="auto"/>
                <w:sz w:val="24"/>
                <w:szCs w:val="24"/>
              </w:rPr>
              <w:t xml:space="preserve"> </w:t>
            </w:r>
            <w:r w:rsidRPr="00FD5309">
              <w:rPr>
                <w:bCs/>
                <w:color w:val="auto"/>
                <w:sz w:val="24"/>
                <w:szCs w:val="24"/>
              </w:rPr>
              <w:t xml:space="preserve">Lauksaimniecības un lauku attīstības likuma 11.pantā, kura </w:t>
            </w:r>
            <w:r w:rsidRPr="00FD5309">
              <w:rPr>
                <w:color w:val="auto"/>
                <w:sz w:val="24"/>
                <w:szCs w:val="24"/>
              </w:rPr>
              <w:t>2</w:t>
            </w:r>
            <w:r w:rsidRPr="00FD5309">
              <w:rPr>
                <w:color w:val="auto"/>
                <w:sz w:val="24"/>
                <w:szCs w:val="24"/>
                <w:vertAlign w:val="superscript"/>
              </w:rPr>
              <w:t xml:space="preserve">1 </w:t>
            </w:r>
            <w:r w:rsidRPr="00FD5309">
              <w:rPr>
                <w:color w:val="auto"/>
                <w:sz w:val="24"/>
                <w:szCs w:val="24"/>
              </w:rPr>
              <w:t>daļa nosaka, ka dienests izvērtē kontroles institūcijas darbību trešajā valstī atbilstoši Padomes regulas Nr.</w:t>
            </w:r>
            <w:hyperlink r:id="rId8" w:tgtFrame="_blank" w:history="1">
              <w:r w:rsidRPr="00FD5309">
                <w:rPr>
                  <w:rStyle w:val="Hipersaite"/>
                  <w:color w:val="auto"/>
                  <w:sz w:val="24"/>
                  <w:szCs w:val="24"/>
                  <w:u w:val="none"/>
                </w:rPr>
                <w:t>834/2007</w:t>
              </w:r>
            </w:hyperlink>
            <w:r w:rsidRPr="00FD5309">
              <w:rPr>
                <w:color w:val="auto"/>
                <w:sz w:val="24"/>
                <w:szCs w:val="24"/>
              </w:rPr>
              <w:t xml:space="preserve"> 32. un 33.pantā noteiktajām prasībām.</w:t>
            </w:r>
          </w:p>
          <w:p w:rsidR="0013150E" w:rsidRPr="00FD5309" w:rsidRDefault="00E222D0" w:rsidP="00E222D0">
            <w:pPr>
              <w:jc w:val="both"/>
              <w:rPr>
                <w:lang w:val="lv-LV"/>
              </w:rPr>
            </w:pPr>
            <w:r w:rsidRPr="00FD5309">
              <w:rPr>
                <w:lang w:val="lv-LV"/>
              </w:rPr>
              <w:t xml:space="preserve">Savukārt dienesta funkcijas, kas saistītas ar </w:t>
            </w:r>
            <w:r w:rsidR="00D26DE6" w:rsidRPr="00FD5309">
              <w:rPr>
                <w:lang w:val="lv-LV"/>
              </w:rPr>
              <w:t xml:space="preserve">produktu sertificēšanu Nacionālajā pārtikas kvalitātes shēmā </w:t>
            </w:r>
            <w:r w:rsidRPr="00FD5309">
              <w:rPr>
                <w:lang w:val="lv-LV"/>
              </w:rPr>
              <w:t xml:space="preserve">un tajā iesaistīto personu uzraudzību ir noteiktas </w:t>
            </w:r>
            <w:r w:rsidRPr="00FD5309">
              <w:rPr>
                <w:bCs/>
                <w:lang w:val="lv-LV"/>
              </w:rPr>
              <w:t xml:space="preserve">Pārtikas aprites uzraudzības likuma 21.panta otrās daļas </w:t>
            </w:r>
            <w:r w:rsidR="00033CE4" w:rsidRPr="00FD5309">
              <w:rPr>
                <w:lang w:val="lv-LV" w:eastAsia="lv-LV"/>
              </w:rPr>
              <w:t>16</w:t>
            </w:r>
            <w:r w:rsidRPr="00FD5309">
              <w:rPr>
                <w:lang w:val="lv-LV" w:eastAsia="lv-LV"/>
              </w:rPr>
              <w:t>.punktā.</w:t>
            </w:r>
          </w:p>
          <w:p w:rsidR="00A162FE" w:rsidRPr="0020271B" w:rsidRDefault="00714A46" w:rsidP="0020271B">
            <w:pPr>
              <w:jc w:val="both"/>
              <w:rPr>
                <w:highlight w:val="yellow"/>
                <w:lang w:val="lv-LV"/>
              </w:rPr>
            </w:pPr>
            <w:r w:rsidRPr="00FD5309">
              <w:rPr>
                <w:lang w:val="lv-LV"/>
              </w:rPr>
              <w:t>Šīs anotācijas I sadaļas 2.punktā minētās problēmas noteikumu projekts atrisinās pilnībā.</w:t>
            </w:r>
          </w:p>
        </w:tc>
      </w:tr>
      <w:tr w:rsidR="00AB6A7A" w:rsidRPr="00DF0F7D" w:rsidTr="00D07EC4">
        <w:trPr>
          <w:jc w:val="center"/>
        </w:trPr>
        <w:tc>
          <w:tcPr>
            <w:tcW w:w="327" w:type="pct"/>
            <w:gridSpan w:val="3"/>
          </w:tcPr>
          <w:p w:rsidR="00A162FE" w:rsidRPr="00DF0F7D" w:rsidRDefault="00A162FE" w:rsidP="008665A4">
            <w:pPr>
              <w:rPr>
                <w:lang w:val="lv-LV" w:eastAsia="lv-LV"/>
              </w:rPr>
            </w:pPr>
            <w:r w:rsidRPr="00DF0F7D">
              <w:rPr>
                <w:lang w:val="lv-LV" w:eastAsia="lv-LV"/>
              </w:rPr>
              <w:lastRenderedPageBreak/>
              <w:t>5.</w:t>
            </w:r>
          </w:p>
        </w:tc>
        <w:tc>
          <w:tcPr>
            <w:tcW w:w="1277" w:type="pct"/>
          </w:tcPr>
          <w:p w:rsidR="00A162FE" w:rsidRPr="00DF0F7D" w:rsidRDefault="00A162FE" w:rsidP="004F4421">
            <w:pPr>
              <w:jc w:val="both"/>
              <w:rPr>
                <w:lang w:val="lv-LV" w:eastAsia="lv-LV"/>
              </w:rPr>
            </w:pPr>
            <w:r w:rsidRPr="00DF0F7D">
              <w:rPr>
                <w:lang w:val="lv-LV" w:eastAsia="lv-LV"/>
              </w:rPr>
              <w:t>Projekta izstrādē iesaistītās institūcijas</w:t>
            </w:r>
          </w:p>
        </w:tc>
        <w:tc>
          <w:tcPr>
            <w:tcW w:w="3395" w:type="pct"/>
            <w:gridSpan w:val="8"/>
          </w:tcPr>
          <w:p w:rsidR="00A162FE" w:rsidRPr="00DF0F7D" w:rsidRDefault="00E94440" w:rsidP="008665A4">
            <w:pPr>
              <w:jc w:val="both"/>
              <w:rPr>
                <w:lang w:val="lv-LV" w:eastAsia="lv-LV"/>
              </w:rPr>
            </w:pPr>
            <w:r w:rsidRPr="00DF0F7D">
              <w:rPr>
                <w:iCs/>
                <w:lang w:val="lv-LV"/>
              </w:rPr>
              <w:t>P</w:t>
            </w:r>
            <w:r w:rsidR="00846F1D" w:rsidRPr="00DF0F7D">
              <w:rPr>
                <w:iCs/>
                <w:lang w:val="lv-LV"/>
              </w:rPr>
              <w:t>ārtikas un veterinārais dienests</w:t>
            </w:r>
          </w:p>
        </w:tc>
      </w:tr>
      <w:tr w:rsidR="00AB6A7A" w:rsidRPr="00DF0F7D" w:rsidTr="00D07EC4">
        <w:trPr>
          <w:jc w:val="center"/>
        </w:trPr>
        <w:tc>
          <w:tcPr>
            <w:tcW w:w="327" w:type="pct"/>
            <w:gridSpan w:val="3"/>
          </w:tcPr>
          <w:p w:rsidR="00A162FE" w:rsidRPr="00DF0F7D" w:rsidRDefault="00A162FE" w:rsidP="008665A4">
            <w:pPr>
              <w:rPr>
                <w:lang w:val="lv-LV" w:eastAsia="lv-LV"/>
              </w:rPr>
            </w:pPr>
            <w:r w:rsidRPr="00DF0F7D">
              <w:rPr>
                <w:lang w:val="lv-LV" w:eastAsia="lv-LV"/>
              </w:rPr>
              <w:t>6.</w:t>
            </w:r>
          </w:p>
        </w:tc>
        <w:tc>
          <w:tcPr>
            <w:tcW w:w="1277" w:type="pct"/>
          </w:tcPr>
          <w:p w:rsidR="00A162FE" w:rsidRPr="00DF0F7D" w:rsidRDefault="00A162FE" w:rsidP="004F4421">
            <w:pPr>
              <w:jc w:val="both"/>
              <w:rPr>
                <w:lang w:val="lv-LV" w:eastAsia="lv-LV"/>
              </w:rPr>
            </w:pPr>
            <w:r w:rsidRPr="00DF0F7D">
              <w:rPr>
                <w:lang w:val="lv-LV" w:eastAsia="lv-LV"/>
              </w:rPr>
              <w:t>Iemesli, kādēļ netika nodrošināta sabiedrības līdzdalība</w:t>
            </w:r>
          </w:p>
        </w:tc>
        <w:tc>
          <w:tcPr>
            <w:tcW w:w="3395" w:type="pct"/>
            <w:gridSpan w:val="8"/>
          </w:tcPr>
          <w:p w:rsidR="00A162FE" w:rsidRPr="00DF0F7D" w:rsidRDefault="00E94440" w:rsidP="008665A4">
            <w:pPr>
              <w:jc w:val="both"/>
              <w:rPr>
                <w:lang w:val="lv-LV" w:eastAsia="lv-LV"/>
              </w:rPr>
            </w:pPr>
            <w:r w:rsidRPr="00DF0F7D">
              <w:rPr>
                <w:iCs/>
                <w:lang w:val="lv-LV"/>
              </w:rPr>
              <w:t>Projekts šo jomu neskar</w:t>
            </w:r>
            <w:r w:rsidRPr="00DF0F7D">
              <w:rPr>
                <w:lang w:val="lv-LV"/>
              </w:rPr>
              <w:t>.</w:t>
            </w:r>
          </w:p>
        </w:tc>
      </w:tr>
      <w:tr w:rsidR="00AB6A7A" w:rsidRPr="00DF0F7D" w:rsidTr="00D07EC4">
        <w:trPr>
          <w:jc w:val="center"/>
        </w:trPr>
        <w:tc>
          <w:tcPr>
            <w:tcW w:w="327" w:type="pct"/>
            <w:gridSpan w:val="3"/>
          </w:tcPr>
          <w:p w:rsidR="00A162FE" w:rsidRPr="00DF0F7D" w:rsidRDefault="00A162FE" w:rsidP="008665A4">
            <w:pPr>
              <w:rPr>
                <w:lang w:val="lv-LV" w:eastAsia="lv-LV"/>
              </w:rPr>
            </w:pPr>
            <w:r w:rsidRPr="00DF0F7D">
              <w:rPr>
                <w:lang w:val="lv-LV" w:eastAsia="lv-LV"/>
              </w:rPr>
              <w:t>7.</w:t>
            </w:r>
          </w:p>
        </w:tc>
        <w:tc>
          <w:tcPr>
            <w:tcW w:w="1277" w:type="pct"/>
          </w:tcPr>
          <w:p w:rsidR="00A162FE" w:rsidRPr="00DF0F7D" w:rsidRDefault="00A162FE" w:rsidP="004F4421">
            <w:pPr>
              <w:jc w:val="both"/>
              <w:rPr>
                <w:lang w:val="lv-LV" w:eastAsia="lv-LV"/>
              </w:rPr>
            </w:pPr>
            <w:r w:rsidRPr="00DF0F7D">
              <w:rPr>
                <w:lang w:val="lv-LV" w:eastAsia="lv-LV"/>
              </w:rPr>
              <w:t>Cita informācija</w:t>
            </w:r>
          </w:p>
        </w:tc>
        <w:tc>
          <w:tcPr>
            <w:tcW w:w="3395" w:type="pct"/>
            <w:gridSpan w:val="8"/>
          </w:tcPr>
          <w:p w:rsidR="005E61B9" w:rsidRPr="00DF0F7D" w:rsidRDefault="00004E69" w:rsidP="008665A4">
            <w:pPr>
              <w:jc w:val="both"/>
              <w:rPr>
                <w:lang w:val="lv-LV" w:eastAsia="lv-LV"/>
              </w:rPr>
            </w:pPr>
            <w:r w:rsidRPr="00DF0F7D">
              <w:rPr>
                <w:lang w:val="lv-LV"/>
              </w:rPr>
              <w:t>Nav</w:t>
            </w:r>
            <w:r w:rsidR="005E61B9" w:rsidRPr="00DF0F7D">
              <w:rPr>
                <w:rStyle w:val="Izteiksmgs"/>
                <w:b w:val="0"/>
                <w:lang w:val="lv-LV"/>
              </w:rPr>
              <w:t>.</w:t>
            </w:r>
          </w:p>
        </w:tc>
      </w:tr>
      <w:tr w:rsidR="00AB6A7A" w:rsidRPr="00DF0F7D" w:rsidTr="00A81C53">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Height w:val="135"/>
        </w:trPr>
        <w:tc>
          <w:tcPr>
            <w:tcW w:w="0" w:type="auto"/>
            <w:gridSpan w:val="12"/>
            <w:tcBorders>
              <w:top w:val="outset" w:sz="6" w:space="0" w:color="auto"/>
              <w:left w:val="outset" w:sz="6" w:space="0" w:color="auto"/>
              <w:bottom w:val="outset" w:sz="6" w:space="0" w:color="auto"/>
              <w:right w:val="outset" w:sz="6" w:space="0" w:color="auto"/>
            </w:tcBorders>
          </w:tcPr>
          <w:p w:rsidR="008F3459" w:rsidRPr="00DF0F7D" w:rsidRDefault="008F3459" w:rsidP="00490DB2">
            <w:pPr>
              <w:jc w:val="center"/>
              <w:rPr>
                <w:sz w:val="28"/>
                <w:lang w:val="lv-LV"/>
              </w:rPr>
            </w:pPr>
            <w:r w:rsidRPr="00A02E05">
              <w:rPr>
                <w:b/>
                <w:lang w:val="lv-LV"/>
              </w:rPr>
              <w:t>II. Tiesību akta projekta ietekme uz sabiedrību</w:t>
            </w:r>
          </w:p>
        </w:tc>
      </w:tr>
      <w:tr w:rsidR="00A02E05" w:rsidRPr="00734DD9"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Height w:val="696"/>
        </w:trPr>
        <w:tc>
          <w:tcPr>
            <w:tcW w:w="0" w:type="auto"/>
            <w:gridSpan w:val="3"/>
            <w:tcBorders>
              <w:top w:val="outset" w:sz="6" w:space="0" w:color="auto"/>
              <w:left w:val="outset" w:sz="6" w:space="0" w:color="auto"/>
              <w:right w:val="outset" w:sz="6" w:space="0" w:color="auto"/>
            </w:tcBorders>
          </w:tcPr>
          <w:p w:rsidR="00A02E05" w:rsidRPr="00DF0F7D" w:rsidRDefault="00A02E05" w:rsidP="00B90944">
            <w:pPr>
              <w:jc w:val="center"/>
              <w:rPr>
                <w:lang w:val="lv-LV"/>
              </w:rPr>
            </w:pPr>
            <w:r w:rsidRPr="00DF0F7D">
              <w:rPr>
                <w:lang w:val="lv-LV"/>
              </w:rPr>
              <w:t>1.</w:t>
            </w:r>
          </w:p>
        </w:tc>
        <w:tc>
          <w:tcPr>
            <w:tcW w:w="1277" w:type="pct"/>
            <w:tcBorders>
              <w:top w:val="outset" w:sz="6" w:space="0" w:color="auto"/>
              <w:left w:val="outset" w:sz="6" w:space="0" w:color="auto"/>
              <w:right w:val="outset" w:sz="6" w:space="0" w:color="auto"/>
            </w:tcBorders>
          </w:tcPr>
          <w:p w:rsidR="00A02E05" w:rsidRPr="00DF0F7D" w:rsidRDefault="00A02E05" w:rsidP="00B90944">
            <w:pPr>
              <w:jc w:val="both"/>
              <w:rPr>
                <w:lang w:val="lv-LV"/>
              </w:rPr>
            </w:pPr>
            <w:r w:rsidRPr="00DF0F7D">
              <w:rPr>
                <w:lang w:val="lv-LV"/>
              </w:rPr>
              <w:t xml:space="preserve">Sabiedrības </w:t>
            </w:r>
            <w:proofErr w:type="spellStart"/>
            <w:r w:rsidRPr="00DF0F7D">
              <w:rPr>
                <w:lang w:val="lv-LV"/>
              </w:rPr>
              <w:t>mērķgrupa</w:t>
            </w:r>
            <w:proofErr w:type="spellEnd"/>
          </w:p>
        </w:tc>
        <w:tc>
          <w:tcPr>
            <w:tcW w:w="3395" w:type="pct"/>
            <w:gridSpan w:val="8"/>
            <w:tcBorders>
              <w:top w:val="outset" w:sz="6" w:space="0" w:color="auto"/>
              <w:left w:val="outset" w:sz="6" w:space="0" w:color="auto"/>
              <w:right w:val="outset" w:sz="6" w:space="0" w:color="auto"/>
            </w:tcBorders>
            <w:shd w:val="clear" w:color="auto" w:fill="auto"/>
          </w:tcPr>
          <w:p w:rsidR="00A02E05" w:rsidRPr="00DF0F7D" w:rsidRDefault="00A02E05" w:rsidP="00B90944">
            <w:pPr>
              <w:jc w:val="both"/>
              <w:rPr>
                <w:lang w:val="lv-LV"/>
              </w:rPr>
            </w:pPr>
            <w:r w:rsidRPr="00DF0F7D">
              <w:rPr>
                <w:lang w:val="lv-LV"/>
              </w:rPr>
              <w:t xml:space="preserve">Noteikumu projekts attiecas uz: </w:t>
            </w:r>
          </w:p>
          <w:p w:rsidR="00A02E05" w:rsidRPr="00DF0F7D" w:rsidRDefault="00A02E05" w:rsidP="00B90944">
            <w:pPr>
              <w:jc w:val="both"/>
              <w:rPr>
                <w:lang w:val="lv-LV"/>
              </w:rPr>
            </w:pPr>
            <w:r w:rsidRPr="00DF0F7D">
              <w:rPr>
                <w:lang w:val="lv-LV"/>
              </w:rPr>
              <w:t>1) bioloģiskās lauksaimniecības kontroles institūcijām, kas vēlēsies uzsākt darbību trešajās valstīs;</w:t>
            </w:r>
          </w:p>
        </w:tc>
      </w:tr>
      <w:tr w:rsidR="00AB6A7A" w:rsidRPr="00734DD9"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Height w:val="464"/>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jc w:val="center"/>
              <w:rPr>
                <w:lang w:val="lv-LV"/>
              </w:rPr>
            </w:pPr>
          </w:p>
        </w:tc>
        <w:tc>
          <w:tcPr>
            <w:tcW w:w="1277" w:type="pct"/>
            <w:tcBorders>
              <w:top w:val="outset" w:sz="6" w:space="0" w:color="auto"/>
              <w:left w:val="outset" w:sz="6" w:space="0" w:color="auto"/>
              <w:right w:val="outset" w:sz="6" w:space="0" w:color="auto"/>
            </w:tcBorders>
          </w:tcPr>
          <w:p w:rsidR="00BE26B5" w:rsidRPr="00DF0F7D" w:rsidRDefault="00BE26B5" w:rsidP="00490DB2">
            <w:pPr>
              <w:jc w:val="both"/>
              <w:rPr>
                <w:lang w:val="lv-LV"/>
              </w:rPr>
            </w:pPr>
          </w:p>
        </w:tc>
        <w:tc>
          <w:tcPr>
            <w:tcW w:w="3395" w:type="pct"/>
            <w:gridSpan w:val="8"/>
            <w:tcBorders>
              <w:top w:val="outset" w:sz="6" w:space="0" w:color="auto"/>
              <w:left w:val="outset" w:sz="6" w:space="0" w:color="auto"/>
              <w:right w:val="outset" w:sz="6" w:space="0" w:color="auto"/>
            </w:tcBorders>
            <w:shd w:val="clear" w:color="auto" w:fill="auto"/>
          </w:tcPr>
          <w:p w:rsidR="00A02E05" w:rsidRDefault="00A02E05" w:rsidP="00490DB2">
            <w:pPr>
              <w:jc w:val="both"/>
              <w:rPr>
                <w:lang w:val="lv-LV"/>
              </w:rPr>
            </w:pPr>
            <w:r w:rsidRPr="00DF0F7D">
              <w:rPr>
                <w:lang w:val="lv-LV"/>
              </w:rPr>
              <w:t xml:space="preserve">2) bioloģiskās lauksaimniecības produktu kravu ievedējiem (gadījumos, kad nepieciešams saņemt sertifikāta izraksta </w:t>
            </w:r>
            <w:r w:rsidRPr="00DF0F7D">
              <w:rPr>
                <w:iCs/>
                <w:lang w:val="lv-LV"/>
              </w:rPr>
              <w:t>apstiprinājumu</w:t>
            </w:r>
            <w:r w:rsidRPr="00DF0F7D">
              <w:rPr>
                <w:lang w:val="lv-LV"/>
              </w:rPr>
              <w:t xml:space="preserve"> par sadalītu importēto produktu sūtījumu);</w:t>
            </w:r>
          </w:p>
          <w:p w:rsidR="00CF1642" w:rsidRPr="00DF0F7D" w:rsidRDefault="00CF1642" w:rsidP="00490DB2">
            <w:pPr>
              <w:jc w:val="both"/>
              <w:rPr>
                <w:lang w:val="lv-LV"/>
              </w:rPr>
            </w:pPr>
            <w:r w:rsidRPr="00DF0F7D">
              <w:rPr>
                <w:lang w:val="lv-LV"/>
              </w:rPr>
              <w:t>3) Nacionālajā pārtikas kvalitātes shēmā iesaistīt</w:t>
            </w:r>
            <w:r w:rsidR="00A2395A" w:rsidRPr="00DF0F7D">
              <w:rPr>
                <w:lang w:val="lv-LV"/>
              </w:rPr>
              <w:t>ajiem</w:t>
            </w:r>
            <w:r w:rsidRPr="00DF0F7D">
              <w:rPr>
                <w:lang w:val="lv-LV"/>
              </w:rPr>
              <w:t xml:space="preserve"> operatori</w:t>
            </w:r>
            <w:r w:rsidR="00A2395A" w:rsidRPr="00DF0F7D">
              <w:rPr>
                <w:lang w:val="lv-LV"/>
              </w:rPr>
              <w:t>em</w:t>
            </w:r>
            <w:r w:rsidRPr="00DF0F7D">
              <w:rPr>
                <w:lang w:val="lv-LV"/>
              </w:rPr>
              <w:t xml:space="preserve"> un izejvielu piegādātāji</w:t>
            </w:r>
            <w:r w:rsidR="00A2395A" w:rsidRPr="00DF0F7D">
              <w:rPr>
                <w:lang w:val="lv-LV"/>
              </w:rPr>
              <w:t>em</w:t>
            </w:r>
            <w:r w:rsidRPr="00DF0F7D">
              <w:rPr>
                <w:lang w:val="lv-LV"/>
              </w:rPr>
              <w:t>;</w:t>
            </w:r>
          </w:p>
          <w:p w:rsidR="00101E0B" w:rsidRPr="00DF0F7D" w:rsidRDefault="00323E0A" w:rsidP="00F41EB7">
            <w:pPr>
              <w:jc w:val="both"/>
              <w:rPr>
                <w:lang w:val="lv-LV"/>
              </w:rPr>
            </w:pPr>
            <w:r w:rsidRPr="00DF0F7D">
              <w:rPr>
                <w:lang w:val="lv-LV"/>
              </w:rPr>
              <w:t xml:space="preserve">4) </w:t>
            </w:r>
            <w:r w:rsidR="002E7226" w:rsidRPr="00DF0F7D">
              <w:rPr>
                <w:lang w:val="lv-LV"/>
              </w:rPr>
              <w:t>uzņēmēji</w:t>
            </w:r>
            <w:r w:rsidR="00A2395A" w:rsidRPr="00DF0F7D">
              <w:rPr>
                <w:lang w:val="lv-LV"/>
              </w:rPr>
              <w:t>em</w:t>
            </w:r>
            <w:r w:rsidR="002E7226" w:rsidRPr="00DF0F7D">
              <w:rPr>
                <w:lang w:val="lv-LV"/>
              </w:rPr>
              <w:t xml:space="preserve">, kuriem dienestā nepieciešams saņemt pakalpojumu, kas saistīts ar </w:t>
            </w:r>
            <w:r w:rsidR="00F41EB7" w:rsidRPr="00DF0F7D">
              <w:rPr>
                <w:lang w:val="lv-LV"/>
              </w:rPr>
              <w:t>inspektoru (ekspertu)</w:t>
            </w:r>
            <w:r w:rsidR="002E7226" w:rsidRPr="00DF0F7D">
              <w:rPr>
                <w:lang w:val="lv-LV"/>
              </w:rPr>
              <w:t xml:space="preserve"> izbraukšanu no pastāvīgās darbavietas uz kontroli uzņēmumā</w:t>
            </w:r>
            <w:r w:rsidR="000C283A" w:rsidRPr="00DF0F7D">
              <w:rPr>
                <w:lang w:val="lv-LV"/>
              </w:rPr>
              <w:t xml:space="preserve"> (piemēram, veterinārā sertifikāta saņemšana, uzņēmuma pārbaude pirms atzīšanas u.c.)</w:t>
            </w:r>
            <w:r w:rsidR="002E7226" w:rsidRPr="00DF0F7D">
              <w:rPr>
                <w:lang w:val="lv-LV"/>
              </w:rPr>
              <w:t>.</w:t>
            </w:r>
          </w:p>
        </w:tc>
      </w:tr>
      <w:tr w:rsidR="00AB6A7A" w:rsidRPr="00DF0F7D"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jc w:val="center"/>
              <w:rPr>
                <w:lang w:val="lv-LV"/>
              </w:rPr>
            </w:pPr>
            <w:r w:rsidRPr="00DF0F7D">
              <w:rPr>
                <w:lang w:val="lv-LV"/>
              </w:rPr>
              <w:t>2.</w:t>
            </w:r>
          </w:p>
        </w:tc>
        <w:tc>
          <w:tcPr>
            <w:tcW w:w="1277" w:type="pct"/>
            <w:tcBorders>
              <w:top w:val="outset" w:sz="6" w:space="0" w:color="auto"/>
              <w:left w:val="outset" w:sz="6" w:space="0" w:color="auto"/>
              <w:right w:val="outset" w:sz="6" w:space="0" w:color="auto"/>
            </w:tcBorders>
          </w:tcPr>
          <w:p w:rsidR="00BE26B5" w:rsidRPr="00DF0F7D" w:rsidRDefault="00BE26B5" w:rsidP="00490DB2">
            <w:pPr>
              <w:widowControl w:val="0"/>
              <w:jc w:val="both"/>
              <w:rPr>
                <w:lang w:val="lv-LV"/>
              </w:rPr>
            </w:pPr>
            <w:r w:rsidRPr="00DF0F7D">
              <w:rPr>
                <w:lang w:val="lv-LV"/>
              </w:rPr>
              <w:t xml:space="preserve">Citas sabiedrības grupas (bez </w:t>
            </w:r>
            <w:proofErr w:type="spellStart"/>
            <w:r w:rsidRPr="00DF0F7D">
              <w:rPr>
                <w:lang w:val="lv-LV"/>
              </w:rPr>
              <w:t>mērķgrupas</w:t>
            </w:r>
            <w:proofErr w:type="spellEnd"/>
            <w:r w:rsidRPr="00DF0F7D">
              <w:rPr>
                <w:lang w:val="lv-LV"/>
              </w:rPr>
              <w:t>), kuras tiesiskais regulējums arī ietekmē vai varētu ietekmēt</w:t>
            </w:r>
          </w:p>
        </w:tc>
        <w:tc>
          <w:tcPr>
            <w:tcW w:w="3395" w:type="pct"/>
            <w:gridSpan w:val="8"/>
            <w:tcBorders>
              <w:top w:val="outset" w:sz="6" w:space="0" w:color="auto"/>
              <w:left w:val="outset" w:sz="6" w:space="0" w:color="auto"/>
              <w:right w:val="outset" w:sz="6" w:space="0" w:color="auto"/>
            </w:tcBorders>
            <w:shd w:val="clear" w:color="auto" w:fill="auto"/>
          </w:tcPr>
          <w:p w:rsidR="00BE26B5" w:rsidRPr="00DF0F7D" w:rsidRDefault="00384564" w:rsidP="00490DB2">
            <w:pPr>
              <w:widowControl w:val="0"/>
              <w:jc w:val="both"/>
              <w:rPr>
                <w:lang w:val="lv-LV"/>
              </w:rPr>
            </w:pPr>
            <w:r w:rsidRPr="00DF0F7D">
              <w:rPr>
                <w:iCs/>
                <w:lang w:val="lv-LV"/>
              </w:rPr>
              <w:t>Projekts šo jomu neskar</w:t>
            </w:r>
            <w:r w:rsidRPr="00DF0F7D">
              <w:rPr>
                <w:lang w:val="lv-LV"/>
              </w:rPr>
              <w:t>.</w:t>
            </w:r>
          </w:p>
        </w:tc>
      </w:tr>
      <w:tr w:rsidR="00AB6A7A" w:rsidRPr="00734DD9"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right w:val="outset" w:sz="6" w:space="0" w:color="auto"/>
            </w:tcBorders>
          </w:tcPr>
          <w:p w:rsidR="00997468" w:rsidRPr="00DF0F7D" w:rsidRDefault="00997468" w:rsidP="00A2395A">
            <w:pPr>
              <w:pStyle w:val="ParastaisWeb"/>
              <w:spacing w:before="0" w:beforeAutospacing="0" w:after="0" w:afterAutospacing="0"/>
              <w:rPr>
                <w:lang w:val="lv-LV"/>
              </w:rPr>
            </w:pPr>
            <w:r w:rsidRPr="00DF0F7D">
              <w:rPr>
                <w:lang w:val="lv-LV"/>
              </w:rPr>
              <w:t>3.</w:t>
            </w:r>
          </w:p>
        </w:tc>
        <w:tc>
          <w:tcPr>
            <w:tcW w:w="1277" w:type="pct"/>
            <w:tcBorders>
              <w:top w:val="outset" w:sz="6" w:space="0" w:color="auto"/>
              <w:left w:val="outset" w:sz="6" w:space="0" w:color="auto"/>
              <w:right w:val="outset" w:sz="6" w:space="0" w:color="auto"/>
            </w:tcBorders>
          </w:tcPr>
          <w:p w:rsidR="00997468" w:rsidRPr="00DF0F7D" w:rsidRDefault="00997468" w:rsidP="00A2395A">
            <w:pPr>
              <w:pStyle w:val="ParastaisWeb"/>
              <w:spacing w:before="0" w:beforeAutospacing="0" w:after="0" w:afterAutospacing="0"/>
              <w:jc w:val="both"/>
              <w:rPr>
                <w:lang w:val="lv-LV"/>
              </w:rPr>
            </w:pPr>
            <w:r w:rsidRPr="00DF0F7D">
              <w:rPr>
                <w:lang w:val="lv-LV"/>
              </w:rPr>
              <w:t>Tiesiskā regulējuma finansiālā ietekme</w:t>
            </w:r>
          </w:p>
        </w:tc>
        <w:tc>
          <w:tcPr>
            <w:tcW w:w="3395" w:type="pct"/>
            <w:gridSpan w:val="8"/>
            <w:tcBorders>
              <w:top w:val="outset" w:sz="6" w:space="0" w:color="auto"/>
              <w:left w:val="outset" w:sz="6" w:space="0" w:color="auto"/>
              <w:right w:val="outset" w:sz="6" w:space="0" w:color="auto"/>
            </w:tcBorders>
            <w:shd w:val="clear" w:color="auto" w:fill="auto"/>
          </w:tcPr>
          <w:p w:rsidR="00997468" w:rsidRPr="00DF0F7D" w:rsidRDefault="00997468" w:rsidP="00490DB2">
            <w:pPr>
              <w:widowControl w:val="0"/>
              <w:jc w:val="both"/>
              <w:rPr>
                <w:lang w:val="lv-LV"/>
              </w:rPr>
            </w:pPr>
            <w:r w:rsidRPr="00DF0F7D">
              <w:rPr>
                <w:lang w:val="lv-LV"/>
              </w:rPr>
              <w:t>1. Bioloģiskās lauksaimniecības kontroles institūcijas darbības trešajās valstīs izvērtēšana un uzraudzība. Iesniegto dokumentu pārbaude un ziņojuma sagatavošana pēc kontroles institūcijas darbības izvērtēšana – Ls 392</w:t>
            </w:r>
            <w:r w:rsidR="00A2395A" w:rsidRPr="00DF0F7D">
              <w:rPr>
                <w:lang w:val="lv-LV"/>
              </w:rPr>
              <w:t>;</w:t>
            </w:r>
            <w:r w:rsidRPr="00DF0F7D">
              <w:rPr>
                <w:lang w:val="lv-LV"/>
              </w:rPr>
              <w:t xml:space="preserve"> par kontroles institūcijas darbības izvērtēšanu trešajā valstī samaksa tiks aprēķināta atbilstoši attaisnojuma dokumentiem un noteiktajiem tarifiem (komandējuma dienas nauda, ceļa izdevumi, naktsmītne). 2013.gadā, kā arī turpmākajos trīs pārskata periodos darbības nav plānotas.</w:t>
            </w:r>
          </w:p>
          <w:p w:rsidR="00AB6A7A" w:rsidRPr="00DF0F7D" w:rsidRDefault="00AB6A7A" w:rsidP="00AB6A7A">
            <w:pPr>
              <w:jc w:val="both"/>
              <w:rPr>
                <w:lang w:val="lv-LV"/>
              </w:rPr>
            </w:pPr>
            <w:r w:rsidRPr="00DF0F7D">
              <w:rPr>
                <w:lang w:val="lv-LV"/>
              </w:rPr>
              <w:t xml:space="preserve">2. Ar produktu robežkontroli saistīta sertifikāta izraksta </w:t>
            </w:r>
            <w:r w:rsidRPr="00DF0F7D">
              <w:rPr>
                <w:iCs/>
                <w:lang w:val="lv-LV"/>
              </w:rPr>
              <w:t>apstiprināšana (sūtījuma sadalīšanas gadījumā)</w:t>
            </w:r>
            <w:r w:rsidRPr="00DF0F7D">
              <w:rPr>
                <w:lang w:val="lv-LV"/>
              </w:rPr>
              <w:t xml:space="preserve"> – Ls 15.</w:t>
            </w:r>
          </w:p>
          <w:p w:rsidR="00AB6A7A" w:rsidRPr="00DF0F7D" w:rsidRDefault="00AB6A7A" w:rsidP="00AB6A7A">
            <w:pPr>
              <w:jc w:val="both"/>
              <w:rPr>
                <w:lang w:val="lv-LV"/>
              </w:rPr>
            </w:pPr>
            <w:r w:rsidRPr="00DF0F7D">
              <w:rPr>
                <w:lang w:val="lv-LV"/>
              </w:rPr>
              <w:t>3. Produktu sertificēšana Nacionālajā pārtikas kvalitātes shēmā un atkārtota pārbaude neatbilstību gadījumā – inspektora (eksperta) vienas darba stundas izmaksas ir Ls 7,50 stundā, transporta izmaksas inspektoram (ekspertam) līdz kontroles vietai un atpakaļ līdz pastāvīgajai darbavietai – Ls 0,18 par kilometru.</w:t>
            </w:r>
          </w:p>
          <w:p w:rsidR="00AB6A7A" w:rsidRPr="00DF0F7D" w:rsidRDefault="00AB6A7A" w:rsidP="00AB6A7A">
            <w:pPr>
              <w:widowControl w:val="0"/>
              <w:jc w:val="both"/>
              <w:rPr>
                <w:iCs/>
                <w:lang w:val="lv-LV"/>
              </w:rPr>
            </w:pPr>
            <w:r w:rsidRPr="00DF0F7D">
              <w:rPr>
                <w:lang w:val="lv-LV"/>
              </w:rPr>
              <w:t>4. Par dienesta pakalpojumiem, kas saistīti ar inspektoru (ekspertu) izbraukšanu no pastāvīgās darbavietas uz kontroli uzņēmumā, – transporta izmaksas inspektoram (ekspertam) līdz kontroles vietai un atpakaļ līdz pastāvīgajai darbavietai – Ls 0,18 par kilometru.</w:t>
            </w:r>
          </w:p>
        </w:tc>
      </w:tr>
      <w:tr w:rsidR="00AB6A7A" w:rsidRPr="00734DD9"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Height w:val="792"/>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rPr>
                <w:lang w:val="lv-LV"/>
              </w:rPr>
            </w:pPr>
            <w:r w:rsidRPr="00DF0F7D">
              <w:rPr>
                <w:lang w:val="lv-LV"/>
              </w:rPr>
              <w:t>4.</w:t>
            </w:r>
          </w:p>
        </w:tc>
        <w:tc>
          <w:tcPr>
            <w:tcW w:w="1277" w:type="pct"/>
            <w:tcBorders>
              <w:top w:val="outset" w:sz="6" w:space="0" w:color="auto"/>
              <w:left w:val="outset" w:sz="6" w:space="0" w:color="auto"/>
              <w:right w:val="outset" w:sz="6" w:space="0" w:color="auto"/>
            </w:tcBorders>
          </w:tcPr>
          <w:p w:rsidR="00BE26B5" w:rsidRPr="00DF0F7D" w:rsidRDefault="00BE26B5" w:rsidP="00490DB2">
            <w:pPr>
              <w:jc w:val="both"/>
              <w:rPr>
                <w:lang w:val="lv-LV"/>
              </w:rPr>
            </w:pPr>
            <w:r w:rsidRPr="00DF0F7D">
              <w:rPr>
                <w:lang w:val="lv-LV"/>
              </w:rPr>
              <w:t>Tiesiskā regulējuma nefinansiālā ietekme</w:t>
            </w:r>
          </w:p>
        </w:tc>
        <w:tc>
          <w:tcPr>
            <w:tcW w:w="3395" w:type="pct"/>
            <w:gridSpan w:val="8"/>
            <w:tcBorders>
              <w:top w:val="outset" w:sz="6" w:space="0" w:color="auto"/>
              <w:left w:val="outset" w:sz="6" w:space="0" w:color="auto"/>
              <w:right w:val="outset" w:sz="6" w:space="0" w:color="auto"/>
            </w:tcBorders>
            <w:shd w:val="clear" w:color="auto" w:fill="auto"/>
          </w:tcPr>
          <w:p w:rsidR="00BE26B5" w:rsidRPr="00DF0F7D" w:rsidRDefault="007305D7" w:rsidP="002D58B9">
            <w:pPr>
              <w:widowControl w:val="0"/>
              <w:jc w:val="both"/>
              <w:rPr>
                <w:lang w:val="lv-LV"/>
              </w:rPr>
            </w:pPr>
            <w:r w:rsidRPr="00DF0F7D">
              <w:rPr>
                <w:lang w:val="lv-LV"/>
              </w:rPr>
              <w:t>Bioloģiskās lauksaimniecības kontroles institūcijas varēs paplašināt darbību, uzsākot t</w:t>
            </w:r>
            <w:r w:rsidR="002D58B9" w:rsidRPr="00DF0F7D">
              <w:rPr>
                <w:lang w:val="lv-LV"/>
              </w:rPr>
              <w:t>o</w:t>
            </w:r>
            <w:r w:rsidRPr="00DF0F7D">
              <w:rPr>
                <w:lang w:val="lv-LV"/>
              </w:rPr>
              <w:t xml:space="preserve"> veikšanu trešajās valstīs, savukārt šo produktu apritē iesaistītiem uzņēmējiem būs iespēja saņemt sertifikāta izrakst</w:t>
            </w:r>
            <w:r w:rsidR="00122C23" w:rsidRPr="00DF0F7D">
              <w:rPr>
                <w:lang w:val="lv-LV"/>
              </w:rPr>
              <w:t>a apstiprinājumu</w:t>
            </w:r>
            <w:r w:rsidRPr="00DF0F7D">
              <w:rPr>
                <w:lang w:val="lv-LV"/>
              </w:rPr>
              <w:t xml:space="preserve"> </w:t>
            </w:r>
            <w:r w:rsidR="005B58E9" w:rsidRPr="00DF0F7D">
              <w:rPr>
                <w:lang w:val="lv-LV"/>
              </w:rPr>
              <w:t>sūtījuma</w:t>
            </w:r>
            <w:r w:rsidRPr="00DF0F7D">
              <w:rPr>
                <w:lang w:val="lv-LV"/>
              </w:rPr>
              <w:t xml:space="preserve"> sadalīšanas gadījumā.</w:t>
            </w:r>
          </w:p>
        </w:tc>
      </w:tr>
      <w:tr w:rsidR="00AB6A7A" w:rsidRPr="00DF0F7D"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rPr>
                <w:lang w:val="lv-LV"/>
              </w:rPr>
            </w:pPr>
            <w:r w:rsidRPr="00DF0F7D">
              <w:rPr>
                <w:lang w:val="lv-LV"/>
              </w:rPr>
              <w:t>5.</w:t>
            </w:r>
          </w:p>
        </w:tc>
        <w:tc>
          <w:tcPr>
            <w:tcW w:w="1277" w:type="pct"/>
            <w:tcBorders>
              <w:top w:val="outset" w:sz="6" w:space="0" w:color="auto"/>
              <w:left w:val="outset" w:sz="6" w:space="0" w:color="auto"/>
              <w:right w:val="outset" w:sz="6" w:space="0" w:color="auto"/>
            </w:tcBorders>
          </w:tcPr>
          <w:p w:rsidR="00BE26B5" w:rsidRPr="00DF0F7D" w:rsidRDefault="00BE26B5" w:rsidP="00490DB2">
            <w:pPr>
              <w:jc w:val="both"/>
              <w:rPr>
                <w:lang w:val="lv-LV"/>
              </w:rPr>
            </w:pPr>
            <w:r w:rsidRPr="00DF0F7D">
              <w:rPr>
                <w:lang w:val="lv-LV"/>
              </w:rPr>
              <w:t>Administratīvās procedūras raksturojums</w:t>
            </w:r>
          </w:p>
        </w:tc>
        <w:tc>
          <w:tcPr>
            <w:tcW w:w="3395" w:type="pct"/>
            <w:gridSpan w:val="8"/>
            <w:tcBorders>
              <w:top w:val="outset" w:sz="6" w:space="0" w:color="auto"/>
              <w:left w:val="outset" w:sz="6" w:space="0" w:color="auto"/>
              <w:right w:val="outset" w:sz="6" w:space="0" w:color="auto"/>
            </w:tcBorders>
            <w:shd w:val="clear" w:color="auto" w:fill="auto"/>
          </w:tcPr>
          <w:p w:rsidR="00BE26B5" w:rsidRPr="00DF0F7D" w:rsidRDefault="00507CDD" w:rsidP="00490DB2">
            <w:pPr>
              <w:widowControl w:val="0"/>
              <w:jc w:val="both"/>
              <w:rPr>
                <w:lang w:val="lv-LV"/>
              </w:rPr>
            </w:pPr>
            <w:r w:rsidRPr="00DF0F7D">
              <w:rPr>
                <w:lang w:val="lv-LV"/>
              </w:rPr>
              <w:t>Noteikumu projekts negroza šobrīd noteiktās administratīvās procedūras.</w:t>
            </w:r>
          </w:p>
        </w:tc>
      </w:tr>
      <w:tr w:rsidR="00AB6A7A" w:rsidRPr="00DF0F7D"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rPr>
                <w:lang w:val="lv-LV"/>
              </w:rPr>
            </w:pPr>
            <w:r w:rsidRPr="00DF0F7D">
              <w:rPr>
                <w:lang w:val="lv-LV"/>
              </w:rPr>
              <w:lastRenderedPageBreak/>
              <w:t>6.</w:t>
            </w:r>
          </w:p>
        </w:tc>
        <w:tc>
          <w:tcPr>
            <w:tcW w:w="1277" w:type="pct"/>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jc w:val="both"/>
              <w:rPr>
                <w:lang w:val="lv-LV"/>
              </w:rPr>
            </w:pPr>
            <w:r w:rsidRPr="00DF0F7D">
              <w:rPr>
                <w:lang w:val="lv-LV"/>
              </w:rPr>
              <w:t>Administratīvo izmaksu monetārs novērtējums</w:t>
            </w:r>
          </w:p>
        </w:tc>
        <w:tc>
          <w:tcPr>
            <w:tcW w:w="3395" w:type="pct"/>
            <w:gridSpan w:val="8"/>
            <w:tcBorders>
              <w:top w:val="outset" w:sz="6" w:space="0" w:color="auto"/>
              <w:left w:val="outset" w:sz="6" w:space="0" w:color="auto"/>
              <w:right w:val="outset" w:sz="6" w:space="0" w:color="auto"/>
            </w:tcBorders>
          </w:tcPr>
          <w:p w:rsidR="00BE26B5" w:rsidRPr="00DF0F7D" w:rsidRDefault="00384564" w:rsidP="00490DB2">
            <w:pPr>
              <w:widowControl w:val="0"/>
              <w:jc w:val="both"/>
              <w:rPr>
                <w:lang w:val="lv-LV"/>
              </w:rPr>
            </w:pPr>
            <w:r w:rsidRPr="00DF0F7D">
              <w:rPr>
                <w:iCs/>
                <w:lang w:val="lv-LV"/>
              </w:rPr>
              <w:t>Projekts šo jomu neskar</w:t>
            </w:r>
            <w:r w:rsidRPr="00DF0F7D">
              <w:rPr>
                <w:lang w:val="lv-LV"/>
              </w:rPr>
              <w:t>.</w:t>
            </w:r>
          </w:p>
        </w:tc>
      </w:tr>
      <w:tr w:rsidR="00AB6A7A" w:rsidRPr="00DF0F7D" w:rsidTr="00D07EC4">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rPr>
                <w:lang w:val="lv-LV"/>
              </w:rPr>
            </w:pPr>
            <w:r w:rsidRPr="00DF0F7D">
              <w:rPr>
                <w:lang w:val="lv-LV"/>
              </w:rPr>
              <w:t>7.</w:t>
            </w:r>
          </w:p>
        </w:tc>
        <w:tc>
          <w:tcPr>
            <w:tcW w:w="1277" w:type="pct"/>
            <w:tcBorders>
              <w:top w:val="outset" w:sz="6" w:space="0" w:color="auto"/>
              <w:left w:val="outset" w:sz="6" w:space="0" w:color="auto"/>
              <w:right w:val="outset" w:sz="6" w:space="0" w:color="auto"/>
            </w:tcBorders>
          </w:tcPr>
          <w:p w:rsidR="00BE26B5" w:rsidRPr="00DF0F7D" w:rsidRDefault="00BE26B5" w:rsidP="00490DB2">
            <w:pPr>
              <w:pStyle w:val="ParastaisWeb"/>
              <w:spacing w:before="0" w:beforeAutospacing="0" w:after="0" w:afterAutospacing="0"/>
              <w:rPr>
                <w:lang w:val="lv-LV"/>
              </w:rPr>
            </w:pPr>
            <w:r w:rsidRPr="00DF0F7D">
              <w:rPr>
                <w:lang w:val="lv-LV"/>
              </w:rPr>
              <w:t>Cita informācija</w:t>
            </w:r>
          </w:p>
        </w:tc>
        <w:tc>
          <w:tcPr>
            <w:tcW w:w="3395" w:type="pct"/>
            <w:gridSpan w:val="8"/>
            <w:tcBorders>
              <w:top w:val="outset" w:sz="6" w:space="0" w:color="auto"/>
              <w:left w:val="outset" w:sz="6" w:space="0" w:color="auto"/>
              <w:right w:val="outset" w:sz="6" w:space="0" w:color="auto"/>
            </w:tcBorders>
          </w:tcPr>
          <w:p w:rsidR="00BE26B5" w:rsidRPr="00DF0F7D" w:rsidRDefault="008F7098" w:rsidP="00490DB2">
            <w:pPr>
              <w:widowControl w:val="0"/>
              <w:jc w:val="both"/>
              <w:rPr>
                <w:lang w:val="lv-LV"/>
              </w:rPr>
            </w:pPr>
            <w:r w:rsidRPr="00DF0F7D">
              <w:rPr>
                <w:lang w:val="lv-LV"/>
              </w:rPr>
              <w:t>Nav</w:t>
            </w:r>
            <w:r w:rsidR="00366E84" w:rsidRPr="00DF0F7D">
              <w:rPr>
                <w:lang w:val="lv-LV"/>
              </w:rPr>
              <w:t>.</w:t>
            </w:r>
          </w:p>
        </w:tc>
      </w:tr>
      <w:tr w:rsidR="008F73D3" w:rsidRPr="00DF0F7D" w:rsidTr="00A81C53">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4967" w:type="pct"/>
            <w:gridSpan w:val="10"/>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pStyle w:val="ParastaisWeb"/>
              <w:spacing w:before="0" w:beforeAutospacing="0" w:after="0" w:afterAutospacing="0"/>
              <w:jc w:val="center"/>
              <w:rPr>
                <w:b/>
                <w:bCs/>
                <w:lang w:val="lv-LV"/>
              </w:rPr>
            </w:pPr>
            <w:r w:rsidRPr="00A81C53">
              <w:rPr>
                <w:b/>
                <w:bCs/>
                <w:lang w:val="lv-LV"/>
              </w:rPr>
              <w:t>III. Tiesību akta projekta ietekme uz valsts budžetu un pašvaldību budžetiem</w:t>
            </w:r>
          </w:p>
        </w:tc>
      </w:tr>
      <w:tr w:rsidR="008F73D3" w:rsidRPr="00DF0F7D" w:rsidTr="00A81C53">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vMerge w:val="restar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bCs/>
                <w:lang w:val="lv-LV"/>
              </w:rPr>
            </w:pPr>
            <w:r w:rsidRPr="00DF0F7D">
              <w:rPr>
                <w:bCs/>
                <w:lang w:val="lv-LV"/>
              </w:rPr>
              <w:t>Rādītāji</w:t>
            </w:r>
          </w:p>
        </w:tc>
        <w:tc>
          <w:tcPr>
            <w:tcW w:w="1408" w:type="pct"/>
            <w:gridSpan w:val="3"/>
            <w:vMerge w:val="restar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1E02DD">
            <w:pPr>
              <w:pStyle w:val="ParastaisWeb"/>
              <w:spacing w:before="0" w:beforeAutospacing="0" w:after="0" w:afterAutospacing="0"/>
              <w:jc w:val="center"/>
              <w:rPr>
                <w:bCs/>
                <w:lang w:val="lv-LV"/>
              </w:rPr>
            </w:pPr>
            <w:r w:rsidRPr="00DF0F7D">
              <w:rPr>
                <w:bCs/>
                <w:lang w:val="lv-LV"/>
              </w:rPr>
              <w:t>201</w:t>
            </w:r>
            <w:r w:rsidR="001E02DD" w:rsidRPr="00DF0F7D">
              <w:rPr>
                <w:bCs/>
                <w:lang w:val="lv-LV"/>
              </w:rPr>
              <w:t>3</w:t>
            </w:r>
            <w:r w:rsidRPr="00DF0F7D">
              <w:rPr>
                <w:bCs/>
                <w:lang w:val="lv-LV"/>
              </w:rPr>
              <w:t>. gads</w:t>
            </w:r>
          </w:p>
        </w:tc>
        <w:tc>
          <w:tcPr>
            <w:tcW w:w="1785" w:type="pct"/>
            <w:gridSpan w:val="3"/>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DF0F7D">
                <w:rPr>
                  <w:lang w:val="lv-LV"/>
                </w:rPr>
                <w:t>. latu</w:t>
              </w:r>
            </w:smartTag>
            <w:r w:rsidRPr="00DF0F7D">
              <w:rPr>
                <w:lang w:val="lv-LV"/>
              </w:rPr>
              <w:t>)</w:t>
            </w:r>
          </w:p>
        </w:tc>
      </w:tr>
      <w:tr w:rsidR="008F73D3" w:rsidRPr="00DF0F7D" w:rsidTr="00A81C53">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vMerge/>
            <w:tcBorders>
              <w:top w:val="outset" w:sz="6" w:space="0" w:color="000000"/>
              <w:left w:val="outset" w:sz="6" w:space="0" w:color="000000"/>
              <w:bottom w:val="outset" w:sz="6" w:space="0" w:color="000000"/>
              <w:right w:val="outset" w:sz="6" w:space="0" w:color="000000"/>
            </w:tcBorders>
            <w:vAlign w:val="center"/>
          </w:tcPr>
          <w:p w:rsidR="00517314" w:rsidRPr="00DF0F7D" w:rsidRDefault="00517314" w:rsidP="008665A4">
            <w:pPr>
              <w:rPr>
                <w:b/>
                <w:bCs/>
                <w:lang w:val="lv-LV"/>
              </w:rPr>
            </w:pPr>
          </w:p>
        </w:tc>
        <w:tc>
          <w:tcPr>
            <w:tcW w:w="1408" w:type="pct"/>
            <w:gridSpan w:val="3"/>
            <w:vMerge/>
            <w:tcBorders>
              <w:top w:val="outset" w:sz="6" w:space="0" w:color="000000"/>
              <w:left w:val="outset" w:sz="6" w:space="0" w:color="000000"/>
              <w:bottom w:val="outset" w:sz="6" w:space="0" w:color="000000"/>
              <w:right w:val="outset" w:sz="6" w:space="0" w:color="000000"/>
            </w:tcBorders>
            <w:vAlign w:val="center"/>
          </w:tcPr>
          <w:p w:rsidR="00517314" w:rsidRPr="00DF0F7D" w:rsidRDefault="00517314" w:rsidP="008665A4">
            <w:pPr>
              <w:rPr>
                <w:bCs/>
                <w:lang w:val="lv-LV"/>
              </w:rPr>
            </w:pPr>
          </w:p>
        </w:tc>
        <w:tc>
          <w:tcPr>
            <w:tcW w:w="586"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1E02DD">
            <w:pPr>
              <w:pStyle w:val="ParastaisWeb"/>
              <w:spacing w:before="0" w:beforeAutospacing="0" w:after="0" w:afterAutospacing="0"/>
              <w:jc w:val="center"/>
              <w:rPr>
                <w:bCs/>
                <w:lang w:val="lv-LV"/>
              </w:rPr>
            </w:pPr>
            <w:r w:rsidRPr="00DF0F7D">
              <w:rPr>
                <w:bCs/>
                <w:lang w:val="lv-LV"/>
              </w:rPr>
              <w:t>201</w:t>
            </w:r>
            <w:r w:rsidR="001E02DD" w:rsidRPr="00DF0F7D">
              <w:rPr>
                <w:bCs/>
                <w:lang w:val="lv-LV"/>
              </w:rPr>
              <w:t>4</w:t>
            </w:r>
          </w:p>
        </w:tc>
        <w:tc>
          <w:tcPr>
            <w:tcW w:w="615"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1E02DD">
            <w:pPr>
              <w:pStyle w:val="ParastaisWeb"/>
              <w:spacing w:before="0" w:beforeAutospacing="0" w:after="0" w:afterAutospacing="0"/>
              <w:jc w:val="center"/>
              <w:rPr>
                <w:bCs/>
                <w:lang w:val="lv-LV"/>
              </w:rPr>
            </w:pPr>
            <w:r w:rsidRPr="00DF0F7D">
              <w:rPr>
                <w:bCs/>
                <w:lang w:val="lv-LV"/>
              </w:rPr>
              <w:t>201</w:t>
            </w:r>
            <w:r w:rsidR="001E02DD" w:rsidRPr="00DF0F7D">
              <w:rPr>
                <w:bCs/>
                <w:lang w:val="lv-LV"/>
              </w:rPr>
              <w:t>5</w:t>
            </w:r>
          </w:p>
        </w:tc>
        <w:tc>
          <w:tcPr>
            <w:tcW w:w="584"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1E02DD">
            <w:pPr>
              <w:pStyle w:val="ParastaisWeb"/>
              <w:spacing w:before="0" w:beforeAutospacing="0" w:after="0" w:afterAutospacing="0"/>
              <w:jc w:val="center"/>
              <w:rPr>
                <w:bCs/>
                <w:lang w:val="lv-LV"/>
              </w:rPr>
            </w:pPr>
            <w:r w:rsidRPr="00DF0F7D">
              <w:rPr>
                <w:bCs/>
                <w:lang w:val="lv-LV"/>
              </w:rPr>
              <w:t>201</w:t>
            </w:r>
            <w:r w:rsidR="001E02DD" w:rsidRPr="00DF0F7D">
              <w:rPr>
                <w:bCs/>
                <w:lang w:val="lv-LV"/>
              </w:rPr>
              <w:t>6</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vMerge/>
            <w:tcBorders>
              <w:top w:val="outset" w:sz="6" w:space="0" w:color="000000"/>
              <w:left w:val="outset" w:sz="6" w:space="0" w:color="000000"/>
              <w:bottom w:val="outset" w:sz="6" w:space="0" w:color="000000"/>
              <w:right w:val="outset" w:sz="6" w:space="0" w:color="000000"/>
            </w:tcBorders>
            <w:vAlign w:val="center"/>
          </w:tcPr>
          <w:p w:rsidR="00517314" w:rsidRPr="00DF0F7D" w:rsidRDefault="00517314" w:rsidP="008665A4">
            <w:pPr>
              <w:rPr>
                <w:b/>
                <w:bCs/>
                <w:lang w:val="lv-LV"/>
              </w:rPr>
            </w:pP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8665A4">
            <w:pPr>
              <w:pStyle w:val="ParastaisWeb"/>
              <w:spacing w:before="0" w:beforeAutospacing="0" w:after="0" w:afterAutospacing="0"/>
              <w:jc w:val="center"/>
              <w:rPr>
                <w:lang w:val="lv-LV"/>
              </w:rPr>
            </w:pPr>
            <w:r w:rsidRPr="00DF0F7D">
              <w:rPr>
                <w:lang w:val="lv-LV"/>
              </w:rPr>
              <w:t>Saskaņā ar valsts budžetu kārtējam gadam</w:t>
            </w:r>
          </w:p>
        </w:tc>
        <w:tc>
          <w:tcPr>
            <w:tcW w:w="719"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8665A4">
            <w:pPr>
              <w:pStyle w:val="ParastaisWeb"/>
              <w:spacing w:before="0" w:beforeAutospacing="0" w:after="0" w:afterAutospacing="0"/>
              <w:jc w:val="center"/>
              <w:rPr>
                <w:lang w:val="lv-LV"/>
              </w:rPr>
            </w:pPr>
            <w:r w:rsidRPr="00DF0F7D">
              <w:rPr>
                <w:lang w:val="lv-LV"/>
              </w:rPr>
              <w:t>Izmaiņas kārtējā gadā, salīdzinot ar budžetu kārtējam gadam</w:t>
            </w:r>
          </w:p>
        </w:tc>
        <w:tc>
          <w:tcPr>
            <w:tcW w:w="586"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8665A4">
            <w:pPr>
              <w:pStyle w:val="ParastaisWeb"/>
              <w:spacing w:before="0" w:beforeAutospacing="0" w:after="0" w:afterAutospacing="0"/>
              <w:jc w:val="center"/>
              <w:rPr>
                <w:lang w:val="lv-LV"/>
              </w:rPr>
            </w:pPr>
            <w:r w:rsidRPr="00DF0F7D">
              <w:rPr>
                <w:lang w:val="lv-LV"/>
              </w:rPr>
              <w:t>Izmaiņas, salīdzinot ar kārtējo (n) gadu</w:t>
            </w:r>
          </w:p>
        </w:tc>
        <w:tc>
          <w:tcPr>
            <w:tcW w:w="615"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8665A4">
            <w:pPr>
              <w:pStyle w:val="ParastaisWeb"/>
              <w:spacing w:before="0" w:beforeAutospacing="0" w:after="0" w:afterAutospacing="0"/>
              <w:jc w:val="center"/>
              <w:rPr>
                <w:lang w:val="lv-LV"/>
              </w:rPr>
            </w:pPr>
            <w:r w:rsidRPr="00DF0F7D">
              <w:rPr>
                <w:lang w:val="lv-LV"/>
              </w:rPr>
              <w:t>Izmaiņas, salīdzinot ar kārtējo (n) gadu</w:t>
            </w:r>
          </w:p>
        </w:tc>
        <w:tc>
          <w:tcPr>
            <w:tcW w:w="584"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7671F2" w:rsidP="008665A4">
            <w:pPr>
              <w:pStyle w:val="ParastaisWeb"/>
              <w:spacing w:before="0" w:beforeAutospacing="0" w:after="0" w:afterAutospacing="0"/>
              <w:jc w:val="center"/>
              <w:rPr>
                <w:lang w:val="lv-LV"/>
              </w:rPr>
            </w:pPr>
            <w:r w:rsidRPr="00DF0F7D">
              <w:rPr>
                <w:lang w:val="lv-LV"/>
              </w:rPr>
              <w:t>Izmaiņas, salīdzinot ar kārtējo (n) gadu</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1</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2</w:t>
            </w:r>
          </w:p>
        </w:tc>
        <w:tc>
          <w:tcPr>
            <w:tcW w:w="719"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3</w:t>
            </w:r>
          </w:p>
        </w:tc>
        <w:tc>
          <w:tcPr>
            <w:tcW w:w="586"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4</w:t>
            </w:r>
          </w:p>
        </w:tc>
        <w:tc>
          <w:tcPr>
            <w:tcW w:w="615"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5</w:t>
            </w:r>
          </w:p>
        </w:tc>
        <w:tc>
          <w:tcPr>
            <w:tcW w:w="584" w:type="pct"/>
            <w:tcBorders>
              <w:top w:val="outset" w:sz="6" w:space="0" w:color="000000"/>
              <w:left w:val="outset" w:sz="6" w:space="0" w:color="000000"/>
              <w:bottom w:val="outset" w:sz="6" w:space="0" w:color="000000"/>
              <w:right w:val="outset" w:sz="6" w:space="0" w:color="000000"/>
            </w:tcBorders>
            <w:vAlign w:val="center"/>
          </w:tcPr>
          <w:p w:rsidR="00517314" w:rsidRPr="00DF0F7D" w:rsidRDefault="00DD4DBC" w:rsidP="008665A4">
            <w:pPr>
              <w:pStyle w:val="ParastaisWeb"/>
              <w:spacing w:before="0" w:beforeAutospacing="0" w:after="0" w:afterAutospacing="0"/>
              <w:jc w:val="center"/>
              <w:rPr>
                <w:lang w:val="lv-LV"/>
              </w:rPr>
            </w:pPr>
            <w:r w:rsidRPr="00DF0F7D">
              <w:rPr>
                <w:lang w:val="lv-LV"/>
              </w:rPr>
              <w:t>6</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1. Budžeta ieņēmumi:</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b/>
                <w:bCs/>
                <w:color w:val="000000"/>
                <w:lang w:val="lv-LV"/>
              </w:rPr>
            </w:pPr>
            <w:r w:rsidRPr="00DF0F7D">
              <w:rPr>
                <w:b/>
                <w:bCs/>
                <w:color w:val="000000"/>
                <w:lang w:val="lv-LV"/>
              </w:rPr>
              <w:t>1 957,2</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A23611" w:rsidP="00A742FB">
            <w:pPr>
              <w:jc w:val="center"/>
              <w:rPr>
                <w:b/>
                <w:bCs/>
                <w:color w:val="000000"/>
                <w:lang w:val="lv-LV"/>
              </w:rPr>
            </w:pPr>
            <w:r w:rsidRPr="00DF0F7D">
              <w:rPr>
                <w:b/>
                <w:bCs/>
                <w:color w:val="000000"/>
                <w:lang w:val="lv-LV"/>
              </w:rPr>
              <w:t>17,5</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DC635E" w:rsidP="00A742FB">
            <w:pPr>
              <w:jc w:val="center"/>
              <w:rPr>
                <w:b/>
                <w:bCs/>
                <w:color w:val="000000"/>
                <w:lang w:val="lv-LV"/>
              </w:rPr>
            </w:pPr>
            <w:r>
              <w:rPr>
                <w:b/>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DC635E" w:rsidP="00A742FB">
            <w:pPr>
              <w:jc w:val="center"/>
              <w:rPr>
                <w:b/>
                <w:bCs/>
                <w:color w:val="000000"/>
                <w:lang w:val="lv-LV"/>
              </w:rPr>
            </w:pPr>
            <w:r>
              <w:rPr>
                <w:b/>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DC635E" w:rsidP="00A742FB">
            <w:pPr>
              <w:jc w:val="center"/>
              <w:rPr>
                <w:b/>
                <w:bCs/>
                <w:color w:val="000000"/>
                <w:lang w:val="lv-LV"/>
              </w:rPr>
            </w:pPr>
            <w:r>
              <w:rPr>
                <w:b/>
                <w:bCs/>
                <w:color w:val="000000"/>
                <w:lang w:val="lv-LV"/>
              </w:rPr>
              <w:t>28,7</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1.1. valsts pamatbudžets, tai skaitā ieņēmumi no maksas pakalpojumiem un citi pašu ieņēmumi</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1 957,2</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A23611" w:rsidP="00A742FB">
            <w:pPr>
              <w:jc w:val="center"/>
              <w:rPr>
                <w:color w:val="000000"/>
                <w:lang w:val="lv-LV"/>
              </w:rPr>
            </w:pPr>
            <w:r w:rsidRPr="00DF0F7D">
              <w:rPr>
                <w:color w:val="000000"/>
                <w:lang w:val="lv-LV"/>
              </w:rPr>
              <w:t>17,5</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C635E" w:rsidRDefault="00DC635E" w:rsidP="00A742FB">
            <w:pPr>
              <w:jc w:val="center"/>
              <w:rPr>
                <w:color w:val="000000"/>
                <w:lang w:val="lv-LV"/>
              </w:rPr>
            </w:pPr>
            <w:r w:rsidRPr="00DC635E">
              <w:rPr>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DC635E" w:rsidP="00A742FB">
            <w:pPr>
              <w:jc w:val="center"/>
              <w:rPr>
                <w:color w:val="000000"/>
                <w:lang w:val="lv-LV"/>
              </w:rPr>
            </w:pPr>
            <w:r w:rsidRPr="00DC635E">
              <w:rPr>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DC635E" w:rsidP="00A742FB">
            <w:pPr>
              <w:jc w:val="center"/>
              <w:rPr>
                <w:color w:val="000000"/>
                <w:lang w:val="lv-LV"/>
              </w:rPr>
            </w:pPr>
            <w:r w:rsidRPr="00DC635E">
              <w:rPr>
                <w:bCs/>
                <w:color w:val="000000"/>
                <w:lang w:val="lv-LV"/>
              </w:rPr>
              <w:t>28,7</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1.2. valsts speciālais 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Height w:val="158"/>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1.3. pašvaldību 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r>
      <w:tr w:rsidR="00D07EC4"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D07EC4" w:rsidRPr="00DF0F7D" w:rsidRDefault="00D07EC4" w:rsidP="008665A4">
            <w:pPr>
              <w:pStyle w:val="ParastaisWeb"/>
              <w:spacing w:before="0" w:beforeAutospacing="0" w:after="0" w:afterAutospacing="0"/>
              <w:jc w:val="both"/>
              <w:rPr>
                <w:lang w:val="lv-LV"/>
              </w:rPr>
            </w:pPr>
            <w:r w:rsidRPr="00DF0F7D">
              <w:rPr>
                <w:lang w:val="lv-LV"/>
              </w:rPr>
              <w:t>2. Budžeta izdevumi:</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b/>
                <w:bCs/>
                <w:color w:val="000000"/>
                <w:lang w:val="lv-LV"/>
              </w:rPr>
            </w:pPr>
            <w:r w:rsidRPr="00DF0F7D">
              <w:rPr>
                <w:b/>
                <w:bCs/>
                <w:color w:val="000000"/>
                <w:lang w:val="lv-LV"/>
              </w:rPr>
              <w:t>1 957,2</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55679">
            <w:pPr>
              <w:jc w:val="center"/>
              <w:rPr>
                <w:b/>
                <w:bCs/>
                <w:color w:val="000000"/>
                <w:lang w:val="lv-LV"/>
              </w:rPr>
            </w:pPr>
            <w:r w:rsidRPr="00DF0F7D">
              <w:rPr>
                <w:b/>
                <w:bCs/>
                <w:color w:val="000000"/>
                <w:lang w:val="lv-LV"/>
              </w:rPr>
              <w:t>17,5</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b/>
                <w:bCs/>
                <w:color w:val="000000"/>
                <w:lang w:val="lv-LV"/>
              </w:rPr>
            </w:pPr>
            <w:r>
              <w:rPr>
                <w:b/>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b/>
                <w:bCs/>
                <w:color w:val="000000"/>
                <w:lang w:val="lv-LV"/>
              </w:rPr>
            </w:pPr>
            <w:r>
              <w:rPr>
                <w:b/>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b/>
                <w:bCs/>
                <w:color w:val="000000"/>
                <w:lang w:val="lv-LV"/>
              </w:rPr>
            </w:pPr>
            <w:r>
              <w:rPr>
                <w:b/>
                <w:bCs/>
                <w:color w:val="000000"/>
                <w:lang w:val="lv-LV"/>
              </w:rPr>
              <w:t>28,7</w:t>
            </w:r>
          </w:p>
        </w:tc>
      </w:tr>
      <w:tr w:rsidR="00D07EC4"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D07EC4" w:rsidRPr="00DF0F7D" w:rsidRDefault="00D07EC4" w:rsidP="008665A4">
            <w:pPr>
              <w:pStyle w:val="ParastaisWeb"/>
              <w:spacing w:before="0" w:beforeAutospacing="0" w:after="0" w:afterAutospacing="0"/>
              <w:jc w:val="both"/>
              <w:rPr>
                <w:lang w:val="lv-LV"/>
              </w:rPr>
            </w:pPr>
            <w:r w:rsidRPr="00DF0F7D">
              <w:rPr>
                <w:lang w:val="lv-LV"/>
              </w:rPr>
              <w:t>2.1. valsts pamatbudžets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color w:val="000000"/>
                <w:lang w:val="lv-LV"/>
              </w:rPr>
            </w:pPr>
            <w:r w:rsidRPr="00DF0F7D">
              <w:rPr>
                <w:color w:val="000000"/>
                <w:lang w:val="lv-LV"/>
              </w:rPr>
              <w:t>1 957,2</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55679">
            <w:pPr>
              <w:jc w:val="center"/>
              <w:rPr>
                <w:color w:val="000000"/>
                <w:lang w:val="lv-LV"/>
              </w:rPr>
            </w:pPr>
            <w:r w:rsidRPr="00DF0F7D">
              <w:rPr>
                <w:color w:val="000000"/>
                <w:lang w:val="lv-LV"/>
              </w:rPr>
              <w:t>17,5</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C635E" w:rsidRDefault="00D07EC4" w:rsidP="00B90944">
            <w:pPr>
              <w:jc w:val="center"/>
              <w:rPr>
                <w:color w:val="000000"/>
                <w:lang w:val="lv-LV"/>
              </w:rPr>
            </w:pPr>
            <w:r w:rsidRPr="00DC635E">
              <w:rPr>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color w:val="000000"/>
                <w:lang w:val="lv-LV"/>
              </w:rPr>
            </w:pPr>
            <w:r w:rsidRPr="00DC635E">
              <w:rPr>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color w:val="000000"/>
                <w:lang w:val="lv-LV"/>
              </w:rPr>
            </w:pPr>
            <w:r w:rsidRPr="00DC635E">
              <w:rPr>
                <w:bCs/>
                <w:color w:val="000000"/>
                <w:lang w:val="lv-LV"/>
              </w:rPr>
              <w:t>28,7</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2.2. valsts speciālais 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r>
      <w:tr w:rsidR="008E696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E6967" w:rsidRPr="00DF0F7D" w:rsidRDefault="008E6967" w:rsidP="008665A4">
            <w:pPr>
              <w:pStyle w:val="ParastaisWeb"/>
              <w:spacing w:before="0" w:beforeAutospacing="0" w:after="0" w:afterAutospacing="0"/>
              <w:jc w:val="both"/>
              <w:rPr>
                <w:lang w:val="lv-LV"/>
              </w:rPr>
            </w:pPr>
            <w:r w:rsidRPr="00DF0F7D">
              <w:rPr>
                <w:lang w:val="lv-LV"/>
              </w:rPr>
              <w:t>2.3. pašvaldību 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8E6967" w:rsidRPr="00DF0F7D" w:rsidRDefault="008E6967" w:rsidP="00A742FB">
            <w:pPr>
              <w:jc w:val="center"/>
              <w:rPr>
                <w:color w:val="000000"/>
                <w:lang w:val="lv-LV"/>
              </w:rPr>
            </w:pPr>
            <w:r w:rsidRPr="00DF0F7D">
              <w:rPr>
                <w:color w:val="000000"/>
                <w:lang w:val="lv-LV"/>
              </w:rPr>
              <w:t> </w:t>
            </w:r>
          </w:p>
        </w:tc>
      </w:tr>
      <w:tr w:rsidR="00D07EC4"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D07EC4" w:rsidRPr="00DF0F7D" w:rsidRDefault="00D07EC4" w:rsidP="008665A4">
            <w:pPr>
              <w:pStyle w:val="ParastaisWeb"/>
              <w:spacing w:before="0" w:beforeAutospacing="0" w:after="0" w:afterAutospacing="0"/>
              <w:jc w:val="both"/>
              <w:rPr>
                <w:lang w:val="lv-LV"/>
              </w:rPr>
            </w:pPr>
            <w:r w:rsidRPr="00DF0F7D">
              <w:rPr>
                <w:lang w:val="lv-LV"/>
              </w:rPr>
              <w:t>3. Finansiālā ietekme:</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b/>
                <w:bCs/>
                <w:color w:val="000000"/>
                <w:lang w:val="lv-LV"/>
              </w:rPr>
            </w:pPr>
            <w:r w:rsidRPr="00DF0F7D">
              <w:rPr>
                <w:b/>
                <w:bCs/>
                <w:color w:val="000000"/>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b/>
                <w:bCs/>
                <w:color w:val="000000"/>
                <w:lang w:val="lv-LV"/>
              </w:rPr>
            </w:pPr>
            <w:r w:rsidRPr="00DF0F7D">
              <w:rPr>
                <w:b/>
                <w:bCs/>
                <w:color w:val="000000"/>
                <w:lang w:val="lv-LV"/>
              </w:rPr>
              <w:t>0,0</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b/>
                <w:bCs/>
                <w:color w:val="000000"/>
                <w:lang w:val="lv-LV"/>
              </w:rPr>
            </w:pPr>
            <w:r w:rsidRPr="00DF0F7D">
              <w:rPr>
                <w:b/>
                <w:bCs/>
                <w:color w:val="000000"/>
                <w:lang w:val="lv-LV"/>
              </w:rPr>
              <w:t>0,0</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b/>
                <w:bCs/>
                <w:color w:val="000000"/>
                <w:lang w:val="lv-LV"/>
              </w:rPr>
            </w:pPr>
            <w:r w:rsidRPr="00DF0F7D">
              <w:rPr>
                <w:b/>
                <w:bCs/>
                <w:color w:val="000000"/>
                <w:lang w:val="lv-LV"/>
              </w:rPr>
              <w:t>0,0</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b/>
                <w:bCs/>
                <w:color w:val="000000"/>
                <w:lang w:val="lv-LV"/>
              </w:rPr>
            </w:pPr>
            <w:r w:rsidRPr="00DF0F7D">
              <w:rPr>
                <w:b/>
                <w:bCs/>
                <w:color w:val="000000"/>
                <w:lang w:val="lv-LV"/>
              </w:rPr>
              <w:t>0,0</w:t>
            </w:r>
          </w:p>
        </w:tc>
      </w:tr>
      <w:tr w:rsidR="00D07EC4"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D07EC4" w:rsidRPr="00DF0F7D" w:rsidRDefault="00D07EC4" w:rsidP="008665A4">
            <w:pPr>
              <w:pStyle w:val="ParastaisWeb"/>
              <w:spacing w:before="0" w:beforeAutospacing="0" w:after="0" w:afterAutospacing="0"/>
              <w:jc w:val="both"/>
              <w:rPr>
                <w:lang w:val="lv-LV"/>
              </w:rPr>
            </w:pPr>
            <w:r w:rsidRPr="00DF0F7D">
              <w:rPr>
                <w:lang w:val="lv-LV"/>
              </w:rPr>
              <w:t>3.1. valsts pamatbudžets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B90944">
            <w:pPr>
              <w:jc w:val="center"/>
              <w:rPr>
                <w:color w:val="000000"/>
                <w:lang w:val="lv-LV"/>
              </w:rPr>
            </w:pPr>
            <w:r w:rsidRPr="00DF0F7D">
              <w:rPr>
                <w:color w:val="000000"/>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color w:val="000000"/>
                <w:lang w:val="lv-LV"/>
              </w:rPr>
            </w:pPr>
            <w:r w:rsidRPr="00DF0F7D">
              <w:rPr>
                <w:color w:val="000000"/>
                <w:lang w:val="lv-LV"/>
              </w:rPr>
              <w:t>0,0</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color w:val="000000"/>
                <w:lang w:val="lv-LV"/>
              </w:rPr>
            </w:pPr>
            <w:r w:rsidRPr="00DF0F7D">
              <w:rPr>
                <w:color w:val="000000"/>
                <w:lang w:val="lv-LV"/>
              </w:rPr>
              <w:t>0,0</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color w:val="000000"/>
                <w:lang w:val="lv-LV"/>
              </w:rPr>
            </w:pPr>
            <w:r w:rsidRPr="00DF0F7D">
              <w:rPr>
                <w:color w:val="000000"/>
                <w:lang w:val="lv-LV"/>
              </w:rPr>
              <w:t>0,0</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7EC4" w:rsidRPr="00DF0F7D" w:rsidRDefault="00D07EC4" w:rsidP="00A742FB">
            <w:pPr>
              <w:jc w:val="center"/>
              <w:rPr>
                <w:color w:val="000000"/>
                <w:lang w:val="lv-LV"/>
              </w:rPr>
            </w:pPr>
            <w:r w:rsidRPr="00DF0F7D">
              <w:rPr>
                <w:color w:val="000000"/>
                <w:lang w:val="lv-LV"/>
              </w:rPr>
              <w:t>0,0</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517314" w:rsidRPr="00DF0F7D" w:rsidRDefault="00DD4DBC" w:rsidP="008665A4">
            <w:pPr>
              <w:pStyle w:val="ParastaisWeb"/>
              <w:spacing w:before="0" w:beforeAutospacing="0" w:after="0" w:afterAutospacing="0"/>
              <w:jc w:val="both"/>
              <w:rPr>
                <w:lang w:val="lv-LV"/>
              </w:rPr>
            </w:pPr>
            <w:r w:rsidRPr="00DF0F7D">
              <w:rPr>
                <w:lang w:val="lv-LV"/>
              </w:rPr>
              <w:t>3.2. speciālais budžets</w:t>
            </w:r>
          </w:p>
        </w:tc>
        <w:tc>
          <w:tcPr>
            <w:tcW w:w="689" w:type="pct"/>
            <w:gridSpan w:val="2"/>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517314" w:rsidRPr="00DF0F7D" w:rsidRDefault="00DD4DBC" w:rsidP="008665A4">
            <w:pPr>
              <w:pStyle w:val="ParastaisWeb"/>
              <w:spacing w:before="0" w:beforeAutospacing="0" w:after="0" w:afterAutospacing="0"/>
              <w:jc w:val="both"/>
              <w:rPr>
                <w:lang w:val="lv-LV"/>
              </w:rPr>
            </w:pPr>
            <w:r w:rsidRPr="00DF0F7D">
              <w:rPr>
                <w:lang w:val="lv-LV"/>
              </w:rPr>
              <w:t>3.3. pašvaldību budžets</w:t>
            </w:r>
          </w:p>
        </w:tc>
        <w:tc>
          <w:tcPr>
            <w:tcW w:w="689" w:type="pct"/>
            <w:gridSpan w:val="2"/>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r>
      <w:tr w:rsidR="00B86B6F"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B86B6F" w:rsidRPr="00DF0F7D" w:rsidRDefault="00B86B6F" w:rsidP="00A742FB">
            <w:pPr>
              <w:pStyle w:val="ParastaisWeb"/>
              <w:spacing w:before="0" w:beforeAutospacing="0" w:after="0" w:afterAutospacing="0"/>
              <w:jc w:val="both"/>
              <w:rPr>
                <w:lang w:val="lv-LV"/>
              </w:rPr>
            </w:pPr>
            <w:r w:rsidRPr="00DF0F7D">
              <w:rPr>
                <w:lang w:val="lv-LV"/>
              </w:rPr>
              <w:t>4. Finanšu līdzekļi papildu izde</w:t>
            </w:r>
            <w:r w:rsidRPr="00DF0F7D">
              <w:rPr>
                <w:lang w:val="lv-LV"/>
              </w:rPr>
              <w:softHyphen/>
              <w:t>vumu finansēšanai (kompensējošu izdevumu samazinājumu norāda ar "+" zīmi)</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6618DD">
            <w:pPr>
              <w:pStyle w:val="ParastaisWeb"/>
              <w:spacing w:before="0" w:beforeAutospacing="0" w:after="0" w:afterAutospacing="0"/>
              <w:jc w:val="center"/>
              <w:rPr>
                <w:lang w:val="lv-LV"/>
              </w:rPr>
            </w:pPr>
            <w:r w:rsidRPr="00DF0F7D">
              <w:rPr>
                <w:lang w:val="lv-LV"/>
              </w:rPr>
              <w:t>X</w:t>
            </w:r>
          </w:p>
        </w:tc>
        <w:tc>
          <w:tcPr>
            <w:tcW w:w="719"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A742FB">
            <w:pPr>
              <w:jc w:val="center"/>
              <w:rPr>
                <w:b/>
                <w:bCs/>
                <w:color w:val="000000"/>
                <w:lang w:val="lv-LV"/>
              </w:rPr>
            </w:pPr>
            <w:r w:rsidRPr="00DF0F7D">
              <w:rPr>
                <w:b/>
                <w:bCs/>
                <w:color w:val="000000"/>
                <w:lang w:val="lv-LV"/>
              </w:rPr>
              <w:t>0,0</w:t>
            </w:r>
          </w:p>
        </w:tc>
        <w:tc>
          <w:tcPr>
            <w:tcW w:w="586"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A742FB">
            <w:pPr>
              <w:jc w:val="center"/>
              <w:rPr>
                <w:b/>
                <w:bCs/>
                <w:color w:val="000000"/>
                <w:lang w:val="lv-LV"/>
              </w:rPr>
            </w:pPr>
            <w:r w:rsidRPr="00DF0F7D">
              <w:rPr>
                <w:b/>
                <w:bCs/>
                <w:color w:val="000000"/>
                <w:lang w:val="lv-LV"/>
              </w:rPr>
              <w:t>0,0 </w:t>
            </w:r>
          </w:p>
        </w:tc>
        <w:tc>
          <w:tcPr>
            <w:tcW w:w="615"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A742FB">
            <w:pPr>
              <w:jc w:val="center"/>
              <w:rPr>
                <w:b/>
                <w:bCs/>
                <w:color w:val="000000"/>
                <w:lang w:val="lv-LV"/>
              </w:rPr>
            </w:pPr>
            <w:r w:rsidRPr="00DF0F7D">
              <w:rPr>
                <w:b/>
                <w:bCs/>
                <w:color w:val="000000"/>
                <w:lang w:val="lv-LV"/>
              </w:rPr>
              <w:t> 0,0</w:t>
            </w:r>
          </w:p>
        </w:tc>
        <w:tc>
          <w:tcPr>
            <w:tcW w:w="584"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A742FB">
            <w:pPr>
              <w:jc w:val="center"/>
              <w:rPr>
                <w:b/>
                <w:bCs/>
                <w:color w:val="000000"/>
                <w:lang w:val="lv-LV"/>
              </w:rPr>
            </w:pPr>
            <w:r w:rsidRPr="00DF0F7D">
              <w:rPr>
                <w:b/>
                <w:bCs/>
                <w:color w:val="000000"/>
                <w:lang w:val="lv-LV"/>
              </w:rPr>
              <w:t>0,0 </w:t>
            </w:r>
          </w:p>
        </w:tc>
      </w:tr>
      <w:tr w:rsidR="006A1117"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6A1117" w:rsidRPr="00DF0F7D" w:rsidRDefault="006A1117" w:rsidP="008665A4">
            <w:pPr>
              <w:pStyle w:val="ParastaisWeb"/>
              <w:spacing w:before="0" w:beforeAutospacing="0" w:after="0" w:afterAutospacing="0"/>
              <w:jc w:val="both"/>
              <w:rPr>
                <w:lang w:val="lv-LV"/>
              </w:rPr>
            </w:pPr>
            <w:r w:rsidRPr="00DF0F7D">
              <w:rPr>
                <w:lang w:val="lv-LV"/>
              </w:rPr>
              <w:t>5. Precizēta finansiālā ietekme:</w:t>
            </w:r>
          </w:p>
        </w:tc>
        <w:tc>
          <w:tcPr>
            <w:tcW w:w="689" w:type="pct"/>
            <w:gridSpan w:val="2"/>
            <w:vMerge w:val="restart"/>
            <w:tcBorders>
              <w:top w:val="outset" w:sz="6" w:space="0" w:color="000000"/>
              <w:left w:val="outset" w:sz="6" w:space="0" w:color="000000"/>
              <w:bottom w:val="outset" w:sz="6" w:space="0" w:color="000000"/>
              <w:right w:val="outset" w:sz="6" w:space="0" w:color="000000"/>
            </w:tcBorders>
          </w:tcPr>
          <w:p w:rsidR="006A1117" w:rsidRPr="00DF0F7D" w:rsidRDefault="006A1117" w:rsidP="008665A4">
            <w:pPr>
              <w:pStyle w:val="ParastaisWeb"/>
              <w:spacing w:before="0" w:beforeAutospacing="0" w:after="0" w:afterAutospacing="0"/>
              <w:jc w:val="center"/>
              <w:rPr>
                <w:lang w:val="lv-LV"/>
              </w:rPr>
            </w:pPr>
            <w:r w:rsidRPr="00DF0F7D">
              <w:rPr>
                <w:lang w:val="lv-LV"/>
              </w:rPr>
              <w:t>X</w:t>
            </w:r>
          </w:p>
        </w:tc>
        <w:tc>
          <w:tcPr>
            <w:tcW w:w="719" w:type="pct"/>
            <w:tcBorders>
              <w:top w:val="outset" w:sz="6" w:space="0" w:color="000000"/>
              <w:left w:val="outset" w:sz="6" w:space="0" w:color="000000"/>
              <w:bottom w:val="outset" w:sz="6" w:space="0" w:color="000000"/>
              <w:right w:val="outset" w:sz="6" w:space="0" w:color="000000"/>
            </w:tcBorders>
            <w:vAlign w:val="center"/>
          </w:tcPr>
          <w:p w:rsidR="006A1117" w:rsidRPr="00DF0F7D" w:rsidRDefault="006A1117" w:rsidP="00F46B33">
            <w:pPr>
              <w:jc w:val="center"/>
              <w:rPr>
                <w:b/>
                <w:bCs/>
                <w:color w:val="000000"/>
                <w:lang w:val="lv-LV"/>
              </w:rPr>
            </w:pPr>
            <w:r w:rsidRPr="00DF0F7D">
              <w:rPr>
                <w:b/>
                <w:bCs/>
                <w:color w:val="000000"/>
                <w:lang w:val="lv-LV"/>
              </w:rPr>
              <w:t>0,0</w:t>
            </w:r>
          </w:p>
        </w:tc>
        <w:tc>
          <w:tcPr>
            <w:tcW w:w="586" w:type="pct"/>
            <w:tcBorders>
              <w:top w:val="outset" w:sz="6" w:space="0" w:color="000000"/>
              <w:left w:val="outset" w:sz="6" w:space="0" w:color="000000"/>
              <w:bottom w:val="outset" w:sz="6" w:space="0" w:color="000000"/>
              <w:right w:val="outset" w:sz="6" w:space="0" w:color="000000"/>
            </w:tcBorders>
            <w:vAlign w:val="center"/>
          </w:tcPr>
          <w:p w:rsidR="006A1117" w:rsidRPr="00DF0F7D" w:rsidRDefault="006A1117" w:rsidP="00F46B33">
            <w:pPr>
              <w:jc w:val="center"/>
              <w:rPr>
                <w:b/>
                <w:bCs/>
                <w:color w:val="000000"/>
                <w:lang w:val="lv-LV"/>
              </w:rPr>
            </w:pPr>
            <w:r w:rsidRPr="00DF0F7D">
              <w:rPr>
                <w:b/>
                <w:bCs/>
                <w:color w:val="000000"/>
                <w:lang w:val="lv-LV"/>
              </w:rPr>
              <w:t>0,0</w:t>
            </w:r>
          </w:p>
        </w:tc>
        <w:tc>
          <w:tcPr>
            <w:tcW w:w="615" w:type="pct"/>
            <w:tcBorders>
              <w:top w:val="outset" w:sz="6" w:space="0" w:color="000000"/>
              <w:left w:val="outset" w:sz="6" w:space="0" w:color="000000"/>
              <w:bottom w:val="outset" w:sz="6" w:space="0" w:color="000000"/>
              <w:right w:val="outset" w:sz="6" w:space="0" w:color="000000"/>
            </w:tcBorders>
            <w:vAlign w:val="center"/>
          </w:tcPr>
          <w:p w:rsidR="006A1117" w:rsidRPr="00DF0F7D" w:rsidRDefault="006A1117" w:rsidP="00F46B33">
            <w:pPr>
              <w:jc w:val="center"/>
              <w:rPr>
                <w:b/>
                <w:bCs/>
                <w:color w:val="000000"/>
                <w:lang w:val="lv-LV"/>
              </w:rPr>
            </w:pPr>
            <w:r w:rsidRPr="00DF0F7D">
              <w:rPr>
                <w:b/>
                <w:bCs/>
                <w:color w:val="000000"/>
                <w:lang w:val="lv-LV"/>
              </w:rPr>
              <w:t>0,0</w:t>
            </w:r>
          </w:p>
        </w:tc>
        <w:tc>
          <w:tcPr>
            <w:tcW w:w="584" w:type="pct"/>
            <w:tcBorders>
              <w:top w:val="outset" w:sz="6" w:space="0" w:color="000000"/>
              <w:left w:val="outset" w:sz="6" w:space="0" w:color="000000"/>
              <w:bottom w:val="outset" w:sz="6" w:space="0" w:color="000000"/>
              <w:right w:val="outset" w:sz="6" w:space="0" w:color="000000"/>
            </w:tcBorders>
            <w:vAlign w:val="center"/>
          </w:tcPr>
          <w:p w:rsidR="006A1117" w:rsidRPr="00DF0F7D" w:rsidRDefault="006A1117" w:rsidP="00F46B33">
            <w:pPr>
              <w:jc w:val="center"/>
              <w:rPr>
                <w:b/>
                <w:bCs/>
                <w:color w:val="000000"/>
                <w:lang w:val="lv-LV"/>
              </w:rPr>
            </w:pPr>
            <w:r w:rsidRPr="00DF0F7D">
              <w:rPr>
                <w:b/>
                <w:bCs/>
                <w:color w:val="000000"/>
                <w:lang w:val="lv-LV"/>
              </w:rPr>
              <w:t>0,0</w:t>
            </w:r>
          </w:p>
        </w:tc>
      </w:tr>
      <w:tr w:rsidR="00B86B6F"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B86B6F" w:rsidRPr="00DF0F7D" w:rsidRDefault="00B86B6F" w:rsidP="008665A4">
            <w:pPr>
              <w:pStyle w:val="ParastaisWeb"/>
              <w:spacing w:before="0" w:beforeAutospacing="0" w:after="0" w:afterAutospacing="0"/>
              <w:jc w:val="both"/>
              <w:rPr>
                <w:lang w:val="lv-LV"/>
              </w:rPr>
            </w:pPr>
            <w:r w:rsidRPr="00DF0F7D">
              <w:rPr>
                <w:lang w:val="lv-LV"/>
              </w:rPr>
              <w:t>5.1. valsts pamatbudžets</w:t>
            </w:r>
          </w:p>
        </w:tc>
        <w:tc>
          <w:tcPr>
            <w:tcW w:w="689" w:type="pct"/>
            <w:gridSpan w:val="2"/>
            <w:vMerge/>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F46B33">
            <w:pPr>
              <w:jc w:val="center"/>
              <w:rPr>
                <w:color w:val="000000"/>
                <w:lang w:val="lv-LV"/>
              </w:rPr>
            </w:pPr>
            <w:r w:rsidRPr="00DF0F7D">
              <w:rPr>
                <w:color w:val="000000"/>
                <w:lang w:val="lv-LV"/>
              </w:rPr>
              <w:t>0,0</w:t>
            </w:r>
          </w:p>
        </w:tc>
        <w:tc>
          <w:tcPr>
            <w:tcW w:w="586"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F46B33">
            <w:pPr>
              <w:jc w:val="center"/>
              <w:rPr>
                <w:color w:val="000000"/>
                <w:lang w:val="lv-LV"/>
              </w:rPr>
            </w:pPr>
            <w:r w:rsidRPr="00DF0F7D">
              <w:rPr>
                <w:color w:val="000000"/>
                <w:lang w:val="lv-LV"/>
              </w:rPr>
              <w:t>0,0</w:t>
            </w:r>
          </w:p>
        </w:tc>
        <w:tc>
          <w:tcPr>
            <w:tcW w:w="615"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F46B33">
            <w:pPr>
              <w:jc w:val="center"/>
              <w:rPr>
                <w:color w:val="000000"/>
                <w:lang w:val="lv-LV"/>
              </w:rPr>
            </w:pPr>
            <w:r w:rsidRPr="00DF0F7D">
              <w:rPr>
                <w:color w:val="000000"/>
                <w:lang w:val="lv-LV"/>
              </w:rPr>
              <w:t>0,0</w:t>
            </w:r>
          </w:p>
        </w:tc>
        <w:tc>
          <w:tcPr>
            <w:tcW w:w="584" w:type="pct"/>
            <w:tcBorders>
              <w:top w:val="outset" w:sz="6" w:space="0" w:color="000000"/>
              <w:left w:val="outset" w:sz="6" w:space="0" w:color="000000"/>
              <w:bottom w:val="outset" w:sz="6" w:space="0" w:color="000000"/>
              <w:right w:val="outset" w:sz="6" w:space="0" w:color="000000"/>
            </w:tcBorders>
            <w:vAlign w:val="center"/>
          </w:tcPr>
          <w:p w:rsidR="00B86B6F" w:rsidRPr="00DF0F7D" w:rsidRDefault="00B86B6F" w:rsidP="00F46B33">
            <w:pPr>
              <w:jc w:val="center"/>
              <w:rPr>
                <w:color w:val="000000"/>
                <w:lang w:val="lv-LV"/>
              </w:rPr>
            </w:pPr>
            <w:r w:rsidRPr="00DF0F7D">
              <w:rPr>
                <w:color w:val="000000"/>
                <w:lang w:val="lv-LV"/>
              </w:rPr>
              <w:t>0,0</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517314" w:rsidRPr="00DF0F7D" w:rsidRDefault="00DD4DBC" w:rsidP="008665A4">
            <w:pPr>
              <w:pStyle w:val="ParastaisWeb"/>
              <w:spacing w:before="0" w:beforeAutospacing="0" w:after="0" w:afterAutospacing="0"/>
              <w:jc w:val="both"/>
              <w:rPr>
                <w:lang w:val="lv-LV"/>
              </w:rPr>
            </w:pPr>
            <w:r w:rsidRPr="00DF0F7D">
              <w:rPr>
                <w:lang w:val="lv-LV"/>
              </w:rPr>
              <w:t>5.2. speciālais budžets</w:t>
            </w:r>
          </w:p>
        </w:tc>
        <w:tc>
          <w:tcPr>
            <w:tcW w:w="689" w:type="pct"/>
            <w:gridSpan w:val="2"/>
            <w:vMerge/>
            <w:tcBorders>
              <w:top w:val="outset" w:sz="6" w:space="0" w:color="000000"/>
              <w:left w:val="outset" w:sz="6" w:space="0" w:color="000000"/>
              <w:bottom w:val="outset" w:sz="6" w:space="0" w:color="000000"/>
              <w:right w:val="outset" w:sz="6" w:space="0" w:color="000000"/>
            </w:tcBorders>
            <w:vAlign w:val="center"/>
          </w:tcPr>
          <w:p w:rsidR="00517314" w:rsidRPr="00DF0F7D" w:rsidRDefault="00517314"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517314" w:rsidRPr="00DF0F7D" w:rsidRDefault="00DD4DBC" w:rsidP="008665A4">
            <w:pPr>
              <w:pStyle w:val="ParastaisWeb"/>
              <w:spacing w:before="0" w:beforeAutospacing="0" w:after="0" w:afterAutospacing="0"/>
              <w:jc w:val="both"/>
              <w:rPr>
                <w:lang w:val="lv-LV"/>
              </w:rPr>
            </w:pPr>
            <w:r w:rsidRPr="00DF0F7D">
              <w:rPr>
                <w:lang w:val="lv-LV"/>
              </w:rPr>
              <w:t>5.3. pašvaldību budžets</w:t>
            </w:r>
          </w:p>
        </w:tc>
        <w:tc>
          <w:tcPr>
            <w:tcW w:w="689" w:type="pct"/>
            <w:gridSpan w:val="2"/>
            <w:vMerge/>
            <w:tcBorders>
              <w:top w:val="outset" w:sz="6" w:space="0" w:color="000000"/>
              <w:left w:val="outset" w:sz="6" w:space="0" w:color="000000"/>
              <w:bottom w:val="outset" w:sz="6" w:space="0" w:color="000000"/>
              <w:right w:val="outset" w:sz="6" w:space="0" w:color="000000"/>
            </w:tcBorders>
            <w:vAlign w:val="center"/>
          </w:tcPr>
          <w:p w:rsidR="00517314" w:rsidRPr="00DF0F7D" w:rsidRDefault="00517314"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tcPr>
          <w:p w:rsidR="00517314" w:rsidRPr="00DF0F7D" w:rsidRDefault="00517314" w:rsidP="008665A4">
            <w:pPr>
              <w:jc w:val="center"/>
              <w:rPr>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spacing w:before="0" w:beforeAutospacing="0" w:after="0" w:afterAutospacing="0"/>
              <w:jc w:val="both"/>
              <w:rPr>
                <w:lang w:val="lv-LV"/>
              </w:rPr>
            </w:pPr>
            <w:r w:rsidRPr="00DF0F7D">
              <w:rPr>
                <w:lang w:val="lv-LV"/>
              </w:rPr>
              <w:t>6. Detalizēts ieņēmumu un izdevu</w:t>
            </w:r>
            <w:r w:rsidRPr="00DF0F7D">
              <w:rPr>
                <w:lang w:val="lv-LV"/>
              </w:rPr>
              <w:softHyphen/>
              <w:t xml:space="preserve">mu aprēķins (ja nepieciešams, detalizētu ieņēmumu un izdevumu </w:t>
            </w:r>
            <w:r w:rsidRPr="00DF0F7D">
              <w:rPr>
                <w:lang w:val="lv-LV"/>
              </w:rPr>
              <w:lastRenderedPageBreak/>
              <w:t>aprēķinu var pievienot anotācijas pielikumā):</w:t>
            </w:r>
          </w:p>
        </w:tc>
        <w:tc>
          <w:tcPr>
            <w:tcW w:w="689" w:type="pct"/>
            <w:gridSpan w:val="2"/>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tabs>
                <w:tab w:val="left" w:pos="720"/>
              </w:tabs>
              <w:spacing w:before="0" w:beforeAutospacing="0" w:after="0" w:afterAutospacing="0"/>
              <w:jc w:val="both"/>
              <w:rPr>
                <w:lang w:val="lv-LV"/>
              </w:rPr>
            </w:pPr>
          </w:p>
        </w:tc>
        <w:tc>
          <w:tcPr>
            <w:tcW w:w="719" w:type="pct"/>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tabs>
                <w:tab w:val="left" w:pos="720"/>
              </w:tabs>
              <w:spacing w:before="0" w:beforeAutospacing="0" w:after="0" w:afterAutospacing="0"/>
              <w:jc w:val="both"/>
              <w:rPr>
                <w:lang w:val="lv-LV"/>
              </w:rPr>
            </w:pPr>
          </w:p>
        </w:tc>
        <w:tc>
          <w:tcPr>
            <w:tcW w:w="586" w:type="pct"/>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tabs>
                <w:tab w:val="left" w:pos="720"/>
              </w:tabs>
              <w:spacing w:before="0" w:beforeAutospacing="0" w:after="0" w:afterAutospacing="0"/>
              <w:jc w:val="both"/>
              <w:rPr>
                <w:lang w:val="lv-LV"/>
              </w:rPr>
            </w:pPr>
          </w:p>
        </w:tc>
        <w:tc>
          <w:tcPr>
            <w:tcW w:w="615" w:type="pct"/>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tabs>
                <w:tab w:val="left" w:pos="720"/>
              </w:tabs>
              <w:spacing w:before="0" w:beforeAutospacing="0" w:after="0" w:afterAutospacing="0"/>
              <w:jc w:val="both"/>
              <w:rPr>
                <w:lang w:val="lv-LV"/>
              </w:rPr>
            </w:pPr>
          </w:p>
        </w:tc>
        <w:tc>
          <w:tcPr>
            <w:tcW w:w="584" w:type="pct"/>
            <w:tcBorders>
              <w:top w:val="outset" w:sz="6" w:space="0" w:color="000000"/>
              <w:left w:val="outset" w:sz="6" w:space="0" w:color="000000"/>
              <w:bottom w:val="outset" w:sz="6" w:space="0" w:color="000000"/>
              <w:right w:val="outset" w:sz="6" w:space="0" w:color="000000"/>
            </w:tcBorders>
          </w:tcPr>
          <w:p w:rsidR="0078033C" w:rsidRPr="00DF0F7D" w:rsidRDefault="0078033C" w:rsidP="008665A4">
            <w:pPr>
              <w:pStyle w:val="ParastaisWeb"/>
              <w:tabs>
                <w:tab w:val="left" w:pos="720"/>
              </w:tabs>
              <w:spacing w:before="0" w:beforeAutospacing="0" w:after="0" w:afterAutospacing="0"/>
              <w:jc w:val="both"/>
              <w:rPr>
                <w:lang w:val="lv-LV"/>
              </w:rPr>
            </w:pPr>
          </w:p>
        </w:tc>
      </w:tr>
      <w:tr w:rsidR="009372C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9372C3" w:rsidRPr="00DF0F7D" w:rsidRDefault="009372C3" w:rsidP="00B764FE">
            <w:pPr>
              <w:pStyle w:val="ParastaisWeb"/>
              <w:spacing w:before="0" w:beforeAutospacing="0" w:after="0" w:afterAutospacing="0"/>
              <w:jc w:val="both"/>
              <w:rPr>
                <w:lang w:val="lv-LV"/>
              </w:rPr>
            </w:pPr>
            <w:r w:rsidRPr="00DF0F7D">
              <w:rPr>
                <w:lang w:val="lv-LV"/>
              </w:rPr>
              <w:lastRenderedPageBreak/>
              <w:t>6.1. detalizēts ieņēmumu aprēķins:</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9372C3" w:rsidRPr="00DF0F7D" w:rsidRDefault="009372C3" w:rsidP="00580A44">
            <w:pPr>
              <w:jc w:val="center"/>
              <w:rPr>
                <w:bCs/>
                <w:lang w:val="lv-LV"/>
              </w:rPr>
            </w:pPr>
            <w:r w:rsidRPr="00DF0F7D">
              <w:rPr>
                <w:bCs/>
                <w:lang w:val="lv-LV"/>
              </w:rPr>
              <w:t>15,2</w:t>
            </w:r>
          </w:p>
        </w:tc>
        <w:tc>
          <w:tcPr>
            <w:tcW w:w="719" w:type="pct"/>
            <w:tcBorders>
              <w:top w:val="outset" w:sz="6" w:space="0" w:color="000000"/>
              <w:left w:val="outset" w:sz="6" w:space="0" w:color="000000"/>
              <w:bottom w:val="outset" w:sz="6" w:space="0" w:color="000000"/>
              <w:right w:val="outset" w:sz="6" w:space="0" w:color="000000"/>
            </w:tcBorders>
            <w:vAlign w:val="center"/>
          </w:tcPr>
          <w:p w:rsidR="009372C3" w:rsidRPr="00DF0F7D" w:rsidRDefault="009372C3" w:rsidP="00580A44">
            <w:pPr>
              <w:jc w:val="center"/>
              <w:rPr>
                <w:bCs/>
                <w:lang w:val="lv-LV"/>
              </w:rPr>
            </w:pPr>
            <w:r w:rsidRPr="00DF0F7D">
              <w:rPr>
                <w:bCs/>
                <w:lang w:val="lv-LV"/>
              </w:rPr>
              <w:t>17,5</w:t>
            </w:r>
          </w:p>
        </w:tc>
        <w:tc>
          <w:tcPr>
            <w:tcW w:w="586" w:type="pct"/>
            <w:tcBorders>
              <w:top w:val="outset" w:sz="6" w:space="0" w:color="000000"/>
              <w:left w:val="outset" w:sz="6" w:space="0" w:color="000000"/>
              <w:bottom w:val="outset" w:sz="6" w:space="0" w:color="000000"/>
              <w:right w:val="outset" w:sz="6" w:space="0" w:color="000000"/>
            </w:tcBorders>
            <w:vAlign w:val="center"/>
          </w:tcPr>
          <w:p w:rsidR="009372C3" w:rsidRPr="00DC635E" w:rsidRDefault="009372C3" w:rsidP="00B90944">
            <w:pPr>
              <w:jc w:val="center"/>
              <w:rPr>
                <w:color w:val="000000"/>
                <w:lang w:val="lv-LV"/>
              </w:rPr>
            </w:pPr>
            <w:r w:rsidRPr="00DC635E">
              <w:rPr>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vAlign w:val="center"/>
          </w:tcPr>
          <w:p w:rsidR="009372C3" w:rsidRPr="00DF0F7D" w:rsidRDefault="009372C3" w:rsidP="00B90944">
            <w:pPr>
              <w:jc w:val="center"/>
              <w:rPr>
                <w:color w:val="000000"/>
                <w:lang w:val="lv-LV"/>
              </w:rPr>
            </w:pPr>
            <w:r w:rsidRPr="00DC635E">
              <w:rPr>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vAlign w:val="center"/>
          </w:tcPr>
          <w:p w:rsidR="009372C3" w:rsidRPr="00DF0F7D" w:rsidRDefault="009372C3" w:rsidP="00B90944">
            <w:pPr>
              <w:jc w:val="center"/>
              <w:rPr>
                <w:color w:val="000000"/>
                <w:lang w:val="lv-LV"/>
              </w:rPr>
            </w:pPr>
            <w:r w:rsidRPr="00DC635E">
              <w:rPr>
                <w:bCs/>
                <w:color w:val="000000"/>
                <w:lang w:val="lv-LV"/>
              </w:rPr>
              <w:t>28,7</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78033C" w:rsidRPr="00DF0F7D" w:rsidRDefault="0078033C" w:rsidP="00AE55CE">
            <w:pPr>
              <w:jc w:val="both"/>
              <w:rPr>
                <w:sz w:val="22"/>
                <w:lang w:val="lv-LV"/>
              </w:rPr>
            </w:pPr>
            <w:r w:rsidRPr="00DF0F7D">
              <w:rPr>
                <w:lang w:val="lv-LV"/>
              </w:rPr>
              <w:t xml:space="preserve">6.1.1. </w:t>
            </w:r>
            <w:r w:rsidR="008F5A26" w:rsidRPr="00DF0F7D">
              <w:rPr>
                <w:lang w:val="lv-LV"/>
              </w:rPr>
              <w:t xml:space="preserve">ieņēmumi </w:t>
            </w:r>
            <w:r w:rsidR="00E6255D" w:rsidRPr="00DF0F7D">
              <w:rPr>
                <w:lang w:val="lv-LV"/>
              </w:rPr>
              <w:t xml:space="preserve">no maksas </w:t>
            </w:r>
            <w:r w:rsidR="00612E34" w:rsidRPr="00DF0F7D">
              <w:rPr>
                <w:lang w:val="lv-LV"/>
              </w:rPr>
              <w:t>par bioloģiskās lauksaimniecības kontroles institūcijas darbības trešajās valstīs izvērtēšanu un uzraudzību</w:t>
            </w:r>
            <w:r w:rsidR="00696E0F" w:rsidRPr="00DF0F7D">
              <w:rPr>
                <w:lang w:val="lv-LV"/>
              </w:rPr>
              <w:t xml:space="preserve">. </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78033C" w:rsidRPr="00DF0F7D" w:rsidRDefault="00C700E7" w:rsidP="008665A4">
            <w:pPr>
              <w:jc w:val="center"/>
              <w:rPr>
                <w:lang w:val="lv-LV"/>
              </w:rPr>
            </w:pPr>
            <w:r w:rsidRPr="00DF0F7D">
              <w:rPr>
                <w:lang w:val="lv-LV"/>
              </w:rPr>
              <w:t>0,0</w:t>
            </w:r>
          </w:p>
        </w:tc>
        <w:tc>
          <w:tcPr>
            <w:tcW w:w="719" w:type="pct"/>
            <w:tcBorders>
              <w:top w:val="outset" w:sz="6" w:space="0" w:color="000000"/>
              <w:left w:val="outset" w:sz="6" w:space="0" w:color="000000"/>
              <w:bottom w:val="outset" w:sz="6" w:space="0" w:color="000000"/>
              <w:right w:val="outset" w:sz="6" w:space="0" w:color="000000"/>
            </w:tcBorders>
            <w:vAlign w:val="center"/>
          </w:tcPr>
          <w:p w:rsidR="0078033C" w:rsidRPr="00DF0F7D" w:rsidRDefault="00C700E7" w:rsidP="008665A4">
            <w:pPr>
              <w:jc w:val="center"/>
              <w:rPr>
                <w:lang w:val="lv-LV"/>
              </w:rPr>
            </w:pPr>
            <w:r w:rsidRPr="00DF0F7D">
              <w:rPr>
                <w:lang w:val="lv-LV"/>
              </w:rPr>
              <w:t>0,0</w:t>
            </w:r>
          </w:p>
        </w:tc>
        <w:tc>
          <w:tcPr>
            <w:tcW w:w="586" w:type="pct"/>
            <w:tcBorders>
              <w:top w:val="outset" w:sz="6" w:space="0" w:color="000000"/>
              <w:left w:val="outset" w:sz="6" w:space="0" w:color="000000"/>
              <w:bottom w:val="outset" w:sz="6" w:space="0" w:color="000000"/>
              <w:right w:val="outset" w:sz="6" w:space="0" w:color="000000"/>
            </w:tcBorders>
            <w:vAlign w:val="center"/>
          </w:tcPr>
          <w:p w:rsidR="0078033C" w:rsidRPr="00DF0F7D" w:rsidRDefault="00C700E7" w:rsidP="008665A4">
            <w:pPr>
              <w:jc w:val="center"/>
              <w:rPr>
                <w:lang w:val="lv-LV"/>
              </w:rPr>
            </w:pPr>
            <w:r w:rsidRPr="00DF0F7D">
              <w:rPr>
                <w:lang w:val="lv-LV"/>
              </w:rPr>
              <w:t>0,0</w:t>
            </w:r>
          </w:p>
        </w:tc>
        <w:tc>
          <w:tcPr>
            <w:tcW w:w="615" w:type="pct"/>
            <w:tcBorders>
              <w:top w:val="outset" w:sz="6" w:space="0" w:color="000000"/>
              <w:left w:val="outset" w:sz="6" w:space="0" w:color="000000"/>
              <w:bottom w:val="outset" w:sz="6" w:space="0" w:color="000000"/>
              <w:right w:val="outset" w:sz="6" w:space="0" w:color="000000"/>
            </w:tcBorders>
            <w:vAlign w:val="center"/>
          </w:tcPr>
          <w:p w:rsidR="0078033C" w:rsidRPr="00DF0F7D" w:rsidRDefault="00C700E7" w:rsidP="008665A4">
            <w:pPr>
              <w:jc w:val="center"/>
              <w:rPr>
                <w:lang w:val="lv-LV"/>
              </w:rPr>
            </w:pPr>
            <w:r w:rsidRPr="00DF0F7D">
              <w:rPr>
                <w:lang w:val="lv-LV"/>
              </w:rPr>
              <w:t>0,0</w:t>
            </w:r>
          </w:p>
        </w:tc>
        <w:tc>
          <w:tcPr>
            <w:tcW w:w="584" w:type="pct"/>
            <w:tcBorders>
              <w:top w:val="outset" w:sz="6" w:space="0" w:color="000000"/>
              <w:left w:val="outset" w:sz="6" w:space="0" w:color="000000"/>
              <w:bottom w:val="outset" w:sz="6" w:space="0" w:color="000000"/>
              <w:right w:val="outset" w:sz="6" w:space="0" w:color="000000"/>
            </w:tcBorders>
            <w:vAlign w:val="center"/>
          </w:tcPr>
          <w:p w:rsidR="0078033C" w:rsidRPr="00DF0F7D" w:rsidRDefault="00C700E7" w:rsidP="008665A4">
            <w:pPr>
              <w:jc w:val="center"/>
              <w:rPr>
                <w:lang w:val="lv-LV"/>
              </w:rPr>
            </w:pPr>
            <w:r w:rsidRPr="00DF0F7D">
              <w:rPr>
                <w:lang w:val="lv-LV"/>
              </w:rPr>
              <w:t>0,0</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4D373C" w:rsidRPr="00DF0F7D" w:rsidRDefault="00AE55CE" w:rsidP="008F5A26">
            <w:pPr>
              <w:jc w:val="both"/>
              <w:rPr>
                <w:lang w:val="lv-LV"/>
              </w:rPr>
            </w:pPr>
            <w:r w:rsidRPr="00DF0F7D">
              <w:rPr>
                <w:lang w:val="lv-LV"/>
              </w:rPr>
              <w:t xml:space="preserve">Maksa par </w:t>
            </w:r>
            <w:r w:rsidR="00362C5F" w:rsidRPr="00DF0F7D">
              <w:rPr>
                <w:lang w:val="lv-LV"/>
              </w:rPr>
              <w:t>vien</w:t>
            </w:r>
            <w:r w:rsidR="001C5010" w:rsidRPr="00DF0F7D">
              <w:rPr>
                <w:lang w:val="lv-LV"/>
              </w:rPr>
              <w:t>u izvērtēšanas gadījumu –</w:t>
            </w:r>
            <w:r w:rsidR="00362C5F" w:rsidRPr="00DF0F7D">
              <w:rPr>
                <w:lang w:val="lv-LV"/>
              </w:rPr>
              <w:t xml:space="preserve"> </w:t>
            </w:r>
            <w:r w:rsidR="001C5010" w:rsidRPr="00DF0F7D">
              <w:rPr>
                <w:lang w:val="lv-LV"/>
              </w:rPr>
              <w:t xml:space="preserve">iesniegto dokumentu pārbaude un ziņojuma sagatavošana pēc kontroles institūcijas darbības izvērtēšanas – </w:t>
            </w:r>
            <w:r w:rsidRPr="00DF0F7D">
              <w:rPr>
                <w:lang w:val="lv-LV"/>
              </w:rPr>
              <w:t xml:space="preserve">ir </w:t>
            </w:r>
            <w:r w:rsidR="00F24714" w:rsidRPr="00DF0F7D">
              <w:rPr>
                <w:lang w:val="lv-LV"/>
              </w:rPr>
              <w:t xml:space="preserve">plānota </w:t>
            </w:r>
            <w:r w:rsidR="003F0616" w:rsidRPr="00DF0F7D">
              <w:rPr>
                <w:lang w:val="lv-LV"/>
              </w:rPr>
              <w:t>Ls 392,00</w:t>
            </w:r>
            <w:r w:rsidR="00F24714" w:rsidRPr="00DF0F7D">
              <w:rPr>
                <w:lang w:val="lv-LV"/>
              </w:rPr>
              <w:t xml:space="preserve"> apmērā</w:t>
            </w:r>
            <w:r w:rsidR="003F0616" w:rsidRPr="00DF0F7D">
              <w:rPr>
                <w:lang w:val="lv-LV"/>
              </w:rPr>
              <w:t>.</w:t>
            </w:r>
          </w:p>
          <w:p w:rsidR="00AE55CE" w:rsidRPr="00DF0F7D" w:rsidRDefault="00AE55CE" w:rsidP="008F5A26">
            <w:pPr>
              <w:jc w:val="both"/>
              <w:rPr>
                <w:lang w:val="lv-LV"/>
              </w:rPr>
            </w:pPr>
            <w:r w:rsidRPr="00DF0F7D">
              <w:rPr>
                <w:lang w:val="lv-LV"/>
              </w:rPr>
              <w:t>Par kontroles institūcijas darbības izvērtēšanu trešajā valstī samaksa tiks aprēķināta atbilstoši attaisnojuma dokumentiem un noteiktajiem tarifiem (komandējuma dienas nauda, ceļa izdevumi, naktsmītne).</w:t>
            </w:r>
          </w:p>
          <w:p w:rsidR="00AE55CE" w:rsidRPr="00DF0F7D" w:rsidRDefault="00AE55CE" w:rsidP="008F5A26">
            <w:pPr>
              <w:jc w:val="both"/>
              <w:rPr>
                <w:lang w:val="lv-LV"/>
              </w:rPr>
            </w:pPr>
            <w:r w:rsidRPr="00DF0F7D">
              <w:rPr>
                <w:lang w:val="lv-LV"/>
              </w:rPr>
              <w:t>2013.gadā, kā arī turpmākajos trīs pārskata periodos ieņēm</w:t>
            </w:r>
            <w:r w:rsidR="00E84921">
              <w:rPr>
                <w:lang w:val="lv-LV"/>
              </w:rPr>
              <w:t>umi no šīs darbības nav plānoti</w:t>
            </w:r>
            <w:r w:rsidR="004C121F">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4D373C" w:rsidRPr="00DF0F7D" w:rsidRDefault="004D373C" w:rsidP="008665A4">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vAlign w:val="center"/>
          </w:tcPr>
          <w:p w:rsidR="004D373C" w:rsidRPr="00DF0F7D" w:rsidRDefault="004D373C" w:rsidP="008665A4">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vAlign w:val="center"/>
          </w:tcPr>
          <w:p w:rsidR="004D373C" w:rsidRPr="00DF0F7D" w:rsidRDefault="004D373C" w:rsidP="008665A4">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vAlign w:val="center"/>
          </w:tcPr>
          <w:p w:rsidR="004D373C" w:rsidRPr="00DF0F7D" w:rsidRDefault="004D373C" w:rsidP="008665A4">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vAlign w:val="center"/>
          </w:tcPr>
          <w:p w:rsidR="004D373C" w:rsidRPr="00DF0F7D" w:rsidRDefault="004D373C" w:rsidP="008665A4">
            <w:pPr>
              <w:jc w:val="center"/>
              <w:rPr>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tcPr>
          <w:p w:rsidR="009F7BCA" w:rsidRPr="00DF0F7D" w:rsidRDefault="009F7BCA" w:rsidP="005528A5">
            <w:pPr>
              <w:pStyle w:val="naiskr"/>
              <w:spacing w:before="0" w:beforeAutospacing="0" w:after="0" w:afterAutospacing="0"/>
              <w:ind w:hanging="13"/>
              <w:jc w:val="both"/>
            </w:pPr>
            <w:r w:rsidRPr="00DF0F7D">
              <w:t>6.1.2. ieņēmumi no maksas par ar produktu robežkontroli saistīta sertifikāta izraksta apstiprināšanu</w:t>
            </w:r>
            <w:r w:rsidR="00E84921">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F7BCA" w:rsidRPr="00DF0F7D" w:rsidRDefault="009F7BCA" w:rsidP="00A2395A">
            <w:pPr>
              <w:jc w:val="center"/>
              <w:rPr>
                <w:lang w:val="lv-LV"/>
              </w:rPr>
            </w:pPr>
            <w:r w:rsidRPr="00DF0F7D">
              <w:rPr>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9F7BCA" w:rsidRPr="00DF0F7D" w:rsidRDefault="009F7BCA" w:rsidP="00486E98">
            <w:pPr>
              <w:jc w:val="center"/>
              <w:rPr>
                <w:lang w:val="lv-LV"/>
              </w:rPr>
            </w:pPr>
            <w:r w:rsidRPr="00DF0F7D">
              <w:rPr>
                <w:lang w:val="lv-LV"/>
              </w:rPr>
              <w:t>2,</w:t>
            </w:r>
            <w:r w:rsidR="00486E98" w:rsidRPr="00DF0F7D">
              <w:rPr>
                <w:lang w:val="lv-LV"/>
              </w:rPr>
              <w:t>2</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9F7BCA" w:rsidRPr="00DF0F7D" w:rsidRDefault="009F7BCA" w:rsidP="00486E98">
            <w:pPr>
              <w:jc w:val="center"/>
              <w:rPr>
                <w:lang w:val="lv-LV"/>
              </w:rPr>
            </w:pPr>
            <w:r w:rsidRPr="00DF0F7D">
              <w:rPr>
                <w:lang w:val="lv-LV"/>
              </w:rPr>
              <w:t>2,</w:t>
            </w:r>
            <w:r w:rsidR="00486E98" w:rsidRPr="00DF0F7D">
              <w:rPr>
                <w:lang w:val="lv-LV"/>
              </w:rPr>
              <w:t>2</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9F7BCA" w:rsidRPr="00DF0F7D" w:rsidRDefault="009F7BCA" w:rsidP="00486E98">
            <w:pPr>
              <w:jc w:val="center"/>
              <w:rPr>
                <w:lang w:val="lv-LV"/>
              </w:rPr>
            </w:pPr>
            <w:r w:rsidRPr="00DF0F7D">
              <w:rPr>
                <w:lang w:val="lv-LV"/>
              </w:rPr>
              <w:t>2,</w:t>
            </w:r>
            <w:r w:rsidR="00486E98" w:rsidRPr="00DF0F7D">
              <w:rPr>
                <w:lang w:val="lv-LV"/>
              </w:rPr>
              <w:t>2</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9F7BCA" w:rsidRPr="00DF0F7D" w:rsidRDefault="009F7BCA" w:rsidP="00486E98">
            <w:pPr>
              <w:jc w:val="center"/>
              <w:rPr>
                <w:lang w:val="lv-LV"/>
              </w:rPr>
            </w:pPr>
            <w:r w:rsidRPr="00DF0F7D">
              <w:rPr>
                <w:lang w:val="lv-LV"/>
              </w:rPr>
              <w:t>2,</w:t>
            </w:r>
            <w:r w:rsidR="00486E98" w:rsidRPr="00DF0F7D">
              <w:rPr>
                <w:lang w:val="lv-LV"/>
              </w:rPr>
              <w:t>2</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tcPr>
          <w:p w:rsidR="005528A5" w:rsidRPr="00DF0F7D" w:rsidRDefault="005528A5" w:rsidP="005528A5">
            <w:pPr>
              <w:pStyle w:val="naiskr"/>
              <w:spacing w:before="0" w:beforeAutospacing="0" w:after="0" w:afterAutospacing="0"/>
              <w:ind w:hanging="13"/>
              <w:jc w:val="both"/>
            </w:pPr>
            <w:r w:rsidRPr="00DF0F7D">
              <w:t xml:space="preserve">Maksa par ar produktu robežkontroli saistīta sertifikāta izraksta apstiprināšanu noteikta Ls 15,00 par kravu (noteikumu Nr.1231 1.pielikuma 17.punkts). Vidējais kravas pārbaudīšanas un sertifikāta izraksta apstiprināšanas laiks ir </w:t>
            </w:r>
            <w:r w:rsidR="00173034" w:rsidRPr="00DF0F7D">
              <w:t>divas</w:t>
            </w:r>
            <w:r w:rsidRPr="00DF0F7D">
              <w:t xml:space="preserve"> stundas un inspektora (eksperta) viena darba stunda izmaksā Ls 7,50, t.i., Ls/stunda 7,50</w:t>
            </w:r>
            <w:r w:rsidR="00173034" w:rsidRPr="00DF0F7D">
              <w:t xml:space="preserve"> </w:t>
            </w:r>
            <w:r w:rsidRPr="00DF0F7D">
              <w:t>*</w:t>
            </w:r>
            <w:r w:rsidR="00173034" w:rsidRPr="00DF0F7D">
              <w:t xml:space="preserve"> 2 </w:t>
            </w:r>
            <w:r w:rsidRPr="00DF0F7D">
              <w:t>stundas</w:t>
            </w:r>
            <w:r w:rsidR="00173034" w:rsidRPr="00DF0F7D">
              <w:t xml:space="preserve"> </w:t>
            </w:r>
            <w:r w:rsidRPr="00DF0F7D">
              <w:t>=</w:t>
            </w:r>
            <w:r w:rsidR="00173034" w:rsidRPr="00DF0F7D">
              <w:t xml:space="preserve"> </w:t>
            </w:r>
            <w:r w:rsidRPr="00DF0F7D">
              <w:t>Ls 15,00.</w:t>
            </w:r>
          </w:p>
          <w:p w:rsidR="005528A5" w:rsidRPr="00DF0F7D" w:rsidRDefault="005528A5" w:rsidP="00397851">
            <w:pPr>
              <w:pStyle w:val="naiskr"/>
              <w:spacing w:before="0" w:beforeAutospacing="0" w:after="0" w:afterAutospacing="0"/>
              <w:ind w:hanging="13"/>
              <w:jc w:val="both"/>
            </w:pPr>
            <w:r w:rsidRPr="00DF0F7D">
              <w:t>Plānots, ka 2013., 2014., 2015. un 2016.gadā tiks apstiprināti 150 sertifikātu izraksti</w:t>
            </w:r>
            <w:r w:rsidR="009065E8" w:rsidRPr="00DF0F7D">
              <w:t xml:space="preserve"> gadā</w:t>
            </w:r>
            <w:r w:rsidRPr="00DF0F7D">
              <w:t>, t.i., Ls/krava 15,00</w:t>
            </w:r>
            <w:r w:rsidR="00580A44" w:rsidRPr="00DF0F7D">
              <w:t xml:space="preserve"> </w:t>
            </w:r>
            <w:r w:rsidRPr="00DF0F7D">
              <w:t>*</w:t>
            </w:r>
            <w:r w:rsidR="00580A44" w:rsidRPr="00DF0F7D">
              <w:t xml:space="preserve"> </w:t>
            </w:r>
            <w:r w:rsidR="00397851" w:rsidRPr="00DF0F7D">
              <w:t xml:space="preserve">150 </w:t>
            </w:r>
            <w:r w:rsidRPr="00DF0F7D">
              <w:t>kravas (sertifikāta izraksta apstiprināšana) =</w:t>
            </w:r>
            <w:r w:rsidR="00260B58" w:rsidRPr="00DF0F7D">
              <w:t xml:space="preserve"> </w:t>
            </w:r>
            <w:r w:rsidRPr="00DF0F7D">
              <w:t>Ls 2 250,00.</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528A5" w:rsidRPr="00DF0F7D" w:rsidRDefault="005528A5" w:rsidP="00A2395A">
            <w:pPr>
              <w:jc w:val="center"/>
              <w:rPr>
                <w:lang w:val="lv-LV"/>
              </w:rPr>
            </w:pP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5528A5" w:rsidRPr="00DF0F7D" w:rsidRDefault="005528A5" w:rsidP="00A2395A">
            <w:pPr>
              <w:jc w:val="center"/>
              <w:rPr>
                <w:lang w:val="lv-LV"/>
              </w:rPr>
            </w:pP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5528A5" w:rsidRPr="00DF0F7D" w:rsidRDefault="005528A5" w:rsidP="00A2395A">
            <w:pPr>
              <w:jc w:val="center"/>
              <w:rPr>
                <w:lang w:val="lv-LV"/>
              </w:rPr>
            </w:pP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5528A5" w:rsidRPr="00DF0F7D" w:rsidRDefault="005528A5" w:rsidP="00A2395A">
            <w:pPr>
              <w:jc w:val="center"/>
              <w:rPr>
                <w:lang w:val="lv-LV"/>
              </w:rPr>
            </w:pP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528A5" w:rsidRPr="00DF0F7D" w:rsidRDefault="005528A5" w:rsidP="00A2395A">
            <w:pPr>
              <w:jc w:val="center"/>
              <w:rPr>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tcPr>
          <w:p w:rsidR="000902B6" w:rsidRPr="00DF0F7D" w:rsidRDefault="000902B6" w:rsidP="00F83AAD">
            <w:pPr>
              <w:pStyle w:val="naiskr"/>
              <w:spacing w:before="0" w:beforeAutospacing="0" w:after="0" w:afterAutospacing="0"/>
              <w:ind w:hanging="13"/>
              <w:jc w:val="both"/>
            </w:pPr>
            <w:r w:rsidRPr="00DF0F7D">
              <w:lastRenderedPageBreak/>
              <w:t>6.1.3. ieņēmumi no maksas par produktu sertificēšanu Nacionālajā pārtikas kvalitātes shēmā un atkārtotu pārbaudi neatbilstību gadījumā</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0902B6" w:rsidRPr="00DF0F7D" w:rsidRDefault="000902B6" w:rsidP="00580A44">
            <w:pPr>
              <w:jc w:val="center"/>
              <w:rPr>
                <w:lang w:val="lv-LV"/>
              </w:rPr>
            </w:pPr>
            <w:r w:rsidRPr="00DF0F7D">
              <w:rPr>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902B6" w:rsidRPr="00DF0F7D" w:rsidRDefault="000902B6" w:rsidP="00580A44">
            <w:pPr>
              <w:jc w:val="center"/>
              <w:rPr>
                <w:lang w:val="lv-LV"/>
              </w:rPr>
            </w:pPr>
            <w:r w:rsidRPr="00DF0F7D">
              <w:rPr>
                <w:lang w:val="lv-LV"/>
              </w:rPr>
              <w:t>9</w:t>
            </w:r>
            <w:r w:rsidR="00684ACF" w:rsidRPr="00DF0F7D">
              <w:rPr>
                <w:lang w:val="lv-LV"/>
              </w:rPr>
              <w:t>,0</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0902B6" w:rsidRPr="00DF0F7D" w:rsidRDefault="000902B6" w:rsidP="00580A44">
            <w:pPr>
              <w:jc w:val="center"/>
              <w:rPr>
                <w:lang w:val="lv-LV"/>
              </w:rPr>
            </w:pPr>
            <w:r w:rsidRPr="00DF0F7D">
              <w:rPr>
                <w:lang w:val="lv-LV"/>
              </w:rPr>
              <w:t>15,9</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0902B6" w:rsidRPr="00DF0F7D" w:rsidRDefault="000902B6" w:rsidP="00580A44">
            <w:pPr>
              <w:jc w:val="center"/>
              <w:rPr>
                <w:lang w:val="lv-LV"/>
              </w:rPr>
            </w:pPr>
            <w:r w:rsidRPr="00DF0F7D">
              <w:rPr>
                <w:lang w:val="lv-LV"/>
              </w:rPr>
              <w:t>15,9</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0902B6" w:rsidRPr="00DF0F7D" w:rsidRDefault="000902B6" w:rsidP="00580A44">
            <w:pPr>
              <w:jc w:val="center"/>
              <w:rPr>
                <w:lang w:val="lv-LV"/>
              </w:rPr>
            </w:pPr>
            <w:r w:rsidRPr="00DF0F7D">
              <w:rPr>
                <w:lang w:val="lv-LV"/>
              </w:rPr>
              <w:t>15,9</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493D34">
            <w:pPr>
              <w:jc w:val="both"/>
              <w:rPr>
                <w:lang w:val="lv-LV"/>
              </w:rPr>
            </w:pPr>
            <w:r w:rsidRPr="00DF0F7D">
              <w:rPr>
                <w:lang w:val="lv-LV"/>
              </w:rPr>
              <w:t xml:space="preserve">6.1.3.1. </w:t>
            </w:r>
            <w:r w:rsidR="00712E90" w:rsidRPr="00DF0F7D">
              <w:rPr>
                <w:lang w:val="lv-LV"/>
              </w:rPr>
              <w:t>m</w:t>
            </w:r>
            <w:r w:rsidRPr="00DF0F7D">
              <w:rPr>
                <w:lang w:val="lv-LV"/>
              </w:rPr>
              <w:t xml:space="preserve">aksa par produktu sertificēšanu Nacionālajā pārtikas kvalitātes shēmā. Vienas pārbaudes veikšanai nepieciešamas 32 inspektora darba stundas un vidēji </w:t>
            </w:r>
            <w:r w:rsidR="00C33FFB" w:rsidRPr="00DF0F7D">
              <w:rPr>
                <w:lang w:val="lv-LV"/>
              </w:rPr>
              <w:t xml:space="preserve">jānobrauc </w:t>
            </w:r>
            <w:r w:rsidRPr="00DF0F7D">
              <w:rPr>
                <w:lang w:val="lv-LV"/>
              </w:rPr>
              <w:t>200 km līdz kontroles vietai un atpakaļ līdz pastāvīgajai darbavietai. Gadā plānots veikt 49 uzņēmumu pārbaudes.</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570B11" w:rsidP="00580A44">
            <w:pPr>
              <w:jc w:val="center"/>
              <w:rPr>
                <w:lang w:val="lv-LV"/>
              </w:rPr>
            </w:pPr>
            <w:r w:rsidRPr="00DF0F7D">
              <w:rPr>
                <w:lang w:val="lv-LV"/>
              </w:rPr>
              <w:t>6,6</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13,5</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13,5</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13,5</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77D5E">
            <w:pPr>
              <w:jc w:val="both"/>
              <w:rPr>
                <w:lang w:val="lv-LV"/>
              </w:rPr>
            </w:pPr>
            <w:r w:rsidRPr="00DF0F7D">
              <w:rPr>
                <w:lang w:val="lv-LV"/>
              </w:rPr>
              <w:t xml:space="preserve">Plānots, ka 2013.gadā </w:t>
            </w:r>
            <w:r w:rsidR="00577D5E" w:rsidRPr="00DF0F7D">
              <w:rPr>
                <w:lang w:val="lv-LV"/>
              </w:rPr>
              <w:t xml:space="preserve">(laikā no </w:t>
            </w:r>
            <w:r w:rsidR="005214F6" w:rsidRPr="00DF0F7D">
              <w:rPr>
                <w:lang w:val="lv-LV"/>
              </w:rPr>
              <w:t>1.augusta</w:t>
            </w:r>
            <w:r w:rsidR="00577D5E" w:rsidRPr="00DF0F7D">
              <w:rPr>
                <w:lang w:val="lv-LV"/>
              </w:rPr>
              <w:t>)</w:t>
            </w:r>
            <w:r w:rsidR="005214F6" w:rsidRPr="00DF0F7D">
              <w:rPr>
                <w:lang w:val="lv-LV"/>
              </w:rPr>
              <w:t xml:space="preserve"> </w:t>
            </w:r>
            <w:r w:rsidRPr="00DF0F7D">
              <w:rPr>
                <w:lang w:val="lv-LV"/>
              </w:rPr>
              <w:t xml:space="preserve">tiks veiktas </w:t>
            </w:r>
            <w:r w:rsidR="005214F6" w:rsidRPr="00DF0F7D">
              <w:rPr>
                <w:lang w:val="lv-LV"/>
              </w:rPr>
              <w:t>24</w:t>
            </w:r>
            <w:r w:rsidRPr="00DF0F7D">
              <w:rPr>
                <w:lang w:val="lv-LV"/>
              </w:rPr>
              <w:t xml:space="preserve"> pārbaudes, t.i., </w:t>
            </w:r>
            <w:r w:rsidR="00577D5E" w:rsidRPr="00DF0F7D">
              <w:rPr>
                <w:lang w:val="lv-LV"/>
              </w:rPr>
              <w:t xml:space="preserve">7,50 </w:t>
            </w:r>
            <w:r w:rsidRPr="00DF0F7D">
              <w:rPr>
                <w:lang w:val="lv-LV"/>
              </w:rPr>
              <w:t>Ls/stunda *</w:t>
            </w:r>
            <w:r w:rsidR="00577D5E" w:rsidRPr="00DF0F7D">
              <w:rPr>
                <w:lang w:val="lv-LV"/>
              </w:rPr>
              <w:t xml:space="preserve"> 32 </w:t>
            </w:r>
            <w:r w:rsidRPr="00DF0F7D">
              <w:rPr>
                <w:lang w:val="lv-LV"/>
              </w:rPr>
              <w:t>stundas</w:t>
            </w:r>
            <w:r w:rsidR="00577D5E" w:rsidRPr="00DF0F7D">
              <w:rPr>
                <w:lang w:val="lv-LV"/>
              </w:rPr>
              <w:t xml:space="preserve"> </w:t>
            </w:r>
            <w:r w:rsidRPr="00DF0F7D">
              <w:rPr>
                <w:lang w:val="lv-LV"/>
              </w:rPr>
              <w:t>*</w:t>
            </w:r>
            <w:r w:rsidR="00577D5E" w:rsidRPr="00DF0F7D">
              <w:rPr>
                <w:lang w:val="lv-LV"/>
              </w:rPr>
              <w:t xml:space="preserve"> 24 </w:t>
            </w:r>
            <w:r w:rsidRPr="00DF0F7D">
              <w:rPr>
                <w:lang w:val="lv-LV"/>
              </w:rPr>
              <w:t>pārbaudes =</w:t>
            </w:r>
            <w:r w:rsidR="00577D5E" w:rsidRPr="00DF0F7D">
              <w:rPr>
                <w:lang w:val="lv-LV"/>
              </w:rPr>
              <w:t xml:space="preserve"> </w:t>
            </w:r>
            <w:r w:rsidRPr="00DF0F7D">
              <w:rPr>
                <w:lang w:val="lv-LV"/>
              </w:rPr>
              <w:t xml:space="preserve">Ls </w:t>
            </w:r>
            <w:r w:rsidR="00577D5E" w:rsidRPr="00DF0F7D">
              <w:rPr>
                <w:lang w:val="lv-LV"/>
              </w:rPr>
              <w:t>5 </w:t>
            </w:r>
            <w:r w:rsidRPr="00DF0F7D">
              <w:rPr>
                <w:lang w:val="lv-LV"/>
              </w:rPr>
              <w:t xml:space="preserve">760,00 </w:t>
            </w:r>
            <w:r w:rsidR="00577D5E" w:rsidRPr="00DF0F7D">
              <w:rPr>
                <w:lang w:val="lv-LV"/>
              </w:rPr>
              <w:t xml:space="preserve">un transporta izdevumi 0,18 Ls/km </w:t>
            </w:r>
            <w:r w:rsidRPr="00DF0F7D">
              <w:rPr>
                <w:lang w:val="lv-LV"/>
              </w:rPr>
              <w:t>*</w:t>
            </w:r>
            <w:r w:rsidR="00577D5E" w:rsidRPr="00DF0F7D">
              <w:rPr>
                <w:lang w:val="lv-LV"/>
              </w:rPr>
              <w:t xml:space="preserve"> 200 km</w:t>
            </w:r>
            <w:r w:rsidRPr="00DF0F7D">
              <w:rPr>
                <w:lang w:val="lv-LV"/>
              </w:rPr>
              <w:t xml:space="preserve"> *</w:t>
            </w:r>
            <w:r w:rsidR="00577D5E" w:rsidRPr="00DF0F7D">
              <w:rPr>
                <w:lang w:val="lv-LV"/>
              </w:rPr>
              <w:t xml:space="preserve"> 24 </w:t>
            </w:r>
            <w:r w:rsidRPr="00DF0F7D">
              <w:rPr>
                <w:lang w:val="lv-LV"/>
              </w:rPr>
              <w:t>pārbaudes =</w:t>
            </w:r>
            <w:r w:rsidR="00577D5E" w:rsidRPr="00DF0F7D">
              <w:rPr>
                <w:lang w:val="lv-LV"/>
              </w:rPr>
              <w:t xml:space="preserve"> </w:t>
            </w:r>
            <w:r w:rsidRPr="00DF0F7D">
              <w:rPr>
                <w:lang w:val="lv-LV"/>
              </w:rPr>
              <w:t xml:space="preserve">Ls </w:t>
            </w:r>
            <w:r w:rsidR="00577D5E" w:rsidRPr="00DF0F7D">
              <w:rPr>
                <w:lang w:val="lv-LV"/>
              </w:rPr>
              <w:t>864</w:t>
            </w:r>
            <w:r w:rsidRPr="00DF0F7D">
              <w:rPr>
                <w:lang w:val="lv-LV"/>
              </w:rPr>
              <w:t>,00</w:t>
            </w:r>
            <w:r w:rsidR="00DC5600"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DC5600" w:rsidP="00580A44">
            <w:pPr>
              <w:jc w:val="center"/>
              <w:rPr>
                <w:iCs/>
                <w:lang w:val="lv-LV"/>
              </w:rPr>
            </w:pPr>
            <w:r w:rsidRPr="00DF0F7D">
              <w:rPr>
                <w:iCs/>
                <w:lang w:val="lv-LV"/>
              </w:rPr>
              <w:t>6,6</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D41070">
            <w:pPr>
              <w:jc w:val="both"/>
              <w:rPr>
                <w:lang w:val="lv-LV"/>
              </w:rPr>
            </w:pPr>
            <w:r w:rsidRPr="00DF0F7D">
              <w:rPr>
                <w:lang w:val="lv-LV"/>
              </w:rPr>
              <w:t>2014.,</w:t>
            </w:r>
            <w:r w:rsidR="00493D34" w:rsidRPr="00DF0F7D">
              <w:rPr>
                <w:lang w:val="lv-LV"/>
              </w:rPr>
              <w:t xml:space="preserve"> </w:t>
            </w:r>
            <w:r w:rsidRPr="00DF0F7D">
              <w:rPr>
                <w:lang w:val="lv-LV"/>
              </w:rPr>
              <w:t xml:space="preserve">2015. un 2016.gadā </w:t>
            </w:r>
            <w:r w:rsidR="00DC5600" w:rsidRPr="00DF0F7D">
              <w:rPr>
                <w:lang w:val="lv-LV"/>
              </w:rPr>
              <w:t xml:space="preserve">plānotas 49 pārbaudes </w:t>
            </w:r>
            <w:r w:rsidR="00493D34" w:rsidRPr="00DF0F7D">
              <w:rPr>
                <w:lang w:val="lv-LV"/>
              </w:rPr>
              <w:t>–</w:t>
            </w:r>
            <w:r w:rsidRPr="00DF0F7D">
              <w:rPr>
                <w:lang w:val="lv-LV"/>
              </w:rPr>
              <w:t xml:space="preserve"> </w:t>
            </w:r>
            <w:r w:rsidR="00DC5600" w:rsidRPr="00DF0F7D">
              <w:rPr>
                <w:lang w:val="lv-LV"/>
              </w:rPr>
              <w:t xml:space="preserve">7,50 Ls/stunda * 32 stundas * 49 pārbaudes = Ls 11 760,00 un transporta izdevumi 0,18 Ls/km * 200 km * </w:t>
            </w:r>
            <w:r w:rsidR="00D41070" w:rsidRPr="00DF0F7D">
              <w:rPr>
                <w:lang w:val="lv-LV"/>
              </w:rPr>
              <w:t>49</w:t>
            </w:r>
            <w:r w:rsidR="00DC5600" w:rsidRPr="00DF0F7D">
              <w:rPr>
                <w:lang w:val="lv-LV"/>
              </w:rPr>
              <w:t xml:space="preserve"> pārbaudes = Ls </w:t>
            </w:r>
            <w:r w:rsidRPr="00DF0F7D">
              <w:rPr>
                <w:lang w:val="lv-LV"/>
              </w:rPr>
              <w:t>1</w:t>
            </w:r>
            <w:r w:rsidR="00D41070" w:rsidRPr="00DF0F7D">
              <w:rPr>
                <w:lang w:val="lv-LV"/>
              </w:rPr>
              <w:t> </w:t>
            </w:r>
            <w:r w:rsidRPr="00DF0F7D">
              <w:rPr>
                <w:lang w:val="lv-LV"/>
              </w:rPr>
              <w:t>764,00</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0,0</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13,5</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13,5</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r w:rsidRPr="00DF0F7D">
              <w:rPr>
                <w:iCs/>
                <w:lang w:val="lv-LV"/>
              </w:rPr>
              <w:t>13,5</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065153">
            <w:pPr>
              <w:jc w:val="both"/>
              <w:rPr>
                <w:lang w:val="lv-LV"/>
              </w:rPr>
            </w:pPr>
            <w:r w:rsidRPr="00DF0F7D">
              <w:rPr>
                <w:lang w:val="lv-LV"/>
              </w:rPr>
              <w:t xml:space="preserve">6.1.3.2. </w:t>
            </w:r>
            <w:r w:rsidR="00065153" w:rsidRPr="00DF0F7D">
              <w:rPr>
                <w:lang w:val="lv-LV"/>
              </w:rPr>
              <w:t>m</w:t>
            </w:r>
            <w:r w:rsidRPr="00DF0F7D">
              <w:rPr>
                <w:lang w:val="lv-LV"/>
              </w:rPr>
              <w:t xml:space="preserve">aksa par atkārtotu pārbaudi </w:t>
            </w:r>
            <w:proofErr w:type="spellStart"/>
            <w:r w:rsidRPr="00DF0F7D">
              <w:rPr>
                <w:lang w:val="lv-LV"/>
              </w:rPr>
              <w:t>pamatpārbaudē</w:t>
            </w:r>
            <w:proofErr w:type="spellEnd"/>
            <w:r w:rsidRPr="00DF0F7D">
              <w:rPr>
                <w:lang w:val="lv-LV"/>
              </w:rPr>
              <w:t xml:space="preserve"> konstatētu neatbilstību gadījumā.</w:t>
            </w:r>
          </w:p>
          <w:p w:rsidR="00227427" w:rsidRPr="00DF0F7D" w:rsidRDefault="00227427" w:rsidP="00065153">
            <w:pPr>
              <w:jc w:val="both"/>
              <w:rPr>
                <w:lang w:val="lv-LV"/>
              </w:rPr>
            </w:pPr>
            <w:r w:rsidRPr="00DF0F7D">
              <w:rPr>
                <w:lang w:val="lv-LV"/>
              </w:rPr>
              <w:t xml:space="preserve">Vienas atkārtotas pārbaudes veikšanai nepieciešamas 8 inspektora darba stundas un vidēji </w:t>
            </w:r>
            <w:r w:rsidR="00BE7EDB" w:rsidRPr="00DF0F7D">
              <w:rPr>
                <w:lang w:val="lv-LV"/>
              </w:rPr>
              <w:t xml:space="preserve">jānobrauc </w:t>
            </w:r>
            <w:r w:rsidRPr="00DF0F7D">
              <w:rPr>
                <w:lang w:val="lv-LV"/>
              </w:rPr>
              <w:t>200 km līdz kontroles vietai un atpakaļ līdz pastāvīgajai darbavietai.</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0,0</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2,4</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2,4</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2,4</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lang w:val="lv-LV"/>
              </w:rPr>
            </w:pPr>
            <w:r w:rsidRPr="00DF0F7D">
              <w:rPr>
                <w:lang w:val="lv-LV"/>
              </w:rPr>
              <w:t>2,4</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4D4CAB">
            <w:pPr>
              <w:jc w:val="both"/>
              <w:rPr>
                <w:lang w:val="lv-LV"/>
              </w:rPr>
            </w:pPr>
            <w:r w:rsidRPr="00DF0F7D">
              <w:rPr>
                <w:lang w:val="lv-LV"/>
              </w:rPr>
              <w:t>Plānots, ka gadā tiks veiktas 25 atkārtotās pārbaudes, t.i., Ls/stundā 7,50*stundas 8*pārbaudes 25=Ls 1 500,00 un transporta izmaksas Ls/km 0,1</w:t>
            </w:r>
            <w:r w:rsidR="007202A7" w:rsidRPr="00DF0F7D">
              <w:rPr>
                <w:lang w:val="lv-LV"/>
              </w:rPr>
              <w:t>8*km 200*pārbaudes 25=Ls 900,00 (kopā Ls 2 400,00)</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227427" w:rsidRPr="00DF0F7D" w:rsidRDefault="00227427" w:rsidP="00580A44">
            <w:pPr>
              <w:jc w:val="center"/>
              <w:rPr>
                <w:iCs/>
                <w:lang w:val="lv-LV"/>
              </w:rPr>
            </w:pP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866225" w:rsidRPr="00DF0F7D" w:rsidRDefault="00866225" w:rsidP="00B4553E">
            <w:pPr>
              <w:pStyle w:val="naiskr"/>
              <w:spacing w:before="0" w:beforeAutospacing="0" w:after="0" w:afterAutospacing="0"/>
              <w:ind w:hanging="13"/>
              <w:jc w:val="both"/>
            </w:pPr>
            <w:r w:rsidRPr="00DF0F7D">
              <w:t xml:space="preserve">6.1.4. ieņēmumi no maksas par transportlīdzekļu izmantošanu </w:t>
            </w:r>
            <w:r w:rsidRPr="00DF0F7D">
              <w:lastRenderedPageBreak/>
              <w:t>kontroles procesā:</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866225" w:rsidRPr="00DF0F7D" w:rsidRDefault="00866225" w:rsidP="00580A44">
            <w:pPr>
              <w:jc w:val="center"/>
              <w:rPr>
                <w:lang w:val="lv-LV"/>
              </w:rPr>
            </w:pPr>
            <w:r w:rsidRPr="00DF0F7D">
              <w:rPr>
                <w:lang w:val="lv-LV"/>
              </w:rPr>
              <w:lastRenderedPageBreak/>
              <w:t>15,2</w:t>
            </w:r>
          </w:p>
        </w:tc>
        <w:tc>
          <w:tcPr>
            <w:tcW w:w="719" w:type="pct"/>
            <w:tcBorders>
              <w:top w:val="outset" w:sz="6" w:space="0" w:color="000000"/>
              <w:left w:val="outset" w:sz="6" w:space="0" w:color="000000"/>
              <w:bottom w:val="outset" w:sz="6" w:space="0" w:color="000000"/>
              <w:right w:val="outset" w:sz="6" w:space="0" w:color="000000"/>
            </w:tcBorders>
            <w:vAlign w:val="center"/>
          </w:tcPr>
          <w:p w:rsidR="00866225" w:rsidRPr="00DF0F7D" w:rsidRDefault="00430719" w:rsidP="00580A44">
            <w:pPr>
              <w:jc w:val="center"/>
              <w:rPr>
                <w:lang w:val="lv-LV"/>
              </w:rPr>
            </w:pPr>
            <w:r w:rsidRPr="00DF0F7D">
              <w:rPr>
                <w:lang w:val="lv-LV"/>
              </w:rPr>
              <w:t>6,3</w:t>
            </w:r>
          </w:p>
        </w:tc>
        <w:tc>
          <w:tcPr>
            <w:tcW w:w="586" w:type="pct"/>
            <w:tcBorders>
              <w:top w:val="outset" w:sz="6" w:space="0" w:color="000000"/>
              <w:left w:val="outset" w:sz="6" w:space="0" w:color="000000"/>
              <w:bottom w:val="outset" w:sz="6" w:space="0" w:color="000000"/>
              <w:right w:val="outset" w:sz="6" w:space="0" w:color="000000"/>
            </w:tcBorders>
            <w:vAlign w:val="center"/>
          </w:tcPr>
          <w:p w:rsidR="00866225" w:rsidRPr="00DF0F7D" w:rsidRDefault="00430719" w:rsidP="00580A44">
            <w:pPr>
              <w:jc w:val="center"/>
              <w:rPr>
                <w:lang w:val="lv-LV"/>
              </w:rPr>
            </w:pPr>
            <w:r w:rsidRPr="00DF0F7D">
              <w:rPr>
                <w:lang w:val="lv-LV"/>
              </w:rPr>
              <w:t>10,6</w:t>
            </w:r>
          </w:p>
        </w:tc>
        <w:tc>
          <w:tcPr>
            <w:tcW w:w="615" w:type="pct"/>
            <w:tcBorders>
              <w:top w:val="outset" w:sz="6" w:space="0" w:color="000000"/>
              <w:left w:val="outset" w:sz="6" w:space="0" w:color="000000"/>
              <w:bottom w:val="outset" w:sz="6" w:space="0" w:color="000000"/>
              <w:right w:val="outset" w:sz="6" w:space="0" w:color="000000"/>
            </w:tcBorders>
            <w:vAlign w:val="center"/>
          </w:tcPr>
          <w:p w:rsidR="00866225" w:rsidRPr="00DF0F7D" w:rsidRDefault="00430719" w:rsidP="00580A44">
            <w:pPr>
              <w:jc w:val="center"/>
              <w:rPr>
                <w:lang w:val="lv-LV"/>
              </w:rPr>
            </w:pPr>
            <w:r w:rsidRPr="00DF0F7D">
              <w:rPr>
                <w:lang w:val="lv-LV"/>
              </w:rPr>
              <w:t>10,6</w:t>
            </w:r>
          </w:p>
        </w:tc>
        <w:tc>
          <w:tcPr>
            <w:tcW w:w="584" w:type="pct"/>
            <w:tcBorders>
              <w:top w:val="outset" w:sz="6" w:space="0" w:color="000000"/>
              <w:left w:val="outset" w:sz="6" w:space="0" w:color="000000"/>
              <w:bottom w:val="outset" w:sz="6" w:space="0" w:color="000000"/>
              <w:right w:val="outset" w:sz="6" w:space="0" w:color="000000"/>
            </w:tcBorders>
            <w:vAlign w:val="center"/>
          </w:tcPr>
          <w:p w:rsidR="00866225" w:rsidRPr="00DF0F7D" w:rsidRDefault="00430719" w:rsidP="00580A44">
            <w:pPr>
              <w:jc w:val="center"/>
              <w:rPr>
                <w:lang w:val="lv-LV"/>
              </w:rPr>
            </w:pPr>
            <w:r w:rsidRPr="00DF0F7D">
              <w:rPr>
                <w:lang w:val="lv-LV"/>
              </w:rPr>
              <w:t>10,6</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747291">
            <w:pPr>
              <w:jc w:val="both"/>
              <w:rPr>
                <w:highlight w:val="yellow"/>
                <w:lang w:val="lv-LV"/>
              </w:rPr>
            </w:pPr>
            <w:r w:rsidRPr="00DF0F7D">
              <w:rPr>
                <w:lang w:val="lv-LV"/>
              </w:rPr>
              <w:lastRenderedPageBreak/>
              <w:t>6.1.4.1. cenrāža 1.pielikuma 7., 18., 24.punktā, 3.pielikuma 4.2.apakšpunktā, 4.pielikuma 3.1.apakšpunktā; 5.pielikuma 23.2.apakšpunktā noteiktā pakalpojuma cena pēc grozījumiem ir plānota Ls/km 0,18</w:t>
            </w:r>
            <w:r w:rsidR="00BE335F" w:rsidRPr="00DF0F7D">
              <w:rPr>
                <w:lang w:val="lv-LV"/>
              </w:rPr>
              <w:t xml:space="preserve"> (šobrīd </w:t>
            </w:r>
            <w:r w:rsidR="00747291" w:rsidRPr="00DF0F7D">
              <w:rPr>
                <w:lang w:val="lv-LV"/>
              </w:rPr>
              <w:t xml:space="preserve">cena ir </w:t>
            </w:r>
            <w:r w:rsidR="00BE335F" w:rsidRPr="00DF0F7D">
              <w:rPr>
                <w:lang w:val="lv-LV"/>
              </w:rPr>
              <w:t>0,09 Ls/km).</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10,9</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FF5063" w:rsidP="00580A44">
            <w:pPr>
              <w:jc w:val="center"/>
              <w:rPr>
                <w:lang w:val="lv-LV"/>
              </w:rPr>
            </w:pPr>
            <w:r w:rsidRPr="00DF0F7D">
              <w:rPr>
                <w:lang w:val="lv-LV"/>
              </w:rPr>
              <w:t>4,5</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FF5063" w:rsidP="00580A44">
            <w:pPr>
              <w:jc w:val="center"/>
              <w:rPr>
                <w:lang w:val="lv-LV"/>
              </w:rPr>
            </w:pPr>
            <w:r w:rsidRPr="00DF0F7D">
              <w:rPr>
                <w:lang w:val="lv-LV"/>
              </w:rPr>
              <w:t>6,3</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FF5063" w:rsidP="00580A44">
            <w:pPr>
              <w:jc w:val="center"/>
              <w:rPr>
                <w:lang w:val="lv-LV"/>
              </w:rPr>
            </w:pPr>
            <w:r w:rsidRPr="00DF0F7D">
              <w:rPr>
                <w:lang w:val="lv-LV"/>
              </w:rPr>
              <w:t>6,3</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FF5063" w:rsidP="00580A44">
            <w:pPr>
              <w:jc w:val="center"/>
              <w:rPr>
                <w:lang w:val="lv-LV"/>
              </w:rPr>
            </w:pPr>
            <w:r w:rsidRPr="00DF0F7D">
              <w:rPr>
                <w:lang w:val="lv-LV"/>
              </w:rPr>
              <w:t>6,3</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471885">
            <w:pPr>
              <w:jc w:val="both"/>
              <w:rPr>
                <w:highlight w:val="yellow"/>
                <w:lang w:val="lv-LV"/>
              </w:rPr>
            </w:pPr>
            <w:r w:rsidRPr="00DF0F7D">
              <w:rPr>
                <w:lang w:val="lv-LV"/>
              </w:rPr>
              <w:t>2013.gadā k</w:t>
            </w:r>
            <w:r w:rsidR="0030032B" w:rsidRPr="00DF0F7D">
              <w:rPr>
                <w:lang w:val="lv-LV"/>
              </w:rPr>
              <w:t xml:space="preserve">opējā kilometrāža plānota </w:t>
            </w:r>
            <w:r w:rsidRPr="00DF0F7D">
              <w:rPr>
                <w:lang w:val="lv-LV"/>
              </w:rPr>
              <w:t>120</w:t>
            </w:r>
            <w:r w:rsidR="0030032B" w:rsidRPr="00DF0F7D">
              <w:rPr>
                <w:lang w:val="lv-LV"/>
              </w:rPr>
              <w:t> </w:t>
            </w:r>
            <w:r w:rsidRPr="00DF0F7D">
              <w:rPr>
                <w:lang w:val="lv-LV"/>
              </w:rPr>
              <w:t>876</w:t>
            </w:r>
            <w:r w:rsidR="0030032B" w:rsidRPr="00DF0F7D">
              <w:rPr>
                <w:lang w:val="lv-LV"/>
              </w:rPr>
              <w:t xml:space="preserve"> km</w:t>
            </w:r>
            <w:r w:rsidRPr="00DF0F7D">
              <w:rPr>
                <w:lang w:val="lv-LV"/>
              </w:rPr>
              <w:t>, t.i.</w:t>
            </w:r>
            <w:r w:rsidR="00A44272">
              <w:rPr>
                <w:lang w:val="lv-LV"/>
              </w:rPr>
              <w:t>,</w:t>
            </w:r>
            <w:r w:rsidR="00471885" w:rsidRPr="00DF0F7D">
              <w:rPr>
                <w:lang w:val="lv-LV"/>
              </w:rPr>
              <w:t xml:space="preserve"> sākotnēji plānotie ieņēmumi ir</w:t>
            </w:r>
            <w:r w:rsidRPr="00DF0F7D">
              <w:rPr>
                <w:lang w:val="lv-LV"/>
              </w:rPr>
              <w:t xml:space="preserve"> 120</w:t>
            </w:r>
            <w:r w:rsidR="0030032B" w:rsidRPr="00DF0F7D">
              <w:rPr>
                <w:lang w:val="lv-LV"/>
              </w:rPr>
              <w:t> </w:t>
            </w:r>
            <w:r w:rsidRPr="00DF0F7D">
              <w:rPr>
                <w:lang w:val="lv-LV"/>
              </w:rPr>
              <w:t>876</w:t>
            </w:r>
            <w:r w:rsidR="0030032B" w:rsidRPr="00DF0F7D">
              <w:rPr>
                <w:lang w:val="lv-LV"/>
              </w:rPr>
              <w:t xml:space="preserve"> km </w:t>
            </w:r>
            <w:r w:rsidRPr="00DF0F7D">
              <w:rPr>
                <w:lang w:val="lv-LV"/>
              </w:rPr>
              <w:t>*</w:t>
            </w:r>
            <w:r w:rsidR="0030032B" w:rsidRPr="00DF0F7D">
              <w:rPr>
                <w:lang w:val="lv-LV"/>
              </w:rPr>
              <w:t xml:space="preserve"> </w:t>
            </w:r>
            <w:r w:rsidRPr="00DF0F7D">
              <w:rPr>
                <w:lang w:val="lv-LV"/>
              </w:rPr>
              <w:t>Ls/km 0,09</w:t>
            </w:r>
            <w:r w:rsidR="0030032B" w:rsidRPr="00DF0F7D">
              <w:rPr>
                <w:lang w:val="lv-LV"/>
              </w:rPr>
              <w:t xml:space="preserve"> </w:t>
            </w:r>
            <w:r w:rsidRPr="00DF0F7D">
              <w:rPr>
                <w:lang w:val="lv-LV"/>
              </w:rPr>
              <w:t>=</w:t>
            </w:r>
            <w:r w:rsidR="0030032B" w:rsidRPr="00DF0F7D">
              <w:rPr>
                <w:lang w:val="lv-LV"/>
              </w:rPr>
              <w:t xml:space="preserve"> </w:t>
            </w:r>
            <w:r w:rsidRPr="00DF0F7D">
              <w:rPr>
                <w:lang w:val="lv-LV"/>
              </w:rPr>
              <w:t>Ls 10 878,84</w:t>
            </w:r>
            <w:r w:rsidR="0030032B"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i/>
                <w:iCs/>
                <w:lang w:val="lv-LV"/>
              </w:rPr>
            </w:pPr>
            <w:r w:rsidRPr="00DF0F7D">
              <w:rPr>
                <w:i/>
                <w:iCs/>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i/>
                <w:iCs/>
                <w:lang w:val="lv-LV"/>
              </w:rPr>
            </w:pPr>
            <w:r w:rsidRPr="00DF0F7D">
              <w:rPr>
                <w:i/>
                <w:iCs/>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i/>
                <w:iCs/>
                <w:lang w:val="lv-LV"/>
              </w:rPr>
            </w:pPr>
            <w:r w:rsidRPr="00DF0F7D">
              <w:rPr>
                <w:i/>
                <w:iCs/>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i/>
                <w:iCs/>
                <w:lang w:val="lv-LV"/>
              </w:rPr>
            </w:pPr>
            <w:r w:rsidRPr="00DF0F7D">
              <w:rPr>
                <w:i/>
                <w:iCs/>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i/>
                <w:iCs/>
                <w:lang w:val="lv-LV"/>
              </w:rPr>
            </w:pPr>
            <w:r w:rsidRPr="00DF0F7D">
              <w:rPr>
                <w:i/>
                <w:iCs/>
                <w:lang w:val="lv-LV"/>
              </w:rPr>
              <w:t> </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4B2635" w:rsidRPr="00DF0F7D" w:rsidRDefault="00A41894" w:rsidP="004B2635">
            <w:pPr>
              <w:jc w:val="both"/>
              <w:rPr>
                <w:lang w:val="lv-LV"/>
              </w:rPr>
            </w:pPr>
            <w:r w:rsidRPr="00DF0F7D">
              <w:rPr>
                <w:lang w:val="lv-LV"/>
              </w:rPr>
              <w:t>Līdz 2013.gada 1.</w:t>
            </w:r>
            <w:r w:rsidR="00B311BD" w:rsidRPr="00DF0F7D">
              <w:rPr>
                <w:lang w:val="lv-LV"/>
              </w:rPr>
              <w:t>augustam</w:t>
            </w:r>
            <w:r w:rsidRPr="00DF0F7D">
              <w:rPr>
                <w:lang w:val="lv-LV"/>
              </w:rPr>
              <w:t xml:space="preserve"> plānots iekasēt </w:t>
            </w:r>
            <w:r w:rsidR="009C1566" w:rsidRPr="00DF0F7D">
              <w:rPr>
                <w:lang w:val="lv-LV"/>
              </w:rPr>
              <w:t>–</w:t>
            </w:r>
            <w:r w:rsidRPr="00DF0F7D">
              <w:rPr>
                <w:lang w:val="lv-LV"/>
              </w:rPr>
              <w:t xml:space="preserve"> </w:t>
            </w:r>
            <w:r w:rsidR="004B2635" w:rsidRPr="00DF0F7D">
              <w:rPr>
                <w:lang w:val="lv-LV"/>
              </w:rPr>
              <w:t>70 511</w:t>
            </w:r>
            <w:r w:rsidR="00B311BD" w:rsidRPr="00DF0F7D">
              <w:rPr>
                <w:lang w:val="lv-LV"/>
              </w:rPr>
              <w:t xml:space="preserve"> km </w:t>
            </w:r>
            <w:r w:rsidRPr="00DF0F7D">
              <w:rPr>
                <w:lang w:val="lv-LV"/>
              </w:rPr>
              <w:t>*</w:t>
            </w:r>
            <w:r w:rsidR="00B311BD" w:rsidRPr="00DF0F7D">
              <w:rPr>
                <w:lang w:val="lv-LV"/>
              </w:rPr>
              <w:t xml:space="preserve"> </w:t>
            </w:r>
            <w:r w:rsidRPr="00DF0F7D">
              <w:rPr>
                <w:lang w:val="lv-LV"/>
              </w:rPr>
              <w:t>Ls/km 0,09</w:t>
            </w:r>
            <w:r w:rsidR="004B2635" w:rsidRPr="00DF0F7D">
              <w:rPr>
                <w:lang w:val="lv-LV"/>
              </w:rPr>
              <w:t xml:space="preserve"> </w:t>
            </w:r>
            <w:r w:rsidRPr="00DF0F7D">
              <w:rPr>
                <w:lang w:val="lv-LV"/>
              </w:rPr>
              <w:t>=</w:t>
            </w:r>
            <w:r w:rsidR="00B311BD" w:rsidRPr="00DF0F7D">
              <w:rPr>
                <w:lang w:val="lv-LV"/>
              </w:rPr>
              <w:t xml:space="preserve"> </w:t>
            </w:r>
            <w:r w:rsidRPr="00DF0F7D">
              <w:rPr>
                <w:lang w:val="lv-LV"/>
              </w:rPr>
              <w:t xml:space="preserve">Ls </w:t>
            </w:r>
            <w:r w:rsidR="004B2635" w:rsidRPr="00DF0F7D">
              <w:rPr>
                <w:lang w:val="lv-LV"/>
              </w:rPr>
              <w:t>6</w:t>
            </w:r>
            <w:r w:rsidR="00395174" w:rsidRPr="00DF0F7D">
              <w:rPr>
                <w:lang w:val="lv-LV"/>
              </w:rPr>
              <w:t> </w:t>
            </w:r>
            <w:r w:rsidR="004B2635" w:rsidRPr="00DF0F7D">
              <w:rPr>
                <w:lang w:val="lv-LV"/>
              </w:rPr>
              <w:t>345,99.</w:t>
            </w:r>
            <w:r w:rsidRPr="00DF0F7D">
              <w:rPr>
                <w:lang w:val="lv-LV"/>
              </w:rPr>
              <w:br/>
              <w:t>Pēc 2013.gada 1.</w:t>
            </w:r>
            <w:r w:rsidR="004B2635" w:rsidRPr="00DF0F7D">
              <w:rPr>
                <w:lang w:val="lv-LV"/>
              </w:rPr>
              <w:t>augusta</w:t>
            </w:r>
            <w:r w:rsidRPr="00DF0F7D">
              <w:rPr>
                <w:lang w:val="lv-LV"/>
              </w:rPr>
              <w:t xml:space="preserve"> plānots iekasēt </w:t>
            </w:r>
            <w:r w:rsidR="009C1566" w:rsidRPr="00DF0F7D">
              <w:rPr>
                <w:lang w:val="lv-LV"/>
              </w:rPr>
              <w:t>–</w:t>
            </w:r>
            <w:r w:rsidR="004B2635" w:rsidRPr="00DF0F7D">
              <w:rPr>
                <w:lang w:val="lv-LV"/>
              </w:rPr>
              <w:t xml:space="preserve"> 50 365 km </w:t>
            </w:r>
            <w:r w:rsidRPr="00DF0F7D">
              <w:rPr>
                <w:lang w:val="lv-LV"/>
              </w:rPr>
              <w:t>*</w:t>
            </w:r>
            <w:r w:rsidR="004B2635" w:rsidRPr="00DF0F7D">
              <w:rPr>
                <w:lang w:val="lv-LV"/>
              </w:rPr>
              <w:t xml:space="preserve"> </w:t>
            </w:r>
            <w:r w:rsidRPr="00DF0F7D">
              <w:rPr>
                <w:lang w:val="lv-LV"/>
              </w:rPr>
              <w:t>Ls/km 0,18</w:t>
            </w:r>
            <w:r w:rsidR="004B2635" w:rsidRPr="00DF0F7D">
              <w:rPr>
                <w:lang w:val="lv-LV"/>
              </w:rPr>
              <w:t xml:space="preserve"> </w:t>
            </w:r>
            <w:r w:rsidRPr="00DF0F7D">
              <w:rPr>
                <w:lang w:val="lv-LV"/>
              </w:rPr>
              <w:t>=</w:t>
            </w:r>
            <w:r w:rsidR="004B2635" w:rsidRPr="00DF0F7D">
              <w:rPr>
                <w:lang w:val="lv-LV"/>
              </w:rPr>
              <w:t xml:space="preserve"> </w:t>
            </w:r>
            <w:r w:rsidRPr="00DF0F7D">
              <w:rPr>
                <w:lang w:val="lv-LV"/>
              </w:rPr>
              <w:t xml:space="preserve">Ls </w:t>
            </w:r>
            <w:r w:rsidR="004B2635" w:rsidRPr="00DF0F7D">
              <w:rPr>
                <w:lang w:val="lv-LV"/>
              </w:rPr>
              <w:t>9 065,70</w:t>
            </w:r>
            <w:r w:rsidRPr="00DF0F7D">
              <w:rPr>
                <w:lang w:val="lv-LV"/>
              </w:rPr>
              <w:t>.</w:t>
            </w:r>
          </w:p>
          <w:p w:rsidR="00A41894" w:rsidRPr="00DF0F7D" w:rsidRDefault="00F64072" w:rsidP="00B91540">
            <w:pPr>
              <w:jc w:val="both"/>
              <w:rPr>
                <w:highlight w:val="yellow"/>
                <w:lang w:val="lv-LV"/>
              </w:rPr>
            </w:pPr>
            <w:r w:rsidRPr="00DF0F7D">
              <w:rPr>
                <w:lang w:val="lv-LV"/>
              </w:rPr>
              <w:t>Pēc grozījumiem 2013.gadā tiktu iekasēti par Ls 4 532,69 vairāk kā sākotnēji pl</w:t>
            </w:r>
            <w:r w:rsidR="00395174" w:rsidRPr="00DF0F7D">
              <w:rPr>
                <w:lang w:val="lv-LV"/>
              </w:rPr>
              <w:t>ānots (</w:t>
            </w:r>
            <w:r w:rsidR="00B91540" w:rsidRPr="00DF0F7D">
              <w:rPr>
                <w:lang w:val="lv-LV"/>
              </w:rPr>
              <w:t xml:space="preserve">Ls </w:t>
            </w:r>
            <w:r w:rsidR="00395174" w:rsidRPr="00DF0F7D">
              <w:rPr>
                <w:lang w:val="lv-LV"/>
              </w:rPr>
              <w:t>6 345</w:t>
            </w:r>
            <w:r w:rsidR="00A41894" w:rsidRPr="00DF0F7D">
              <w:rPr>
                <w:lang w:val="lv-LV"/>
              </w:rPr>
              <w:t>,</w:t>
            </w:r>
            <w:r w:rsidR="00395174" w:rsidRPr="00DF0F7D">
              <w:rPr>
                <w:lang w:val="lv-LV"/>
              </w:rPr>
              <w:t xml:space="preserve">99 </w:t>
            </w:r>
            <w:r w:rsidR="00A41894" w:rsidRPr="00DF0F7D">
              <w:rPr>
                <w:lang w:val="lv-LV"/>
              </w:rPr>
              <w:t>+</w:t>
            </w:r>
            <w:r w:rsidR="00395174" w:rsidRPr="00DF0F7D">
              <w:rPr>
                <w:lang w:val="lv-LV"/>
              </w:rPr>
              <w:t xml:space="preserve"> </w:t>
            </w:r>
            <w:r w:rsidR="00B91540" w:rsidRPr="00DF0F7D">
              <w:rPr>
                <w:lang w:val="lv-LV"/>
              </w:rPr>
              <w:t xml:space="preserve">Ls </w:t>
            </w:r>
            <w:r w:rsidR="00395174" w:rsidRPr="00DF0F7D">
              <w:rPr>
                <w:lang w:val="lv-LV"/>
              </w:rPr>
              <w:t>9 065</w:t>
            </w:r>
            <w:r w:rsidR="00A41894" w:rsidRPr="00DF0F7D">
              <w:rPr>
                <w:lang w:val="lv-LV"/>
              </w:rPr>
              <w:t>,</w:t>
            </w:r>
            <w:r w:rsidR="00395174" w:rsidRPr="00DF0F7D">
              <w:rPr>
                <w:lang w:val="lv-LV"/>
              </w:rPr>
              <w:t>70</w:t>
            </w:r>
            <w:r w:rsidR="00A41894" w:rsidRPr="00DF0F7D">
              <w:rPr>
                <w:lang w:val="lv-LV"/>
              </w:rPr>
              <w:t>)</w:t>
            </w:r>
            <w:r w:rsidR="00395174" w:rsidRPr="00DF0F7D">
              <w:rPr>
                <w:lang w:val="lv-LV"/>
              </w:rPr>
              <w:t xml:space="preserve"> – </w:t>
            </w:r>
            <w:r w:rsidR="00B91540" w:rsidRPr="00DF0F7D">
              <w:rPr>
                <w:lang w:val="lv-LV"/>
              </w:rPr>
              <w:t xml:space="preserve">Ls </w:t>
            </w:r>
            <w:r w:rsidR="00395174" w:rsidRPr="00DF0F7D">
              <w:rPr>
                <w:lang w:val="lv-LV"/>
              </w:rPr>
              <w:t>10 878,84</w:t>
            </w:r>
            <w:r w:rsidR="00B91540" w:rsidRPr="00DF0F7D">
              <w:rPr>
                <w:lang w:val="lv-LV"/>
              </w:rPr>
              <w:t xml:space="preserve"> </w:t>
            </w:r>
            <w:r w:rsidR="00A41894" w:rsidRPr="00DF0F7D">
              <w:rPr>
                <w:lang w:val="lv-LV"/>
              </w:rPr>
              <w:t>=</w:t>
            </w:r>
            <w:r w:rsidR="00395174" w:rsidRPr="00DF0F7D">
              <w:rPr>
                <w:lang w:val="lv-LV"/>
              </w:rPr>
              <w:t xml:space="preserve"> </w:t>
            </w:r>
            <w:r w:rsidR="00B91540" w:rsidRPr="00DF0F7D">
              <w:rPr>
                <w:lang w:val="lv-LV"/>
              </w:rPr>
              <w:t xml:space="preserve">Ls </w:t>
            </w:r>
            <w:r w:rsidR="00395174" w:rsidRPr="00DF0F7D">
              <w:rPr>
                <w:lang w:val="lv-LV"/>
              </w:rPr>
              <w:t>4 532,69</w:t>
            </w:r>
            <w:r w:rsidR="00636A92" w:rsidRPr="00DF0F7D">
              <w:rPr>
                <w:lang w:val="lv-LV"/>
              </w:rPr>
              <w:t>)</w:t>
            </w:r>
            <w:r w:rsidR="00A41894"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3763AB" w:rsidP="00FD1C9F">
            <w:pPr>
              <w:jc w:val="both"/>
              <w:rPr>
                <w:highlight w:val="yellow"/>
                <w:lang w:val="lv-LV"/>
              </w:rPr>
            </w:pPr>
            <w:r w:rsidRPr="00DF0F7D">
              <w:rPr>
                <w:lang w:val="lv-LV"/>
              </w:rPr>
              <w:t>2014.</w:t>
            </w:r>
            <w:r w:rsidR="00A41894" w:rsidRPr="00DF0F7D">
              <w:rPr>
                <w:lang w:val="lv-LV"/>
              </w:rPr>
              <w:t>,</w:t>
            </w:r>
            <w:r w:rsidR="00712324" w:rsidRPr="00DF0F7D">
              <w:rPr>
                <w:lang w:val="lv-LV"/>
              </w:rPr>
              <w:t xml:space="preserve"> </w:t>
            </w:r>
            <w:r w:rsidR="00A41894" w:rsidRPr="00DF0F7D">
              <w:rPr>
                <w:lang w:val="lv-LV"/>
              </w:rPr>
              <w:t>201</w:t>
            </w:r>
            <w:r w:rsidRPr="00DF0F7D">
              <w:rPr>
                <w:lang w:val="lv-LV"/>
              </w:rPr>
              <w:t xml:space="preserve">5. un </w:t>
            </w:r>
            <w:r w:rsidR="00A41894" w:rsidRPr="00DF0F7D">
              <w:rPr>
                <w:lang w:val="lv-LV"/>
              </w:rPr>
              <w:t>201</w:t>
            </w:r>
            <w:r w:rsidRPr="00DF0F7D">
              <w:rPr>
                <w:lang w:val="lv-LV"/>
              </w:rPr>
              <w:t>6</w:t>
            </w:r>
            <w:r w:rsidR="00A41894" w:rsidRPr="00DF0F7D">
              <w:rPr>
                <w:lang w:val="lv-LV"/>
              </w:rPr>
              <w:t xml:space="preserve">.gadā </w:t>
            </w:r>
            <w:r w:rsidR="003D58B7" w:rsidRPr="00DF0F7D">
              <w:rPr>
                <w:lang w:val="lv-LV"/>
              </w:rPr>
              <w:t>plānot</w:t>
            </w:r>
            <w:r w:rsidR="00CF7F75" w:rsidRPr="00DF0F7D">
              <w:rPr>
                <w:lang w:val="lv-LV"/>
              </w:rPr>
              <w:t>i ieņēmumi</w:t>
            </w:r>
            <w:r w:rsidR="003D58B7" w:rsidRPr="00DF0F7D">
              <w:rPr>
                <w:lang w:val="lv-LV"/>
              </w:rPr>
              <w:t xml:space="preserve"> </w:t>
            </w:r>
            <w:r w:rsidR="00D53507" w:rsidRPr="00DF0F7D">
              <w:rPr>
                <w:lang w:val="lv-LV"/>
              </w:rPr>
              <w:t xml:space="preserve">Ls </w:t>
            </w:r>
            <w:r w:rsidR="003D58B7" w:rsidRPr="00DF0F7D">
              <w:rPr>
                <w:lang w:val="lv-LV"/>
              </w:rPr>
              <w:t>21 757,68</w:t>
            </w:r>
            <w:r w:rsidR="00D53507" w:rsidRPr="00DF0F7D">
              <w:rPr>
                <w:lang w:val="lv-LV"/>
              </w:rPr>
              <w:t xml:space="preserve"> gadā</w:t>
            </w:r>
            <w:r w:rsidR="003D58B7" w:rsidRPr="00DF0F7D">
              <w:rPr>
                <w:lang w:val="lv-LV"/>
              </w:rPr>
              <w:t xml:space="preserve"> (</w:t>
            </w:r>
            <w:r w:rsidR="00A41894" w:rsidRPr="00DF0F7D">
              <w:rPr>
                <w:lang w:val="lv-LV"/>
              </w:rPr>
              <w:t>120</w:t>
            </w:r>
            <w:r w:rsidR="00712324" w:rsidRPr="00DF0F7D">
              <w:rPr>
                <w:lang w:val="lv-LV"/>
              </w:rPr>
              <w:t> </w:t>
            </w:r>
            <w:r w:rsidR="00A41894" w:rsidRPr="00DF0F7D">
              <w:rPr>
                <w:lang w:val="lv-LV"/>
              </w:rPr>
              <w:t>876</w:t>
            </w:r>
            <w:r w:rsidR="00712324" w:rsidRPr="00DF0F7D">
              <w:rPr>
                <w:lang w:val="lv-LV"/>
              </w:rPr>
              <w:t xml:space="preserve"> km</w:t>
            </w:r>
            <w:r w:rsidR="003D58B7" w:rsidRPr="00DF0F7D">
              <w:rPr>
                <w:lang w:val="lv-LV"/>
              </w:rPr>
              <w:t xml:space="preserve"> </w:t>
            </w:r>
            <w:r w:rsidR="00A41894" w:rsidRPr="00DF0F7D">
              <w:rPr>
                <w:lang w:val="lv-LV"/>
              </w:rPr>
              <w:t>* 0,18</w:t>
            </w:r>
            <w:r w:rsidR="00712324" w:rsidRPr="00DF0F7D">
              <w:rPr>
                <w:lang w:val="lv-LV"/>
              </w:rPr>
              <w:t xml:space="preserve"> Ls/km</w:t>
            </w:r>
            <w:r w:rsidR="00FD1C9F" w:rsidRPr="00DF0F7D">
              <w:rPr>
                <w:lang w:val="lv-LV"/>
              </w:rPr>
              <w:t xml:space="preserve"> = Ls 21</w:t>
            </w:r>
            <w:r w:rsidR="009E3BB1" w:rsidRPr="00DF0F7D">
              <w:rPr>
                <w:lang w:val="lv-LV"/>
              </w:rPr>
              <w:t xml:space="preserve"> </w:t>
            </w:r>
            <w:r w:rsidR="00FD1C9F" w:rsidRPr="00DF0F7D">
              <w:rPr>
                <w:lang w:val="lv-LV"/>
              </w:rPr>
              <w:t>757,68</w:t>
            </w:r>
            <w:r w:rsidR="003D58B7" w:rsidRPr="00DF0F7D">
              <w:rPr>
                <w:lang w:val="lv-LV"/>
              </w:rPr>
              <w:t>)</w:t>
            </w:r>
            <w:r w:rsidR="00A41894" w:rsidRPr="00DF0F7D">
              <w:rPr>
                <w:lang w:val="lv-LV"/>
              </w:rPr>
              <w:t xml:space="preserve">, kas ir par </w:t>
            </w:r>
            <w:r w:rsidR="005B2693" w:rsidRPr="00DF0F7D">
              <w:rPr>
                <w:lang w:val="lv-LV"/>
              </w:rPr>
              <w:t xml:space="preserve">Ls </w:t>
            </w:r>
            <w:r w:rsidR="003D58B7" w:rsidRPr="00DF0F7D">
              <w:rPr>
                <w:lang w:val="lv-LV"/>
              </w:rPr>
              <w:t>6 345,99</w:t>
            </w:r>
            <w:r w:rsidR="00A41894" w:rsidRPr="00DF0F7D">
              <w:rPr>
                <w:lang w:val="lv-LV"/>
              </w:rPr>
              <w:t xml:space="preserve"> vairāk nekā 2013.gadā.</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A069F">
            <w:pPr>
              <w:jc w:val="both"/>
              <w:rPr>
                <w:highlight w:val="yellow"/>
                <w:lang w:val="lv-LV"/>
              </w:rPr>
            </w:pPr>
            <w:r w:rsidRPr="00DF0F7D">
              <w:rPr>
                <w:lang w:val="lv-LV"/>
              </w:rPr>
              <w:t xml:space="preserve">6.1.4.2. </w:t>
            </w:r>
            <w:r w:rsidR="00C4356E" w:rsidRPr="00DF0F7D">
              <w:rPr>
                <w:lang w:val="lv-LV"/>
              </w:rPr>
              <w:t>c</w:t>
            </w:r>
            <w:r w:rsidRPr="00DF0F7D">
              <w:rPr>
                <w:lang w:val="lv-LV"/>
              </w:rPr>
              <w:t xml:space="preserve">enrāža 2.pielikuma 1.2.1.apakšpunktā un 8.punktā noteiktā pakalpojuma cena pēc grozījumiem </w:t>
            </w:r>
            <w:r w:rsidR="00747291" w:rsidRPr="00DF0F7D">
              <w:rPr>
                <w:lang w:val="lv-LV"/>
              </w:rPr>
              <w:t xml:space="preserve">ir plānota 0,22 Ls/km (0,18 Ls/km + </w:t>
            </w:r>
            <w:r w:rsidR="005A069F" w:rsidRPr="00DF0F7D">
              <w:rPr>
                <w:lang w:val="lv-LV"/>
              </w:rPr>
              <w:t xml:space="preserve">Ls </w:t>
            </w:r>
            <w:r w:rsidR="00747291" w:rsidRPr="00DF0F7D">
              <w:rPr>
                <w:lang w:val="lv-LV"/>
              </w:rPr>
              <w:t xml:space="preserve">0,04 PVN 21%). Šobrīd </w:t>
            </w:r>
            <w:r w:rsidR="005A069F" w:rsidRPr="00DF0F7D">
              <w:rPr>
                <w:lang w:val="lv-LV"/>
              </w:rPr>
              <w:t xml:space="preserve">cena ir </w:t>
            </w:r>
            <w:r w:rsidRPr="00DF0F7D">
              <w:rPr>
                <w:lang w:val="lv-LV"/>
              </w:rPr>
              <w:t>0,11</w:t>
            </w:r>
            <w:r w:rsidR="005A069F" w:rsidRPr="00DF0F7D">
              <w:rPr>
                <w:lang w:val="lv-LV"/>
              </w:rPr>
              <w:t xml:space="preserve"> Ls/km</w:t>
            </w:r>
            <w:r w:rsidRPr="00DF0F7D">
              <w:rPr>
                <w:lang w:val="lv-LV"/>
              </w:rPr>
              <w:t xml:space="preserve"> (0,09</w:t>
            </w:r>
            <w:r w:rsidR="00AC27FB" w:rsidRPr="00DF0F7D">
              <w:rPr>
                <w:lang w:val="lv-LV"/>
              </w:rPr>
              <w:t xml:space="preserve"> </w:t>
            </w:r>
            <w:r w:rsidR="005A069F" w:rsidRPr="00DF0F7D">
              <w:rPr>
                <w:lang w:val="lv-LV"/>
              </w:rPr>
              <w:t xml:space="preserve">Ls/km </w:t>
            </w:r>
            <w:r w:rsidRPr="00DF0F7D">
              <w:rPr>
                <w:lang w:val="lv-LV"/>
              </w:rPr>
              <w:t>+</w:t>
            </w:r>
            <w:r w:rsidR="00AC27FB" w:rsidRPr="00DF0F7D">
              <w:rPr>
                <w:lang w:val="lv-LV"/>
              </w:rPr>
              <w:t xml:space="preserve"> </w:t>
            </w:r>
            <w:r w:rsidRPr="00DF0F7D">
              <w:rPr>
                <w:lang w:val="lv-LV"/>
              </w:rPr>
              <w:t>Ls 0,02</w:t>
            </w:r>
            <w:r w:rsidR="00AC27FB" w:rsidRPr="00DF0F7D">
              <w:rPr>
                <w:lang w:val="lv-LV"/>
              </w:rPr>
              <w:t xml:space="preserve"> </w:t>
            </w:r>
            <w:r w:rsidRPr="00DF0F7D">
              <w:rPr>
                <w:lang w:val="lv-LV"/>
              </w:rPr>
              <w:t>PVN 21%)</w:t>
            </w:r>
            <w:r w:rsidR="005A069F"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4,3</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8150C7" w:rsidP="0094060D">
            <w:pPr>
              <w:jc w:val="center"/>
              <w:rPr>
                <w:lang w:val="lv-LV"/>
              </w:rPr>
            </w:pPr>
            <w:r w:rsidRPr="00DF0F7D">
              <w:rPr>
                <w:lang w:val="lv-LV"/>
              </w:rPr>
              <w:t>1,8</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4,3</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4,3</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4,3</w:t>
            </w:r>
          </w:p>
        </w:tc>
      </w:tr>
      <w:tr w:rsidR="008F73D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D5327">
            <w:pPr>
              <w:jc w:val="both"/>
              <w:rPr>
                <w:highlight w:val="yellow"/>
                <w:lang w:val="lv-LV"/>
              </w:rPr>
            </w:pPr>
            <w:r w:rsidRPr="00DF0F7D">
              <w:rPr>
                <w:lang w:val="lv-LV"/>
              </w:rPr>
              <w:t>2013.gadā kopējā kilometrāža plānota 39</w:t>
            </w:r>
            <w:r w:rsidR="00D7598B" w:rsidRPr="00DF0F7D">
              <w:rPr>
                <w:lang w:val="lv-LV"/>
              </w:rPr>
              <w:t> </w:t>
            </w:r>
            <w:r w:rsidRPr="00DF0F7D">
              <w:rPr>
                <w:lang w:val="lv-LV"/>
              </w:rPr>
              <w:t>782</w:t>
            </w:r>
            <w:r w:rsidR="00D7598B" w:rsidRPr="00DF0F7D">
              <w:rPr>
                <w:lang w:val="lv-LV"/>
              </w:rPr>
              <w:t xml:space="preserve"> km</w:t>
            </w:r>
            <w:r w:rsidRPr="00DF0F7D">
              <w:rPr>
                <w:lang w:val="lv-LV"/>
              </w:rPr>
              <w:t xml:space="preserve">, t.i., </w:t>
            </w:r>
            <w:r w:rsidR="005D5327" w:rsidRPr="00DF0F7D">
              <w:rPr>
                <w:lang w:val="lv-LV"/>
              </w:rPr>
              <w:t xml:space="preserve">sākotnēji plānotie ieņēmumi ir </w:t>
            </w:r>
            <w:r w:rsidRPr="00DF0F7D">
              <w:rPr>
                <w:lang w:val="lv-LV"/>
              </w:rPr>
              <w:t>39</w:t>
            </w:r>
            <w:r w:rsidR="00D811A0" w:rsidRPr="00DF0F7D">
              <w:rPr>
                <w:lang w:val="lv-LV"/>
              </w:rPr>
              <w:t> </w:t>
            </w:r>
            <w:r w:rsidRPr="00DF0F7D">
              <w:rPr>
                <w:lang w:val="lv-LV"/>
              </w:rPr>
              <w:t>782</w:t>
            </w:r>
            <w:r w:rsidR="00D811A0" w:rsidRPr="00DF0F7D">
              <w:rPr>
                <w:lang w:val="lv-LV"/>
              </w:rPr>
              <w:t xml:space="preserve"> km </w:t>
            </w:r>
            <w:r w:rsidRPr="00DF0F7D">
              <w:rPr>
                <w:lang w:val="lv-LV"/>
              </w:rPr>
              <w:t>*</w:t>
            </w:r>
            <w:r w:rsidR="00D811A0" w:rsidRPr="00DF0F7D">
              <w:rPr>
                <w:lang w:val="lv-LV"/>
              </w:rPr>
              <w:t xml:space="preserve"> </w:t>
            </w:r>
            <w:r w:rsidRPr="00DF0F7D">
              <w:rPr>
                <w:lang w:val="lv-LV"/>
              </w:rPr>
              <w:t>0,09</w:t>
            </w:r>
            <w:r w:rsidR="00D811A0" w:rsidRPr="00DF0F7D">
              <w:rPr>
                <w:lang w:val="lv-LV"/>
              </w:rPr>
              <w:t xml:space="preserve"> </w:t>
            </w:r>
            <w:r w:rsidR="008C40B8" w:rsidRPr="00DF0F7D">
              <w:rPr>
                <w:lang w:val="lv-LV"/>
              </w:rPr>
              <w:t xml:space="preserve">Ls/km </w:t>
            </w:r>
            <w:r w:rsidRPr="00DF0F7D">
              <w:rPr>
                <w:lang w:val="lv-LV"/>
              </w:rPr>
              <w:t>*</w:t>
            </w:r>
            <w:r w:rsidR="008C40B8" w:rsidRPr="00DF0F7D">
              <w:rPr>
                <w:lang w:val="lv-LV"/>
              </w:rPr>
              <w:t xml:space="preserve"> Ls </w:t>
            </w:r>
            <w:r w:rsidRPr="00DF0F7D">
              <w:rPr>
                <w:lang w:val="lv-LV"/>
              </w:rPr>
              <w:t>1,21</w:t>
            </w:r>
            <w:r w:rsidR="008C40B8" w:rsidRPr="00DF0F7D">
              <w:rPr>
                <w:lang w:val="lv-LV"/>
              </w:rPr>
              <w:t xml:space="preserve"> </w:t>
            </w:r>
            <w:r w:rsidRPr="00DF0F7D">
              <w:rPr>
                <w:lang w:val="lv-LV"/>
              </w:rPr>
              <w:t>PVN 21</w:t>
            </w:r>
            <w:r w:rsidR="00D811A0" w:rsidRPr="00DF0F7D">
              <w:rPr>
                <w:lang w:val="lv-LV"/>
              </w:rPr>
              <w:t xml:space="preserve">% </w:t>
            </w:r>
            <w:r w:rsidRPr="00DF0F7D">
              <w:rPr>
                <w:lang w:val="lv-LV"/>
              </w:rPr>
              <w:t>=</w:t>
            </w:r>
            <w:r w:rsidR="00D811A0" w:rsidRPr="00DF0F7D">
              <w:rPr>
                <w:lang w:val="lv-LV"/>
              </w:rPr>
              <w:t xml:space="preserve"> </w:t>
            </w:r>
            <w:r w:rsidRPr="00DF0F7D">
              <w:rPr>
                <w:lang w:val="lv-LV"/>
              </w:rPr>
              <w:t>Ls 4 332,26</w:t>
            </w:r>
            <w:r w:rsidR="00D811A0"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DF71D3" w:rsidRPr="00DF0F7D" w:rsidRDefault="00A41894" w:rsidP="00DF71D3">
            <w:pPr>
              <w:jc w:val="both"/>
              <w:rPr>
                <w:lang w:val="lv-LV"/>
              </w:rPr>
            </w:pPr>
            <w:r w:rsidRPr="00DF0F7D">
              <w:rPr>
                <w:lang w:val="lv-LV"/>
              </w:rPr>
              <w:t>Līdz 2013.gada 1.</w:t>
            </w:r>
            <w:r w:rsidR="000138F9" w:rsidRPr="00DF0F7D">
              <w:rPr>
                <w:lang w:val="lv-LV"/>
              </w:rPr>
              <w:t>augustam</w:t>
            </w:r>
            <w:r w:rsidRPr="00DF0F7D">
              <w:rPr>
                <w:lang w:val="lv-LV"/>
              </w:rPr>
              <w:t xml:space="preserve"> plānots iekasēt </w:t>
            </w:r>
            <w:r w:rsidR="000138F9" w:rsidRPr="00DF0F7D">
              <w:rPr>
                <w:lang w:val="lv-LV"/>
              </w:rPr>
              <w:t xml:space="preserve">– </w:t>
            </w:r>
            <w:r w:rsidR="00DF71D3" w:rsidRPr="00DF0F7D">
              <w:rPr>
                <w:lang w:val="lv-LV"/>
              </w:rPr>
              <w:t>23 206</w:t>
            </w:r>
            <w:r w:rsidR="000138F9" w:rsidRPr="00DF0F7D">
              <w:rPr>
                <w:lang w:val="lv-LV"/>
              </w:rPr>
              <w:t xml:space="preserve"> km </w:t>
            </w:r>
            <w:r w:rsidRPr="00DF0F7D">
              <w:rPr>
                <w:lang w:val="lv-LV"/>
              </w:rPr>
              <w:t>*</w:t>
            </w:r>
            <w:r w:rsidR="000138F9" w:rsidRPr="00DF0F7D">
              <w:rPr>
                <w:lang w:val="lv-LV"/>
              </w:rPr>
              <w:t xml:space="preserve"> </w:t>
            </w:r>
            <w:r w:rsidRPr="00DF0F7D">
              <w:rPr>
                <w:lang w:val="lv-LV"/>
              </w:rPr>
              <w:t>0,09</w:t>
            </w:r>
            <w:r w:rsidR="000138F9" w:rsidRPr="00DF0F7D">
              <w:rPr>
                <w:lang w:val="lv-LV"/>
              </w:rPr>
              <w:t xml:space="preserve"> </w:t>
            </w:r>
            <w:r w:rsidR="00DF71D3" w:rsidRPr="00DF0F7D">
              <w:rPr>
                <w:lang w:val="lv-LV"/>
              </w:rPr>
              <w:t xml:space="preserve">Ls/km </w:t>
            </w:r>
            <w:r w:rsidRPr="00DF0F7D">
              <w:rPr>
                <w:lang w:val="lv-LV"/>
              </w:rPr>
              <w:t>*</w:t>
            </w:r>
            <w:r w:rsidR="000138F9" w:rsidRPr="00DF0F7D">
              <w:rPr>
                <w:lang w:val="lv-LV"/>
              </w:rPr>
              <w:t xml:space="preserve"> </w:t>
            </w:r>
            <w:r w:rsidRPr="00DF0F7D">
              <w:rPr>
                <w:lang w:val="lv-LV"/>
              </w:rPr>
              <w:t>1,21 PVN</w:t>
            </w:r>
            <w:r w:rsidR="00DF71D3" w:rsidRPr="00DF0F7D">
              <w:rPr>
                <w:lang w:val="lv-LV"/>
              </w:rPr>
              <w:t xml:space="preserve"> </w:t>
            </w:r>
            <w:r w:rsidRPr="00DF0F7D">
              <w:rPr>
                <w:lang w:val="lv-LV"/>
              </w:rPr>
              <w:t>21%</w:t>
            </w:r>
            <w:r w:rsidR="00DF71D3" w:rsidRPr="00DF0F7D">
              <w:rPr>
                <w:lang w:val="lv-LV"/>
              </w:rPr>
              <w:t xml:space="preserve"> </w:t>
            </w:r>
            <w:r w:rsidRPr="00DF0F7D">
              <w:rPr>
                <w:lang w:val="lv-LV"/>
              </w:rPr>
              <w:t>=</w:t>
            </w:r>
            <w:r w:rsidR="00DF71D3" w:rsidRPr="00DF0F7D">
              <w:rPr>
                <w:lang w:val="lv-LV"/>
              </w:rPr>
              <w:t xml:space="preserve"> </w:t>
            </w:r>
            <w:r w:rsidRPr="00DF0F7D">
              <w:rPr>
                <w:lang w:val="lv-LV"/>
              </w:rPr>
              <w:t xml:space="preserve">Ls 2 </w:t>
            </w:r>
            <w:r w:rsidR="00DF71D3" w:rsidRPr="00DF0F7D">
              <w:rPr>
                <w:lang w:val="lv-LV"/>
              </w:rPr>
              <w:t>527</w:t>
            </w:r>
            <w:r w:rsidRPr="00DF0F7D">
              <w:rPr>
                <w:lang w:val="lv-LV"/>
              </w:rPr>
              <w:t>,</w:t>
            </w:r>
            <w:r w:rsidR="00DF71D3" w:rsidRPr="00DF0F7D">
              <w:rPr>
                <w:lang w:val="lv-LV"/>
              </w:rPr>
              <w:t>1</w:t>
            </w:r>
            <w:r w:rsidR="002066E7" w:rsidRPr="00DF0F7D">
              <w:rPr>
                <w:lang w:val="lv-LV"/>
              </w:rPr>
              <w:t>3</w:t>
            </w:r>
            <w:r w:rsidR="00DF71D3" w:rsidRPr="00DF0F7D">
              <w:rPr>
                <w:lang w:val="lv-LV"/>
              </w:rPr>
              <w:t>.</w:t>
            </w:r>
          </w:p>
          <w:p w:rsidR="00B91540" w:rsidRPr="00DF0F7D" w:rsidRDefault="00A41894" w:rsidP="005D0699">
            <w:pPr>
              <w:jc w:val="both"/>
              <w:rPr>
                <w:lang w:val="lv-LV"/>
              </w:rPr>
            </w:pPr>
            <w:r w:rsidRPr="00DF0F7D">
              <w:rPr>
                <w:lang w:val="lv-LV"/>
              </w:rPr>
              <w:t>Pēc 2013.gada 1.</w:t>
            </w:r>
            <w:r w:rsidR="00DF71D3" w:rsidRPr="00DF0F7D">
              <w:rPr>
                <w:lang w:val="lv-LV"/>
              </w:rPr>
              <w:t>augusta</w:t>
            </w:r>
            <w:r w:rsidRPr="00DF0F7D">
              <w:rPr>
                <w:lang w:val="lv-LV"/>
              </w:rPr>
              <w:t xml:space="preserve"> plānots </w:t>
            </w:r>
            <w:r w:rsidRPr="00DF0F7D">
              <w:rPr>
                <w:lang w:val="lv-LV"/>
              </w:rPr>
              <w:lastRenderedPageBreak/>
              <w:t xml:space="preserve">iekasēt </w:t>
            </w:r>
            <w:r w:rsidR="00967CD4" w:rsidRPr="00DF0F7D">
              <w:rPr>
                <w:lang w:val="lv-LV"/>
              </w:rPr>
              <w:t>– 16 57</w:t>
            </w:r>
            <w:r w:rsidR="005D0699" w:rsidRPr="00DF0F7D">
              <w:rPr>
                <w:lang w:val="lv-LV"/>
              </w:rPr>
              <w:t>6</w:t>
            </w:r>
            <w:r w:rsidR="00967CD4" w:rsidRPr="00DF0F7D">
              <w:rPr>
                <w:lang w:val="lv-LV"/>
              </w:rPr>
              <w:t xml:space="preserve"> km </w:t>
            </w:r>
            <w:r w:rsidRPr="00DF0F7D">
              <w:rPr>
                <w:lang w:val="lv-LV"/>
              </w:rPr>
              <w:t>*</w:t>
            </w:r>
            <w:r w:rsidR="005D0699" w:rsidRPr="00DF0F7D">
              <w:rPr>
                <w:lang w:val="lv-LV"/>
              </w:rPr>
              <w:t xml:space="preserve"> </w:t>
            </w:r>
            <w:r w:rsidRPr="00DF0F7D">
              <w:rPr>
                <w:lang w:val="lv-LV"/>
              </w:rPr>
              <w:t>0,18</w:t>
            </w:r>
            <w:r w:rsidR="005D0699" w:rsidRPr="00DF0F7D">
              <w:rPr>
                <w:lang w:val="lv-LV"/>
              </w:rPr>
              <w:t xml:space="preserve"> Ls/km </w:t>
            </w:r>
            <w:r w:rsidRPr="00DF0F7D">
              <w:rPr>
                <w:lang w:val="lv-LV"/>
              </w:rPr>
              <w:t>*</w:t>
            </w:r>
            <w:r w:rsidR="005D0699" w:rsidRPr="00DF0F7D">
              <w:rPr>
                <w:lang w:val="lv-LV"/>
              </w:rPr>
              <w:t xml:space="preserve"> </w:t>
            </w:r>
            <w:r w:rsidRPr="00DF0F7D">
              <w:rPr>
                <w:lang w:val="lv-LV"/>
              </w:rPr>
              <w:t>1,21</w:t>
            </w:r>
            <w:r w:rsidR="005D0699" w:rsidRPr="00DF0F7D">
              <w:rPr>
                <w:lang w:val="lv-LV"/>
              </w:rPr>
              <w:t xml:space="preserve"> </w:t>
            </w:r>
            <w:r w:rsidRPr="00DF0F7D">
              <w:rPr>
                <w:lang w:val="lv-LV"/>
              </w:rPr>
              <w:t>PVN 21%</w:t>
            </w:r>
            <w:r w:rsidR="005D0699" w:rsidRPr="00DF0F7D">
              <w:rPr>
                <w:lang w:val="lv-LV"/>
              </w:rPr>
              <w:t xml:space="preserve"> </w:t>
            </w:r>
            <w:r w:rsidRPr="00DF0F7D">
              <w:rPr>
                <w:lang w:val="lv-LV"/>
              </w:rPr>
              <w:t>=</w:t>
            </w:r>
            <w:r w:rsidR="005D0699" w:rsidRPr="00DF0F7D">
              <w:rPr>
                <w:lang w:val="lv-LV"/>
              </w:rPr>
              <w:t xml:space="preserve"> </w:t>
            </w:r>
            <w:r w:rsidRPr="00DF0F7D">
              <w:rPr>
                <w:lang w:val="lv-LV"/>
              </w:rPr>
              <w:t xml:space="preserve">Ls </w:t>
            </w:r>
            <w:r w:rsidR="005D0699" w:rsidRPr="00DF0F7D">
              <w:rPr>
                <w:lang w:val="lv-LV"/>
              </w:rPr>
              <w:t>3 610</w:t>
            </w:r>
            <w:r w:rsidRPr="00DF0F7D">
              <w:rPr>
                <w:lang w:val="lv-LV"/>
              </w:rPr>
              <w:t>,2</w:t>
            </w:r>
            <w:r w:rsidR="005D0699" w:rsidRPr="00DF0F7D">
              <w:rPr>
                <w:lang w:val="lv-LV"/>
              </w:rPr>
              <w:t>5</w:t>
            </w:r>
            <w:r w:rsidRPr="00DF0F7D">
              <w:rPr>
                <w:lang w:val="lv-LV"/>
              </w:rPr>
              <w:t>.</w:t>
            </w:r>
          </w:p>
          <w:p w:rsidR="00A41894" w:rsidRPr="00DF0F7D" w:rsidRDefault="00B91540" w:rsidP="006E784F">
            <w:pPr>
              <w:jc w:val="both"/>
              <w:rPr>
                <w:highlight w:val="yellow"/>
                <w:lang w:val="lv-LV"/>
              </w:rPr>
            </w:pPr>
            <w:r w:rsidRPr="00DF0F7D">
              <w:rPr>
                <w:lang w:val="lv-LV"/>
              </w:rPr>
              <w:t xml:space="preserve">Pēc grozījumiem 2013.gadā tiktu iekasēti par Ls </w:t>
            </w:r>
            <w:r w:rsidR="00643C2E" w:rsidRPr="00DF0F7D">
              <w:rPr>
                <w:lang w:val="lv-LV"/>
              </w:rPr>
              <w:t xml:space="preserve">1 805,12 </w:t>
            </w:r>
            <w:r w:rsidRPr="00DF0F7D">
              <w:rPr>
                <w:lang w:val="lv-LV"/>
              </w:rPr>
              <w:t>vairāk kā sākotnēji plānots (</w:t>
            </w:r>
            <w:r w:rsidR="006A3A09" w:rsidRPr="00DF0F7D">
              <w:rPr>
                <w:lang w:val="lv-LV"/>
              </w:rPr>
              <w:t xml:space="preserve">Ls </w:t>
            </w:r>
            <w:r w:rsidRPr="00DF0F7D">
              <w:rPr>
                <w:lang w:val="lv-LV"/>
              </w:rPr>
              <w:t>2</w:t>
            </w:r>
            <w:r w:rsidR="006A3A09" w:rsidRPr="00DF0F7D">
              <w:rPr>
                <w:lang w:val="lv-LV"/>
              </w:rPr>
              <w:t> </w:t>
            </w:r>
            <w:r w:rsidRPr="00DF0F7D">
              <w:rPr>
                <w:lang w:val="lv-LV"/>
              </w:rPr>
              <w:t xml:space="preserve">527,13 + </w:t>
            </w:r>
            <w:r w:rsidR="006A3A09" w:rsidRPr="00DF0F7D">
              <w:rPr>
                <w:lang w:val="lv-LV"/>
              </w:rPr>
              <w:t>Ls 3 610,25</w:t>
            </w:r>
            <w:r w:rsidRPr="00DF0F7D">
              <w:rPr>
                <w:lang w:val="lv-LV"/>
              </w:rPr>
              <w:t xml:space="preserve">) – </w:t>
            </w:r>
            <w:r w:rsidR="006A3A09" w:rsidRPr="00DF0F7D">
              <w:rPr>
                <w:lang w:val="lv-LV"/>
              </w:rPr>
              <w:t xml:space="preserve">Ls 4 332,26 </w:t>
            </w:r>
            <w:r w:rsidRPr="00DF0F7D">
              <w:rPr>
                <w:lang w:val="lv-LV"/>
              </w:rPr>
              <w:t xml:space="preserve">= </w:t>
            </w:r>
            <w:r w:rsidR="00643C2E" w:rsidRPr="00DF0F7D">
              <w:rPr>
                <w:lang w:val="lv-LV"/>
              </w:rPr>
              <w:t>Ls 1 805,12</w:t>
            </w:r>
            <w:r w:rsidRPr="00DF0F7D">
              <w:rPr>
                <w:lang w:val="lv-LV"/>
              </w:rPr>
              <w:t>).</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lastRenderedPageBreak/>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r>
      <w:tr w:rsidR="008F73D3" w:rsidRPr="00734DD9"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FD1C9F">
            <w:pPr>
              <w:jc w:val="both"/>
              <w:rPr>
                <w:highlight w:val="yellow"/>
                <w:lang w:val="lv-LV"/>
              </w:rPr>
            </w:pPr>
            <w:r w:rsidRPr="00DF0F7D">
              <w:rPr>
                <w:lang w:val="lv-LV"/>
              </w:rPr>
              <w:lastRenderedPageBreak/>
              <w:t>201</w:t>
            </w:r>
            <w:r w:rsidR="00C35CA9" w:rsidRPr="00DF0F7D">
              <w:rPr>
                <w:lang w:val="lv-LV"/>
              </w:rPr>
              <w:t>4</w:t>
            </w:r>
            <w:r w:rsidRPr="00DF0F7D">
              <w:rPr>
                <w:lang w:val="lv-LV"/>
              </w:rPr>
              <w:t>.,</w:t>
            </w:r>
            <w:r w:rsidR="00AD39D3" w:rsidRPr="00DF0F7D">
              <w:rPr>
                <w:lang w:val="lv-LV"/>
              </w:rPr>
              <w:t xml:space="preserve"> </w:t>
            </w:r>
            <w:r w:rsidRPr="00DF0F7D">
              <w:rPr>
                <w:lang w:val="lv-LV"/>
              </w:rPr>
              <w:t>201</w:t>
            </w:r>
            <w:r w:rsidR="00C35CA9" w:rsidRPr="00DF0F7D">
              <w:rPr>
                <w:lang w:val="lv-LV"/>
              </w:rPr>
              <w:t>5. un</w:t>
            </w:r>
            <w:r w:rsidR="00AD39D3" w:rsidRPr="00DF0F7D">
              <w:rPr>
                <w:lang w:val="lv-LV"/>
              </w:rPr>
              <w:t xml:space="preserve"> </w:t>
            </w:r>
            <w:r w:rsidRPr="00DF0F7D">
              <w:rPr>
                <w:lang w:val="lv-LV"/>
              </w:rPr>
              <w:t>201</w:t>
            </w:r>
            <w:r w:rsidR="00C35CA9" w:rsidRPr="00DF0F7D">
              <w:rPr>
                <w:lang w:val="lv-LV"/>
              </w:rPr>
              <w:t>6</w:t>
            </w:r>
            <w:r w:rsidRPr="00DF0F7D">
              <w:rPr>
                <w:lang w:val="lv-LV"/>
              </w:rPr>
              <w:t xml:space="preserve">.gadā plānoti </w:t>
            </w:r>
            <w:r w:rsidR="00D53507" w:rsidRPr="00DF0F7D">
              <w:rPr>
                <w:lang w:val="lv-LV"/>
              </w:rPr>
              <w:t xml:space="preserve">ieņēmumi </w:t>
            </w:r>
            <w:r w:rsidR="001C4AB5" w:rsidRPr="00DF0F7D">
              <w:rPr>
                <w:lang w:val="lv-LV"/>
              </w:rPr>
              <w:t xml:space="preserve">Ls 8 664,52 </w:t>
            </w:r>
            <w:r w:rsidR="00D53507" w:rsidRPr="00DF0F7D">
              <w:rPr>
                <w:lang w:val="lv-LV"/>
              </w:rPr>
              <w:t>(</w:t>
            </w:r>
            <w:r w:rsidR="001C4AB5" w:rsidRPr="00DF0F7D">
              <w:rPr>
                <w:lang w:val="lv-LV"/>
              </w:rPr>
              <w:t>39 782 km</w:t>
            </w:r>
            <w:r w:rsidR="00FD1C9F" w:rsidRPr="00DF0F7D">
              <w:rPr>
                <w:lang w:val="lv-LV"/>
              </w:rPr>
              <w:t xml:space="preserve"> </w:t>
            </w:r>
            <w:r w:rsidR="001C4AB5" w:rsidRPr="00DF0F7D">
              <w:rPr>
                <w:lang w:val="lv-LV"/>
              </w:rPr>
              <w:t>*</w:t>
            </w:r>
            <w:r w:rsidR="00FD1C9F" w:rsidRPr="00DF0F7D">
              <w:rPr>
                <w:lang w:val="lv-LV"/>
              </w:rPr>
              <w:t xml:space="preserve"> </w:t>
            </w:r>
            <w:r w:rsidR="001C4AB5" w:rsidRPr="00DF0F7D">
              <w:rPr>
                <w:lang w:val="lv-LV"/>
              </w:rPr>
              <w:t>0,18 Ls/km</w:t>
            </w:r>
            <w:r w:rsidR="00FD1C9F" w:rsidRPr="00DF0F7D">
              <w:rPr>
                <w:lang w:val="lv-LV"/>
              </w:rPr>
              <w:t xml:space="preserve"> </w:t>
            </w:r>
            <w:r w:rsidR="001C4AB5" w:rsidRPr="00DF0F7D">
              <w:rPr>
                <w:lang w:val="lv-LV"/>
              </w:rPr>
              <w:t>*</w:t>
            </w:r>
            <w:r w:rsidR="00FD1C9F" w:rsidRPr="00DF0F7D">
              <w:rPr>
                <w:lang w:val="lv-LV"/>
              </w:rPr>
              <w:t xml:space="preserve"> </w:t>
            </w:r>
            <w:r w:rsidR="001C4AB5" w:rsidRPr="00DF0F7D">
              <w:rPr>
                <w:lang w:val="lv-LV"/>
              </w:rPr>
              <w:t>1,21 PVN 21% = Ls 8 664,52</w:t>
            </w:r>
            <w:r w:rsidR="00D53507" w:rsidRPr="00DF0F7D">
              <w:rPr>
                <w:lang w:val="lv-LV"/>
              </w:rPr>
              <w:t xml:space="preserve">), </w:t>
            </w:r>
            <w:r w:rsidRPr="00DF0F7D">
              <w:rPr>
                <w:lang w:val="lv-LV"/>
              </w:rPr>
              <w:t>kas ir par Ls 4</w:t>
            </w:r>
            <w:r w:rsidR="00FD1C9F" w:rsidRPr="00DF0F7D">
              <w:rPr>
                <w:lang w:val="lv-LV"/>
              </w:rPr>
              <w:t> </w:t>
            </w:r>
            <w:r w:rsidRPr="00DF0F7D">
              <w:rPr>
                <w:lang w:val="lv-LV"/>
              </w:rPr>
              <w:t>332,26 vairāk nekā 2013.gadā.</w:t>
            </w:r>
          </w:p>
        </w:tc>
        <w:tc>
          <w:tcPr>
            <w:tcW w:w="68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6"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615"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c>
          <w:tcPr>
            <w:tcW w:w="5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A41894" w:rsidRPr="00DF0F7D" w:rsidRDefault="00A41894" w:rsidP="00580A44">
            <w:pPr>
              <w:jc w:val="center"/>
              <w:rPr>
                <w:lang w:val="lv-LV"/>
              </w:rPr>
            </w:pPr>
            <w:r w:rsidRPr="00DF0F7D">
              <w:rPr>
                <w:lang w:val="lv-LV"/>
              </w:rPr>
              <w:t> </w:t>
            </w:r>
          </w:p>
        </w:tc>
      </w:tr>
      <w:tr w:rsidR="00A3119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16" w:type="pct"/>
          <w:wAfter w:w="17" w:type="pct"/>
        </w:trPr>
        <w:tc>
          <w:tcPr>
            <w:tcW w:w="1774" w:type="pct"/>
            <w:gridSpan w:val="4"/>
            <w:tcBorders>
              <w:top w:val="outset" w:sz="6" w:space="0" w:color="000000"/>
              <w:left w:val="outset" w:sz="6" w:space="0" w:color="000000"/>
              <w:bottom w:val="outset" w:sz="6" w:space="0" w:color="000000"/>
              <w:right w:val="outset" w:sz="6" w:space="0" w:color="000000"/>
            </w:tcBorders>
          </w:tcPr>
          <w:p w:rsidR="00A31193" w:rsidRPr="00DF0F7D" w:rsidRDefault="00A31193" w:rsidP="00511DD2">
            <w:pPr>
              <w:pStyle w:val="ParastaisWeb"/>
              <w:spacing w:before="0" w:beforeAutospacing="0" w:after="0" w:afterAutospacing="0"/>
              <w:jc w:val="both"/>
              <w:rPr>
                <w:lang w:val="lv-LV"/>
              </w:rPr>
            </w:pPr>
            <w:r w:rsidRPr="00DF0F7D">
              <w:rPr>
                <w:lang w:val="lv-LV"/>
              </w:rPr>
              <w:t>6.2. detalizēts izdevumu aprēķins:</w:t>
            </w:r>
          </w:p>
        </w:tc>
        <w:tc>
          <w:tcPr>
            <w:tcW w:w="689" w:type="pct"/>
            <w:gridSpan w:val="2"/>
            <w:tcBorders>
              <w:top w:val="outset" w:sz="6" w:space="0" w:color="000000"/>
              <w:left w:val="outset" w:sz="6" w:space="0" w:color="000000"/>
              <w:bottom w:val="outset" w:sz="6" w:space="0" w:color="000000"/>
              <w:right w:val="outset" w:sz="6" w:space="0" w:color="000000"/>
            </w:tcBorders>
            <w:vAlign w:val="center"/>
          </w:tcPr>
          <w:p w:rsidR="00A31193" w:rsidRPr="00DF0F7D" w:rsidRDefault="00A31193" w:rsidP="00580A44">
            <w:pPr>
              <w:jc w:val="center"/>
              <w:rPr>
                <w:lang w:val="lv-LV"/>
              </w:rPr>
            </w:pPr>
            <w:r w:rsidRPr="00DF0F7D">
              <w:rPr>
                <w:lang w:val="lv-LV"/>
              </w:rPr>
              <w:t>15,2</w:t>
            </w:r>
          </w:p>
        </w:tc>
        <w:tc>
          <w:tcPr>
            <w:tcW w:w="719" w:type="pct"/>
            <w:tcBorders>
              <w:top w:val="outset" w:sz="6" w:space="0" w:color="000000"/>
              <w:left w:val="outset" w:sz="6" w:space="0" w:color="000000"/>
              <w:bottom w:val="outset" w:sz="6" w:space="0" w:color="000000"/>
              <w:right w:val="outset" w:sz="6" w:space="0" w:color="000000"/>
            </w:tcBorders>
            <w:vAlign w:val="center"/>
          </w:tcPr>
          <w:p w:rsidR="00A31193" w:rsidRPr="00DF0F7D" w:rsidRDefault="00A31193" w:rsidP="00580A44">
            <w:pPr>
              <w:jc w:val="center"/>
              <w:rPr>
                <w:lang w:val="lv-LV"/>
              </w:rPr>
            </w:pPr>
            <w:r w:rsidRPr="00DF0F7D">
              <w:rPr>
                <w:lang w:val="lv-LV"/>
              </w:rPr>
              <w:t>17,5</w:t>
            </w:r>
          </w:p>
        </w:tc>
        <w:tc>
          <w:tcPr>
            <w:tcW w:w="586" w:type="pct"/>
            <w:tcBorders>
              <w:top w:val="outset" w:sz="6" w:space="0" w:color="000000"/>
              <w:left w:val="outset" w:sz="6" w:space="0" w:color="000000"/>
              <w:bottom w:val="outset" w:sz="6" w:space="0" w:color="000000"/>
              <w:right w:val="outset" w:sz="6" w:space="0" w:color="000000"/>
            </w:tcBorders>
            <w:vAlign w:val="center"/>
          </w:tcPr>
          <w:p w:rsidR="00A31193" w:rsidRPr="00DC635E" w:rsidRDefault="00A31193" w:rsidP="00B90944">
            <w:pPr>
              <w:jc w:val="center"/>
              <w:rPr>
                <w:color w:val="000000"/>
                <w:lang w:val="lv-LV"/>
              </w:rPr>
            </w:pPr>
            <w:r w:rsidRPr="00DC635E">
              <w:rPr>
                <w:bCs/>
                <w:color w:val="000000"/>
                <w:lang w:val="lv-LV"/>
              </w:rPr>
              <w:t>28,7</w:t>
            </w:r>
          </w:p>
        </w:tc>
        <w:tc>
          <w:tcPr>
            <w:tcW w:w="615" w:type="pct"/>
            <w:tcBorders>
              <w:top w:val="outset" w:sz="6" w:space="0" w:color="000000"/>
              <w:left w:val="outset" w:sz="6" w:space="0" w:color="000000"/>
              <w:bottom w:val="outset" w:sz="6" w:space="0" w:color="000000"/>
              <w:right w:val="outset" w:sz="6" w:space="0" w:color="000000"/>
            </w:tcBorders>
            <w:vAlign w:val="center"/>
          </w:tcPr>
          <w:p w:rsidR="00A31193" w:rsidRPr="00DF0F7D" w:rsidRDefault="00A31193" w:rsidP="00B90944">
            <w:pPr>
              <w:jc w:val="center"/>
              <w:rPr>
                <w:color w:val="000000"/>
                <w:lang w:val="lv-LV"/>
              </w:rPr>
            </w:pPr>
            <w:r w:rsidRPr="00DC635E">
              <w:rPr>
                <w:bCs/>
                <w:color w:val="000000"/>
                <w:lang w:val="lv-LV"/>
              </w:rPr>
              <w:t>28,7</w:t>
            </w:r>
          </w:p>
        </w:tc>
        <w:tc>
          <w:tcPr>
            <w:tcW w:w="584" w:type="pct"/>
            <w:tcBorders>
              <w:top w:val="outset" w:sz="6" w:space="0" w:color="000000"/>
              <w:left w:val="outset" w:sz="6" w:space="0" w:color="000000"/>
              <w:bottom w:val="outset" w:sz="6" w:space="0" w:color="000000"/>
              <w:right w:val="outset" w:sz="6" w:space="0" w:color="000000"/>
            </w:tcBorders>
            <w:vAlign w:val="center"/>
          </w:tcPr>
          <w:p w:rsidR="00A31193" w:rsidRPr="00DF0F7D" w:rsidRDefault="00A31193" w:rsidP="00B90944">
            <w:pPr>
              <w:jc w:val="center"/>
              <w:rPr>
                <w:color w:val="000000"/>
                <w:lang w:val="lv-LV"/>
              </w:rPr>
            </w:pPr>
            <w:r w:rsidRPr="00DC635E">
              <w:rPr>
                <w:bCs/>
                <w:color w:val="000000"/>
                <w:lang w:val="lv-LV"/>
              </w:rPr>
              <w:t>28,7</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018"/>
        </w:trPr>
        <w:tc>
          <w:tcPr>
            <w:tcW w:w="1774" w:type="pct"/>
            <w:gridSpan w:val="4"/>
            <w:shd w:val="clear" w:color="auto" w:fill="auto"/>
            <w:vAlign w:val="center"/>
            <w:hideMark/>
          </w:tcPr>
          <w:p w:rsidR="00904AE3" w:rsidRPr="00DF0F7D" w:rsidRDefault="00A92893" w:rsidP="00BD6FBF">
            <w:pPr>
              <w:jc w:val="both"/>
              <w:rPr>
                <w:lang w:val="lv-LV"/>
              </w:rPr>
            </w:pPr>
            <w:r w:rsidRPr="00DF0F7D">
              <w:rPr>
                <w:lang w:val="lv-LV"/>
              </w:rPr>
              <w:t>6.2.1. i</w:t>
            </w:r>
            <w:r w:rsidR="00904AE3" w:rsidRPr="00DF0F7D">
              <w:rPr>
                <w:lang w:val="lv-LV"/>
              </w:rPr>
              <w:t>zdevumi bioloģiskās lauksaimniecības kontroles institūcijas darbības trešajās valstīs izvērtēšanai un uzraudzībai.</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485"/>
        </w:trPr>
        <w:tc>
          <w:tcPr>
            <w:tcW w:w="1774" w:type="pct"/>
            <w:gridSpan w:val="4"/>
            <w:shd w:val="clear" w:color="auto" w:fill="auto"/>
            <w:vAlign w:val="center"/>
            <w:hideMark/>
          </w:tcPr>
          <w:p w:rsidR="00904AE3" w:rsidRPr="00DF0F7D" w:rsidRDefault="0054423C" w:rsidP="00BD6FBF">
            <w:pPr>
              <w:jc w:val="both"/>
              <w:rPr>
                <w:lang w:val="lv-LV"/>
              </w:rPr>
            </w:pPr>
            <w:r w:rsidRPr="00DF0F7D">
              <w:rPr>
                <w:lang w:val="lv-LV"/>
              </w:rPr>
              <w:t>Izdevumi par vienu izvērtēšanas gadījumu – iesniegto dokumentu pārbaude un ziņojuma sagatavošana pēc kontroles institūcijas darbības izvērtēšanas – ir Ls 392,00.</w:t>
            </w:r>
          </w:p>
        </w:tc>
        <w:tc>
          <w:tcPr>
            <w:tcW w:w="689" w:type="pct"/>
            <w:gridSpan w:val="2"/>
            <w:shd w:val="clear" w:color="auto" w:fill="auto"/>
            <w:vAlign w:val="center"/>
          </w:tcPr>
          <w:p w:rsidR="00904AE3" w:rsidRPr="00DF0F7D" w:rsidRDefault="00904AE3" w:rsidP="00580A44">
            <w:pPr>
              <w:jc w:val="center"/>
              <w:rPr>
                <w:lang w:val="lv-LV"/>
              </w:rPr>
            </w:pPr>
          </w:p>
        </w:tc>
        <w:tc>
          <w:tcPr>
            <w:tcW w:w="719" w:type="pct"/>
            <w:shd w:val="clear" w:color="auto" w:fill="auto"/>
            <w:vAlign w:val="center"/>
          </w:tcPr>
          <w:p w:rsidR="00904AE3" w:rsidRPr="00DF0F7D" w:rsidRDefault="00904AE3" w:rsidP="00580A44">
            <w:pPr>
              <w:jc w:val="center"/>
              <w:rPr>
                <w:lang w:val="lv-LV"/>
              </w:rPr>
            </w:pPr>
          </w:p>
        </w:tc>
        <w:tc>
          <w:tcPr>
            <w:tcW w:w="586" w:type="pct"/>
            <w:shd w:val="clear" w:color="auto" w:fill="auto"/>
            <w:vAlign w:val="center"/>
          </w:tcPr>
          <w:p w:rsidR="00904AE3" w:rsidRPr="00DF0F7D" w:rsidRDefault="00904AE3" w:rsidP="00580A44">
            <w:pPr>
              <w:jc w:val="center"/>
              <w:rPr>
                <w:lang w:val="lv-LV"/>
              </w:rPr>
            </w:pPr>
          </w:p>
        </w:tc>
        <w:tc>
          <w:tcPr>
            <w:tcW w:w="615" w:type="pct"/>
            <w:shd w:val="clear" w:color="auto" w:fill="auto"/>
            <w:vAlign w:val="center"/>
          </w:tcPr>
          <w:p w:rsidR="00904AE3" w:rsidRPr="00DF0F7D" w:rsidRDefault="00904AE3" w:rsidP="00580A44">
            <w:pPr>
              <w:jc w:val="center"/>
              <w:rPr>
                <w:lang w:val="lv-LV"/>
              </w:rPr>
            </w:pPr>
          </w:p>
        </w:tc>
        <w:tc>
          <w:tcPr>
            <w:tcW w:w="584" w:type="pct"/>
            <w:shd w:val="clear" w:color="auto" w:fill="auto"/>
            <w:vAlign w:val="center"/>
          </w:tcPr>
          <w:p w:rsidR="00904AE3" w:rsidRPr="00DF0F7D" w:rsidRDefault="00904AE3" w:rsidP="00580A44">
            <w:pPr>
              <w:jc w:val="center"/>
              <w:rPr>
                <w:lang w:val="lv-LV"/>
              </w:rPr>
            </w:pP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9"/>
        </w:trPr>
        <w:tc>
          <w:tcPr>
            <w:tcW w:w="1774" w:type="pct"/>
            <w:gridSpan w:val="4"/>
            <w:shd w:val="clear" w:color="auto" w:fill="auto"/>
            <w:vAlign w:val="center"/>
            <w:hideMark/>
          </w:tcPr>
          <w:p w:rsidR="00904AE3" w:rsidRPr="00DF0F7D" w:rsidRDefault="00904AE3" w:rsidP="00BD6FBF">
            <w:pPr>
              <w:jc w:val="both"/>
              <w:rPr>
                <w:lang w:val="lv-LV"/>
              </w:rPr>
            </w:pPr>
            <w:r w:rsidRPr="00DF0F7D">
              <w:rPr>
                <w:lang w:val="lv-LV"/>
              </w:rPr>
              <w:t>Tā kā 2013.gadā, kā arī turpmākajos trīs pārskata periodos ieņēmumi no šīs darbības nav plānoti, attiecīgi netiek plānoti izdevumi.</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2C0A62">
            <w:pPr>
              <w:jc w:val="both"/>
              <w:rPr>
                <w:bCs/>
                <w:lang w:val="lv-LV"/>
              </w:rPr>
            </w:pPr>
            <w:r w:rsidRPr="00DF0F7D">
              <w:rPr>
                <w:bCs/>
                <w:lang w:val="lv-LV"/>
              </w:rPr>
              <w:t xml:space="preserve">6.2.1.1. </w:t>
            </w:r>
            <w:r w:rsidR="002C0A62" w:rsidRPr="00DF0F7D">
              <w:rPr>
                <w:bCs/>
                <w:lang w:val="lv-LV"/>
              </w:rPr>
              <w:t>a</w:t>
            </w:r>
            <w:r w:rsidRPr="00DF0F7D">
              <w:rPr>
                <w:bCs/>
                <w:lang w:val="lv-LV"/>
              </w:rPr>
              <w:t>tlīdzība, EKK 1000</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D6FBF">
            <w:pPr>
              <w:jc w:val="both"/>
              <w:rPr>
                <w:lang w:val="lv-LV"/>
              </w:rPr>
            </w:pPr>
            <w:r w:rsidRPr="00DF0F7D">
              <w:rPr>
                <w:lang w:val="lv-LV"/>
              </w:rPr>
              <w:t>Atalgojums, EKK 1100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3245"/>
        </w:trPr>
        <w:tc>
          <w:tcPr>
            <w:tcW w:w="1774" w:type="pct"/>
            <w:gridSpan w:val="4"/>
            <w:shd w:val="clear" w:color="auto" w:fill="auto"/>
            <w:vAlign w:val="center"/>
            <w:hideMark/>
          </w:tcPr>
          <w:p w:rsidR="00904AE3" w:rsidRPr="00DF0F7D" w:rsidRDefault="002011EF" w:rsidP="008C425B">
            <w:pPr>
              <w:jc w:val="both"/>
              <w:rPr>
                <w:lang w:val="lv-LV"/>
              </w:rPr>
            </w:pPr>
            <w:r w:rsidRPr="00DF0F7D">
              <w:rPr>
                <w:lang w:val="lv-LV"/>
              </w:rPr>
              <w:t>Dienesta</w:t>
            </w:r>
            <w:r w:rsidR="00904AE3" w:rsidRPr="00DF0F7D">
              <w:rPr>
                <w:lang w:val="lv-LV"/>
              </w:rPr>
              <w:t xml:space="preserve"> Pārtikas uzraudzības departamenta vecākā eksperta (atbilstoši 26.3.amata </w:t>
            </w:r>
            <w:proofErr w:type="spellStart"/>
            <w:r w:rsidR="00904AE3" w:rsidRPr="00DF0F7D">
              <w:rPr>
                <w:lang w:val="lv-LV"/>
              </w:rPr>
              <w:t>apakšsaimei</w:t>
            </w:r>
            <w:proofErr w:type="spellEnd"/>
            <w:r w:rsidR="00904AE3" w:rsidRPr="00DF0F7D">
              <w:rPr>
                <w:lang w:val="lv-LV"/>
              </w:rPr>
              <w:t xml:space="preserve">, 11 mēnešalgu grupai un 6 kvalifikācijas pakāpei, kas atbilst vidējai </w:t>
            </w:r>
            <w:r w:rsidRPr="00DF0F7D">
              <w:rPr>
                <w:lang w:val="lv-LV"/>
              </w:rPr>
              <w:t>dienestā</w:t>
            </w:r>
            <w:r w:rsidR="00904AE3" w:rsidRPr="00DF0F7D">
              <w:rPr>
                <w:lang w:val="lv-LV"/>
              </w:rPr>
              <w:t xml:space="preserve"> strādājoš</w:t>
            </w:r>
            <w:r w:rsidRPr="00DF0F7D">
              <w:rPr>
                <w:lang w:val="lv-LV"/>
              </w:rPr>
              <w:t>o</w:t>
            </w:r>
            <w:r w:rsidR="00904AE3" w:rsidRPr="00DF0F7D">
              <w:rPr>
                <w:lang w:val="lv-LV"/>
              </w:rPr>
              <w:t xml:space="preserve"> vecāko ekspertu kvalifikācijas pakāpei) atalgojums par vienu darba stundu ir </w:t>
            </w:r>
            <w:r w:rsidR="00FC4BA2" w:rsidRPr="00DF0F7D">
              <w:rPr>
                <w:lang w:val="lv-LV"/>
              </w:rPr>
              <w:t xml:space="preserve">Ls </w:t>
            </w:r>
            <w:r w:rsidR="00904AE3" w:rsidRPr="00DF0F7D">
              <w:rPr>
                <w:lang w:val="lv-LV"/>
              </w:rPr>
              <w:t xml:space="preserve">4,67 (EKK 1100). Pakalpojuma izpildes nodrošināšanai nepieciešams patērēt 8 darba dienas, t.i., </w:t>
            </w:r>
            <w:r w:rsidR="008C425B" w:rsidRPr="00DF0F7D">
              <w:rPr>
                <w:lang w:val="lv-LV"/>
              </w:rPr>
              <w:t xml:space="preserve">64 </w:t>
            </w:r>
            <w:r w:rsidR="00904AE3" w:rsidRPr="00DF0F7D">
              <w:rPr>
                <w:lang w:val="lv-LV"/>
              </w:rPr>
              <w:t>darba stundas</w:t>
            </w:r>
            <w:r w:rsidR="008C425B" w:rsidRPr="00DF0F7D">
              <w:rPr>
                <w:lang w:val="lv-LV"/>
              </w:rPr>
              <w:t xml:space="preserve"> </w:t>
            </w:r>
            <w:r w:rsidR="00904AE3" w:rsidRPr="00DF0F7D">
              <w:rPr>
                <w:lang w:val="lv-LV"/>
              </w:rPr>
              <w:t>*</w:t>
            </w:r>
            <w:r w:rsidR="008C425B" w:rsidRPr="00DF0F7D">
              <w:rPr>
                <w:lang w:val="lv-LV"/>
              </w:rPr>
              <w:t xml:space="preserve"> 4,67 </w:t>
            </w:r>
            <w:r w:rsidR="00904AE3" w:rsidRPr="00DF0F7D">
              <w:rPr>
                <w:lang w:val="lv-LV"/>
              </w:rPr>
              <w:t>Ls/stundā =</w:t>
            </w:r>
            <w:r w:rsidR="008C425B" w:rsidRPr="00DF0F7D">
              <w:rPr>
                <w:lang w:val="lv-LV"/>
              </w:rPr>
              <w:t xml:space="preserve"> Ls</w:t>
            </w:r>
            <w:r w:rsidR="00904AE3" w:rsidRPr="00DF0F7D">
              <w:rPr>
                <w:lang w:val="lv-LV"/>
              </w:rPr>
              <w:t xml:space="preserve"> 298,88.</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904AE3" w:rsidP="00C729A4">
            <w:pPr>
              <w:jc w:val="both"/>
              <w:rPr>
                <w:lang w:val="lv-LV"/>
              </w:rPr>
            </w:pPr>
            <w:r w:rsidRPr="00DF0F7D">
              <w:rPr>
                <w:lang w:val="lv-LV"/>
              </w:rPr>
              <w:lastRenderedPageBreak/>
              <w:t>Darba devēja valsts sociālās apdrošināšanas obligātā</w:t>
            </w:r>
            <w:r w:rsidR="00120A82" w:rsidRPr="00DF0F7D">
              <w:rPr>
                <w:lang w:val="lv-LV"/>
              </w:rPr>
              <w:t>s iemaksas (</w:t>
            </w:r>
            <w:r w:rsidRPr="00DF0F7D">
              <w:rPr>
                <w:lang w:val="lv-LV"/>
              </w:rPr>
              <w:t>EKK 1200</w:t>
            </w:r>
            <w:r w:rsidR="00120A82" w:rsidRPr="00DF0F7D">
              <w:rPr>
                <w:lang w:val="lv-LV"/>
              </w:rPr>
              <w:t>)</w:t>
            </w:r>
            <w:r w:rsidR="00C729A4" w:rsidRPr="00DF0F7D">
              <w:rPr>
                <w:lang w:val="lv-LV"/>
              </w:rPr>
              <w:t xml:space="preserve"> ir Ls 1,13. Pakalpojuma izpildes nodrošināšanai nepieciešams patērēt 8 darba dienas, t.i., 64 darba stundas * 1,13 Ls/stundā = Ls 72,32.</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310E25" w:rsidP="00B96774">
            <w:pPr>
              <w:jc w:val="both"/>
              <w:rPr>
                <w:bCs/>
                <w:lang w:val="lv-LV"/>
              </w:rPr>
            </w:pPr>
            <w:r w:rsidRPr="00DF0F7D">
              <w:rPr>
                <w:bCs/>
                <w:lang w:val="lv-LV"/>
              </w:rPr>
              <w:t>6.2.1.2. p</w:t>
            </w:r>
            <w:r w:rsidR="00904AE3" w:rsidRPr="00DF0F7D">
              <w:rPr>
                <w:bCs/>
                <w:lang w:val="lv-LV"/>
              </w:rPr>
              <w:t>reces un pakalpojumi, EKK 2000</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945"/>
        </w:trPr>
        <w:tc>
          <w:tcPr>
            <w:tcW w:w="1774" w:type="pct"/>
            <w:gridSpan w:val="4"/>
            <w:shd w:val="clear" w:color="auto" w:fill="auto"/>
            <w:vAlign w:val="center"/>
            <w:hideMark/>
          </w:tcPr>
          <w:p w:rsidR="00904AE3" w:rsidRPr="00DF0F7D" w:rsidRDefault="00904AE3" w:rsidP="004F667E">
            <w:pPr>
              <w:jc w:val="both"/>
              <w:rPr>
                <w:lang w:val="lv-LV"/>
              </w:rPr>
            </w:pPr>
            <w:r w:rsidRPr="00DF0F7D">
              <w:rPr>
                <w:lang w:val="lv-LV"/>
              </w:rPr>
              <w:t xml:space="preserve">Izdevumu </w:t>
            </w:r>
            <w:r w:rsidR="004F667E" w:rsidRPr="00DF0F7D">
              <w:rPr>
                <w:lang w:val="lv-LV"/>
              </w:rPr>
              <w:t>p</w:t>
            </w:r>
            <w:r w:rsidRPr="00DF0F7D">
              <w:rPr>
                <w:lang w:val="lv-LV"/>
              </w:rPr>
              <w:t xml:space="preserve">recēm un pakalpojumiem </w:t>
            </w:r>
            <w:r w:rsidR="004F667E" w:rsidRPr="00DF0F7D">
              <w:rPr>
                <w:lang w:val="lv-LV"/>
              </w:rPr>
              <w:t>ir</w:t>
            </w:r>
            <w:r w:rsidRPr="00DF0F7D">
              <w:rPr>
                <w:lang w:val="lv-LV"/>
              </w:rPr>
              <w:t xml:space="preserve"> izdevumi </w:t>
            </w:r>
            <w:r w:rsidR="004F667E" w:rsidRPr="00DF0F7D">
              <w:rPr>
                <w:lang w:val="lv-LV"/>
              </w:rPr>
              <w:t xml:space="preserve">20,80 </w:t>
            </w:r>
            <w:r w:rsidRPr="00DF0F7D">
              <w:rPr>
                <w:lang w:val="lv-LV"/>
              </w:rPr>
              <w:t>Ls</w:t>
            </w:r>
            <w:r w:rsidR="004F667E" w:rsidRPr="00DF0F7D">
              <w:rPr>
                <w:lang w:val="lv-LV"/>
              </w:rPr>
              <w:t xml:space="preserve"> par vienu izvērtēšanas gadījumu</w:t>
            </w:r>
            <w:r w:rsidRPr="00DF0F7D">
              <w:rPr>
                <w:lang w:val="lv-LV"/>
              </w:rPr>
              <w:t>:</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941474" w:rsidP="009B5D76">
            <w:pPr>
              <w:jc w:val="both"/>
              <w:rPr>
                <w:lang w:val="lv-LV"/>
              </w:rPr>
            </w:pPr>
            <w:r w:rsidRPr="00DF0F7D">
              <w:rPr>
                <w:lang w:val="lv-LV"/>
              </w:rPr>
              <w:t>1) s</w:t>
            </w:r>
            <w:r w:rsidR="00904AE3" w:rsidRPr="00DF0F7D">
              <w:rPr>
                <w:lang w:val="lv-LV"/>
              </w:rPr>
              <w:t>akaru pakalpojumiem (</w:t>
            </w:r>
            <w:r w:rsidRPr="00DF0F7D">
              <w:rPr>
                <w:lang w:val="lv-LV"/>
              </w:rPr>
              <w:t xml:space="preserve">50 Ls/ceturksnī, t.i., </w:t>
            </w:r>
            <w:r w:rsidR="00904AE3" w:rsidRPr="00DF0F7D">
              <w:rPr>
                <w:lang w:val="lv-LV"/>
              </w:rPr>
              <w:t>Ls</w:t>
            </w:r>
            <w:r w:rsidRPr="00DF0F7D">
              <w:rPr>
                <w:lang w:val="lv-LV"/>
              </w:rPr>
              <w:t xml:space="preserve"> 8,47 vien</w:t>
            </w:r>
            <w:r w:rsidR="009B5D76" w:rsidRPr="00DF0F7D">
              <w:rPr>
                <w:lang w:val="lv-LV"/>
              </w:rPr>
              <w:t>ā izvērtēšanas procesā</w:t>
            </w:r>
            <w:r w:rsidR="00904AE3" w:rsidRPr="00DF0F7D">
              <w:rPr>
                <w:lang w:val="lv-LV"/>
              </w:rPr>
              <w:t>);</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2205"/>
        </w:trPr>
        <w:tc>
          <w:tcPr>
            <w:tcW w:w="1774" w:type="pct"/>
            <w:gridSpan w:val="4"/>
            <w:shd w:val="clear" w:color="auto" w:fill="auto"/>
            <w:vAlign w:val="center"/>
            <w:hideMark/>
          </w:tcPr>
          <w:p w:rsidR="00904AE3" w:rsidRPr="00DF0F7D" w:rsidRDefault="00904AE3" w:rsidP="007E2DCF">
            <w:pPr>
              <w:jc w:val="both"/>
              <w:rPr>
                <w:lang w:val="lv-LV"/>
              </w:rPr>
            </w:pPr>
            <w:r w:rsidRPr="00DF0F7D">
              <w:rPr>
                <w:lang w:val="lv-LV"/>
              </w:rPr>
              <w:t>2</w:t>
            </w:r>
            <w:r w:rsidR="00941474" w:rsidRPr="00DF0F7D">
              <w:rPr>
                <w:lang w:val="lv-LV"/>
              </w:rPr>
              <w:t>) p</w:t>
            </w:r>
            <w:r w:rsidRPr="00DF0F7D">
              <w:rPr>
                <w:lang w:val="lv-LV"/>
              </w:rPr>
              <w:t>asta izdevumi</w:t>
            </w:r>
            <w:r w:rsidR="00941474" w:rsidRPr="00DF0F7D">
              <w:rPr>
                <w:lang w:val="lv-LV"/>
              </w:rPr>
              <w:t xml:space="preserve"> Ls 2,61</w:t>
            </w:r>
            <w:r w:rsidRPr="00DF0F7D">
              <w:rPr>
                <w:lang w:val="lv-LV"/>
              </w:rPr>
              <w:t>, kur ietilpst sarakstes veidlapa angļu valodā Ls 0,08 (pirmā lapa) + Ls 0,03 (otrā lapa) + Ls 2,50 (nosūtīšana). Nepieciešams veikt trīs sūtījumus, no tiem viens kontroles institūcijai, divi Eiropas Komisijai, t.i., Ls</w:t>
            </w:r>
            <w:r w:rsidR="007E2DCF" w:rsidRPr="00DF0F7D">
              <w:rPr>
                <w:lang w:val="lv-LV"/>
              </w:rPr>
              <w:t xml:space="preserve"> 2,61 </w:t>
            </w:r>
            <w:r w:rsidRPr="00DF0F7D">
              <w:rPr>
                <w:lang w:val="lv-LV"/>
              </w:rPr>
              <w:t>*</w:t>
            </w:r>
            <w:r w:rsidR="007E2DCF" w:rsidRPr="00DF0F7D">
              <w:rPr>
                <w:lang w:val="lv-LV"/>
              </w:rPr>
              <w:t xml:space="preserve"> 3 </w:t>
            </w:r>
            <w:r w:rsidRPr="00DF0F7D">
              <w:rPr>
                <w:lang w:val="lv-LV"/>
              </w:rPr>
              <w:t>sūtījumi =</w:t>
            </w:r>
            <w:r w:rsidR="007E2DCF" w:rsidRPr="00DF0F7D">
              <w:rPr>
                <w:lang w:val="lv-LV"/>
              </w:rPr>
              <w:t xml:space="preserve"> </w:t>
            </w:r>
            <w:r w:rsidRPr="00DF0F7D">
              <w:rPr>
                <w:lang w:val="lv-LV"/>
              </w:rPr>
              <w:t>Ls 7,83</w:t>
            </w:r>
            <w:r w:rsidR="007E2DCF" w:rsidRPr="00DF0F7D">
              <w:rPr>
                <w:lang w:val="lv-LV"/>
              </w:rPr>
              <w:t xml:space="preserve"> vienā izvērtēšanas procesā</w:t>
            </w:r>
            <w:r w:rsidR="00124E31" w:rsidRPr="00DF0F7D">
              <w:rPr>
                <w:lang w:val="lv-LV"/>
              </w:rPr>
              <w:t>;</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93"/>
        </w:trPr>
        <w:tc>
          <w:tcPr>
            <w:tcW w:w="1774" w:type="pct"/>
            <w:gridSpan w:val="4"/>
            <w:shd w:val="clear" w:color="auto" w:fill="auto"/>
            <w:vAlign w:val="center"/>
            <w:hideMark/>
          </w:tcPr>
          <w:p w:rsidR="00904AE3" w:rsidRPr="00DF0F7D" w:rsidRDefault="00124E31" w:rsidP="00636B04">
            <w:pPr>
              <w:jc w:val="both"/>
              <w:rPr>
                <w:lang w:val="lv-LV"/>
              </w:rPr>
            </w:pPr>
            <w:r w:rsidRPr="00DF0F7D">
              <w:rPr>
                <w:lang w:val="lv-LV"/>
              </w:rPr>
              <w:t>3) c</w:t>
            </w:r>
            <w:r w:rsidR="00904AE3" w:rsidRPr="00DF0F7D">
              <w:rPr>
                <w:lang w:val="lv-LV"/>
              </w:rPr>
              <w:t>itas izmaksas, kas nav tieši saistītas ar pakalpojuma sniegšanu, t.sk. toneri, kancelejas preces, komunālie izdevumi u.c. izdevumi, kas nav tieši saistīti ar pakalpojuma sniegšanu, bet ir svarīga tā nodrošināšanas komponente (Ls</w:t>
            </w:r>
            <w:r w:rsidR="00636B04" w:rsidRPr="00DF0F7D">
              <w:rPr>
                <w:lang w:val="lv-LV"/>
              </w:rPr>
              <w:t xml:space="preserve"> 4,50 par vienu izvērtēšanas gadījumu</w:t>
            </w:r>
            <w:r w:rsidR="00904AE3" w:rsidRPr="00DF0F7D">
              <w:rPr>
                <w:lang w:val="lv-LV"/>
              </w:rPr>
              <w:t>)</w:t>
            </w:r>
            <w:r w:rsidR="00636B04" w:rsidRPr="00DF0F7D">
              <w:rPr>
                <w:lang w:val="lv-LV"/>
              </w:rPr>
              <w:t>.</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920"/>
        </w:trPr>
        <w:tc>
          <w:tcPr>
            <w:tcW w:w="1774" w:type="pct"/>
            <w:gridSpan w:val="4"/>
            <w:shd w:val="clear" w:color="auto" w:fill="auto"/>
            <w:vAlign w:val="center"/>
            <w:hideMark/>
          </w:tcPr>
          <w:p w:rsidR="00904AE3" w:rsidRPr="00DF0F7D" w:rsidRDefault="00904AE3" w:rsidP="003F5883">
            <w:pPr>
              <w:jc w:val="both"/>
              <w:rPr>
                <w:lang w:val="lv-LV"/>
              </w:rPr>
            </w:pPr>
            <w:r w:rsidRPr="00DF0F7D">
              <w:rPr>
                <w:lang w:val="lv-LV"/>
              </w:rPr>
              <w:t xml:space="preserve">Par kontroles institūcijas darbības izvērtēšanu trešajā valstī izdevumi tiek noteikti atbilstoši attaisnojuma dokumentiem un noteiktajiem tarifiem (komandējuma dienas nauda, ceļa izdevumi, naktsmītne). </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530EFF" w:rsidP="00B96774">
            <w:pPr>
              <w:jc w:val="both"/>
              <w:rPr>
                <w:lang w:val="lv-LV"/>
              </w:rPr>
            </w:pPr>
            <w:r w:rsidRPr="00DF0F7D">
              <w:rPr>
                <w:lang w:val="lv-LV"/>
              </w:rPr>
              <w:t>6.2.2. i</w:t>
            </w:r>
            <w:r w:rsidR="00904AE3" w:rsidRPr="00DF0F7D">
              <w:rPr>
                <w:lang w:val="lv-LV"/>
              </w:rPr>
              <w:t xml:space="preserve">zdevumi ar produktu robežkontroli saistīta sertifikāta izraksta apstiprināšanai </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BA4306" w:rsidP="00486E98">
            <w:pPr>
              <w:jc w:val="center"/>
              <w:rPr>
                <w:bCs/>
                <w:lang w:val="lv-LV"/>
              </w:rPr>
            </w:pPr>
            <w:r w:rsidRPr="00DF0F7D">
              <w:rPr>
                <w:bCs/>
                <w:lang w:val="lv-LV"/>
              </w:rPr>
              <w:t>2,</w:t>
            </w:r>
            <w:r w:rsidR="00486E98" w:rsidRPr="00DF0F7D">
              <w:rPr>
                <w:bCs/>
                <w:lang w:val="lv-LV"/>
              </w:rPr>
              <w:t>2</w:t>
            </w:r>
          </w:p>
        </w:tc>
        <w:tc>
          <w:tcPr>
            <w:tcW w:w="586" w:type="pct"/>
            <w:shd w:val="clear" w:color="auto" w:fill="auto"/>
            <w:vAlign w:val="center"/>
            <w:hideMark/>
          </w:tcPr>
          <w:p w:rsidR="00904AE3" w:rsidRPr="00DF0F7D" w:rsidRDefault="00BA4306" w:rsidP="00486E98">
            <w:pPr>
              <w:jc w:val="center"/>
              <w:rPr>
                <w:bCs/>
                <w:lang w:val="lv-LV"/>
              </w:rPr>
            </w:pPr>
            <w:r w:rsidRPr="00DF0F7D">
              <w:rPr>
                <w:bCs/>
                <w:lang w:val="lv-LV"/>
              </w:rPr>
              <w:t>2,</w:t>
            </w:r>
            <w:r w:rsidR="00486E98" w:rsidRPr="00DF0F7D">
              <w:rPr>
                <w:bCs/>
                <w:lang w:val="lv-LV"/>
              </w:rPr>
              <w:t>2</w:t>
            </w:r>
          </w:p>
        </w:tc>
        <w:tc>
          <w:tcPr>
            <w:tcW w:w="615" w:type="pct"/>
            <w:shd w:val="clear" w:color="auto" w:fill="auto"/>
            <w:vAlign w:val="center"/>
            <w:hideMark/>
          </w:tcPr>
          <w:p w:rsidR="00904AE3" w:rsidRPr="00DF0F7D" w:rsidRDefault="00BA4306" w:rsidP="00486E98">
            <w:pPr>
              <w:jc w:val="center"/>
              <w:rPr>
                <w:bCs/>
                <w:lang w:val="lv-LV"/>
              </w:rPr>
            </w:pPr>
            <w:r w:rsidRPr="00DF0F7D">
              <w:rPr>
                <w:bCs/>
                <w:lang w:val="lv-LV"/>
              </w:rPr>
              <w:t>2,</w:t>
            </w:r>
            <w:r w:rsidR="00486E98" w:rsidRPr="00DF0F7D">
              <w:rPr>
                <w:bCs/>
                <w:lang w:val="lv-LV"/>
              </w:rPr>
              <w:t>2</w:t>
            </w:r>
          </w:p>
        </w:tc>
        <w:tc>
          <w:tcPr>
            <w:tcW w:w="584" w:type="pct"/>
            <w:shd w:val="clear" w:color="auto" w:fill="auto"/>
            <w:vAlign w:val="center"/>
            <w:hideMark/>
          </w:tcPr>
          <w:p w:rsidR="00904AE3" w:rsidRPr="00DF0F7D" w:rsidRDefault="00BA4306" w:rsidP="00486E98">
            <w:pPr>
              <w:jc w:val="center"/>
              <w:rPr>
                <w:bCs/>
                <w:lang w:val="lv-LV"/>
              </w:rPr>
            </w:pPr>
            <w:r w:rsidRPr="00DF0F7D">
              <w:rPr>
                <w:bCs/>
                <w:lang w:val="lv-LV"/>
              </w:rPr>
              <w:t>2,</w:t>
            </w:r>
            <w:r w:rsidR="00486E98" w:rsidRPr="00DF0F7D">
              <w:rPr>
                <w:bCs/>
                <w:lang w:val="lv-LV"/>
              </w:rPr>
              <w:t>2</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140"/>
        </w:trPr>
        <w:tc>
          <w:tcPr>
            <w:tcW w:w="1774" w:type="pct"/>
            <w:gridSpan w:val="4"/>
            <w:shd w:val="clear" w:color="auto" w:fill="auto"/>
            <w:vAlign w:val="center"/>
            <w:hideMark/>
          </w:tcPr>
          <w:p w:rsidR="00904AE3" w:rsidRPr="00DF0F7D" w:rsidRDefault="00904AE3" w:rsidP="00CE3DBA">
            <w:pPr>
              <w:jc w:val="both"/>
              <w:rPr>
                <w:lang w:val="lv-LV"/>
              </w:rPr>
            </w:pPr>
            <w:r w:rsidRPr="00DF0F7D">
              <w:rPr>
                <w:lang w:val="lv-LV"/>
              </w:rPr>
              <w:lastRenderedPageBreak/>
              <w:t>Pakalpojuma sniegšanas nodrošināšanai nepieciešams</w:t>
            </w:r>
            <w:r w:rsidR="00824283" w:rsidRPr="00DF0F7D">
              <w:rPr>
                <w:lang w:val="lv-LV"/>
              </w:rPr>
              <w:t xml:space="preserve"> patērēt </w:t>
            </w:r>
            <w:r w:rsidR="00CE3DBA" w:rsidRPr="00DF0F7D">
              <w:rPr>
                <w:lang w:val="lv-LV"/>
              </w:rPr>
              <w:t>divas</w:t>
            </w:r>
            <w:r w:rsidRPr="00DF0F7D">
              <w:rPr>
                <w:lang w:val="lv-LV"/>
              </w:rPr>
              <w:t xml:space="preserve"> inspektora darba stund</w:t>
            </w:r>
            <w:r w:rsidR="006E218E" w:rsidRPr="00DF0F7D">
              <w:rPr>
                <w:lang w:val="lv-LV"/>
              </w:rPr>
              <w:t>as</w:t>
            </w:r>
            <w:r w:rsidRPr="00DF0F7D">
              <w:rPr>
                <w:lang w:val="lv-LV"/>
              </w:rPr>
              <w:t>.</w:t>
            </w:r>
            <w:r w:rsidRPr="00DF0F7D">
              <w:rPr>
                <w:lang w:val="lv-LV"/>
              </w:rPr>
              <w:br/>
              <w:t xml:space="preserve">Plānots, ka 2013., 2014., 2015. un 2016.gadā tiks apstiprināti 150 sertifikātu izraksti, t.i., </w:t>
            </w:r>
            <w:r w:rsidR="00C37D0D" w:rsidRPr="00DF0F7D">
              <w:rPr>
                <w:lang w:val="lv-LV"/>
              </w:rPr>
              <w:t xml:space="preserve">15,00 </w:t>
            </w:r>
            <w:r w:rsidRPr="00DF0F7D">
              <w:rPr>
                <w:lang w:val="lv-LV"/>
              </w:rPr>
              <w:t xml:space="preserve">Ls/krava </w:t>
            </w:r>
            <w:r w:rsidR="00CE10F7" w:rsidRPr="00DF0F7D">
              <w:rPr>
                <w:lang w:val="lv-LV"/>
              </w:rPr>
              <w:t>(Ls 7,50 * 2</w:t>
            </w:r>
            <w:r w:rsidR="00BA16E7" w:rsidRPr="00DF0F7D">
              <w:rPr>
                <w:lang w:val="lv-LV"/>
              </w:rPr>
              <w:t xml:space="preserve"> stundas</w:t>
            </w:r>
            <w:r w:rsidR="00CE10F7" w:rsidRPr="00DF0F7D">
              <w:rPr>
                <w:lang w:val="lv-LV"/>
              </w:rPr>
              <w:t xml:space="preserve">) </w:t>
            </w:r>
            <w:r w:rsidRPr="00DF0F7D">
              <w:rPr>
                <w:lang w:val="lv-LV"/>
              </w:rPr>
              <w:t xml:space="preserve">* </w:t>
            </w:r>
            <w:r w:rsidR="00C37D0D" w:rsidRPr="00DF0F7D">
              <w:rPr>
                <w:lang w:val="lv-LV"/>
              </w:rPr>
              <w:t xml:space="preserve">150 </w:t>
            </w:r>
            <w:r w:rsidRPr="00DF0F7D">
              <w:rPr>
                <w:lang w:val="lv-LV"/>
              </w:rPr>
              <w:t>kravas (sertifikāta izraksta apstiprināšana) =</w:t>
            </w:r>
            <w:r w:rsidR="00C37D0D" w:rsidRPr="00DF0F7D">
              <w:rPr>
                <w:lang w:val="lv-LV"/>
              </w:rPr>
              <w:t xml:space="preserve"> </w:t>
            </w:r>
            <w:r w:rsidRPr="00DF0F7D">
              <w:rPr>
                <w:lang w:val="lv-LV"/>
              </w:rPr>
              <w:t>Ls 2 250,00.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424"/>
        </w:trPr>
        <w:tc>
          <w:tcPr>
            <w:tcW w:w="1774" w:type="pct"/>
            <w:gridSpan w:val="4"/>
            <w:shd w:val="clear" w:color="auto" w:fill="auto"/>
            <w:vAlign w:val="center"/>
            <w:hideMark/>
          </w:tcPr>
          <w:p w:rsidR="00904AE3" w:rsidRPr="00DF0F7D" w:rsidRDefault="00904AE3" w:rsidP="0074240F">
            <w:pPr>
              <w:jc w:val="both"/>
              <w:rPr>
                <w:lang w:val="lv-LV"/>
              </w:rPr>
            </w:pPr>
            <w:r w:rsidRPr="00DF0F7D">
              <w:rPr>
                <w:lang w:val="lv-LV"/>
              </w:rPr>
              <w:t>Viena inspektora darba stunda maksā Ls 7,50, kur:</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t>Atlīdzība, EKK 1000</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904AE3" w:rsidP="00580A44">
            <w:pPr>
              <w:jc w:val="center"/>
              <w:rPr>
                <w:bCs/>
                <w:lang w:val="lv-LV"/>
              </w:rPr>
            </w:pPr>
            <w:r w:rsidRPr="00DF0F7D">
              <w:rPr>
                <w:bCs/>
                <w:lang w:val="lv-LV"/>
              </w:rPr>
              <w:t>1,1</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1,1</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1,1</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1,1</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t>Atalgojums, EKK 1100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0,9</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1753"/>
        </w:trPr>
        <w:tc>
          <w:tcPr>
            <w:tcW w:w="1774" w:type="pct"/>
            <w:gridSpan w:val="4"/>
            <w:shd w:val="clear" w:color="auto" w:fill="auto"/>
            <w:vAlign w:val="center"/>
            <w:hideMark/>
          </w:tcPr>
          <w:p w:rsidR="00904AE3" w:rsidRPr="00DF0F7D" w:rsidRDefault="00904AE3" w:rsidP="00AF2D67">
            <w:pPr>
              <w:jc w:val="both"/>
              <w:rPr>
                <w:lang w:val="lv-LV"/>
              </w:rPr>
            </w:pPr>
            <w:r w:rsidRPr="00DF0F7D">
              <w:rPr>
                <w:lang w:val="lv-LV"/>
              </w:rPr>
              <w:t xml:space="preserve">Viena inspektora darba stunda maksā </w:t>
            </w:r>
            <w:r w:rsidR="00CE3DBA" w:rsidRPr="00DF0F7D">
              <w:rPr>
                <w:lang w:val="lv-LV"/>
              </w:rPr>
              <w:t xml:space="preserve">Ls </w:t>
            </w:r>
            <w:r w:rsidRPr="00DF0F7D">
              <w:rPr>
                <w:lang w:val="lv-LV"/>
              </w:rPr>
              <w:t>2,97</w:t>
            </w:r>
            <w:r w:rsidR="00CE3DBA" w:rsidRPr="00DF0F7D">
              <w:rPr>
                <w:lang w:val="lv-LV"/>
              </w:rPr>
              <w:t xml:space="preserve"> </w:t>
            </w:r>
            <w:r w:rsidRPr="00DF0F7D">
              <w:rPr>
                <w:lang w:val="lv-LV"/>
              </w:rPr>
              <w:t xml:space="preserve">(495/167). Viena sertifikāta izraksta apstiprināšanai nepieciešamas </w:t>
            </w:r>
            <w:r w:rsidR="00E01082" w:rsidRPr="00DF0F7D">
              <w:rPr>
                <w:lang w:val="lv-LV"/>
              </w:rPr>
              <w:t>divas</w:t>
            </w:r>
            <w:r w:rsidRPr="00DF0F7D">
              <w:rPr>
                <w:lang w:val="lv-LV"/>
              </w:rPr>
              <w:t xml:space="preserve"> inspektora darba stundas, gada laikā plānots </w:t>
            </w:r>
            <w:r w:rsidR="00E01082" w:rsidRPr="00DF0F7D">
              <w:rPr>
                <w:lang w:val="lv-LV"/>
              </w:rPr>
              <w:t>apstiprināt</w:t>
            </w:r>
            <w:r w:rsidRPr="00DF0F7D">
              <w:rPr>
                <w:lang w:val="lv-LV"/>
              </w:rPr>
              <w:t xml:space="preserve"> 150 sertifikātu izrakstus, t.i., </w:t>
            </w:r>
            <w:r w:rsidR="00E01082" w:rsidRPr="00DF0F7D">
              <w:rPr>
                <w:lang w:val="lv-LV"/>
              </w:rPr>
              <w:t xml:space="preserve">Ls 2,97 </w:t>
            </w:r>
            <w:r w:rsidRPr="00DF0F7D">
              <w:rPr>
                <w:lang w:val="lv-LV"/>
              </w:rPr>
              <w:t>stundā *</w:t>
            </w:r>
            <w:r w:rsidR="00E01082" w:rsidRPr="00DF0F7D">
              <w:rPr>
                <w:lang w:val="lv-LV"/>
              </w:rPr>
              <w:t xml:space="preserve"> 2 stundas </w:t>
            </w:r>
            <w:r w:rsidRPr="00DF0F7D">
              <w:rPr>
                <w:lang w:val="lv-LV"/>
              </w:rPr>
              <w:t>*</w:t>
            </w:r>
            <w:r w:rsidR="00E01082" w:rsidRPr="00DF0F7D">
              <w:rPr>
                <w:lang w:val="lv-LV"/>
              </w:rPr>
              <w:t xml:space="preserve"> 150 </w:t>
            </w:r>
            <w:r w:rsidRPr="00DF0F7D">
              <w:rPr>
                <w:lang w:val="lv-LV"/>
              </w:rPr>
              <w:t>izraksti</w:t>
            </w:r>
            <w:r w:rsidR="00E01082" w:rsidRPr="00DF0F7D">
              <w:rPr>
                <w:lang w:val="lv-LV"/>
              </w:rPr>
              <w:t xml:space="preserve"> </w:t>
            </w:r>
            <w:r w:rsidRPr="00DF0F7D">
              <w:rPr>
                <w:lang w:val="lv-LV"/>
              </w:rPr>
              <w:t>=</w:t>
            </w:r>
            <w:r w:rsidR="00E01082" w:rsidRPr="00DF0F7D">
              <w:rPr>
                <w:lang w:val="lv-LV"/>
              </w:rPr>
              <w:t xml:space="preserve"> </w:t>
            </w:r>
            <w:r w:rsidRPr="00DF0F7D">
              <w:rPr>
                <w:lang w:val="lv-LV"/>
              </w:rPr>
              <w:t>Ls 891,00.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780"/>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t>Darba devēja valsts sociālās apdrošināšanas obligātā</w:t>
            </w:r>
            <w:r w:rsidR="002A64A2" w:rsidRPr="00DF0F7D">
              <w:rPr>
                <w:lang w:val="lv-LV"/>
              </w:rPr>
              <w:t>s</w:t>
            </w:r>
            <w:r w:rsidRPr="00DF0F7D">
              <w:rPr>
                <w:lang w:val="lv-LV"/>
              </w:rPr>
              <w:t xml:space="preserve"> iemaksas, EKK 1200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0,2</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0,2</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0,2</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0,2</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551"/>
        </w:trPr>
        <w:tc>
          <w:tcPr>
            <w:tcW w:w="1774" w:type="pct"/>
            <w:gridSpan w:val="4"/>
            <w:shd w:val="clear" w:color="auto" w:fill="auto"/>
            <w:vAlign w:val="center"/>
            <w:hideMark/>
          </w:tcPr>
          <w:p w:rsidR="00904AE3" w:rsidRPr="00DF0F7D" w:rsidRDefault="00904AE3" w:rsidP="00AF2D67">
            <w:pPr>
              <w:jc w:val="both"/>
              <w:rPr>
                <w:lang w:val="lv-LV"/>
              </w:rPr>
            </w:pPr>
            <w:r w:rsidRPr="00DF0F7D">
              <w:rPr>
                <w:lang w:val="lv-LV"/>
              </w:rPr>
              <w:t xml:space="preserve">Viena inspektora darba stunda maksā </w:t>
            </w:r>
            <w:r w:rsidR="00DE38F3" w:rsidRPr="00DF0F7D">
              <w:rPr>
                <w:lang w:val="lv-LV"/>
              </w:rPr>
              <w:t xml:space="preserve">Ls </w:t>
            </w:r>
            <w:r w:rsidRPr="00DF0F7D">
              <w:rPr>
                <w:lang w:val="lv-LV"/>
              </w:rPr>
              <w:t>2,97</w:t>
            </w:r>
            <w:r w:rsidR="00DE38F3" w:rsidRPr="00DF0F7D">
              <w:rPr>
                <w:lang w:val="lv-LV"/>
              </w:rPr>
              <w:t xml:space="preserve"> un VSAOI ir Ls 0,71 stundā </w:t>
            </w:r>
            <w:r w:rsidRPr="00DF0F7D">
              <w:rPr>
                <w:lang w:val="lv-LV"/>
              </w:rPr>
              <w:t>(495/167</w:t>
            </w:r>
            <w:r w:rsidR="00DE38F3" w:rsidRPr="00DF0F7D">
              <w:rPr>
                <w:lang w:val="lv-LV"/>
              </w:rPr>
              <w:t xml:space="preserve"> </w:t>
            </w:r>
            <w:r w:rsidRPr="00DF0F7D">
              <w:rPr>
                <w:lang w:val="lv-LV"/>
              </w:rPr>
              <w:t>*</w:t>
            </w:r>
            <w:r w:rsidR="00DE38F3" w:rsidRPr="00DF0F7D">
              <w:rPr>
                <w:lang w:val="lv-LV"/>
              </w:rPr>
              <w:t xml:space="preserve"> </w:t>
            </w:r>
            <w:r w:rsidRPr="00DF0F7D">
              <w:rPr>
                <w:lang w:val="lv-LV"/>
              </w:rPr>
              <w:t>24,09%</w:t>
            </w:r>
            <w:r w:rsidR="00DE38F3" w:rsidRPr="00DF0F7D">
              <w:rPr>
                <w:lang w:val="lv-LV"/>
              </w:rPr>
              <w:t>)</w:t>
            </w:r>
            <w:r w:rsidRPr="00DF0F7D">
              <w:rPr>
                <w:lang w:val="lv-LV"/>
              </w:rPr>
              <w:t xml:space="preserve">. Viena sertifikāta izraksta apstiprināšanai nepieciešamas </w:t>
            </w:r>
            <w:r w:rsidR="002A64A2" w:rsidRPr="00DF0F7D">
              <w:rPr>
                <w:lang w:val="lv-LV"/>
              </w:rPr>
              <w:t>divas</w:t>
            </w:r>
            <w:r w:rsidRPr="00DF0F7D">
              <w:rPr>
                <w:lang w:val="lv-LV"/>
              </w:rPr>
              <w:t xml:space="preserve"> inspektora darba stundas, gada laikā plānots </w:t>
            </w:r>
            <w:r w:rsidR="002A64A2" w:rsidRPr="00DF0F7D">
              <w:rPr>
                <w:lang w:val="lv-LV"/>
              </w:rPr>
              <w:t>apstiprināt</w:t>
            </w:r>
            <w:r w:rsidRPr="00DF0F7D">
              <w:rPr>
                <w:lang w:val="lv-LV"/>
              </w:rPr>
              <w:t xml:space="preserve"> 150 sertifikātu izrakstus, t.i., </w:t>
            </w:r>
            <w:r w:rsidR="002A64A2" w:rsidRPr="00DF0F7D">
              <w:rPr>
                <w:lang w:val="lv-LV"/>
              </w:rPr>
              <w:t xml:space="preserve">0,71 </w:t>
            </w:r>
            <w:r w:rsidRPr="00DF0F7D">
              <w:rPr>
                <w:lang w:val="lv-LV"/>
              </w:rPr>
              <w:t>Ls/stundā *</w:t>
            </w:r>
            <w:r w:rsidR="002A64A2" w:rsidRPr="00DF0F7D">
              <w:rPr>
                <w:lang w:val="lv-LV"/>
              </w:rPr>
              <w:t xml:space="preserve"> 2 </w:t>
            </w:r>
            <w:r w:rsidRPr="00DF0F7D">
              <w:rPr>
                <w:lang w:val="lv-LV"/>
              </w:rPr>
              <w:t>stundas *</w:t>
            </w:r>
            <w:r w:rsidR="002A64A2" w:rsidRPr="00DF0F7D">
              <w:rPr>
                <w:lang w:val="lv-LV"/>
              </w:rPr>
              <w:t xml:space="preserve"> 150 </w:t>
            </w:r>
            <w:r w:rsidRPr="00DF0F7D">
              <w:rPr>
                <w:lang w:val="lv-LV"/>
              </w:rPr>
              <w:t>izraksti =</w:t>
            </w:r>
            <w:r w:rsidR="002A64A2" w:rsidRPr="00DF0F7D">
              <w:rPr>
                <w:lang w:val="lv-LV"/>
              </w:rPr>
              <w:t xml:space="preserve"> </w:t>
            </w:r>
            <w:r w:rsidRPr="00DF0F7D">
              <w:rPr>
                <w:lang w:val="lv-LV"/>
              </w:rPr>
              <w:t>Ls 213,00.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t>Preces un pakalpojumi, EKK 2000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1,1</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1,1</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1,1</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1,1</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424"/>
        </w:trPr>
        <w:tc>
          <w:tcPr>
            <w:tcW w:w="1774" w:type="pct"/>
            <w:gridSpan w:val="4"/>
            <w:shd w:val="clear" w:color="auto" w:fill="auto"/>
            <w:vAlign w:val="center"/>
            <w:hideMark/>
          </w:tcPr>
          <w:p w:rsidR="00D02029" w:rsidRPr="00DF0F7D" w:rsidRDefault="00D02029" w:rsidP="00B96774">
            <w:pPr>
              <w:jc w:val="both"/>
              <w:rPr>
                <w:lang w:val="lv-LV"/>
              </w:rPr>
            </w:pPr>
            <w:r w:rsidRPr="00DF0F7D">
              <w:rPr>
                <w:lang w:val="lv-LV"/>
              </w:rPr>
              <w:t xml:space="preserve">Izdevumi par precēm un pakalpojumiem ir Ls 3,82 stundā (sakaru pakalpojumi Ls 0,18; automašīnas noma Ls 2,37; pārējie administratīvie izdevumi (mērinstrumentu kalibrēšana, e-taloni) Ls 0,13; vienreizlietojamais apģērbs (halāts, </w:t>
            </w:r>
            <w:proofErr w:type="spellStart"/>
            <w:r w:rsidRPr="00DF0F7D">
              <w:rPr>
                <w:lang w:val="lv-LV"/>
              </w:rPr>
              <w:t>bahilas</w:t>
            </w:r>
            <w:proofErr w:type="spellEnd"/>
            <w:r w:rsidRPr="00DF0F7D">
              <w:rPr>
                <w:lang w:val="lv-LV"/>
              </w:rPr>
              <w:t xml:space="preserve">, cimdi) Ls 0,80; </w:t>
            </w:r>
            <w:proofErr w:type="spellStart"/>
            <w:r w:rsidRPr="00DF0F7D">
              <w:rPr>
                <w:lang w:val="lv-LV"/>
              </w:rPr>
              <w:t>paškopējošās</w:t>
            </w:r>
            <w:proofErr w:type="spellEnd"/>
            <w:r w:rsidRPr="00DF0F7D">
              <w:rPr>
                <w:lang w:val="lv-LV"/>
              </w:rPr>
              <w:t xml:space="preserve"> veidlapas, </w:t>
            </w:r>
            <w:r w:rsidRPr="00DF0F7D">
              <w:rPr>
                <w:lang w:val="lv-LV"/>
              </w:rPr>
              <w:lastRenderedPageBreak/>
              <w:t>korespondences nodrošināšana Ls 0,30; toneris, citas kancelejas preces Ls 0,04).</w:t>
            </w:r>
          </w:p>
          <w:p w:rsidR="00904AE3" w:rsidRPr="00DF0F7D" w:rsidRDefault="00904AE3" w:rsidP="00C9467B">
            <w:pPr>
              <w:jc w:val="both"/>
              <w:rPr>
                <w:lang w:val="lv-LV"/>
              </w:rPr>
            </w:pPr>
            <w:r w:rsidRPr="00DF0F7D">
              <w:rPr>
                <w:lang w:val="lv-LV"/>
              </w:rPr>
              <w:t>Viena sertifikāta izraksta</w:t>
            </w:r>
            <w:r w:rsidR="008256CF" w:rsidRPr="00DF0F7D">
              <w:rPr>
                <w:lang w:val="lv-LV"/>
              </w:rPr>
              <w:t xml:space="preserve"> apstiprināšanai nepieciešamas divas</w:t>
            </w:r>
            <w:r w:rsidRPr="00DF0F7D">
              <w:rPr>
                <w:lang w:val="lv-LV"/>
              </w:rPr>
              <w:t xml:space="preserve"> inspektora darba stundas, gada laikā plānots </w:t>
            </w:r>
            <w:r w:rsidR="000E7FF7" w:rsidRPr="00DF0F7D">
              <w:rPr>
                <w:lang w:val="lv-LV"/>
              </w:rPr>
              <w:t>apstiprināt</w:t>
            </w:r>
            <w:r w:rsidRPr="00DF0F7D">
              <w:rPr>
                <w:lang w:val="lv-LV"/>
              </w:rPr>
              <w:t xml:space="preserve"> 150 sertifikātu izrakstus, t.i., </w:t>
            </w:r>
            <w:r w:rsidR="00C9467B" w:rsidRPr="00DF0F7D">
              <w:rPr>
                <w:lang w:val="lv-LV"/>
              </w:rPr>
              <w:t xml:space="preserve">3,82 </w:t>
            </w:r>
            <w:r w:rsidRPr="00DF0F7D">
              <w:rPr>
                <w:lang w:val="lv-LV"/>
              </w:rPr>
              <w:t>Ls/stundā *</w:t>
            </w:r>
            <w:r w:rsidR="00C9467B" w:rsidRPr="00DF0F7D">
              <w:rPr>
                <w:lang w:val="lv-LV"/>
              </w:rPr>
              <w:t xml:space="preserve"> 2 </w:t>
            </w:r>
            <w:r w:rsidRPr="00DF0F7D">
              <w:rPr>
                <w:lang w:val="lv-LV"/>
              </w:rPr>
              <w:t>stundas *</w:t>
            </w:r>
            <w:r w:rsidR="00C9467B" w:rsidRPr="00DF0F7D">
              <w:rPr>
                <w:lang w:val="lv-LV"/>
              </w:rPr>
              <w:t xml:space="preserve"> 150 </w:t>
            </w:r>
            <w:r w:rsidRPr="00DF0F7D">
              <w:rPr>
                <w:lang w:val="lv-LV"/>
              </w:rPr>
              <w:t>izraksti</w:t>
            </w:r>
            <w:r w:rsidR="00C9467B" w:rsidRPr="00DF0F7D">
              <w:rPr>
                <w:lang w:val="lv-LV"/>
              </w:rPr>
              <w:t xml:space="preserve"> </w:t>
            </w:r>
            <w:r w:rsidRPr="00DF0F7D">
              <w:rPr>
                <w:lang w:val="lv-LV"/>
              </w:rPr>
              <w:t>=</w:t>
            </w:r>
            <w:r w:rsidR="00C9467B" w:rsidRPr="00DF0F7D">
              <w:rPr>
                <w:lang w:val="lv-LV"/>
              </w:rPr>
              <w:t xml:space="preserve"> </w:t>
            </w:r>
            <w:r w:rsidRPr="00DF0F7D">
              <w:rPr>
                <w:lang w:val="lv-LV"/>
              </w:rPr>
              <w:t>Ls 1 146,00.</w:t>
            </w:r>
          </w:p>
        </w:tc>
        <w:tc>
          <w:tcPr>
            <w:tcW w:w="689" w:type="pct"/>
            <w:gridSpan w:val="2"/>
            <w:shd w:val="clear" w:color="auto" w:fill="auto"/>
            <w:vAlign w:val="center"/>
          </w:tcPr>
          <w:p w:rsidR="00904AE3" w:rsidRPr="00DF0F7D" w:rsidRDefault="00904AE3" w:rsidP="00580A44">
            <w:pPr>
              <w:jc w:val="center"/>
              <w:rPr>
                <w:lang w:val="lv-LV"/>
              </w:rPr>
            </w:pPr>
          </w:p>
        </w:tc>
        <w:tc>
          <w:tcPr>
            <w:tcW w:w="719" w:type="pct"/>
            <w:shd w:val="clear" w:color="auto" w:fill="auto"/>
            <w:vAlign w:val="center"/>
          </w:tcPr>
          <w:p w:rsidR="00904AE3" w:rsidRPr="00DF0F7D" w:rsidRDefault="00904AE3" w:rsidP="00580A44">
            <w:pPr>
              <w:jc w:val="center"/>
              <w:rPr>
                <w:lang w:val="lv-LV"/>
              </w:rPr>
            </w:pPr>
          </w:p>
        </w:tc>
        <w:tc>
          <w:tcPr>
            <w:tcW w:w="586" w:type="pct"/>
            <w:shd w:val="clear" w:color="auto" w:fill="auto"/>
            <w:vAlign w:val="center"/>
          </w:tcPr>
          <w:p w:rsidR="00904AE3" w:rsidRPr="00DF0F7D" w:rsidRDefault="00904AE3" w:rsidP="00580A44">
            <w:pPr>
              <w:jc w:val="center"/>
              <w:rPr>
                <w:lang w:val="lv-LV"/>
              </w:rPr>
            </w:pPr>
          </w:p>
        </w:tc>
        <w:tc>
          <w:tcPr>
            <w:tcW w:w="615" w:type="pct"/>
            <w:shd w:val="clear" w:color="auto" w:fill="auto"/>
            <w:vAlign w:val="center"/>
          </w:tcPr>
          <w:p w:rsidR="00904AE3" w:rsidRPr="00DF0F7D" w:rsidRDefault="00904AE3" w:rsidP="00580A44">
            <w:pPr>
              <w:jc w:val="center"/>
              <w:rPr>
                <w:lang w:val="lv-LV"/>
              </w:rPr>
            </w:pPr>
          </w:p>
        </w:tc>
        <w:tc>
          <w:tcPr>
            <w:tcW w:w="584" w:type="pct"/>
            <w:shd w:val="clear" w:color="auto" w:fill="auto"/>
            <w:vAlign w:val="center"/>
          </w:tcPr>
          <w:p w:rsidR="00904AE3" w:rsidRPr="00DF0F7D" w:rsidRDefault="00904AE3" w:rsidP="00580A44">
            <w:pPr>
              <w:jc w:val="center"/>
              <w:rPr>
                <w:lang w:val="lv-LV"/>
              </w:rPr>
            </w:pP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209"/>
        </w:trPr>
        <w:tc>
          <w:tcPr>
            <w:tcW w:w="1774" w:type="pct"/>
            <w:gridSpan w:val="4"/>
            <w:shd w:val="clear" w:color="auto" w:fill="auto"/>
            <w:vAlign w:val="center"/>
            <w:hideMark/>
          </w:tcPr>
          <w:p w:rsidR="00904AE3" w:rsidRPr="00DF0F7D" w:rsidRDefault="00904AE3" w:rsidP="000A0DA0">
            <w:pPr>
              <w:jc w:val="both"/>
              <w:rPr>
                <w:lang w:val="lv-LV"/>
              </w:rPr>
            </w:pPr>
            <w:r w:rsidRPr="00DF0F7D">
              <w:rPr>
                <w:lang w:val="lv-LV"/>
              </w:rPr>
              <w:lastRenderedPageBreak/>
              <w:t xml:space="preserve">6.2.3. </w:t>
            </w:r>
            <w:r w:rsidR="000A0DA0" w:rsidRPr="00DF0F7D">
              <w:rPr>
                <w:lang w:val="lv-LV"/>
              </w:rPr>
              <w:t>i</w:t>
            </w:r>
            <w:r w:rsidRPr="00DF0F7D">
              <w:rPr>
                <w:lang w:val="lv-LV"/>
              </w:rPr>
              <w:t>zdevumi produktu sertificēšanai Nacionālajā pārtikas kvalitātes shēmā un atkārtotu pārbaužu veikšanai neatbilstību gadījumā</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E02806" w:rsidP="00580A44">
            <w:pPr>
              <w:jc w:val="center"/>
              <w:rPr>
                <w:bCs/>
                <w:lang w:val="lv-LV"/>
              </w:rPr>
            </w:pPr>
            <w:r w:rsidRPr="00DF0F7D">
              <w:rPr>
                <w:bCs/>
                <w:lang w:val="lv-LV"/>
              </w:rPr>
              <w:t>9,0</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15,9</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15,9</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15,9</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904AE3" w:rsidP="000A0DA0">
            <w:pPr>
              <w:jc w:val="both"/>
              <w:rPr>
                <w:lang w:val="lv-LV"/>
              </w:rPr>
            </w:pPr>
            <w:r w:rsidRPr="00DF0F7D">
              <w:rPr>
                <w:lang w:val="lv-LV"/>
              </w:rPr>
              <w:t>6.2.3.1.</w:t>
            </w:r>
            <w:r w:rsidR="000A0DA0" w:rsidRPr="00DF0F7D">
              <w:rPr>
                <w:lang w:val="lv-LV"/>
              </w:rPr>
              <w:t xml:space="preserve"> i</w:t>
            </w:r>
            <w:r w:rsidRPr="00DF0F7D">
              <w:rPr>
                <w:lang w:val="lv-LV"/>
              </w:rPr>
              <w:t>zdevumi produktu sertificēšanai Nacionālajā pārtikas kvalitātes shēmā.</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501960" w:rsidP="00580A44">
            <w:pPr>
              <w:jc w:val="center"/>
              <w:rPr>
                <w:bCs/>
                <w:lang w:val="lv-LV"/>
              </w:rPr>
            </w:pPr>
            <w:r w:rsidRPr="00DF0F7D">
              <w:rPr>
                <w:bCs/>
                <w:lang w:val="lv-LV"/>
              </w:rPr>
              <w:t>6,6</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13,5</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13,5</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13,5</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435"/>
        </w:trPr>
        <w:tc>
          <w:tcPr>
            <w:tcW w:w="1774" w:type="pct"/>
            <w:gridSpan w:val="4"/>
            <w:shd w:val="clear" w:color="auto" w:fill="auto"/>
            <w:vAlign w:val="center"/>
            <w:hideMark/>
          </w:tcPr>
          <w:p w:rsidR="00904AE3" w:rsidRPr="00DF0F7D" w:rsidRDefault="00904AE3" w:rsidP="007B7C17">
            <w:pPr>
              <w:jc w:val="both"/>
              <w:rPr>
                <w:lang w:val="lv-LV"/>
              </w:rPr>
            </w:pPr>
            <w:r w:rsidRPr="00DF0F7D">
              <w:rPr>
                <w:lang w:val="lv-LV"/>
              </w:rPr>
              <w:t xml:space="preserve">Pakalpojuma sniegšanas nodrošināšanai nepieciešamās pakalpojuma vienības ir viena inspektora darba stunda Ls 7,50 un transporta izmaksas par </w:t>
            </w:r>
            <w:r w:rsidR="008957BF" w:rsidRPr="00DF0F7D">
              <w:rPr>
                <w:lang w:val="lv-LV"/>
              </w:rPr>
              <w:t>vienu</w:t>
            </w:r>
            <w:r w:rsidRPr="00DF0F7D">
              <w:rPr>
                <w:lang w:val="lv-LV"/>
              </w:rPr>
              <w:t xml:space="preserve"> kilometru Ls 0,18.</w:t>
            </w:r>
            <w:r w:rsidRPr="00DF0F7D">
              <w:rPr>
                <w:lang w:val="lv-LV"/>
              </w:rPr>
              <w:br/>
              <w:t xml:space="preserve">Vienas pārbaudes veikšanai nepieciešamas 32 inspektora darba stundas un </w:t>
            </w:r>
            <w:r w:rsidR="009F3750" w:rsidRPr="00DF0F7D">
              <w:rPr>
                <w:lang w:val="lv-LV"/>
              </w:rPr>
              <w:t xml:space="preserve">jānobrauc </w:t>
            </w:r>
            <w:r w:rsidRPr="00DF0F7D">
              <w:rPr>
                <w:lang w:val="lv-LV"/>
              </w:rPr>
              <w:t>vidēji 200 km līdz kontroles vietai un atpakaļ līdz pastāvīgajai darbavietai.</w:t>
            </w:r>
            <w:r w:rsidRPr="00DF0F7D">
              <w:rPr>
                <w:lang w:val="lv-LV"/>
              </w:rPr>
              <w:br/>
              <w:t>2013.</w:t>
            </w:r>
            <w:r w:rsidR="007B7C17" w:rsidRPr="00DF0F7D">
              <w:rPr>
                <w:lang w:val="lv-LV"/>
              </w:rPr>
              <w:t>gadā plānots veikt 24 uzņēmumu pārbaudes</w:t>
            </w:r>
            <w:r w:rsidRPr="00DF0F7D">
              <w:rPr>
                <w:lang w:val="lv-LV"/>
              </w:rPr>
              <w:t xml:space="preserve">, 2014., 2015. un 2016.gadā </w:t>
            </w:r>
            <w:r w:rsidR="007B7C17" w:rsidRPr="00DF0F7D">
              <w:rPr>
                <w:lang w:val="lv-LV"/>
              </w:rPr>
              <w:t xml:space="preserve">– </w:t>
            </w:r>
            <w:r w:rsidRPr="00DF0F7D">
              <w:rPr>
                <w:lang w:val="lv-LV"/>
              </w:rPr>
              <w:t xml:space="preserve">49 uzņēmumu pārbaudes. </w:t>
            </w:r>
          </w:p>
        </w:tc>
        <w:tc>
          <w:tcPr>
            <w:tcW w:w="689" w:type="pct"/>
            <w:gridSpan w:val="2"/>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719"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586"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615"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584"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t>Atlīdzība, EKK 1000</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AF41B6" w:rsidP="00580A44">
            <w:pPr>
              <w:jc w:val="center"/>
              <w:rPr>
                <w:bCs/>
                <w:lang w:val="lv-LV"/>
              </w:rPr>
            </w:pPr>
            <w:r w:rsidRPr="00DF0F7D">
              <w:rPr>
                <w:bCs/>
                <w:lang w:val="lv-LV"/>
              </w:rPr>
              <w:t>2</w:t>
            </w:r>
            <w:r w:rsidR="00904AE3" w:rsidRPr="00DF0F7D">
              <w:rPr>
                <w:bCs/>
                <w:lang w:val="lv-LV"/>
              </w:rPr>
              <w:t>,8</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5,8</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5,8</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5,8</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t xml:space="preserve">Atalgojums, EKK 1100. </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AF41B6" w:rsidP="00580A44">
            <w:pPr>
              <w:jc w:val="center"/>
              <w:rPr>
                <w:lang w:val="lv-LV"/>
              </w:rPr>
            </w:pPr>
            <w:r w:rsidRPr="00DF0F7D">
              <w:rPr>
                <w:lang w:val="lv-LV"/>
              </w:rPr>
              <w:t>2,3</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4,7</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4,7</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4,7</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1693"/>
        </w:trPr>
        <w:tc>
          <w:tcPr>
            <w:tcW w:w="1774" w:type="pct"/>
            <w:gridSpan w:val="4"/>
            <w:shd w:val="clear" w:color="auto" w:fill="auto"/>
            <w:vAlign w:val="center"/>
            <w:hideMark/>
          </w:tcPr>
          <w:p w:rsidR="00E55353" w:rsidRPr="00DF0F7D" w:rsidRDefault="00E55353" w:rsidP="00E55353">
            <w:pPr>
              <w:jc w:val="both"/>
              <w:rPr>
                <w:lang w:val="lv-LV"/>
              </w:rPr>
            </w:pPr>
            <w:r w:rsidRPr="00DF0F7D">
              <w:rPr>
                <w:lang w:val="lv-LV"/>
              </w:rPr>
              <w:t>Viena inspektora darba stunda maksā Ls 2,97 (495/167). Viena uzņēmuma pārbaudes nodrošināšanai nepieciešamas 32 inspektora darba stundas, 2013.gadā pārbaudēm pakļauti 24 uzņēmumi, t.i., 2,97 Ls/stundā * 32 stundas * 24 pārbaudes = Ls 2 280,96.</w:t>
            </w:r>
          </w:p>
          <w:p w:rsidR="00904AE3" w:rsidRPr="00DF0F7D" w:rsidRDefault="00E55353" w:rsidP="00181049">
            <w:pPr>
              <w:jc w:val="both"/>
              <w:rPr>
                <w:lang w:val="lv-LV"/>
              </w:rPr>
            </w:pPr>
            <w:r w:rsidRPr="00DF0F7D">
              <w:rPr>
                <w:lang w:val="lv-LV"/>
              </w:rPr>
              <w:t xml:space="preserve">2014., 2015. un 2016.gadā </w:t>
            </w:r>
            <w:r w:rsidR="00181049" w:rsidRPr="00DF0F7D">
              <w:rPr>
                <w:lang w:val="lv-LV"/>
              </w:rPr>
              <w:t>plānotas</w:t>
            </w:r>
            <w:r w:rsidRPr="00DF0F7D">
              <w:rPr>
                <w:lang w:val="lv-LV"/>
              </w:rPr>
              <w:t xml:space="preserve"> 49 uzņēmumu pārbaudes, t.i., 2,97 Ls/stundā * 32 stundas * 49 pārbaudes = Ls 4 656,96.</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lastRenderedPageBreak/>
              <w:t>Darba devēja valsts sociālās apdrošināšanas obligātā</w:t>
            </w:r>
            <w:r w:rsidR="00234884" w:rsidRPr="00DF0F7D">
              <w:rPr>
                <w:lang w:val="lv-LV"/>
              </w:rPr>
              <w:t>s</w:t>
            </w:r>
            <w:r w:rsidRPr="00DF0F7D">
              <w:rPr>
                <w:lang w:val="lv-LV"/>
              </w:rPr>
              <w:t xml:space="preserve"> iemaksas, EKK 1200. </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E55353" w:rsidP="00580A44">
            <w:pPr>
              <w:jc w:val="center"/>
              <w:rPr>
                <w:lang w:val="lv-LV"/>
              </w:rPr>
            </w:pPr>
            <w:r w:rsidRPr="00DF0F7D">
              <w:rPr>
                <w:lang w:val="lv-LV"/>
              </w:rPr>
              <w:t>0,5</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1,1</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1,1</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1,1</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566"/>
        </w:trPr>
        <w:tc>
          <w:tcPr>
            <w:tcW w:w="1774" w:type="pct"/>
            <w:gridSpan w:val="4"/>
            <w:shd w:val="clear" w:color="auto" w:fill="auto"/>
            <w:vAlign w:val="center"/>
            <w:hideMark/>
          </w:tcPr>
          <w:p w:rsidR="002528C7" w:rsidRPr="00DF0F7D" w:rsidRDefault="002528C7" w:rsidP="002528C7">
            <w:pPr>
              <w:jc w:val="both"/>
              <w:rPr>
                <w:lang w:val="lv-LV"/>
              </w:rPr>
            </w:pPr>
            <w:r w:rsidRPr="00DF0F7D">
              <w:rPr>
                <w:lang w:val="lv-LV"/>
              </w:rPr>
              <w:t>Viena inspektora darba stunda maksā Ls 2,97 un VSAOI ir Ls 0,71 stundā (495/167 * 24,09%). Viena uzņēmuma pārbaudes nodrošināšanai nepieciešamas 32 inspektora darba stundas, 2013.gadā pārbaudēm pakļauti 24 uzņēmumi, t.i., 0,71 Ls/stundā * 32 stundas * 24 pārbaudes = Ls 545,28.</w:t>
            </w:r>
          </w:p>
          <w:p w:rsidR="00904AE3" w:rsidRPr="00DF0F7D" w:rsidRDefault="002528C7" w:rsidP="008714A5">
            <w:pPr>
              <w:jc w:val="both"/>
              <w:rPr>
                <w:lang w:val="lv-LV"/>
              </w:rPr>
            </w:pPr>
            <w:r w:rsidRPr="00DF0F7D">
              <w:rPr>
                <w:lang w:val="lv-LV"/>
              </w:rPr>
              <w:t xml:space="preserve">2014., 2015. un 2016.gadā </w:t>
            </w:r>
            <w:r w:rsidR="008714A5" w:rsidRPr="00DF0F7D">
              <w:rPr>
                <w:lang w:val="lv-LV"/>
              </w:rPr>
              <w:t>plānotas</w:t>
            </w:r>
            <w:r w:rsidRPr="00DF0F7D">
              <w:rPr>
                <w:lang w:val="lv-LV"/>
              </w:rPr>
              <w:t xml:space="preserve"> 49 uzņēmumu pārbaudes, t.i., 0,71 Ls/stundā * 32 stundas * 49 pārbaudes = Ls 1 113,28.</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t>Preces un pakalpojumi, EKK 2000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2528C7" w:rsidP="00580A44">
            <w:pPr>
              <w:jc w:val="center"/>
              <w:rPr>
                <w:lang w:val="lv-LV"/>
              </w:rPr>
            </w:pPr>
            <w:r w:rsidRPr="00DF0F7D">
              <w:rPr>
                <w:lang w:val="lv-LV"/>
              </w:rPr>
              <w:t>3,8</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7,7</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7,7</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7,7</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509"/>
        </w:trPr>
        <w:tc>
          <w:tcPr>
            <w:tcW w:w="1774" w:type="pct"/>
            <w:gridSpan w:val="4"/>
            <w:shd w:val="clear" w:color="auto" w:fill="auto"/>
            <w:vAlign w:val="center"/>
            <w:hideMark/>
          </w:tcPr>
          <w:p w:rsidR="004458AD" w:rsidRPr="00DF0F7D" w:rsidRDefault="004458AD" w:rsidP="004458AD">
            <w:pPr>
              <w:jc w:val="both"/>
              <w:rPr>
                <w:lang w:val="lv-LV"/>
              </w:rPr>
            </w:pPr>
            <w:r w:rsidRPr="00DF0F7D">
              <w:rPr>
                <w:lang w:val="lv-LV"/>
              </w:rPr>
              <w:t xml:space="preserve">Izdevumi par precēm un pakalpojumiem ir Ls 3,82 stundā (sakaru pakalpojumi Ls 0,18; automašīnas noma Ls 2,37; pārējie administratīvie izdevumi (mērinstrumentu kalibrēšana, e-taloni) Ls 0,13; vienreizlietojamais apģērbs (halāts, </w:t>
            </w:r>
            <w:proofErr w:type="spellStart"/>
            <w:r w:rsidRPr="00DF0F7D">
              <w:rPr>
                <w:lang w:val="lv-LV"/>
              </w:rPr>
              <w:t>bahilas</w:t>
            </w:r>
            <w:proofErr w:type="spellEnd"/>
            <w:r w:rsidRPr="00DF0F7D">
              <w:rPr>
                <w:lang w:val="lv-LV"/>
              </w:rPr>
              <w:t xml:space="preserve">, cimdi) Ls 0,80; </w:t>
            </w:r>
            <w:proofErr w:type="spellStart"/>
            <w:r w:rsidRPr="00DF0F7D">
              <w:rPr>
                <w:lang w:val="lv-LV"/>
              </w:rPr>
              <w:t>paškopējošās</w:t>
            </w:r>
            <w:proofErr w:type="spellEnd"/>
            <w:r w:rsidRPr="00DF0F7D">
              <w:rPr>
                <w:lang w:val="lv-LV"/>
              </w:rPr>
              <w:t xml:space="preserve"> veidlapas, korespondences nodrošināšana Ls 0,30; toneris, citas kancelejas preces Ls 0,04).</w:t>
            </w:r>
          </w:p>
          <w:p w:rsidR="00E95850" w:rsidRPr="00DF0F7D" w:rsidRDefault="00E95850" w:rsidP="00E95850">
            <w:pPr>
              <w:jc w:val="both"/>
              <w:rPr>
                <w:lang w:val="lv-LV"/>
              </w:rPr>
            </w:pPr>
            <w:r w:rsidRPr="00DF0F7D">
              <w:rPr>
                <w:lang w:val="lv-LV"/>
              </w:rPr>
              <w:t>2013.gadā pārbaudēm pakļauti 24 uzņēmumi, t.i., 3,82 Ls/stundā * 32 stundas * 24 pārbaudes = Ls 2 933,76.</w:t>
            </w:r>
          </w:p>
          <w:p w:rsidR="00904AE3" w:rsidRPr="00DF0F7D" w:rsidRDefault="00E95850" w:rsidP="008F5C5F">
            <w:pPr>
              <w:jc w:val="both"/>
              <w:rPr>
                <w:lang w:val="lv-LV"/>
              </w:rPr>
            </w:pPr>
            <w:r w:rsidRPr="00DF0F7D">
              <w:rPr>
                <w:lang w:val="lv-LV"/>
              </w:rPr>
              <w:t>2014., 2015. un 2016.gadā 49 uzņēmumu pārbaudei nepieciešami Ls 5 989,76 (Ls 3,82 stundā * 32 stundas * 49 uzņēmumi = Ls 5 989,76).</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E95850" w:rsidP="00580A44">
            <w:pPr>
              <w:jc w:val="center"/>
              <w:rPr>
                <w:lang w:val="lv-LV"/>
              </w:rPr>
            </w:pPr>
            <w:r w:rsidRPr="00DF0F7D">
              <w:rPr>
                <w:lang w:val="lv-LV"/>
              </w:rPr>
              <w:t>2,9</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6,0</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6,0</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6,0</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40"/>
        </w:trPr>
        <w:tc>
          <w:tcPr>
            <w:tcW w:w="1774" w:type="pct"/>
            <w:gridSpan w:val="4"/>
            <w:shd w:val="clear" w:color="auto" w:fill="auto"/>
            <w:vAlign w:val="center"/>
            <w:hideMark/>
          </w:tcPr>
          <w:p w:rsidR="00401F5E" w:rsidRPr="00DF0F7D" w:rsidRDefault="00864747" w:rsidP="00864747">
            <w:pPr>
              <w:jc w:val="both"/>
              <w:rPr>
                <w:lang w:val="lv-LV"/>
              </w:rPr>
            </w:pPr>
            <w:r w:rsidRPr="00DF0F7D">
              <w:rPr>
                <w:lang w:val="lv-LV"/>
              </w:rPr>
              <w:t>Tiek plānots, ka vidēji viena uzņēmuma pārbaudes veikšanai būs nepieciešams veikt 200 km līdz kontroles vietai un atpakaļ līdz pastāvīgajai darbavietai.</w:t>
            </w:r>
          </w:p>
          <w:p w:rsidR="00904AE3" w:rsidRPr="00DF0F7D" w:rsidRDefault="00864747" w:rsidP="003E3F13">
            <w:pPr>
              <w:jc w:val="both"/>
              <w:rPr>
                <w:lang w:val="lv-LV"/>
              </w:rPr>
            </w:pPr>
            <w:r w:rsidRPr="00DF0F7D">
              <w:rPr>
                <w:lang w:val="lv-LV"/>
              </w:rPr>
              <w:t xml:space="preserve">2013.gadā plānots veikt 24 </w:t>
            </w:r>
            <w:r w:rsidRPr="00DF0F7D">
              <w:rPr>
                <w:lang w:val="lv-LV"/>
              </w:rPr>
              <w:lastRenderedPageBreak/>
              <w:t xml:space="preserve">pārbaudes, t.i., </w:t>
            </w:r>
            <w:r w:rsidR="00F22537" w:rsidRPr="00DF0F7D">
              <w:rPr>
                <w:lang w:val="lv-LV"/>
              </w:rPr>
              <w:t xml:space="preserve">0,18 </w:t>
            </w:r>
            <w:r w:rsidRPr="00DF0F7D">
              <w:rPr>
                <w:lang w:val="lv-LV"/>
              </w:rPr>
              <w:t>Ls/km *</w:t>
            </w:r>
            <w:r w:rsidR="00F22537" w:rsidRPr="00DF0F7D">
              <w:rPr>
                <w:lang w:val="lv-LV"/>
              </w:rPr>
              <w:t xml:space="preserve"> 200 </w:t>
            </w:r>
            <w:r w:rsidRPr="00DF0F7D">
              <w:rPr>
                <w:lang w:val="lv-LV"/>
              </w:rPr>
              <w:t>km *</w:t>
            </w:r>
            <w:r w:rsidR="00F22537" w:rsidRPr="00DF0F7D">
              <w:rPr>
                <w:lang w:val="lv-LV"/>
              </w:rPr>
              <w:t xml:space="preserve"> 24 </w:t>
            </w:r>
            <w:r w:rsidRPr="00DF0F7D">
              <w:rPr>
                <w:lang w:val="lv-LV"/>
              </w:rPr>
              <w:t>pārbaudes =</w:t>
            </w:r>
            <w:r w:rsidR="00F22537" w:rsidRPr="00DF0F7D">
              <w:rPr>
                <w:lang w:val="lv-LV"/>
              </w:rPr>
              <w:t xml:space="preserve"> </w:t>
            </w:r>
            <w:r w:rsidRPr="00DF0F7D">
              <w:rPr>
                <w:lang w:val="lv-LV"/>
              </w:rPr>
              <w:t>Ls 864,00.</w:t>
            </w:r>
            <w:r w:rsidRPr="00DF0F7D">
              <w:rPr>
                <w:lang w:val="lv-LV"/>
              </w:rPr>
              <w:br/>
              <w:t xml:space="preserve">2014., 2015. un 2016.gadā </w:t>
            </w:r>
            <w:r w:rsidR="00357CA9" w:rsidRPr="00DF0F7D">
              <w:rPr>
                <w:lang w:val="lv-LV"/>
              </w:rPr>
              <w:t>plānotas 49 uzņēmumu p</w:t>
            </w:r>
            <w:r w:rsidR="003E3F13" w:rsidRPr="00DF0F7D">
              <w:rPr>
                <w:lang w:val="lv-LV"/>
              </w:rPr>
              <w:t xml:space="preserve">ārbaudes, t.i., </w:t>
            </w:r>
            <w:r w:rsidR="00F22537" w:rsidRPr="00DF0F7D">
              <w:rPr>
                <w:lang w:val="lv-LV"/>
              </w:rPr>
              <w:t xml:space="preserve">0,18 </w:t>
            </w:r>
            <w:r w:rsidRPr="00DF0F7D">
              <w:rPr>
                <w:lang w:val="lv-LV"/>
              </w:rPr>
              <w:t>Ls/km *</w:t>
            </w:r>
            <w:r w:rsidR="00F22537" w:rsidRPr="00DF0F7D">
              <w:rPr>
                <w:lang w:val="lv-LV"/>
              </w:rPr>
              <w:t xml:space="preserve"> 200 km </w:t>
            </w:r>
            <w:r w:rsidRPr="00DF0F7D">
              <w:rPr>
                <w:lang w:val="lv-LV"/>
              </w:rPr>
              <w:t>*</w:t>
            </w:r>
            <w:r w:rsidR="00F22537" w:rsidRPr="00DF0F7D">
              <w:rPr>
                <w:lang w:val="lv-LV"/>
              </w:rPr>
              <w:t xml:space="preserve"> 49 </w:t>
            </w:r>
            <w:r w:rsidRPr="00DF0F7D">
              <w:rPr>
                <w:lang w:val="lv-LV"/>
              </w:rPr>
              <w:t>pārbaudes =</w:t>
            </w:r>
            <w:r w:rsidR="00F22537" w:rsidRPr="00DF0F7D">
              <w:rPr>
                <w:lang w:val="lv-LV"/>
              </w:rPr>
              <w:t xml:space="preserve"> Ls </w:t>
            </w:r>
            <w:r w:rsidRPr="00DF0F7D">
              <w:rPr>
                <w:lang w:val="lv-LV"/>
              </w:rPr>
              <w:t>1</w:t>
            </w:r>
            <w:r w:rsidR="00F22537" w:rsidRPr="00DF0F7D">
              <w:rPr>
                <w:lang w:val="lv-LV"/>
              </w:rPr>
              <w:t> </w:t>
            </w:r>
            <w:r w:rsidRPr="00DF0F7D">
              <w:rPr>
                <w:lang w:val="lv-LV"/>
              </w:rPr>
              <w:t>764,00.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lastRenderedPageBreak/>
              <w:t>0,0</w:t>
            </w:r>
          </w:p>
        </w:tc>
        <w:tc>
          <w:tcPr>
            <w:tcW w:w="719" w:type="pct"/>
            <w:shd w:val="clear" w:color="auto" w:fill="auto"/>
            <w:vAlign w:val="center"/>
            <w:hideMark/>
          </w:tcPr>
          <w:p w:rsidR="00904AE3" w:rsidRPr="00DF0F7D" w:rsidRDefault="00864747" w:rsidP="00580A44">
            <w:pPr>
              <w:jc w:val="center"/>
              <w:rPr>
                <w:lang w:val="lv-LV"/>
              </w:rPr>
            </w:pPr>
            <w:r w:rsidRPr="00DF0F7D">
              <w:rPr>
                <w:lang w:val="lv-LV"/>
              </w:rPr>
              <w:t>0,9</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1,7</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1,7</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1,7</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702"/>
        </w:trPr>
        <w:tc>
          <w:tcPr>
            <w:tcW w:w="1774" w:type="pct"/>
            <w:gridSpan w:val="4"/>
            <w:shd w:val="clear" w:color="auto" w:fill="auto"/>
            <w:vAlign w:val="center"/>
            <w:hideMark/>
          </w:tcPr>
          <w:p w:rsidR="00904AE3" w:rsidRPr="00DF0F7D" w:rsidRDefault="00904AE3" w:rsidP="003C22A9">
            <w:pPr>
              <w:jc w:val="both"/>
              <w:rPr>
                <w:lang w:val="lv-LV"/>
              </w:rPr>
            </w:pPr>
            <w:r w:rsidRPr="00DF0F7D">
              <w:rPr>
                <w:lang w:val="lv-LV"/>
              </w:rPr>
              <w:lastRenderedPageBreak/>
              <w:t>6.2.3.2.</w:t>
            </w:r>
            <w:r w:rsidR="003C22A9" w:rsidRPr="00DF0F7D">
              <w:rPr>
                <w:lang w:val="lv-LV"/>
              </w:rPr>
              <w:t xml:space="preserve"> i</w:t>
            </w:r>
            <w:r w:rsidRPr="00DF0F7D">
              <w:rPr>
                <w:lang w:val="lv-LV"/>
              </w:rPr>
              <w:t xml:space="preserve">zdevumi par atkārtotu pārbaudi </w:t>
            </w:r>
            <w:proofErr w:type="spellStart"/>
            <w:r w:rsidRPr="00DF0F7D">
              <w:rPr>
                <w:lang w:val="lv-LV"/>
              </w:rPr>
              <w:t>pamatpārbaudē</w:t>
            </w:r>
            <w:proofErr w:type="spellEnd"/>
            <w:r w:rsidRPr="00DF0F7D">
              <w:rPr>
                <w:lang w:val="lv-LV"/>
              </w:rPr>
              <w:t xml:space="preserve"> konstatētu neatbilstību gadījumā.</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904AE3" w:rsidP="00580A44">
            <w:pPr>
              <w:jc w:val="center"/>
              <w:rPr>
                <w:bCs/>
                <w:lang w:val="lv-LV"/>
              </w:rPr>
            </w:pPr>
            <w:r w:rsidRPr="00DF0F7D">
              <w:rPr>
                <w:bCs/>
                <w:lang w:val="lv-LV"/>
              </w:rPr>
              <w:t>2,4</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2,4</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2,4</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2,4</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495"/>
        </w:trPr>
        <w:tc>
          <w:tcPr>
            <w:tcW w:w="1774" w:type="pct"/>
            <w:gridSpan w:val="4"/>
            <w:shd w:val="clear" w:color="auto" w:fill="auto"/>
            <w:vAlign w:val="center"/>
            <w:hideMark/>
          </w:tcPr>
          <w:p w:rsidR="00904AE3" w:rsidRPr="00DF0F7D" w:rsidRDefault="0054760A" w:rsidP="00991E93">
            <w:pPr>
              <w:jc w:val="both"/>
              <w:rPr>
                <w:lang w:val="lv-LV"/>
              </w:rPr>
            </w:pPr>
            <w:r w:rsidRPr="00DF0F7D">
              <w:rPr>
                <w:lang w:val="lv-LV"/>
              </w:rPr>
              <w:t>Pakalpojuma sniegšanas nodrošināšanai nepieciešamās pakalpojuma vienības ir viena inspektora darba stunda Ls 7,50 un transporta izmaksas par vienu kilometru Ls 0,18.</w:t>
            </w:r>
            <w:r w:rsidR="00904AE3" w:rsidRPr="00DF0F7D">
              <w:rPr>
                <w:lang w:val="lv-LV"/>
              </w:rPr>
              <w:br/>
              <w:t xml:space="preserve">Vienas atkārtotas pārbaudes veikšanai nepieciešamas 8 inspektora darba stundas un </w:t>
            </w:r>
            <w:r w:rsidR="00B55B6F" w:rsidRPr="00DF0F7D">
              <w:rPr>
                <w:lang w:val="lv-LV"/>
              </w:rPr>
              <w:t xml:space="preserve">jānobrauc </w:t>
            </w:r>
            <w:r w:rsidR="00904AE3" w:rsidRPr="00DF0F7D">
              <w:rPr>
                <w:lang w:val="lv-LV"/>
              </w:rPr>
              <w:t>vidēji 200 km līdz kontroles vietai un atpakaļ līdz pastāvīgajai darbavietai.</w:t>
            </w:r>
            <w:r w:rsidR="00904AE3" w:rsidRPr="00DF0F7D">
              <w:rPr>
                <w:lang w:val="lv-LV"/>
              </w:rPr>
              <w:br/>
              <w:t xml:space="preserve">2013., 2014., 2015. un 2016.gadā plānots veikt 25 </w:t>
            </w:r>
            <w:r w:rsidR="00991E93" w:rsidRPr="00DF0F7D">
              <w:rPr>
                <w:lang w:val="lv-LV"/>
              </w:rPr>
              <w:t xml:space="preserve">atkārtotas </w:t>
            </w:r>
            <w:r w:rsidR="00904AE3" w:rsidRPr="00DF0F7D">
              <w:rPr>
                <w:lang w:val="lv-LV"/>
              </w:rPr>
              <w:t>uzņēmumu pārbaudes</w:t>
            </w:r>
            <w:r w:rsidR="00991E93" w:rsidRPr="00DF0F7D">
              <w:rPr>
                <w:lang w:val="lv-LV"/>
              </w:rPr>
              <w:t>.</w:t>
            </w:r>
          </w:p>
        </w:tc>
        <w:tc>
          <w:tcPr>
            <w:tcW w:w="689" w:type="pct"/>
            <w:gridSpan w:val="2"/>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719"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586"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615"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c>
          <w:tcPr>
            <w:tcW w:w="584" w:type="pct"/>
            <w:shd w:val="clear" w:color="auto" w:fill="auto"/>
            <w:vAlign w:val="center"/>
            <w:hideMark/>
          </w:tcPr>
          <w:p w:rsidR="00904AE3" w:rsidRPr="00DF0F7D" w:rsidRDefault="00904AE3" w:rsidP="00580A44">
            <w:pPr>
              <w:jc w:val="center"/>
              <w:rPr>
                <w:b/>
                <w:bCs/>
                <w:lang w:val="lv-LV"/>
              </w:rPr>
            </w:pPr>
            <w:r w:rsidRPr="00DF0F7D">
              <w:rPr>
                <w:b/>
                <w:bCs/>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t>Atlīdzība, EKK 1000</w:t>
            </w:r>
          </w:p>
        </w:tc>
        <w:tc>
          <w:tcPr>
            <w:tcW w:w="689" w:type="pct"/>
            <w:gridSpan w:val="2"/>
            <w:shd w:val="clear" w:color="auto" w:fill="auto"/>
            <w:vAlign w:val="center"/>
            <w:hideMark/>
          </w:tcPr>
          <w:p w:rsidR="00904AE3" w:rsidRPr="00DF0F7D" w:rsidRDefault="00904AE3" w:rsidP="00580A44">
            <w:pPr>
              <w:jc w:val="center"/>
              <w:rPr>
                <w:bCs/>
                <w:lang w:val="lv-LV"/>
              </w:rPr>
            </w:pPr>
            <w:r w:rsidRPr="00DF0F7D">
              <w:rPr>
                <w:bCs/>
                <w:lang w:val="lv-LV"/>
              </w:rPr>
              <w:t>0,0</w:t>
            </w:r>
          </w:p>
        </w:tc>
        <w:tc>
          <w:tcPr>
            <w:tcW w:w="719" w:type="pct"/>
            <w:shd w:val="clear" w:color="auto" w:fill="auto"/>
            <w:vAlign w:val="center"/>
            <w:hideMark/>
          </w:tcPr>
          <w:p w:rsidR="00904AE3" w:rsidRPr="00DF0F7D" w:rsidRDefault="00904AE3" w:rsidP="00580A44">
            <w:pPr>
              <w:jc w:val="center"/>
              <w:rPr>
                <w:bCs/>
                <w:lang w:val="lv-LV"/>
              </w:rPr>
            </w:pPr>
            <w:r w:rsidRPr="00DF0F7D">
              <w:rPr>
                <w:bCs/>
                <w:lang w:val="lv-LV"/>
              </w:rPr>
              <w:t>0,7</w:t>
            </w:r>
          </w:p>
        </w:tc>
        <w:tc>
          <w:tcPr>
            <w:tcW w:w="586" w:type="pct"/>
            <w:shd w:val="clear" w:color="auto" w:fill="auto"/>
            <w:vAlign w:val="center"/>
            <w:hideMark/>
          </w:tcPr>
          <w:p w:rsidR="00904AE3" w:rsidRPr="00DF0F7D" w:rsidRDefault="00904AE3" w:rsidP="00580A44">
            <w:pPr>
              <w:jc w:val="center"/>
              <w:rPr>
                <w:bCs/>
                <w:lang w:val="lv-LV"/>
              </w:rPr>
            </w:pPr>
            <w:r w:rsidRPr="00DF0F7D">
              <w:rPr>
                <w:bCs/>
                <w:lang w:val="lv-LV"/>
              </w:rPr>
              <w:t>0,7</w:t>
            </w:r>
          </w:p>
        </w:tc>
        <w:tc>
          <w:tcPr>
            <w:tcW w:w="615" w:type="pct"/>
            <w:shd w:val="clear" w:color="auto" w:fill="auto"/>
            <w:vAlign w:val="center"/>
            <w:hideMark/>
          </w:tcPr>
          <w:p w:rsidR="00904AE3" w:rsidRPr="00DF0F7D" w:rsidRDefault="00904AE3" w:rsidP="00580A44">
            <w:pPr>
              <w:jc w:val="center"/>
              <w:rPr>
                <w:bCs/>
                <w:lang w:val="lv-LV"/>
              </w:rPr>
            </w:pPr>
            <w:r w:rsidRPr="00DF0F7D">
              <w:rPr>
                <w:bCs/>
                <w:lang w:val="lv-LV"/>
              </w:rPr>
              <w:t>0,7</w:t>
            </w:r>
          </w:p>
        </w:tc>
        <w:tc>
          <w:tcPr>
            <w:tcW w:w="584" w:type="pct"/>
            <w:shd w:val="clear" w:color="auto" w:fill="auto"/>
            <w:vAlign w:val="center"/>
            <w:hideMark/>
          </w:tcPr>
          <w:p w:rsidR="00904AE3" w:rsidRPr="00DF0F7D" w:rsidRDefault="00904AE3" w:rsidP="00580A44">
            <w:pPr>
              <w:jc w:val="center"/>
              <w:rPr>
                <w:bCs/>
                <w:lang w:val="lv-LV"/>
              </w:rPr>
            </w:pPr>
            <w:r w:rsidRPr="00DF0F7D">
              <w:rPr>
                <w:bCs/>
                <w:lang w:val="lv-LV"/>
              </w:rPr>
              <w:t>0,7</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t>Atalgojums, EKK 1100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0,6</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0,6</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0,6</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0,6</w:t>
            </w:r>
          </w:p>
        </w:tc>
      </w:tr>
      <w:tr w:rsidR="008F73D3"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1686"/>
        </w:trPr>
        <w:tc>
          <w:tcPr>
            <w:tcW w:w="1774" w:type="pct"/>
            <w:gridSpan w:val="4"/>
            <w:shd w:val="clear" w:color="auto" w:fill="auto"/>
            <w:vAlign w:val="center"/>
            <w:hideMark/>
          </w:tcPr>
          <w:p w:rsidR="00904AE3" w:rsidRPr="00DF0F7D" w:rsidRDefault="00904AE3" w:rsidP="00E82D25">
            <w:pPr>
              <w:jc w:val="both"/>
              <w:rPr>
                <w:lang w:val="lv-LV"/>
              </w:rPr>
            </w:pPr>
            <w:r w:rsidRPr="00DF0F7D">
              <w:rPr>
                <w:lang w:val="lv-LV"/>
              </w:rPr>
              <w:t>Viena inspektora darba stunda maksā 2,97</w:t>
            </w:r>
            <w:r w:rsidR="005F4DB2" w:rsidRPr="00DF0F7D">
              <w:rPr>
                <w:lang w:val="lv-LV"/>
              </w:rPr>
              <w:t xml:space="preserve"> (495/167)</w:t>
            </w:r>
            <w:r w:rsidRPr="00DF0F7D">
              <w:rPr>
                <w:lang w:val="lv-LV"/>
              </w:rPr>
              <w:t xml:space="preserve">. Viena objekta pārbaudes nodrošināšanai nepieciešamas 8 inspektora darba stundas, pārbaudēm pakļauti 25 objekti, t.i., </w:t>
            </w:r>
            <w:r w:rsidR="00E82D25" w:rsidRPr="00DF0F7D">
              <w:rPr>
                <w:lang w:val="lv-LV"/>
              </w:rPr>
              <w:t xml:space="preserve">Ls 2,97 </w:t>
            </w:r>
            <w:r w:rsidRPr="00DF0F7D">
              <w:rPr>
                <w:lang w:val="lv-LV"/>
              </w:rPr>
              <w:t>stundā *</w:t>
            </w:r>
            <w:r w:rsidR="00E82D25" w:rsidRPr="00DF0F7D">
              <w:rPr>
                <w:lang w:val="lv-LV"/>
              </w:rPr>
              <w:t xml:space="preserve"> 8 </w:t>
            </w:r>
            <w:r w:rsidRPr="00DF0F7D">
              <w:rPr>
                <w:lang w:val="lv-LV"/>
              </w:rPr>
              <w:t>stundas *</w:t>
            </w:r>
            <w:r w:rsidR="00E82D25" w:rsidRPr="00DF0F7D">
              <w:rPr>
                <w:lang w:val="lv-LV"/>
              </w:rPr>
              <w:t xml:space="preserve"> 25 </w:t>
            </w:r>
            <w:r w:rsidRPr="00DF0F7D">
              <w:rPr>
                <w:lang w:val="lv-LV"/>
              </w:rPr>
              <w:t>objekti</w:t>
            </w:r>
            <w:r w:rsidR="00E82D25" w:rsidRPr="00DF0F7D">
              <w:rPr>
                <w:lang w:val="lv-LV"/>
              </w:rPr>
              <w:t xml:space="preserve"> </w:t>
            </w:r>
            <w:r w:rsidRPr="00DF0F7D">
              <w:rPr>
                <w:lang w:val="lv-LV"/>
              </w:rPr>
              <w:t>=</w:t>
            </w:r>
            <w:r w:rsidR="00E82D25" w:rsidRPr="00DF0F7D">
              <w:rPr>
                <w:lang w:val="lv-LV"/>
              </w:rPr>
              <w:t xml:space="preserve"> </w:t>
            </w:r>
            <w:r w:rsidRPr="00DF0F7D">
              <w:rPr>
                <w:lang w:val="lv-LV"/>
              </w:rPr>
              <w:t>Ls 594,00.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630"/>
        </w:trPr>
        <w:tc>
          <w:tcPr>
            <w:tcW w:w="1774" w:type="pct"/>
            <w:gridSpan w:val="4"/>
            <w:shd w:val="clear" w:color="auto" w:fill="auto"/>
            <w:vAlign w:val="center"/>
            <w:hideMark/>
          </w:tcPr>
          <w:p w:rsidR="00904AE3" w:rsidRPr="00DF0F7D" w:rsidRDefault="00904AE3" w:rsidP="00B96774">
            <w:pPr>
              <w:jc w:val="both"/>
              <w:rPr>
                <w:lang w:val="lv-LV"/>
              </w:rPr>
            </w:pPr>
            <w:r w:rsidRPr="00DF0F7D">
              <w:rPr>
                <w:lang w:val="lv-LV"/>
              </w:rPr>
              <w:t>Darba devēja valsts sociālās apdrošināšanas obligātā</w:t>
            </w:r>
            <w:r w:rsidR="00E72878" w:rsidRPr="00DF0F7D">
              <w:rPr>
                <w:lang w:val="lv-LV"/>
              </w:rPr>
              <w:t>s</w:t>
            </w:r>
            <w:r w:rsidRPr="00DF0F7D">
              <w:rPr>
                <w:lang w:val="lv-LV"/>
              </w:rPr>
              <w:t xml:space="preserve"> iemaksas, EKK 1200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0,1</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0,1</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0,1</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0,1</w:t>
            </w:r>
          </w:p>
        </w:tc>
      </w:tr>
      <w:tr w:rsidR="008F73D3" w:rsidRPr="00734DD9" w:rsidTr="007A6C35">
        <w:tblPrEx>
          <w:jc w:val="left"/>
          <w:tblCellMar>
            <w:top w:w="0" w:type="dxa"/>
            <w:left w:w="108" w:type="dxa"/>
            <w:bottom w:w="0" w:type="dxa"/>
            <w:right w:w="108" w:type="dxa"/>
          </w:tblCellMar>
          <w:tblLook w:val="04A0"/>
        </w:tblPrEx>
        <w:trPr>
          <w:gridBefore w:val="1"/>
          <w:gridAfter w:val="1"/>
          <w:wBefore w:w="16" w:type="pct"/>
          <w:wAfter w:w="17" w:type="pct"/>
          <w:trHeight w:val="140"/>
        </w:trPr>
        <w:tc>
          <w:tcPr>
            <w:tcW w:w="1774" w:type="pct"/>
            <w:gridSpan w:val="4"/>
            <w:shd w:val="clear" w:color="auto" w:fill="auto"/>
            <w:vAlign w:val="center"/>
            <w:hideMark/>
          </w:tcPr>
          <w:p w:rsidR="00904AE3" w:rsidRPr="00DF0F7D" w:rsidRDefault="00CF0BA8" w:rsidP="00420E9F">
            <w:pPr>
              <w:jc w:val="both"/>
              <w:rPr>
                <w:lang w:val="lv-LV"/>
              </w:rPr>
            </w:pPr>
            <w:r w:rsidRPr="00DF0F7D">
              <w:rPr>
                <w:lang w:val="lv-LV"/>
              </w:rPr>
              <w:t xml:space="preserve">Viena inspektora darba stunda maksā Ls 2,97 un VSAOI ir Ls 0,71 stundā (495/167 * 24,09%). </w:t>
            </w:r>
            <w:r w:rsidR="00904AE3" w:rsidRPr="00DF0F7D">
              <w:rPr>
                <w:lang w:val="lv-LV"/>
              </w:rPr>
              <w:t>Viena objekta pārbaudes nodrošināšanai nepieciešamas 8 inspektora darba stundas, pārbaudēm pakļauti 25 objekti, t.i., Ls</w:t>
            </w:r>
            <w:r w:rsidR="00420E9F" w:rsidRPr="00DF0F7D">
              <w:rPr>
                <w:lang w:val="lv-LV"/>
              </w:rPr>
              <w:t xml:space="preserve"> 0,71 </w:t>
            </w:r>
            <w:r w:rsidR="00904AE3" w:rsidRPr="00DF0F7D">
              <w:rPr>
                <w:lang w:val="lv-LV"/>
              </w:rPr>
              <w:t>stundā *</w:t>
            </w:r>
            <w:r w:rsidR="00420E9F" w:rsidRPr="00DF0F7D">
              <w:rPr>
                <w:lang w:val="lv-LV"/>
              </w:rPr>
              <w:t xml:space="preserve"> 8 </w:t>
            </w:r>
            <w:r w:rsidR="00904AE3" w:rsidRPr="00DF0F7D">
              <w:rPr>
                <w:lang w:val="lv-LV"/>
              </w:rPr>
              <w:t>stundas</w:t>
            </w:r>
            <w:r w:rsidR="00420E9F" w:rsidRPr="00DF0F7D">
              <w:rPr>
                <w:lang w:val="lv-LV"/>
              </w:rPr>
              <w:t xml:space="preserve"> </w:t>
            </w:r>
            <w:r w:rsidR="00904AE3" w:rsidRPr="00DF0F7D">
              <w:rPr>
                <w:lang w:val="lv-LV"/>
              </w:rPr>
              <w:t>*</w:t>
            </w:r>
            <w:r w:rsidR="00420E9F" w:rsidRPr="00DF0F7D">
              <w:rPr>
                <w:lang w:val="lv-LV"/>
              </w:rPr>
              <w:t xml:space="preserve"> 25 </w:t>
            </w:r>
            <w:r w:rsidR="00904AE3" w:rsidRPr="00DF0F7D">
              <w:rPr>
                <w:lang w:val="lv-LV"/>
              </w:rPr>
              <w:t xml:space="preserve">objekti </w:t>
            </w:r>
            <w:r w:rsidR="00904AE3" w:rsidRPr="00DF0F7D">
              <w:rPr>
                <w:lang w:val="lv-LV"/>
              </w:rPr>
              <w:lastRenderedPageBreak/>
              <w:t>=</w:t>
            </w:r>
            <w:r w:rsidR="00420E9F" w:rsidRPr="00DF0F7D">
              <w:rPr>
                <w:lang w:val="lv-LV"/>
              </w:rPr>
              <w:t xml:space="preserve"> </w:t>
            </w:r>
            <w:r w:rsidR="00904AE3" w:rsidRPr="00DF0F7D">
              <w:rPr>
                <w:lang w:val="lv-LV"/>
              </w:rPr>
              <w:t>Ls 142,00.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lastRenderedPageBreak/>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315"/>
        </w:trPr>
        <w:tc>
          <w:tcPr>
            <w:tcW w:w="1774" w:type="pct"/>
            <w:gridSpan w:val="4"/>
            <w:shd w:val="clear" w:color="auto" w:fill="auto"/>
            <w:vAlign w:val="center"/>
            <w:hideMark/>
          </w:tcPr>
          <w:p w:rsidR="00904AE3" w:rsidRPr="00DF0F7D" w:rsidRDefault="00904AE3" w:rsidP="00B96774">
            <w:pPr>
              <w:jc w:val="both"/>
              <w:rPr>
                <w:bCs/>
                <w:lang w:val="lv-LV"/>
              </w:rPr>
            </w:pPr>
            <w:r w:rsidRPr="00DF0F7D">
              <w:rPr>
                <w:bCs/>
                <w:lang w:val="lv-LV"/>
              </w:rPr>
              <w:lastRenderedPageBreak/>
              <w:t>Preces un pakalpojumi, EKK 2000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1,7</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1,7</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1,7</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1,7</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855"/>
        </w:trPr>
        <w:tc>
          <w:tcPr>
            <w:tcW w:w="1774" w:type="pct"/>
            <w:gridSpan w:val="4"/>
            <w:shd w:val="clear" w:color="auto" w:fill="auto"/>
            <w:vAlign w:val="center"/>
            <w:hideMark/>
          </w:tcPr>
          <w:p w:rsidR="00FC27F1" w:rsidRPr="00DF0F7D" w:rsidRDefault="00FC27F1" w:rsidP="00B96774">
            <w:pPr>
              <w:jc w:val="both"/>
              <w:rPr>
                <w:lang w:val="lv-LV"/>
              </w:rPr>
            </w:pPr>
            <w:r w:rsidRPr="00DF0F7D">
              <w:rPr>
                <w:lang w:val="lv-LV"/>
              </w:rPr>
              <w:t xml:space="preserve">Izdevumi par precēm un pakalpojumiem ir Ls 3,82 stundā (sakaru pakalpojumi Ls 0,18; automašīnas noma Ls 2,37; pārējie administratīvie izdevumi (mērinstrumentu kalibrēšana, e-taloni) Ls 0,13; vienreizlietojamais apģērbs (halāts, </w:t>
            </w:r>
            <w:proofErr w:type="spellStart"/>
            <w:r w:rsidRPr="00DF0F7D">
              <w:rPr>
                <w:lang w:val="lv-LV"/>
              </w:rPr>
              <w:t>bahilas</w:t>
            </w:r>
            <w:proofErr w:type="spellEnd"/>
            <w:r w:rsidRPr="00DF0F7D">
              <w:rPr>
                <w:lang w:val="lv-LV"/>
              </w:rPr>
              <w:t xml:space="preserve">, cimdi) Ls 0,80; </w:t>
            </w:r>
            <w:proofErr w:type="spellStart"/>
            <w:r w:rsidRPr="00DF0F7D">
              <w:rPr>
                <w:lang w:val="lv-LV"/>
              </w:rPr>
              <w:t>paškopējošās</w:t>
            </w:r>
            <w:proofErr w:type="spellEnd"/>
            <w:r w:rsidRPr="00DF0F7D">
              <w:rPr>
                <w:lang w:val="lv-LV"/>
              </w:rPr>
              <w:t xml:space="preserve"> veidlapas, korespondences nodrošināšana Ls 0,30; toneris, citas kancelejas preces Ls 0,04).</w:t>
            </w:r>
          </w:p>
          <w:p w:rsidR="00904AE3" w:rsidRPr="00DF0F7D" w:rsidRDefault="00904AE3" w:rsidP="002029FD">
            <w:pPr>
              <w:jc w:val="both"/>
              <w:rPr>
                <w:lang w:val="lv-LV"/>
              </w:rPr>
            </w:pPr>
            <w:r w:rsidRPr="00DF0F7D">
              <w:rPr>
                <w:lang w:val="lv-LV"/>
              </w:rPr>
              <w:t>8 inspektora darba stundu un 25 objektu pārbaudei nepieciešams Ls</w:t>
            </w:r>
            <w:r w:rsidR="002029FD" w:rsidRPr="00DF0F7D">
              <w:rPr>
                <w:lang w:val="lv-LV"/>
              </w:rPr>
              <w:t xml:space="preserve"> 3,82 stundā </w:t>
            </w:r>
            <w:r w:rsidRPr="00DF0F7D">
              <w:rPr>
                <w:lang w:val="lv-LV"/>
              </w:rPr>
              <w:t>*</w:t>
            </w:r>
            <w:r w:rsidR="002029FD" w:rsidRPr="00DF0F7D">
              <w:rPr>
                <w:lang w:val="lv-LV"/>
              </w:rPr>
              <w:t xml:space="preserve"> 8 </w:t>
            </w:r>
            <w:r w:rsidRPr="00DF0F7D">
              <w:rPr>
                <w:lang w:val="lv-LV"/>
              </w:rPr>
              <w:t>stundas *</w:t>
            </w:r>
            <w:r w:rsidR="002029FD" w:rsidRPr="00DF0F7D">
              <w:rPr>
                <w:lang w:val="lv-LV"/>
              </w:rPr>
              <w:t xml:space="preserve"> 25 </w:t>
            </w:r>
            <w:r w:rsidRPr="00DF0F7D">
              <w:rPr>
                <w:lang w:val="lv-LV"/>
              </w:rPr>
              <w:t>objekti =</w:t>
            </w:r>
            <w:r w:rsidR="002029FD" w:rsidRPr="00DF0F7D">
              <w:rPr>
                <w:lang w:val="lv-LV"/>
              </w:rPr>
              <w:t xml:space="preserve"> Ls </w:t>
            </w:r>
            <w:r w:rsidRPr="00DF0F7D">
              <w:rPr>
                <w:lang w:val="lv-LV"/>
              </w:rPr>
              <w:t>764,00.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0,8</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0,8</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0,8</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0,8</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2882"/>
        </w:trPr>
        <w:tc>
          <w:tcPr>
            <w:tcW w:w="1774" w:type="pct"/>
            <w:gridSpan w:val="4"/>
            <w:shd w:val="clear" w:color="auto" w:fill="auto"/>
            <w:vAlign w:val="center"/>
            <w:hideMark/>
          </w:tcPr>
          <w:p w:rsidR="00904AE3" w:rsidRPr="00DF0F7D" w:rsidRDefault="00904AE3" w:rsidP="00302C93">
            <w:pPr>
              <w:jc w:val="both"/>
              <w:rPr>
                <w:lang w:val="lv-LV"/>
              </w:rPr>
            </w:pPr>
            <w:r w:rsidRPr="00DF0F7D">
              <w:rPr>
                <w:lang w:val="lv-LV"/>
              </w:rPr>
              <w:t>Tiek plānots, ka vidēji viena objekta pārbaudes veikšanai būs nepieciešams veikt 200 km līdz kontroles vietai un atpakaļ līdz pastāvīgajai darbavietai.</w:t>
            </w:r>
            <w:r w:rsidRPr="00DF0F7D">
              <w:rPr>
                <w:lang w:val="lv-LV"/>
              </w:rPr>
              <w:br/>
            </w:r>
            <w:r w:rsidR="00302C93" w:rsidRPr="00DF0F7D">
              <w:rPr>
                <w:lang w:val="lv-LV"/>
              </w:rPr>
              <w:t xml:space="preserve">2013., </w:t>
            </w:r>
            <w:r w:rsidRPr="00DF0F7D">
              <w:rPr>
                <w:lang w:val="lv-LV"/>
              </w:rPr>
              <w:t xml:space="preserve">2014., 2015. un 2016.gadā </w:t>
            </w:r>
            <w:r w:rsidR="00302C93" w:rsidRPr="00DF0F7D">
              <w:rPr>
                <w:lang w:val="lv-LV"/>
              </w:rPr>
              <w:t>plānots veikt 25 uzņēmumu pārbaudes. I</w:t>
            </w:r>
            <w:r w:rsidRPr="00DF0F7D">
              <w:rPr>
                <w:lang w:val="lv-LV"/>
              </w:rPr>
              <w:t>zdevumi par transporta izmantošanu ir Ls/km 0,18</w:t>
            </w:r>
            <w:r w:rsidR="00302C93" w:rsidRPr="00DF0F7D">
              <w:rPr>
                <w:lang w:val="lv-LV"/>
              </w:rPr>
              <w:t xml:space="preserve"> </w:t>
            </w:r>
            <w:r w:rsidRPr="00DF0F7D">
              <w:rPr>
                <w:lang w:val="lv-LV"/>
              </w:rPr>
              <w:t>*</w:t>
            </w:r>
            <w:r w:rsidR="00302C93" w:rsidRPr="00DF0F7D">
              <w:rPr>
                <w:lang w:val="lv-LV"/>
              </w:rPr>
              <w:t xml:space="preserve"> 200 </w:t>
            </w:r>
            <w:r w:rsidRPr="00DF0F7D">
              <w:rPr>
                <w:lang w:val="lv-LV"/>
              </w:rPr>
              <w:t>km</w:t>
            </w:r>
            <w:r w:rsidR="00302C93" w:rsidRPr="00DF0F7D">
              <w:rPr>
                <w:lang w:val="lv-LV"/>
              </w:rPr>
              <w:t xml:space="preserve"> </w:t>
            </w:r>
            <w:r w:rsidRPr="00DF0F7D">
              <w:rPr>
                <w:lang w:val="lv-LV"/>
              </w:rPr>
              <w:t>*</w:t>
            </w:r>
            <w:r w:rsidR="00302C93" w:rsidRPr="00DF0F7D">
              <w:rPr>
                <w:lang w:val="lv-LV"/>
              </w:rPr>
              <w:t xml:space="preserve"> 25 </w:t>
            </w:r>
            <w:r w:rsidRPr="00DF0F7D">
              <w:rPr>
                <w:lang w:val="lv-LV"/>
              </w:rPr>
              <w:t>pārbaudes</w:t>
            </w:r>
            <w:r w:rsidR="00302C93" w:rsidRPr="00DF0F7D">
              <w:rPr>
                <w:lang w:val="lv-LV"/>
              </w:rPr>
              <w:t xml:space="preserve"> </w:t>
            </w:r>
            <w:r w:rsidRPr="00DF0F7D">
              <w:rPr>
                <w:lang w:val="lv-LV"/>
              </w:rPr>
              <w:t>=</w:t>
            </w:r>
            <w:r w:rsidR="00302C93" w:rsidRPr="00DF0F7D">
              <w:rPr>
                <w:lang w:val="lv-LV"/>
              </w:rPr>
              <w:t xml:space="preserve"> </w:t>
            </w:r>
            <w:r w:rsidRPr="00DF0F7D">
              <w:rPr>
                <w:lang w:val="lv-LV"/>
              </w:rPr>
              <w:t>Ls 900,00.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0,0</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0,9</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0,9</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910"/>
        </w:trPr>
        <w:tc>
          <w:tcPr>
            <w:tcW w:w="1774" w:type="pct"/>
            <w:gridSpan w:val="4"/>
            <w:shd w:val="clear" w:color="auto" w:fill="auto"/>
            <w:vAlign w:val="center"/>
            <w:hideMark/>
          </w:tcPr>
          <w:p w:rsidR="00B8430C" w:rsidRPr="00DF0F7D" w:rsidRDefault="00904AE3" w:rsidP="00B8430C">
            <w:pPr>
              <w:jc w:val="both"/>
              <w:rPr>
                <w:lang w:val="lv-LV"/>
              </w:rPr>
            </w:pPr>
            <w:r w:rsidRPr="00DF0F7D">
              <w:rPr>
                <w:lang w:val="lv-LV"/>
              </w:rPr>
              <w:t xml:space="preserve">6.2.4. </w:t>
            </w:r>
            <w:r w:rsidR="00A12BE1" w:rsidRPr="00DF0F7D">
              <w:rPr>
                <w:lang w:val="lv-LV"/>
              </w:rPr>
              <w:t>i</w:t>
            </w:r>
            <w:r w:rsidRPr="00DF0F7D">
              <w:rPr>
                <w:lang w:val="lv-LV"/>
              </w:rPr>
              <w:t>zdevumi transportlīdzekļu izmantošanas nodrošināšanai kontroles procesā</w:t>
            </w:r>
            <w:r w:rsidR="00B8430C" w:rsidRPr="00DF0F7D">
              <w:rPr>
                <w:lang w:val="lv-LV"/>
              </w:rPr>
              <w:t>.</w:t>
            </w:r>
          </w:p>
          <w:p w:rsidR="00904AE3" w:rsidRPr="00DF0F7D" w:rsidRDefault="00B8430C" w:rsidP="00B8430C">
            <w:pPr>
              <w:jc w:val="both"/>
              <w:rPr>
                <w:lang w:val="lv-LV"/>
              </w:rPr>
            </w:pPr>
            <w:r w:rsidRPr="00DF0F7D">
              <w:rPr>
                <w:lang w:val="lv-LV"/>
              </w:rPr>
              <w:t>P</w:t>
            </w:r>
            <w:r w:rsidRPr="00DF0F7D">
              <w:rPr>
                <w:bCs/>
                <w:lang w:val="lv-LV"/>
              </w:rPr>
              <w:t>reces un pakalpojumi, EKK 2000</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15,2</w:t>
            </w:r>
          </w:p>
        </w:tc>
        <w:tc>
          <w:tcPr>
            <w:tcW w:w="719" w:type="pct"/>
            <w:shd w:val="clear" w:color="auto" w:fill="auto"/>
            <w:vAlign w:val="center"/>
            <w:hideMark/>
          </w:tcPr>
          <w:p w:rsidR="00904AE3" w:rsidRPr="00DF0F7D" w:rsidRDefault="00FF087E" w:rsidP="00580A44">
            <w:pPr>
              <w:jc w:val="center"/>
              <w:rPr>
                <w:lang w:val="lv-LV"/>
              </w:rPr>
            </w:pPr>
            <w:r w:rsidRPr="00DF0F7D">
              <w:rPr>
                <w:lang w:val="lv-LV"/>
              </w:rPr>
              <w:t>6,3</w:t>
            </w:r>
          </w:p>
        </w:tc>
        <w:tc>
          <w:tcPr>
            <w:tcW w:w="586" w:type="pct"/>
            <w:shd w:val="clear" w:color="auto" w:fill="auto"/>
            <w:vAlign w:val="center"/>
            <w:hideMark/>
          </w:tcPr>
          <w:p w:rsidR="00904AE3" w:rsidRPr="00DF0F7D" w:rsidRDefault="008A1380" w:rsidP="00580A44">
            <w:pPr>
              <w:jc w:val="center"/>
              <w:rPr>
                <w:lang w:val="lv-LV"/>
              </w:rPr>
            </w:pPr>
            <w:r w:rsidRPr="00DF0F7D">
              <w:rPr>
                <w:lang w:val="lv-LV"/>
              </w:rPr>
              <w:t>10,6</w:t>
            </w:r>
          </w:p>
        </w:tc>
        <w:tc>
          <w:tcPr>
            <w:tcW w:w="615" w:type="pct"/>
            <w:shd w:val="clear" w:color="auto" w:fill="auto"/>
            <w:vAlign w:val="center"/>
            <w:hideMark/>
          </w:tcPr>
          <w:p w:rsidR="00904AE3" w:rsidRPr="00DF0F7D" w:rsidRDefault="008A1380" w:rsidP="00580A44">
            <w:pPr>
              <w:jc w:val="center"/>
              <w:rPr>
                <w:lang w:val="lv-LV"/>
              </w:rPr>
            </w:pPr>
            <w:r w:rsidRPr="00DF0F7D">
              <w:rPr>
                <w:lang w:val="lv-LV"/>
              </w:rPr>
              <w:t>10,6</w:t>
            </w:r>
          </w:p>
        </w:tc>
        <w:tc>
          <w:tcPr>
            <w:tcW w:w="584" w:type="pct"/>
            <w:shd w:val="clear" w:color="auto" w:fill="auto"/>
            <w:vAlign w:val="center"/>
            <w:hideMark/>
          </w:tcPr>
          <w:p w:rsidR="00904AE3" w:rsidRPr="00DF0F7D" w:rsidRDefault="008A1380" w:rsidP="00580A44">
            <w:pPr>
              <w:jc w:val="center"/>
              <w:rPr>
                <w:lang w:val="lv-LV"/>
              </w:rPr>
            </w:pPr>
            <w:r w:rsidRPr="00DF0F7D">
              <w:rPr>
                <w:lang w:val="lv-LV"/>
              </w:rPr>
              <w:t>10,6</w:t>
            </w:r>
          </w:p>
        </w:tc>
      </w:tr>
      <w:tr w:rsidR="008F73D3" w:rsidRPr="00DF0F7D" w:rsidTr="00D20539">
        <w:tblPrEx>
          <w:jc w:val="left"/>
          <w:tblCellMar>
            <w:top w:w="0" w:type="dxa"/>
            <w:left w:w="108" w:type="dxa"/>
            <w:bottom w:w="0" w:type="dxa"/>
            <w:right w:w="108" w:type="dxa"/>
          </w:tblCellMar>
          <w:tblLook w:val="04A0"/>
        </w:tblPrEx>
        <w:trPr>
          <w:gridBefore w:val="1"/>
          <w:gridAfter w:val="1"/>
          <w:wBefore w:w="16" w:type="pct"/>
          <w:wAfter w:w="17" w:type="pct"/>
          <w:trHeight w:val="282"/>
        </w:trPr>
        <w:tc>
          <w:tcPr>
            <w:tcW w:w="1774" w:type="pct"/>
            <w:gridSpan w:val="4"/>
            <w:shd w:val="clear" w:color="auto" w:fill="auto"/>
            <w:vAlign w:val="center"/>
            <w:hideMark/>
          </w:tcPr>
          <w:p w:rsidR="00904AE3" w:rsidRPr="00DF0F7D" w:rsidRDefault="00904AE3" w:rsidP="008E51A1">
            <w:pPr>
              <w:jc w:val="both"/>
              <w:rPr>
                <w:lang w:val="lv-LV"/>
              </w:rPr>
            </w:pPr>
            <w:r w:rsidRPr="00DF0F7D">
              <w:rPr>
                <w:lang w:val="lv-LV"/>
              </w:rPr>
              <w:t xml:space="preserve">Transporta izmaksas par </w:t>
            </w:r>
            <w:r w:rsidR="00735F3A" w:rsidRPr="00DF0F7D">
              <w:rPr>
                <w:lang w:val="lv-LV"/>
              </w:rPr>
              <w:t>dienesta</w:t>
            </w:r>
            <w:r w:rsidRPr="00DF0F7D">
              <w:rPr>
                <w:lang w:val="lv-LV"/>
              </w:rPr>
              <w:t xml:space="preserve"> sniegtajiem pakalpojumiem pēc grozījumiem tiek plānota</w:t>
            </w:r>
            <w:r w:rsidR="00735F3A" w:rsidRPr="00DF0F7D">
              <w:rPr>
                <w:lang w:val="lv-LV"/>
              </w:rPr>
              <w:t xml:space="preserve">s Ls </w:t>
            </w:r>
            <w:r w:rsidRPr="00DF0F7D">
              <w:rPr>
                <w:lang w:val="lv-LV"/>
              </w:rPr>
              <w:t xml:space="preserve">0,18 </w:t>
            </w:r>
            <w:r w:rsidR="00735F3A" w:rsidRPr="00DF0F7D">
              <w:rPr>
                <w:lang w:val="lv-LV"/>
              </w:rPr>
              <w:t>par vienu km,</w:t>
            </w:r>
            <w:r w:rsidRPr="00DF0F7D">
              <w:rPr>
                <w:lang w:val="lv-LV"/>
              </w:rPr>
              <w:t xml:space="preserve"> kur Ls</w:t>
            </w:r>
            <w:r w:rsidR="00735F3A" w:rsidRPr="00DF0F7D">
              <w:rPr>
                <w:lang w:val="lv-LV"/>
              </w:rPr>
              <w:t xml:space="preserve"> 0,11</w:t>
            </w:r>
            <w:r w:rsidRPr="00DF0F7D">
              <w:rPr>
                <w:lang w:val="lv-LV"/>
              </w:rPr>
              <w:t xml:space="preserve"> nepieciešami degvielas izdevumu segšanai un </w:t>
            </w:r>
            <w:r w:rsidR="00735F3A" w:rsidRPr="00DF0F7D">
              <w:rPr>
                <w:lang w:val="lv-LV"/>
              </w:rPr>
              <w:t xml:space="preserve">Ls </w:t>
            </w:r>
            <w:r w:rsidRPr="00DF0F7D">
              <w:rPr>
                <w:lang w:val="lv-LV"/>
              </w:rPr>
              <w:t xml:space="preserve">0,07 </w:t>
            </w:r>
            <w:r w:rsidR="008E51A1" w:rsidRPr="00DF0F7D">
              <w:rPr>
                <w:lang w:val="lv-LV"/>
              </w:rPr>
              <w:t xml:space="preserve">ir </w:t>
            </w:r>
            <w:r w:rsidRPr="00DF0F7D">
              <w:rPr>
                <w:lang w:val="lv-LV"/>
              </w:rPr>
              <w:t>transportlīdzekļu uzturēšanai paredzētie izdevumi (Ls</w:t>
            </w:r>
            <w:r w:rsidR="008E51A1" w:rsidRPr="00DF0F7D">
              <w:rPr>
                <w:lang w:val="lv-LV"/>
              </w:rPr>
              <w:t xml:space="preserve"> 0,0542 remonts, Ls 0,0029</w:t>
            </w:r>
            <w:r w:rsidRPr="00DF0F7D">
              <w:rPr>
                <w:lang w:val="lv-LV"/>
              </w:rPr>
              <w:t xml:space="preserve"> apkope, Ls</w:t>
            </w:r>
            <w:r w:rsidR="008E51A1" w:rsidRPr="00DF0F7D">
              <w:rPr>
                <w:lang w:val="lv-LV"/>
              </w:rPr>
              <w:t xml:space="preserve"> 0,0062 </w:t>
            </w:r>
            <w:r w:rsidRPr="00DF0F7D">
              <w:rPr>
                <w:lang w:val="lv-LV"/>
              </w:rPr>
              <w:t xml:space="preserve">rezerves </w:t>
            </w:r>
            <w:r w:rsidRPr="00DF0F7D">
              <w:rPr>
                <w:lang w:val="lv-LV"/>
              </w:rPr>
              <w:lastRenderedPageBreak/>
              <w:t>daļas, Ls</w:t>
            </w:r>
            <w:r w:rsidR="008E51A1" w:rsidRPr="00DF0F7D">
              <w:rPr>
                <w:lang w:val="lv-LV"/>
              </w:rPr>
              <w:t xml:space="preserve"> 0,0092 </w:t>
            </w:r>
            <w:r w:rsidRPr="00DF0F7D">
              <w:rPr>
                <w:lang w:val="lv-LV"/>
              </w:rPr>
              <w:t>apdrošināšana)</w:t>
            </w:r>
            <w:r w:rsidR="00A109A0" w:rsidRPr="00DF0F7D">
              <w:rPr>
                <w:lang w:val="lv-LV"/>
              </w:rPr>
              <w:t>.</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lastRenderedPageBreak/>
              <w:t> </w:t>
            </w:r>
          </w:p>
        </w:tc>
        <w:tc>
          <w:tcPr>
            <w:tcW w:w="719"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 </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2055"/>
        </w:trPr>
        <w:tc>
          <w:tcPr>
            <w:tcW w:w="1774" w:type="pct"/>
            <w:gridSpan w:val="4"/>
            <w:shd w:val="clear" w:color="auto" w:fill="auto"/>
            <w:vAlign w:val="center"/>
            <w:hideMark/>
          </w:tcPr>
          <w:p w:rsidR="00904AE3" w:rsidRPr="00DF0F7D" w:rsidRDefault="00904AE3" w:rsidP="00A109A0">
            <w:pPr>
              <w:jc w:val="both"/>
              <w:rPr>
                <w:lang w:val="lv-LV"/>
              </w:rPr>
            </w:pPr>
            <w:r w:rsidRPr="00DF0F7D">
              <w:rPr>
                <w:lang w:val="lv-LV"/>
              </w:rPr>
              <w:lastRenderedPageBreak/>
              <w:t xml:space="preserve">6.2.4.1. </w:t>
            </w:r>
            <w:r w:rsidR="00A109A0" w:rsidRPr="00DF0F7D">
              <w:rPr>
                <w:lang w:val="lv-LV"/>
              </w:rPr>
              <w:t>c</w:t>
            </w:r>
            <w:r w:rsidRPr="00DF0F7D">
              <w:rPr>
                <w:lang w:val="lv-LV"/>
              </w:rPr>
              <w:t xml:space="preserve">enrāža 1.pielikuma 7., 18., 24.punktā, 3.pielikuma 4.2.apakšpunktā, 4.pielikuma 3.1.apakšpunktā; 5.pielikuma 23.2.apakšpunktā </w:t>
            </w:r>
            <w:r w:rsidR="008F73D3" w:rsidRPr="00DF0F7D">
              <w:rPr>
                <w:lang w:val="lv-LV"/>
              </w:rPr>
              <w:t>noteiktā pakalpojuma cena pēc grozījumiem ir plānota Ls/km 0,18 (šobrīd cena ir 0,09 Ls/km).</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10,9</w:t>
            </w:r>
          </w:p>
        </w:tc>
        <w:tc>
          <w:tcPr>
            <w:tcW w:w="719" w:type="pct"/>
            <w:shd w:val="clear" w:color="auto" w:fill="auto"/>
            <w:vAlign w:val="center"/>
            <w:hideMark/>
          </w:tcPr>
          <w:p w:rsidR="00904AE3" w:rsidRPr="00DF0F7D" w:rsidRDefault="000600E2" w:rsidP="00580A44">
            <w:pPr>
              <w:jc w:val="center"/>
              <w:rPr>
                <w:lang w:val="lv-LV"/>
              </w:rPr>
            </w:pPr>
            <w:r w:rsidRPr="00DF0F7D">
              <w:rPr>
                <w:lang w:val="lv-LV"/>
              </w:rPr>
              <w:t>4,5</w:t>
            </w:r>
          </w:p>
        </w:tc>
        <w:tc>
          <w:tcPr>
            <w:tcW w:w="586" w:type="pct"/>
            <w:shd w:val="clear" w:color="auto" w:fill="auto"/>
            <w:vAlign w:val="center"/>
            <w:hideMark/>
          </w:tcPr>
          <w:p w:rsidR="00904AE3" w:rsidRPr="00DF0F7D" w:rsidRDefault="00EA61A1" w:rsidP="00580A44">
            <w:pPr>
              <w:jc w:val="center"/>
              <w:rPr>
                <w:lang w:val="lv-LV"/>
              </w:rPr>
            </w:pPr>
            <w:r w:rsidRPr="00DF0F7D">
              <w:rPr>
                <w:lang w:val="lv-LV"/>
              </w:rPr>
              <w:t>6,3</w:t>
            </w:r>
          </w:p>
        </w:tc>
        <w:tc>
          <w:tcPr>
            <w:tcW w:w="615" w:type="pct"/>
            <w:shd w:val="clear" w:color="auto" w:fill="auto"/>
            <w:vAlign w:val="center"/>
            <w:hideMark/>
          </w:tcPr>
          <w:p w:rsidR="00904AE3" w:rsidRPr="00DF0F7D" w:rsidRDefault="00EA61A1" w:rsidP="00580A44">
            <w:pPr>
              <w:jc w:val="center"/>
              <w:rPr>
                <w:lang w:val="lv-LV"/>
              </w:rPr>
            </w:pPr>
            <w:r w:rsidRPr="00DF0F7D">
              <w:rPr>
                <w:lang w:val="lv-LV"/>
              </w:rPr>
              <w:t>6,3</w:t>
            </w:r>
          </w:p>
        </w:tc>
        <w:tc>
          <w:tcPr>
            <w:tcW w:w="584" w:type="pct"/>
            <w:shd w:val="clear" w:color="auto" w:fill="auto"/>
            <w:vAlign w:val="center"/>
            <w:hideMark/>
          </w:tcPr>
          <w:p w:rsidR="00904AE3" w:rsidRPr="00DF0F7D" w:rsidRDefault="00EA61A1" w:rsidP="00580A44">
            <w:pPr>
              <w:jc w:val="center"/>
              <w:rPr>
                <w:lang w:val="lv-LV"/>
              </w:rPr>
            </w:pPr>
            <w:r w:rsidRPr="00DF0F7D">
              <w:rPr>
                <w:lang w:val="lv-LV"/>
              </w:rPr>
              <w:t>6,3</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945"/>
        </w:trPr>
        <w:tc>
          <w:tcPr>
            <w:tcW w:w="1774" w:type="pct"/>
            <w:gridSpan w:val="4"/>
            <w:shd w:val="clear" w:color="auto" w:fill="auto"/>
            <w:vAlign w:val="center"/>
            <w:hideMark/>
          </w:tcPr>
          <w:p w:rsidR="00904AE3" w:rsidRPr="00DF0F7D" w:rsidRDefault="00904AE3" w:rsidP="00A33672">
            <w:pPr>
              <w:jc w:val="both"/>
              <w:rPr>
                <w:lang w:val="lv-LV"/>
              </w:rPr>
            </w:pPr>
            <w:r w:rsidRPr="00DF0F7D">
              <w:rPr>
                <w:lang w:val="lv-LV"/>
              </w:rPr>
              <w:t>2013.gadā kopējā kilometrāža tiek plānota km 120 876, t.i.,</w:t>
            </w:r>
            <w:r w:rsidR="00E83BCF" w:rsidRPr="00DF0F7D">
              <w:rPr>
                <w:lang w:val="lv-LV"/>
              </w:rPr>
              <w:t xml:space="preserve"> sākotnēji plānotie izdevumi ir</w:t>
            </w:r>
            <w:r w:rsidRPr="00DF0F7D">
              <w:rPr>
                <w:lang w:val="lv-LV"/>
              </w:rPr>
              <w:t xml:space="preserve"> 120</w:t>
            </w:r>
            <w:r w:rsidR="00A33672" w:rsidRPr="00DF0F7D">
              <w:rPr>
                <w:lang w:val="lv-LV"/>
              </w:rPr>
              <w:t> </w:t>
            </w:r>
            <w:r w:rsidRPr="00DF0F7D">
              <w:rPr>
                <w:lang w:val="lv-LV"/>
              </w:rPr>
              <w:t>876</w:t>
            </w:r>
            <w:r w:rsidR="00A33672" w:rsidRPr="00DF0F7D">
              <w:rPr>
                <w:lang w:val="lv-LV"/>
              </w:rPr>
              <w:t xml:space="preserve"> km </w:t>
            </w:r>
            <w:r w:rsidRPr="00DF0F7D">
              <w:rPr>
                <w:lang w:val="lv-LV"/>
              </w:rPr>
              <w:t>*</w:t>
            </w:r>
            <w:r w:rsidR="00A33672" w:rsidRPr="00DF0F7D">
              <w:rPr>
                <w:lang w:val="lv-LV"/>
              </w:rPr>
              <w:t xml:space="preserve"> 0,09 </w:t>
            </w:r>
            <w:r w:rsidRPr="00DF0F7D">
              <w:rPr>
                <w:lang w:val="lv-LV"/>
              </w:rPr>
              <w:t>Ls/km =</w:t>
            </w:r>
            <w:r w:rsidR="00A33672" w:rsidRPr="00DF0F7D">
              <w:rPr>
                <w:lang w:val="lv-LV"/>
              </w:rPr>
              <w:t xml:space="preserve"> </w:t>
            </w:r>
            <w:r w:rsidRPr="00DF0F7D">
              <w:rPr>
                <w:lang w:val="lv-LV"/>
              </w:rPr>
              <w:t>Ls 10 878,84.</w:t>
            </w:r>
          </w:p>
        </w:tc>
        <w:tc>
          <w:tcPr>
            <w:tcW w:w="689" w:type="pct"/>
            <w:gridSpan w:val="2"/>
            <w:shd w:val="clear" w:color="auto" w:fill="auto"/>
            <w:vAlign w:val="center"/>
            <w:hideMark/>
          </w:tcPr>
          <w:p w:rsidR="00904AE3" w:rsidRPr="00DF0F7D" w:rsidRDefault="00904AE3" w:rsidP="00580A44">
            <w:pPr>
              <w:jc w:val="center"/>
              <w:rPr>
                <w:i/>
                <w:iCs/>
                <w:lang w:val="lv-LV"/>
              </w:rPr>
            </w:pPr>
            <w:r w:rsidRPr="00DF0F7D">
              <w:rPr>
                <w:i/>
                <w:iCs/>
                <w:lang w:val="lv-LV"/>
              </w:rPr>
              <w:t> </w:t>
            </w:r>
          </w:p>
        </w:tc>
        <w:tc>
          <w:tcPr>
            <w:tcW w:w="719" w:type="pct"/>
            <w:shd w:val="clear" w:color="auto" w:fill="auto"/>
            <w:vAlign w:val="center"/>
            <w:hideMark/>
          </w:tcPr>
          <w:p w:rsidR="00904AE3" w:rsidRPr="00DF0F7D" w:rsidRDefault="00904AE3" w:rsidP="00580A44">
            <w:pPr>
              <w:jc w:val="center"/>
              <w:rPr>
                <w:i/>
                <w:iCs/>
                <w:lang w:val="lv-LV"/>
              </w:rPr>
            </w:pPr>
            <w:r w:rsidRPr="00DF0F7D">
              <w:rPr>
                <w:i/>
                <w:iCs/>
                <w:lang w:val="lv-LV"/>
              </w:rPr>
              <w:t> </w:t>
            </w:r>
          </w:p>
        </w:tc>
        <w:tc>
          <w:tcPr>
            <w:tcW w:w="586" w:type="pct"/>
            <w:shd w:val="clear" w:color="auto" w:fill="auto"/>
            <w:vAlign w:val="center"/>
            <w:hideMark/>
          </w:tcPr>
          <w:p w:rsidR="00904AE3" w:rsidRPr="00DF0F7D" w:rsidRDefault="00904AE3" w:rsidP="00580A44">
            <w:pPr>
              <w:jc w:val="center"/>
              <w:rPr>
                <w:i/>
                <w:iCs/>
                <w:lang w:val="lv-LV"/>
              </w:rPr>
            </w:pPr>
            <w:r w:rsidRPr="00DF0F7D">
              <w:rPr>
                <w:i/>
                <w:iCs/>
                <w:lang w:val="lv-LV"/>
              </w:rPr>
              <w:t> </w:t>
            </w:r>
          </w:p>
        </w:tc>
        <w:tc>
          <w:tcPr>
            <w:tcW w:w="615" w:type="pct"/>
            <w:shd w:val="clear" w:color="auto" w:fill="auto"/>
            <w:vAlign w:val="center"/>
            <w:hideMark/>
          </w:tcPr>
          <w:p w:rsidR="00904AE3" w:rsidRPr="00DF0F7D" w:rsidRDefault="00904AE3" w:rsidP="00580A44">
            <w:pPr>
              <w:jc w:val="center"/>
              <w:rPr>
                <w:i/>
                <w:iCs/>
                <w:lang w:val="lv-LV"/>
              </w:rPr>
            </w:pPr>
            <w:r w:rsidRPr="00DF0F7D">
              <w:rPr>
                <w:i/>
                <w:iCs/>
                <w:lang w:val="lv-LV"/>
              </w:rPr>
              <w:t> </w:t>
            </w:r>
          </w:p>
        </w:tc>
        <w:tc>
          <w:tcPr>
            <w:tcW w:w="584" w:type="pct"/>
            <w:shd w:val="clear" w:color="auto" w:fill="auto"/>
            <w:vAlign w:val="center"/>
            <w:hideMark/>
          </w:tcPr>
          <w:p w:rsidR="00904AE3" w:rsidRPr="00DF0F7D" w:rsidRDefault="00904AE3" w:rsidP="00580A44">
            <w:pPr>
              <w:jc w:val="center"/>
              <w:rPr>
                <w:i/>
                <w:iCs/>
                <w:lang w:val="lv-LV"/>
              </w:rPr>
            </w:pPr>
            <w:r w:rsidRPr="00DF0F7D">
              <w:rPr>
                <w:i/>
                <w:iCs/>
                <w:lang w:val="lv-LV"/>
              </w:rPr>
              <w:t> </w:t>
            </w:r>
          </w:p>
        </w:tc>
      </w:tr>
      <w:tr w:rsidR="004249D9"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2205"/>
        </w:trPr>
        <w:tc>
          <w:tcPr>
            <w:tcW w:w="1774" w:type="pct"/>
            <w:gridSpan w:val="4"/>
            <w:shd w:val="clear" w:color="auto" w:fill="auto"/>
            <w:vAlign w:val="center"/>
            <w:hideMark/>
          </w:tcPr>
          <w:p w:rsidR="004249D9" w:rsidRPr="00DF0F7D" w:rsidRDefault="004249D9" w:rsidP="00A742FB">
            <w:pPr>
              <w:jc w:val="both"/>
              <w:rPr>
                <w:lang w:val="lv-LV"/>
              </w:rPr>
            </w:pPr>
            <w:r w:rsidRPr="00DF0F7D">
              <w:rPr>
                <w:lang w:val="lv-LV"/>
              </w:rPr>
              <w:t>Līdz 2013.gada 1.augustam plānoti izdevumi – 70 511 km * Ls/km 0,09 = Ls 6 345,99.</w:t>
            </w:r>
            <w:r w:rsidRPr="00DF0F7D">
              <w:rPr>
                <w:lang w:val="lv-LV"/>
              </w:rPr>
              <w:br/>
              <w:t>Pēc 2013.gada 1.augusta plānoti izdevumi – 50 365 km * Ls/km 0,18 = Ls 9 065,70.</w:t>
            </w:r>
          </w:p>
          <w:p w:rsidR="004249D9" w:rsidRPr="00DF0F7D" w:rsidRDefault="004249D9" w:rsidP="003A06B4">
            <w:pPr>
              <w:jc w:val="both"/>
              <w:rPr>
                <w:highlight w:val="yellow"/>
                <w:lang w:val="lv-LV"/>
              </w:rPr>
            </w:pPr>
            <w:r w:rsidRPr="00DF0F7D">
              <w:rPr>
                <w:lang w:val="lv-LV"/>
              </w:rPr>
              <w:t xml:space="preserve">Pēc grozījumiem 2013.gadā </w:t>
            </w:r>
            <w:r w:rsidR="00DC3509" w:rsidRPr="00DF0F7D">
              <w:rPr>
                <w:lang w:val="lv-LV"/>
              </w:rPr>
              <w:t xml:space="preserve">izdevumi </w:t>
            </w:r>
            <w:r w:rsidR="000F7B78" w:rsidRPr="00DF0F7D">
              <w:rPr>
                <w:lang w:val="lv-LV"/>
              </w:rPr>
              <w:t>būtu par</w:t>
            </w:r>
            <w:r w:rsidRPr="00DF0F7D">
              <w:rPr>
                <w:lang w:val="lv-LV"/>
              </w:rPr>
              <w:t xml:space="preserve"> Ls 4 532,69 </w:t>
            </w:r>
            <w:r w:rsidR="003A06B4" w:rsidRPr="00DF0F7D">
              <w:rPr>
                <w:lang w:val="lv-LV"/>
              </w:rPr>
              <w:t>lielāki</w:t>
            </w:r>
            <w:r w:rsidRPr="00DF0F7D">
              <w:rPr>
                <w:lang w:val="lv-LV"/>
              </w:rPr>
              <w:t xml:space="preserve"> kā sākotnēji plānots (Ls 6 345,99 + Ls 9 065,70) – Ls 10 878,84 = Ls 4 532,69).</w:t>
            </w:r>
          </w:p>
        </w:tc>
        <w:tc>
          <w:tcPr>
            <w:tcW w:w="689" w:type="pct"/>
            <w:gridSpan w:val="2"/>
            <w:shd w:val="clear" w:color="auto" w:fill="auto"/>
            <w:vAlign w:val="center"/>
            <w:hideMark/>
          </w:tcPr>
          <w:p w:rsidR="004249D9" w:rsidRPr="00DF0F7D" w:rsidRDefault="004249D9" w:rsidP="00580A44">
            <w:pPr>
              <w:jc w:val="center"/>
              <w:rPr>
                <w:lang w:val="lv-LV"/>
              </w:rPr>
            </w:pPr>
            <w:r w:rsidRPr="00DF0F7D">
              <w:rPr>
                <w:lang w:val="lv-LV"/>
              </w:rPr>
              <w:t> </w:t>
            </w:r>
          </w:p>
        </w:tc>
        <w:tc>
          <w:tcPr>
            <w:tcW w:w="719"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586"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615"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584" w:type="pct"/>
            <w:shd w:val="clear" w:color="auto" w:fill="auto"/>
            <w:vAlign w:val="center"/>
            <w:hideMark/>
          </w:tcPr>
          <w:p w:rsidR="004249D9" w:rsidRPr="00DF0F7D" w:rsidRDefault="004249D9" w:rsidP="00580A44">
            <w:pPr>
              <w:jc w:val="center"/>
              <w:rPr>
                <w:lang w:val="lv-LV"/>
              </w:rPr>
            </w:pPr>
            <w:r w:rsidRPr="00DF0F7D">
              <w:rPr>
                <w:lang w:val="lv-LV"/>
              </w:rPr>
              <w:t> </w:t>
            </w:r>
          </w:p>
        </w:tc>
      </w:tr>
      <w:tr w:rsidR="004249D9"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1101"/>
        </w:trPr>
        <w:tc>
          <w:tcPr>
            <w:tcW w:w="1774" w:type="pct"/>
            <w:gridSpan w:val="4"/>
            <w:shd w:val="clear" w:color="auto" w:fill="auto"/>
            <w:vAlign w:val="center"/>
            <w:hideMark/>
          </w:tcPr>
          <w:p w:rsidR="004249D9" w:rsidRPr="00DF0F7D" w:rsidRDefault="004249D9" w:rsidP="001D149C">
            <w:pPr>
              <w:jc w:val="both"/>
              <w:rPr>
                <w:highlight w:val="yellow"/>
                <w:lang w:val="lv-LV"/>
              </w:rPr>
            </w:pPr>
            <w:r w:rsidRPr="00DF0F7D">
              <w:rPr>
                <w:lang w:val="lv-LV"/>
              </w:rPr>
              <w:t xml:space="preserve">2014., 2015. un 2016.gadā plānoti </w:t>
            </w:r>
            <w:r w:rsidR="001D149C" w:rsidRPr="00DF0F7D">
              <w:rPr>
                <w:lang w:val="lv-LV"/>
              </w:rPr>
              <w:t>izdevumi</w:t>
            </w:r>
            <w:r w:rsidRPr="00DF0F7D">
              <w:rPr>
                <w:lang w:val="lv-LV"/>
              </w:rPr>
              <w:t xml:space="preserve"> Ls 21 757,68 gadā (120 876 km * 0,18 Ls/km = Ls 21 757,68), kas ir par Ls 6 345,99 vairāk nekā 2013.gadā.</w:t>
            </w:r>
          </w:p>
        </w:tc>
        <w:tc>
          <w:tcPr>
            <w:tcW w:w="689" w:type="pct"/>
            <w:gridSpan w:val="2"/>
            <w:shd w:val="clear" w:color="auto" w:fill="auto"/>
            <w:vAlign w:val="center"/>
            <w:hideMark/>
          </w:tcPr>
          <w:p w:rsidR="004249D9" w:rsidRPr="00DF0F7D" w:rsidRDefault="004249D9" w:rsidP="00580A44">
            <w:pPr>
              <w:jc w:val="center"/>
              <w:rPr>
                <w:lang w:val="lv-LV"/>
              </w:rPr>
            </w:pPr>
            <w:r w:rsidRPr="00DF0F7D">
              <w:rPr>
                <w:lang w:val="lv-LV"/>
              </w:rPr>
              <w:t> </w:t>
            </w:r>
          </w:p>
        </w:tc>
        <w:tc>
          <w:tcPr>
            <w:tcW w:w="719"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586"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615" w:type="pct"/>
            <w:shd w:val="clear" w:color="auto" w:fill="auto"/>
            <w:vAlign w:val="center"/>
            <w:hideMark/>
          </w:tcPr>
          <w:p w:rsidR="004249D9" w:rsidRPr="00DF0F7D" w:rsidRDefault="004249D9" w:rsidP="00580A44">
            <w:pPr>
              <w:jc w:val="center"/>
              <w:rPr>
                <w:lang w:val="lv-LV"/>
              </w:rPr>
            </w:pPr>
            <w:r w:rsidRPr="00DF0F7D">
              <w:rPr>
                <w:lang w:val="lv-LV"/>
              </w:rPr>
              <w:t> </w:t>
            </w:r>
          </w:p>
        </w:tc>
        <w:tc>
          <w:tcPr>
            <w:tcW w:w="584" w:type="pct"/>
            <w:shd w:val="clear" w:color="auto" w:fill="auto"/>
            <w:vAlign w:val="center"/>
            <w:hideMark/>
          </w:tcPr>
          <w:p w:rsidR="004249D9" w:rsidRPr="00DF0F7D" w:rsidRDefault="004249D9" w:rsidP="00580A44">
            <w:pPr>
              <w:jc w:val="center"/>
              <w:rPr>
                <w:lang w:val="lv-LV"/>
              </w:rPr>
            </w:pPr>
            <w:r w:rsidRPr="00DF0F7D">
              <w:rPr>
                <w:lang w:val="lv-LV"/>
              </w:rPr>
              <w:t> </w:t>
            </w:r>
          </w:p>
        </w:tc>
      </w:tr>
      <w:tr w:rsidR="008F73D3"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1890"/>
        </w:trPr>
        <w:tc>
          <w:tcPr>
            <w:tcW w:w="1774" w:type="pct"/>
            <w:gridSpan w:val="4"/>
            <w:shd w:val="clear" w:color="auto" w:fill="auto"/>
            <w:vAlign w:val="center"/>
            <w:hideMark/>
          </w:tcPr>
          <w:p w:rsidR="00904AE3" w:rsidRPr="00DF0F7D" w:rsidRDefault="00904AE3" w:rsidP="005D419C">
            <w:pPr>
              <w:jc w:val="both"/>
              <w:rPr>
                <w:lang w:val="lv-LV"/>
              </w:rPr>
            </w:pPr>
            <w:r w:rsidRPr="00DF0F7D">
              <w:rPr>
                <w:lang w:val="lv-LV"/>
              </w:rPr>
              <w:t xml:space="preserve">6.2.4.2. Cenrāža 2.pielikuma 1.2.1.apakšpunktā un 8.punktā </w:t>
            </w:r>
            <w:r w:rsidR="00F56E2E" w:rsidRPr="00DF0F7D">
              <w:rPr>
                <w:lang w:val="lv-LV"/>
              </w:rPr>
              <w:t>noteiktā pakalpojuma cena pēc grozījumiem ir plānota 0,22 Ls/km (0,18 Ls/km + Ls 0,04 PVN 21%). Šobrīd cena ir 0,11 Ls/km (0,09 Ls/km + Ls 0,02 PVN 21%).</w:t>
            </w:r>
          </w:p>
        </w:tc>
        <w:tc>
          <w:tcPr>
            <w:tcW w:w="689" w:type="pct"/>
            <w:gridSpan w:val="2"/>
            <w:shd w:val="clear" w:color="auto" w:fill="auto"/>
            <w:vAlign w:val="center"/>
            <w:hideMark/>
          </w:tcPr>
          <w:p w:rsidR="00904AE3" w:rsidRPr="00DF0F7D" w:rsidRDefault="00904AE3" w:rsidP="00580A44">
            <w:pPr>
              <w:jc w:val="center"/>
              <w:rPr>
                <w:lang w:val="lv-LV"/>
              </w:rPr>
            </w:pPr>
            <w:r w:rsidRPr="00DF0F7D">
              <w:rPr>
                <w:lang w:val="lv-LV"/>
              </w:rPr>
              <w:t>4,3</w:t>
            </w:r>
          </w:p>
        </w:tc>
        <w:tc>
          <w:tcPr>
            <w:tcW w:w="719" w:type="pct"/>
            <w:shd w:val="clear" w:color="auto" w:fill="auto"/>
            <w:vAlign w:val="center"/>
            <w:hideMark/>
          </w:tcPr>
          <w:p w:rsidR="00904AE3" w:rsidRPr="00DF0F7D" w:rsidRDefault="002B4856" w:rsidP="00580A44">
            <w:pPr>
              <w:jc w:val="center"/>
              <w:rPr>
                <w:lang w:val="lv-LV"/>
              </w:rPr>
            </w:pPr>
            <w:r w:rsidRPr="00DF0F7D">
              <w:rPr>
                <w:lang w:val="lv-LV"/>
              </w:rPr>
              <w:t>1,8</w:t>
            </w:r>
          </w:p>
        </w:tc>
        <w:tc>
          <w:tcPr>
            <w:tcW w:w="586" w:type="pct"/>
            <w:shd w:val="clear" w:color="auto" w:fill="auto"/>
            <w:vAlign w:val="center"/>
            <w:hideMark/>
          </w:tcPr>
          <w:p w:rsidR="00904AE3" w:rsidRPr="00DF0F7D" w:rsidRDefault="00904AE3" w:rsidP="00580A44">
            <w:pPr>
              <w:jc w:val="center"/>
              <w:rPr>
                <w:lang w:val="lv-LV"/>
              </w:rPr>
            </w:pPr>
            <w:r w:rsidRPr="00DF0F7D">
              <w:rPr>
                <w:lang w:val="lv-LV"/>
              </w:rPr>
              <w:t>4,3</w:t>
            </w:r>
          </w:p>
        </w:tc>
        <w:tc>
          <w:tcPr>
            <w:tcW w:w="615" w:type="pct"/>
            <w:shd w:val="clear" w:color="auto" w:fill="auto"/>
            <w:vAlign w:val="center"/>
            <w:hideMark/>
          </w:tcPr>
          <w:p w:rsidR="00904AE3" w:rsidRPr="00DF0F7D" w:rsidRDefault="00904AE3" w:rsidP="00580A44">
            <w:pPr>
              <w:jc w:val="center"/>
              <w:rPr>
                <w:lang w:val="lv-LV"/>
              </w:rPr>
            </w:pPr>
            <w:r w:rsidRPr="00DF0F7D">
              <w:rPr>
                <w:lang w:val="lv-LV"/>
              </w:rPr>
              <w:t>4,3</w:t>
            </w:r>
          </w:p>
        </w:tc>
        <w:tc>
          <w:tcPr>
            <w:tcW w:w="584" w:type="pct"/>
            <w:shd w:val="clear" w:color="auto" w:fill="auto"/>
            <w:vAlign w:val="center"/>
            <w:hideMark/>
          </w:tcPr>
          <w:p w:rsidR="00904AE3" w:rsidRPr="00DF0F7D" w:rsidRDefault="00904AE3" w:rsidP="00580A44">
            <w:pPr>
              <w:jc w:val="center"/>
              <w:rPr>
                <w:lang w:val="lv-LV"/>
              </w:rPr>
            </w:pPr>
            <w:r w:rsidRPr="00DF0F7D">
              <w:rPr>
                <w:lang w:val="lv-LV"/>
              </w:rPr>
              <w:t>4,3</w:t>
            </w:r>
          </w:p>
        </w:tc>
      </w:tr>
      <w:tr w:rsidR="00D43DF8" w:rsidRPr="00DF0F7D" w:rsidTr="00D07EC4">
        <w:tblPrEx>
          <w:jc w:val="left"/>
          <w:tblCellMar>
            <w:top w:w="0" w:type="dxa"/>
            <w:left w:w="108" w:type="dxa"/>
            <w:bottom w:w="0" w:type="dxa"/>
            <w:right w:w="108" w:type="dxa"/>
          </w:tblCellMar>
          <w:tblLook w:val="04A0"/>
        </w:tblPrEx>
        <w:trPr>
          <w:gridBefore w:val="1"/>
          <w:gridAfter w:val="1"/>
          <w:wBefore w:w="16" w:type="pct"/>
          <w:wAfter w:w="17" w:type="pct"/>
          <w:trHeight w:val="945"/>
        </w:trPr>
        <w:tc>
          <w:tcPr>
            <w:tcW w:w="1774" w:type="pct"/>
            <w:gridSpan w:val="4"/>
            <w:shd w:val="clear" w:color="auto" w:fill="auto"/>
            <w:vAlign w:val="center"/>
            <w:hideMark/>
          </w:tcPr>
          <w:p w:rsidR="00D43DF8" w:rsidRPr="00DF0F7D" w:rsidRDefault="00D43DF8" w:rsidP="00D43DF8">
            <w:pPr>
              <w:jc w:val="both"/>
              <w:rPr>
                <w:highlight w:val="yellow"/>
                <w:lang w:val="lv-LV"/>
              </w:rPr>
            </w:pPr>
            <w:r w:rsidRPr="00DF0F7D">
              <w:rPr>
                <w:lang w:val="lv-LV"/>
              </w:rPr>
              <w:t>2013.gadā kopējā kilometrāža plānota 39 782 km, t.i., sākotnēji plānotie izdevumi ir 39 782 km * 0,09 Ls/km * Ls 1,21 PVN 21% = Ls 4 332,26.</w:t>
            </w:r>
          </w:p>
        </w:tc>
        <w:tc>
          <w:tcPr>
            <w:tcW w:w="689" w:type="pct"/>
            <w:gridSpan w:val="2"/>
            <w:shd w:val="clear" w:color="auto" w:fill="auto"/>
            <w:vAlign w:val="center"/>
            <w:hideMark/>
          </w:tcPr>
          <w:p w:rsidR="00D43DF8" w:rsidRPr="00DF0F7D" w:rsidRDefault="00D43DF8" w:rsidP="00580A44">
            <w:pPr>
              <w:jc w:val="center"/>
              <w:rPr>
                <w:lang w:val="lv-LV"/>
              </w:rPr>
            </w:pPr>
            <w:r w:rsidRPr="00DF0F7D">
              <w:rPr>
                <w:lang w:val="lv-LV"/>
              </w:rPr>
              <w:t> </w:t>
            </w:r>
          </w:p>
        </w:tc>
        <w:tc>
          <w:tcPr>
            <w:tcW w:w="719"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586"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615"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584" w:type="pct"/>
            <w:shd w:val="clear" w:color="auto" w:fill="auto"/>
            <w:vAlign w:val="center"/>
            <w:hideMark/>
          </w:tcPr>
          <w:p w:rsidR="00D43DF8" w:rsidRPr="00DF0F7D" w:rsidRDefault="00D43DF8" w:rsidP="00580A44">
            <w:pPr>
              <w:jc w:val="center"/>
              <w:rPr>
                <w:lang w:val="lv-LV"/>
              </w:rPr>
            </w:pPr>
            <w:r w:rsidRPr="00DF0F7D">
              <w:rPr>
                <w:lang w:val="lv-LV"/>
              </w:rPr>
              <w:t> </w:t>
            </w:r>
          </w:p>
        </w:tc>
      </w:tr>
      <w:tr w:rsidR="00D43DF8"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2835"/>
        </w:trPr>
        <w:tc>
          <w:tcPr>
            <w:tcW w:w="1774" w:type="pct"/>
            <w:gridSpan w:val="4"/>
            <w:shd w:val="clear" w:color="auto" w:fill="auto"/>
            <w:vAlign w:val="center"/>
            <w:hideMark/>
          </w:tcPr>
          <w:p w:rsidR="00D43DF8" w:rsidRPr="00DF0F7D" w:rsidRDefault="00D43DF8" w:rsidP="00A742FB">
            <w:pPr>
              <w:jc w:val="both"/>
              <w:rPr>
                <w:lang w:val="lv-LV"/>
              </w:rPr>
            </w:pPr>
            <w:r w:rsidRPr="00DF0F7D">
              <w:rPr>
                <w:lang w:val="lv-LV"/>
              </w:rPr>
              <w:lastRenderedPageBreak/>
              <w:t>Līdz 2013.gada 1.augustam plānot</w:t>
            </w:r>
            <w:r w:rsidR="0045105A" w:rsidRPr="00DF0F7D">
              <w:rPr>
                <w:lang w:val="lv-LV"/>
              </w:rPr>
              <w:t>i izdevumi</w:t>
            </w:r>
            <w:r w:rsidRPr="00DF0F7D">
              <w:rPr>
                <w:lang w:val="lv-LV"/>
              </w:rPr>
              <w:t xml:space="preserve"> – 23 206 km * 0,09 Ls/km * 1,21 PVN 21% = Ls 2 527,13.</w:t>
            </w:r>
          </w:p>
          <w:p w:rsidR="00D43DF8" w:rsidRPr="00DF0F7D" w:rsidRDefault="00D43DF8" w:rsidP="00A742FB">
            <w:pPr>
              <w:jc w:val="both"/>
              <w:rPr>
                <w:lang w:val="lv-LV"/>
              </w:rPr>
            </w:pPr>
            <w:r w:rsidRPr="00DF0F7D">
              <w:rPr>
                <w:lang w:val="lv-LV"/>
              </w:rPr>
              <w:t>Pēc 2013.gada 1.augusta plān</w:t>
            </w:r>
            <w:r w:rsidR="0045105A" w:rsidRPr="00DF0F7D">
              <w:rPr>
                <w:lang w:val="lv-LV"/>
              </w:rPr>
              <w:t>oti</w:t>
            </w:r>
            <w:r w:rsidRPr="00DF0F7D">
              <w:rPr>
                <w:lang w:val="lv-LV"/>
              </w:rPr>
              <w:t xml:space="preserve"> </w:t>
            </w:r>
            <w:r w:rsidR="0045105A" w:rsidRPr="00DF0F7D">
              <w:rPr>
                <w:lang w:val="lv-LV"/>
              </w:rPr>
              <w:t>izdevumi</w:t>
            </w:r>
            <w:r w:rsidRPr="00DF0F7D">
              <w:rPr>
                <w:lang w:val="lv-LV"/>
              </w:rPr>
              <w:t xml:space="preserve"> – 16 576 km * 0,18 Ls/km * 1,21 PVN 21% = Ls 3 610,25.</w:t>
            </w:r>
          </w:p>
          <w:p w:rsidR="00D43DF8" w:rsidRPr="00DF0F7D" w:rsidRDefault="00D43DF8" w:rsidP="00321A7E">
            <w:pPr>
              <w:jc w:val="both"/>
              <w:rPr>
                <w:highlight w:val="yellow"/>
                <w:lang w:val="lv-LV"/>
              </w:rPr>
            </w:pPr>
            <w:r w:rsidRPr="00DF0F7D">
              <w:rPr>
                <w:lang w:val="lv-LV"/>
              </w:rPr>
              <w:t xml:space="preserve">Pēc grozījumiem 2013.gadā </w:t>
            </w:r>
            <w:r w:rsidR="00790148" w:rsidRPr="00DF0F7D">
              <w:rPr>
                <w:lang w:val="lv-LV"/>
              </w:rPr>
              <w:t xml:space="preserve">izdevumi </w:t>
            </w:r>
            <w:r w:rsidR="000E447E" w:rsidRPr="00DF0F7D">
              <w:rPr>
                <w:lang w:val="lv-LV"/>
              </w:rPr>
              <w:t>būtu</w:t>
            </w:r>
            <w:r w:rsidRPr="00DF0F7D">
              <w:rPr>
                <w:lang w:val="lv-LV"/>
              </w:rPr>
              <w:t xml:space="preserve"> par Ls 1 805,12 </w:t>
            </w:r>
            <w:r w:rsidR="00321A7E" w:rsidRPr="00DF0F7D">
              <w:rPr>
                <w:lang w:val="lv-LV"/>
              </w:rPr>
              <w:t>lielāki</w:t>
            </w:r>
            <w:r w:rsidRPr="00DF0F7D">
              <w:rPr>
                <w:lang w:val="lv-LV"/>
              </w:rPr>
              <w:t xml:space="preserve"> kā sākotnēji plānots (Ls 2 527,13 + Ls 3 610,25) – Ls 4 332,26 = Ls 1 805,12).</w:t>
            </w:r>
          </w:p>
        </w:tc>
        <w:tc>
          <w:tcPr>
            <w:tcW w:w="689" w:type="pct"/>
            <w:gridSpan w:val="2"/>
            <w:shd w:val="clear" w:color="auto" w:fill="auto"/>
            <w:vAlign w:val="center"/>
            <w:hideMark/>
          </w:tcPr>
          <w:p w:rsidR="00D43DF8" w:rsidRPr="00DF0F7D" w:rsidRDefault="00D43DF8" w:rsidP="00580A44">
            <w:pPr>
              <w:jc w:val="center"/>
              <w:rPr>
                <w:lang w:val="lv-LV"/>
              </w:rPr>
            </w:pPr>
            <w:r w:rsidRPr="00DF0F7D">
              <w:rPr>
                <w:lang w:val="lv-LV"/>
              </w:rPr>
              <w:t> </w:t>
            </w:r>
          </w:p>
        </w:tc>
        <w:tc>
          <w:tcPr>
            <w:tcW w:w="719"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586"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615" w:type="pct"/>
            <w:shd w:val="clear" w:color="auto" w:fill="auto"/>
            <w:vAlign w:val="center"/>
            <w:hideMark/>
          </w:tcPr>
          <w:p w:rsidR="00D43DF8" w:rsidRPr="00DF0F7D" w:rsidRDefault="00D43DF8" w:rsidP="00580A44">
            <w:pPr>
              <w:jc w:val="center"/>
              <w:rPr>
                <w:lang w:val="lv-LV"/>
              </w:rPr>
            </w:pPr>
            <w:r w:rsidRPr="00DF0F7D">
              <w:rPr>
                <w:lang w:val="lv-LV"/>
              </w:rPr>
              <w:t> </w:t>
            </w:r>
          </w:p>
        </w:tc>
        <w:tc>
          <w:tcPr>
            <w:tcW w:w="584" w:type="pct"/>
            <w:shd w:val="clear" w:color="auto" w:fill="auto"/>
            <w:vAlign w:val="center"/>
            <w:hideMark/>
          </w:tcPr>
          <w:p w:rsidR="00D43DF8" w:rsidRPr="00DF0F7D" w:rsidRDefault="00D43DF8" w:rsidP="00580A44">
            <w:pPr>
              <w:jc w:val="center"/>
              <w:rPr>
                <w:lang w:val="lv-LV"/>
              </w:rPr>
            </w:pPr>
            <w:r w:rsidRPr="00DF0F7D">
              <w:rPr>
                <w:lang w:val="lv-LV"/>
              </w:rPr>
              <w:t> </w:t>
            </w:r>
          </w:p>
        </w:tc>
      </w:tr>
      <w:tr w:rsidR="00D43DF8" w:rsidRPr="00734DD9" w:rsidTr="00D07EC4">
        <w:tblPrEx>
          <w:jc w:val="left"/>
          <w:tblCellMar>
            <w:top w:w="0" w:type="dxa"/>
            <w:left w:w="108" w:type="dxa"/>
            <w:bottom w:w="0" w:type="dxa"/>
            <w:right w:w="108" w:type="dxa"/>
          </w:tblCellMar>
          <w:tblLook w:val="04A0"/>
        </w:tblPrEx>
        <w:trPr>
          <w:gridBefore w:val="1"/>
          <w:gridAfter w:val="1"/>
          <w:wBefore w:w="16" w:type="pct"/>
          <w:wAfter w:w="17" w:type="pct"/>
          <w:trHeight w:val="559"/>
        </w:trPr>
        <w:tc>
          <w:tcPr>
            <w:tcW w:w="1774" w:type="pct"/>
            <w:gridSpan w:val="4"/>
            <w:shd w:val="clear" w:color="auto" w:fill="auto"/>
            <w:vAlign w:val="center"/>
            <w:hideMark/>
          </w:tcPr>
          <w:p w:rsidR="00D43DF8" w:rsidRPr="00DF0F7D" w:rsidRDefault="00D43DF8" w:rsidP="00884266">
            <w:pPr>
              <w:jc w:val="both"/>
              <w:rPr>
                <w:highlight w:val="yellow"/>
                <w:lang w:val="lv-LV"/>
              </w:rPr>
            </w:pPr>
            <w:r w:rsidRPr="00DF0F7D">
              <w:rPr>
                <w:lang w:val="lv-LV"/>
              </w:rPr>
              <w:t xml:space="preserve">2014., 2015. un 2016.gadā plānoti </w:t>
            </w:r>
            <w:r w:rsidR="004E1E5F" w:rsidRPr="00DF0F7D">
              <w:rPr>
                <w:lang w:val="lv-LV"/>
              </w:rPr>
              <w:t>izdevumi</w:t>
            </w:r>
            <w:r w:rsidRPr="00DF0F7D">
              <w:rPr>
                <w:lang w:val="lv-LV"/>
              </w:rPr>
              <w:t xml:space="preserve"> Ls 8 664,52 (39 782 km * 0,18 Ls/km * 1,21 PVN 21% = Ls 8 664,52), kas ir par Ls 4 332,26 vairāk nekā 2013.gadā.</w:t>
            </w:r>
          </w:p>
        </w:tc>
        <w:tc>
          <w:tcPr>
            <w:tcW w:w="689" w:type="pct"/>
            <w:gridSpan w:val="2"/>
            <w:shd w:val="clear" w:color="auto" w:fill="auto"/>
            <w:vAlign w:val="center"/>
            <w:hideMark/>
          </w:tcPr>
          <w:p w:rsidR="00D43DF8" w:rsidRPr="00DF0F7D" w:rsidRDefault="00D43DF8" w:rsidP="00884266">
            <w:pPr>
              <w:jc w:val="center"/>
              <w:rPr>
                <w:lang w:val="lv-LV"/>
              </w:rPr>
            </w:pPr>
            <w:r w:rsidRPr="00DF0F7D">
              <w:rPr>
                <w:lang w:val="lv-LV"/>
              </w:rPr>
              <w:t> </w:t>
            </w:r>
          </w:p>
        </w:tc>
        <w:tc>
          <w:tcPr>
            <w:tcW w:w="719" w:type="pct"/>
            <w:shd w:val="clear" w:color="auto" w:fill="auto"/>
            <w:vAlign w:val="center"/>
            <w:hideMark/>
          </w:tcPr>
          <w:p w:rsidR="00D43DF8" w:rsidRPr="00DF0F7D" w:rsidRDefault="00D43DF8" w:rsidP="00884266">
            <w:pPr>
              <w:jc w:val="center"/>
              <w:rPr>
                <w:lang w:val="lv-LV"/>
              </w:rPr>
            </w:pPr>
            <w:r w:rsidRPr="00DF0F7D">
              <w:rPr>
                <w:lang w:val="lv-LV"/>
              </w:rPr>
              <w:t> </w:t>
            </w:r>
          </w:p>
        </w:tc>
        <w:tc>
          <w:tcPr>
            <w:tcW w:w="586" w:type="pct"/>
            <w:shd w:val="clear" w:color="auto" w:fill="auto"/>
            <w:vAlign w:val="center"/>
            <w:hideMark/>
          </w:tcPr>
          <w:p w:rsidR="00D43DF8" w:rsidRPr="00DF0F7D" w:rsidRDefault="00D43DF8" w:rsidP="00884266">
            <w:pPr>
              <w:jc w:val="center"/>
              <w:rPr>
                <w:lang w:val="lv-LV"/>
              </w:rPr>
            </w:pPr>
            <w:r w:rsidRPr="00DF0F7D">
              <w:rPr>
                <w:lang w:val="lv-LV"/>
              </w:rPr>
              <w:t> </w:t>
            </w:r>
          </w:p>
        </w:tc>
        <w:tc>
          <w:tcPr>
            <w:tcW w:w="615" w:type="pct"/>
            <w:shd w:val="clear" w:color="auto" w:fill="auto"/>
            <w:vAlign w:val="center"/>
            <w:hideMark/>
          </w:tcPr>
          <w:p w:rsidR="00D43DF8" w:rsidRPr="00DF0F7D" w:rsidRDefault="00D43DF8" w:rsidP="00884266">
            <w:pPr>
              <w:jc w:val="center"/>
              <w:rPr>
                <w:lang w:val="lv-LV"/>
              </w:rPr>
            </w:pPr>
            <w:r w:rsidRPr="00DF0F7D">
              <w:rPr>
                <w:lang w:val="lv-LV"/>
              </w:rPr>
              <w:t> </w:t>
            </w:r>
          </w:p>
        </w:tc>
        <w:tc>
          <w:tcPr>
            <w:tcW w:w="584" w:type="pct"/>
            <w:shd w:val="clear" w:color="auto" w:fill="auto"/>
            <w:vAlign w:val="center"/>
            <w:hideMark/>
          </w:tcPr>
          <w:p w:rsidR="00D43DF8" w:rsidRPr="00DF0F7D" w:rsidRDefault="00D43DF8" w:rsidP="00884266">
            <w:pPr>
              <w:jc w:val="center"/>
              <w:rPr>
                <w:lang w:val="lv-LV"/>
              </w:rPr>
            </w:pPr>
            <w:r w:rsidRPr="00DF0F7D">
              <w:rPr>
                <w:lang w:val="lv-LV"/>
              </w:rPr>
              <w:t> </w:t>
            </w:r>
          </w:p>
        </w:tc>
      </w:tr>
      <w:tr w:rsidR="00C81D63" w:rsidRPr="00DF0F7D" w:rsidTr="00D07EC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2"/>
          <w:gridAfter w:val="1"/>
          <w:wBefore w:w="20" w:type="pct"/>
          <w:wAfter w:w="17" w:type="pct"/>
          <w:trHeight w:val="121"/>
        </w:trPr>
        <w:tc>
          <w:tcPr>
            <w:tcW w:w="1781" w:type="pct"/>
            <w:gridSpan w:val="4"/>
            <w:tcBorders>
              <w:top w:val="outset" w:sz="6" w:space="0" w:color="000000"/>
              <w:left w:val="outset" w:sz="6" w:space="0" w:color="000000"/>
              <w:bottom w:val="outset" w:sz="6" w:space="0" w:color="000000"/>
              <w:right w:val="outset" w:sz="6" w:space="0" w:color="000000"/>
            </w:tcBorders>
          </w:tcPr>
          <w:p w:rsidR="00C81D63" w:rsidRPr="00DF0F7D" w:rsidRDefault="00C81D63" w:rsidP="00884266">
            <w:pPr>
              <w:jc w:val="both"/>
              <w:rPr>
                <w:lang w:val="lv-LV"/>
              </w:rPr>
            </w:pPr>
            <w:r w:rsidRPr="00DF0F7D">
              <w:rPr>
                <w:lang w:val="lv-LV"/>
              </w:rPr>
              <w:t>7. Cita informācija</w:t>
            </w:r>
          </w:p>
        </w:tc>
        <w:tc>
          <w:tcPr>
            <w:tcW w:w="3181" w:type="pct"/>
            <w:gridSpan w:val="5"/>
            <w:tcBorders>
              <w:top w:val="outset" w:sz="6" w:space="0" w:color="000000"/>
              <w:left w:val="outset" w:sz="6" w:space="0" w:color="000000"/>
              <w:bottom w:val="outset" w:sz="6" w:space="0" w:color="000000"/>
              <w:right w:val="outset" w:sz="6" w:space="0" w:color="000000"/>
            </w:tcBorders>
          </w:tcPr>
          <w:p w:rsidR="00C81D63" w:rsidRPr="00DF0F7D" w:rsidRDefault="004B582F" w:rsidP="004B582F">
            <w:pPr>
              <w:jc w:val="both"/>
              <w:rPr>
                <w:sz w:val="22"/>
                <w:lang w:val="lv-LV"/>
              </w:rPr>
            </w:pPr>
            <w:r>
              <w:rPr>
                <w:lang w:val="lv-LV"/>
              </w:rPr>
              <w:t>Dienesta funkcijas f</w:t>
            </w:r>
            <w:r w:rsidR="005D0D2A">
              <w:rPr>
                <w:lang w:val="lv-LV"/>
              </w:rPr>
              <w:t>inansē</w:t>
            </w:r>
            <w:r>
              <w:rPr>
                <w:lang w:val="lv-LV"/>
              </w:rPr>
              <w:t>tas no</w:t>
            </w:r>
            <w:r w:rsidR="005D0D2A">
              <w:rPr>
                <w:lang w:val="lv-LV"/>
              </w:rPr>
              <w:t xml:space="preserve"> valsts</w:t>
            </w:r>
            <w:r w:rsidR="003D40E7" w:rsidRPr="00DF0F7D">
              <w:rPr>
                <w:lang w:val="lv-LV"/>
              </w:rPr>
              <w:t xml:space="preserve"> budžeta apakšprogramma</w:t>
            </w:r>
            <w:r>
              <w:rPr>
                <w:lang w:val="lv-LV"/>
              </w:rPr>
              <w:t>s</w:t>
            </w:r>
            <w:r w:rsidR="003D40E7" w:rsidRPr="00DF0F7D">
              <w:rPr>
                <w:lang w:val="lv-LV"/>
              </w:rPr>
              <w:t xml:space="preserve"> 20.01.00 „Pārtikas drošības un veterinārmedicīnas valsts uzraudzības kontrole”.</w:t>
            </w:r>
          </w:p>
        </w:tc>
      </w:tr>
    </w:tbl>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857"/>
        <w:gridCol w:w="5670"/>
      </w:tblGrid>
      <w:tr w:rsidR="00AD0312" w:rsidRPr="00DF0F7D" w:rsidTr="00AD0312">
        <w:tc>
          <w:tcPr>
            <w:tcW w:w="9077" w:type="dxa"/>
            <w:gridSpan w:val="3"/>
            <w:vAlign w:val="center"/>
          </w:tcPr>
          <w:p w:rsidR="00AD0312" w:rsidRPr="00DF0F7D" w:rsidRDefault="00AD0312" w:rsidP="00884266">
            <w:pPr>
              <w:pStyle w:val="naisnod"/>
              <w:spacing w:before="0" w:after="0"/>
            </w:pPr>
            <w:r w:rsidRPr="00DF0F7D">
              <w:rPr>
                <w:bCs w:val="0"/>
                <w:sz w:val="28"/>
              </w:rPr>
              <w:t>IV. Tiesību akta projekta ietekme uz spēkā esošo tiesību normu sistēmu</w:t>
            </w:r>
          </w:p>
        </w:tc>
      </w:tr>
      <w:tr w:rsidR="00AD0312" w:rsidRPr="00734DD9" w:rsidTr="00AD0312">
        <w:trPr>
          <w:trHeight w:val="467"/>
        </w:trPr>
        <w:tc>
          <w:tcPr>
            <w:tcW w:w="550" w:type="dxa"/>
          </w:tcPr>
          <w:p w:rsidR="00AD0312" w:rsidRPr="00DF0F7D" w:rsidRDefault="00AD0312" w:rsidP="00884266">
            <w:pPr>
              <w:pStyle w:val="naiskr"/>
              <w:spacing w:before="0" w:beforeAutospacing="0" w:after="0" w:afterAutospacing="0"/>
            </w:pPr>
            <w:r w:rsidRPr="00DF0F7D">
              <w:t>1.</w:t>
            </w:r>
          </w:p>
        </w:tc>
        <w:tc>
          <w:tcPr>
            <w:tcW w:w="2857" w:type="dxa"/>
          </w:tcPr>
          <w:p w:rsidR="00AD0312" w:rsidRPr="00DF0F7D" w:rsidRDefault="00AD0312" w:rsidP="00884266">
            <w:pPr>
              <w:pStyle w:val="naiskr"/>
              <w:spacing w:before="0" w:beforeAutospacing="0" w:after="0" w:afterAutospacing="0"/>
            </w:pPr>
            <w:r w:rsidRPr="00DF0F7D">
              <w:t>Nepieciešamie saistītie tiesību aktu projekti</w:t>
            </w:r>
          </w:p>
        </w:tc>
        <w:tc>
          <w:tcPr>
            <w:tcW w:w="5670" w:type="dxa"/>
          </w:tcPr>
          <w:p w:rsidR="0043382A" w:rsidRPr="00DF0F7D" w:rsidRDefault="008E732F" w:rsidP="00884266">
            <w:pPr>
              <w:pStyle w:val="naiskr"/>
              <w:spacing w:before="0" w:beforeAutospacing="0" w:after="0" w:afterAutospacing="0"/>
              <w:ind w:left="57"/>
              <w:jc w:val="both"/>
              <w:rPr>
                <w:bCs/>
              </w:rPr>
            </w:pPr>
            <w:r w:rsidRPr="00DF0F7D">
              <w:rPr>
                <w:bCs/>
              </w:rPr>
              <w:t>Zemkopības ministrija ir</w:t>
            </w:r>
            <w:r w:rsidR="00AD0312" w:rsidRPr="00DF0F7D">
              <w:rPr>
                <w:bCs/>
              </w:rPr>
              <w:t xml:space="preserve"> sagatavo</w:t>
            </w:r>
            <w:r w:rsidRPr="00DF0F7D">
              <w:rPr>
                <w:bCs/>
              </w:rPr>
              <w:t>jusi</w:t>
            </w:r>
            <w:r w:rsidR="00AD0312" w:rsidRPr="00DF0F7D">
              <w:rPr>
                <w:bCs/>
              </w:rPr>
              <w:t xml:space="preserve"> Ministru kabineta noteikumu projekt</w:t>
            </w:r>
            <w:r w:rsidR="0043382A" w:rsidRPr="00DF0F7D">
              <w:rPr>
                <w:bCs/>
              </w:rPr>
              <w:t>u</w:t>
            </w:r>
            <w:r w:rsidR="00AD0312" w:rsidRPr="00DF0F7D">
              <w:rPr>
                <w:bCs/>
              </w:rPr>
              <w:t xml:space="preserve"> </w:t>
            </w:r>
            <w:r w:rsidR="00AD0312" w:rsidRPr="00DF0F7D">
              <w:t>„Grozījumi Ministru kabineta 2009.gada 26.maija noteikumos Nr.485 „Bioloģiskās lauksaimniecības uzraudzības un kontroles kārtība””, kas izsludināts Valsts sekretāru sanāksmē 2012.gada 21.jūnijā</w:t>
            </w:r>
            <w:r w:rsidR="00AD0312" w:rsidRPr="00DF0F7D">
              <w:rPr>
                <w:bCs/>
              </w:rPr>
              <w:t xml:space="preserve"> (VSS-656) un </w:t>
            </w:r>
            <w:r w:rsidR="004F5F75" w:rsidRPr="00DF0F7D">
              <w:rPr>
                <w:bCs/>
              </w:rPr>
              <w:t>2012.gada 7.decembrī nosūtīts Valsts kancelejai izskatīšanai Ministru kabinet</w:t>
            </w:r>
            <w:r w:rsidR="00264E6E" w:rsidRPr="00DF0F7D">
              <w:rPr>
                <w:bCs/>
              </w:rPr>
              <w:t xml:space="preserve">ā. </w:t>
            </w:r>
            <w:r w:rsidR="009B3704" w:rsidRPr="00DF0F7D">
              <w:t>Ar ministru prezidenta</w:t>
            </w:r>
            <w:r w:rsidR="009B3704" w:rsidRPr="00DF0F7D">
              <w:rPr>
                <w:bCs/>
              </w:rPr>
              <w:t xml:space="preserve"> rezolūciju Nr.18/TA-2884 (2012) Zemkopības ministrijai uzdots minēto noteikumu projektu iesniegt Ministru kabinetā vienlaikus ar normatīvā akta projektu par grozījumiem dienesta cenrādī.</w:t>
            </w:r>
          </w:p>
          <w:p w:rsidR="00B304F1" w:rsidRPr="00DF0F7D" w:rsidRDefault="005F208D" w:rsidP="00884266">
            <w:pPr>
              <w:pStyle w:val="naiskr"/>
              <w:spacing w:before="0" w:beforeAutospacing="0" w:after="0" w:afterAutospacing="0"/>
              <w:ind w:left="57"/>
              <w:jc w:val="both"/>
              <w:rPr>
                <w:iCs/>
              </w:rPr>
            </w:pPr>
            <w:r w:rsidRPr="00DF0F7D">
              <w:rPr>
                <w:iCs/>
              </w:rPr>
              <w:t>Noteikumu projekts nosaka dienesta</w:t>
            </w:r>
            <w:r w:rsidR="001A6A03" w:rsidRPr="00DF0F7D">
              <w:rPr>
                <w:iCs/>
              </w:rPr>
              <w:t xml:space="preserve">m bioloģiskās lauksaimniecības jomā </w:t>
            </w:r>
            <w:r w:rsidRPr="00DF0F7D">
              <w:rPr>
                <w:iCs/>
              </w:rPr>
              <w:t>veicamās darbības, par kurām nepieciešams noteikt samaksas apmēru:</w:t>
            </w:r>
          </w:p>
          <w:p w:rsidR="00AD0312" w:rsidRPr="00DF0F7D" w:rsidRDefault="005F208D" w:rsidP="00884266">
            <w:pPr>
              <w:pStyle w:val="naiskr"/>
              <w:spacing w:before="0" w:beforeAutospacing="0" w:after="0" w:afterAutospacing="0"/>
              <w:ind w:left="57"/>
              <w:jc w:val="both"/>
            </w:pPr>
            <w:r w:rsidRPr="00DF0F7D">
              <w:t>1) kontroles institūcijas darbības trešajās valstīs izvērtēšana</w:t>
            </w:r>
            <w:r w:rsidR="001A6A03" w:rsidRPr="00DF0F7D">
              <w:t>i</w:t>
            </w:r>
            <w:r w:rsidRPr="00DF0F7D">
              <w:t>;</w:t>
            </w:r>
          </w:p>
          <w:p w:rsidR="00AD0312" w:rsidRPr="00DF0F7D" w:rsidRDefault="001C1534" w:rsidP="00884266">
            <w:pPr>
              <w:pStyle w:val="naiskr"/>
              <w:spacing w:before="0" w:beforeAutospacing="0" w:after="0" w:afterAutospacing="0"/>
              <w:ind w:left="57"/>
              <w:jc w:val="both"/>
            </w:pPr>
            <w:r w:rsidRPr="00DF0F7D">
              <w:rPr>
                <w:iCs/>
              </w:rPr>
              <w:t>2</w:t>
            </w:r>
            <w:r w:rsidR="00AD0312" w:rsidRPr="00DF0F7D">
              <w:rPr>
                <w:iCs/>
              </w:rPr>
              <w:t xml:space="preserve">) sertifikāta izraksta </w:t>
            </w:r>
            <w:r w:rsidR="00401D9B" w:rsidRPr="00DF0F7D">
              <w:rPr>
                <w:iCs/>
              </w:rPr>
              <w:t>apstiprināšana</w:t>
            </w:r>
            <w:r w:rsidR="001A6A03" w:rsidRPr="00DF0F7D">
              <w:rPr>
                <w:iCs/>
              </w:rPr>
              <w:t>i</w:t>
            </w:r>
            <w:r w:rsidR="00AD0312" w:rsidRPr="00DF0F7D">
              <w:rPr>
                <w:iCs/>
              </w:rPr>
              <w:t>, ja importēto produktu sūtījums tiek sadalīts.</w:t>
            </w:r>
          </w:p>
          <w:p w:rsidR="00AD0312" w:rsidRPr="00DF0F7D" w:rsidRDefault="00AD0312" w:rsidP="00884266">
            <w:pPr>
              <w:pStyle w:val="naiskr"/>
              <w:spacing w:before="0" w:beforeAutospacing="0" w:after="0" w:afterAutospacing="0"/>
              <w:ind w:left="57"/>
              <w:jc w:val="both"/>
            </w:pPr>
            <w:r w:rsidRPr="00DF0F7D">
              <w:t>2. Par Ministru kabineta noteikumu projekta sagatavošanu ir atbildīga Zemkopības ministrija.</w:t>
            </w:r>
          </w:p>
          <w:p w:rsidR="00AD0312" w:rsidRPr="00DF0F7D" w:rsidRDefault="00AD0312" w:rsidP="00884266">
            <w:pPr>
              <w:pStyle w:val="Kjene"/>
              <w:tabs>
                <w:tab w:val="clear" w:pos="4153"/>
                <w:tab w:val="clear" w:pos="8306"/>
              </w:tabs>
              <w:ind w:left="57"/>
              <w:jc w:val="both"/>
            </w:pPr>
            <w:r w:rsidRPr="00DF0F7D">
              <w:rPr>
                <w:rFonts w:ascii="Times New Roman" w:hAnsi="Times New Roman"/>
                <w:sz w:val="24"/>
                <w:szCs w:val="24"/>
              </w:rPr>
              <w:t>3. Ministru kabineta noteikumu projekt</w:t>
            </w:r>
            <w:r w:rsidR="003E7379" w:rsidRPr="00DF0F7D">
              <w:rPr>
                <w:rFonts w:ascii="Times New Roman" w:hAnsi="Times New Roman"/>
                <w:sz w:val="24"/>
                <w:szCs w:val="24"/>
              </w:rPr>
              <w:t xml:space="preserve">i tiks iesniegti izskatīšanai </w:t>
            </w:r>
            <w:r w:rsidRPr="00DF0F7D">
              <w:rPr>
                <w:rFonts w:ascii="Times New Roman" w:hAnsi="Times New Roman"/>
                <w:sz w:val="24"/>
                <w:szCs w:val="24"/>
              </w:rPr>
              <w:t xml:space="preserve">Ministru kabinetā </w:t>
            </w:r>
            <w:r w:rsidR="003E7379" w:rsidRPr="00DF0F7D">
              <w:rPr>
                <w:rFonts w:ascii="Times New Roman" w:hAnsi="Times New Roman"/>
                <w:sz w:val="24"/>
                <w:szCs w:val="24"/>
              </w:rPr>
              <w:t xml:space="preserve">vienlaikus </w:t>
            </w:r>
            <w:r w:rsidRPr="00DF0F7D">
              <w:rPr>
                <w:rFonts w:ascii="Times New Roman" w:hAnsi="Times New Roman"/>
                <w:sz w:val="24"/>
                <w:szCs w:val="24"/>
              </w:rPr>
              <w:t>līdz 201</w:t>
            </w:r>
            <w:r w:rsidR="003E7379" w:rsidRPr="00DF0F7D">
              <w:rPr>
                <w:rFonts w:ascii="Times New Roman" w:hAnsi="Times New Roman"/>
                <w:sz w:val="24"/>
                <w:szCs w:val="24"/>
              </w:rPr>
              <w:t>3</w:t>
            </w:r>
            <w:r w:rsidRPr="00DF0F7D">
              <w:rPr>
                <w:rFonts w:ascii="Times New Roman" w:hAnsi="Times New Roman"/>
                <w:sz w:val="24"/>
                <w:szCs w:val="24"/>
              </w:rPr>
              <w:t>.gada 30.</w:t>
            </w:r>
            <w:r w:rsidR="003E7379" w:rsidRPr="00DF0F7D">
              <w:rPr>
                <w:rFonts w:ascii="Times New Roman" w:hAnsi="Times New Roman"/>
                <w:sz w:val="24"/>
                <w:szCs w:val="24"/>
              </w:rPr>
              <w:t>jūnijam</w:t>
            </w:r>
            <w:r w:rsidRPr="00DF0F7D">
              <w:rPr>
                <w:rFonts w:ascii="Times New Roman" w:hAnsi="Times New Roman"/>
                <w:sz w:val="24"/>
                <w:szCs w:val="24"/>
              </w:rPr>
              <w:t>.</w:t>
            </w:r>
            <w:r w:rsidRPr="00DF0F7D">
              <w:rPr>
                <w:sz w:val="24"/>
                <w:szCs w:val="24"/>
              </w:rPr>
              <w:t xml:space="preserve"> </w:t>
            </w:r>
          </w:p>
        </w:tc>
      </w:tr>
      <w:tr w:rsidR="00AD0312" w:rsidRPr="00DF0F7D" w:rsidTr="00AD0312">
        <w:trPr>
          <w:trHeight w:val="315"/>
        </w:trPr>
        <w:tc>
          <w:tcPr>
            <w:tcW w:w="550" w:type="dxa"/>
          </w:tcPr>
          <w:p w:rsidR="00AD0312" w:rsidRPr="00DF0F7D" w:rsidRDefault="00AD0312" w:rsidP="001F6C37">
            <w:pPr>
              <w:pStyle w:val="naiskr"/>
              <w:spacing w:before="0" w:after="0"/>
            </w:pPr>
            <w:r w:rsidRPr="00DF0F7D">
              <w:t>2.</w:t>
            </w:r>
          </w:p>
        </w:tc>
        <w:tc>
          <w:tcPr>
            <w:tcW w:w="2857" w:type="dxa"/>
          </w:tcPr>
          <w:p w:rsidR="00AD0312" w:rsidRPr="00DF0F7D" w:rsidRDefault="00AD0312" w:rsidP="001F6C37">
            <w:pPr>
              <w:pStyle w:val="naiskr"/>
              <w:spacing w:before="0" w:after="0"/>
            </w:pPr>
            <w:r w:rsidRPr="00DF0F7D">
              <w:t>Cita informācija</w:t>
            </w:r>
          </w:p>
        </w:tc>
        <w:tc>
          <w:tcPr>
            <w:tcW w:w="5670" w:type="dxa"/>
          </w:tcPr>
          <w:p w:rsidR="00AD0312" w:rsidRPr="00DF0F7D" w:rsidRDefault="00AD0312" w:rsidP="001F6C37">
            <w:pPr>
              <w:pStyle w:val="naiskr"/>
              <w:spacing w:before="0" w:after="0"/>
            </w:pPr>
            <w:r w:rsidRPr="00DF0F7D">
              <w:t>Nav.</w:t>
            </w:r>
          </w:p>
        </w:tc>
      </w:tr>
    </w:tbl>
    <w:p w:rsidR="00E25DE9" w:rsidRPr="00DF0F7D" w:rsidRDefault="00E25DE9" w:rsidP="008665A4">
      <w:pPr>
        <w:jc w:val="both"/>
        <w:rPr>
          <w:lang w:val="lv-LV" w:eastAsia="lv-LV"/>
        </w:rPr>
      </w:pPr>
    </w:p>
    <w:p w:rsidR="00A162FE" w:rsidRPr="00DF0F7D" w:rsidRDefault="00BC1700" w:rsidP="008665A4">
      <w:pPr>
        <w:jc w:val="both"/>
        <w:rPr>
          <w:i/>
          <w:lang w:val="lv-LV"/>
        </w:rPr>
      </w:pPr>
      <w:r w:rsidRPr="00DF0F7D">
        <w:rPr>
          <w:i/>
          <w:lang w:val="lv-LV" w:eastAsia="lv-LV"/>
        </w:rPr>
        <w:t xml:space="preserve">Anotācijas </w:t>
      </w:r>
      <w:r w:rsidR="000E6933" w:rsidRPr="00DF0F7D">
        <w:rPr>
          <w:i/>
          <w:lang w:val="lv-LV" w:eastAsia="lv-LV"/>
        </w:rPr>
        <w:t xml:space="preserve">V </w:t>
      </w:r>
      <w:r w:rsidR="001E7670" w:rsidRPr="00DF0F7D">
        <w:rPr>
          <w:i/>
          <w:lang w:val="lv-LV" w:eastAsia="lv-LV"/>
        </w:rPr>
        <w:t xml:space="preserve">sadaļa </w:t>
      </w:r>
      <w:r w:rsidRPr="00DF0F7D">
        <w:rPr>
          <w:i/>
          <w:lang w:val="lv-LV" w:eastAsia="lv-LV"/>
        </w:rPr>
        <w:t>–</w:t>
      </w:r>
      <w:r w:rsidR="001E7670" w:rsidRPr="00DF0F7D">
        <w:rPr>
          <w:i/>
          <w:lang w:val="lv-LV" w:eastAsia="lv-LV"/>
        </w:rPr>
        <w:t xml:space="preserve"> </w:t>
      </w:r>
      <w:r w:rsidR="00384564" w:rsidRPr="00DF0F7D">
        <w:rPr>
          <w:i/>
          <w:lang w:val="lv-LV" w:eastAsia="lv-LV"/>
        </w:rPr>
        <w:t>p</w:t>
      </w:r>
      <w:r w:rsidRPr="00DF0F7D">
        <w:rPr>
          <w:i/>
          <w:iCs/>
          <w:lang w:val="lv-LV"/>
        </w:rPr>
        <w:t>rojekts š</w:t>
      </w:r>
      <w:r w:rsidR="00E25DE9" w:rsidRPr="00DF0F7D">
        <w:rPr>
          <w:i/>
          <w:iCs/>
          <w:lang w:val="lv-LV"/>
        </w:rPr>
        <w:t>o</w:t>
      </w:r>
      <w:r w:rsidR="00384564" w:rsidRPr="00DF0F7D">
        <w:rPr>
          <w:i/>
          <w:iCs/>
          <w:lang w:val="lv-LV"/>
        </w:rPr>
        <w:t xml:space="preserve"> jom</w:t>
      </w:r>
      <w:r w:rsidR="00E25DE9" w:rsidRPr="00DF0F7D">
        <w:rPr>
          <w:i/>
          <w:iCs/>
          <w:lang w:val="lv-LV"/>
        </w:rPr>
        <w:t>u</w:t>
      </w:r>
      <w:r w:rsidR="00384564" w:rsidRPr="00DF0F7D">
        <w:rPr>
          <w:i/>
          <w:iCs/>
          <w:lang w:val="lv-LV"/>
        </w:rPr>
        <w:t xml:space="preserve"> neskar</w:t>
      </w:r>
      <w:r w:rsidR="00384564" w:rsidRPr="00DF0F7D">
        <w:rPr>
          <w:i/>
          <w:lang w:val="lv-LV"/>
        </w:rPr>
        <w:t>.</w:t>
      </w:r>
    </w:p>
    <w:p w:rsidR="00CA1F22" w:rsidRPr="00DF0F7D" w:rsidRDefault="00CA1F22" w:rsidP="008665A4">
      <w:pPr>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0"/>
        <w:gridCol w:w="2984"/>
        <w:gridCol w:w="5558"/>
      </w:tblGrid>
      <w:tr w:rsidR="00E35982" w:rsidRPr="00734DD9"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DF0F7D" w:rsidRDefault="0057217F" w:rsidP="008665A4">
            <w:pPr>
              <w:jc w:val="center"/>
              <w:rPr>
                <w:b/>
                <w:bCs/>
                <w:lang w:val="lv-LV" w:eastAsia="lv-LV"/>
              </w:rPr>
            </w:pPr>
            <w:r w:rsidRPr="00DF0F7D">
              <w:rPr>
                <w:b/>
                <w:bCs/>
                <w:sz w:val="28"/>
                <w:lang w:val="lv-LV" w:eastAsia="lv-LV"/>
              </w:rPr>
              <w:t>VI. Sabiedrības līdzdalība un šī</w:t>
            </w:r>
            <w:r w:rsidR="00E35982" w:rsidRPr="00DF0F7D">
              <w:rPr>
                <w:b/>
                <w:bCs/>
                <w:sz w:val="28"/>
                <w:lang w:val="lv-LV" w:eastAsia="lv-LV"/>
              </w:rPr>
              <w:t>s līdzdalības rezultāti</w:t>
            </w:r>
          </w:p>
        </w:tc>
      </w:tr>
      <w:tr w:rsidR="0013088C" w:rsidRPr="00734DD9" w:rsidTr="004E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DF0F7D" w:rsidRDefault="0013088C" w:rsidP="008665A4">
            <w:pPr>
              <w:pStyle w:val="naiskr"/>
              <w:spacing w:before="0" w:beforeAutospacing="0" w:after="0" w:afterAutospacing="0"/>
            </w:pPr>
            <w:r w:rsidRPr="00DF0F7D">
              <w:t xml:space="preserve">1.  </w:t>
            </w:r>
          </w:p>
        </w:tc>
        <w:tc>
          <w:tcPr>
            <w:tcW w:w="1639" w:type="pct"/>
          </w:tcPr>
          <w:p w:rsidR="0013088C" w:rsidRPr="00DF0F7D" w:rsidRDefault="0013088C" w:rsidP="008665A4">
            <w:pPr>
              <w:pStyle w:val="naiskr"/>
              <w:spacing w:before="0" w:beforeAutospacing="0" w:after="0" w:afterAutospacing="0"/>
              <w:jc w:val="both"/>
            </w:pPr>
            <w:r w:rsidRPr="00DF0F7D">
              <w:t>Sabiedrības informēšana par projekta izstrādes uzsākšanu</w:t>
            </w:r>
          </w:p>
        </w:tc>
        <w:tc>
          <w:tcPr>
            <w:tcW w:w="3053" w:type="pct"/>
          </w:tcPr>
          <w:p w:rsidR="00AA1496" w:rsidRPr="00DF0F7D" w:rsidRDefault="00AA1496" w:rsidP="00B71DD8">
            <w:pPr>
              <w:jc w:val="both"/>
              <w:rPr>
                <w:lang w:val="lv-LV"/>
              </w:rPr>
            </w:pPr>
            <w:r w:rsidRPr="00DF0F7D">
              <w:rPr>
                <w:lang w:val="lv-LV"/>
              </w:rPr>
              <w:t xml:space="preserve">Noteikumu projekts </w:t>
            </w:r>
            <w:r w:rsidR="00B71DD8" w:rsidRPr="00DF0F7D">
              <w:rPr>
                <w:lang w:val="lv-LV"/>
              </w:rPr>
              <w:t xml:space="preserve">no </w:t>
            </w:r>
            <w:r w:rsidR="000F4C3B" w:rsidRPr="00DF0F7D">
              <w:rPr>
                <w:lang w:val="lv-LV"/>
              </w:rPr>
              <w:t>2013.gada 16.maij</w:t>
            </w:r>
            <w:r w:rsidR="00B71DD8" w:rsidRPr="00DF0F7D">
              <w:rPr>
                <w:lang w:val="lv-LV"/>
              </w:rPr>
              <w:t>a līdz 23.maijam</w:t>
            </w:r>
            <w:r w:rsidR="000F4C3B" w:rsidRPr="00DF0F7D">
              <w:rPr>
                <w:lang w:val="lv-LV"/>
              </w:rPr>
              <w:t xml:space="preserve"> </w:t>
            </w:r>
            <w:r w:rsidRPr="00DF0F7D">
              <w:rPr>
                <w:lang w:val="lv-LV"/>
              </w:rPr>
              <w:t xml:space="preserve">ievietots Zemkopības ministrijas </w:t>
            </w:r>
            <w:r w:rsidR="007119A1" w:rsidRPr="00DF0F7D">
              <w:rPr>
                <w:lang w:val="lv-LV"/>
              </w:rPr>
              <w:t>tīmekļa vietnē</w:t>
            </w:r>
            <w:r w:rsidR="00140BBE" w:rsidRPr="00DF0F7D">
              <w:rPr>
                <w:lang w:val="lv-LV"/>
              </w:rPr>
              <w:t xml:space="preserve"> un </w:t>
            </w:r>
            <w:r w:rsidR="000F4C3B" w:rsidRPr="00DF0F7D">
              <w:rPr>
                <w:lang w:val="lv-LV"/>
              </w:rPr>
              <w:t xml:space="preserve">2013.gada 17.maijā </w:t>
            </w:r>
            <w:r w:rsidR="00140BBE" w:rsidRPr="00DF0F7D">
              <w:rPr>
                <w:lang w:val="lv-LV"/>
              </w:rPr>
              <w:t xml:space="preserve">nosūtīts elektroniski saskaņošanai biedrībai „Lauksaimnieku organizāciju </w:t>
            </w:r>
            <w:r w:rsidR="007D074B" w:rsidRPr="00DF0F7D">
              <w:rPr>
                <w:lang w:val="lv-LV"/>
              </w:rPr>
              <w:t xml:space="preserve">sadarbības </w:t>
            </w:r>
            <w:r w:rsidR="00140BBE" w:rsidRPr="00DF0F7D">
              <w:rPr>
                <w:lang w:val="lv-LV"/>
              </w:rPr>
              <w:t>padome”</w:t>
            </w:r>
            <w:r w:rsidR="00EB161F" w:rsidRPr="00DF0F7D">
              <w:rPr>
                <w:lang w:val="lv-LV"/>
              </w:rPr>
              <w:t>, „Pārtikas uzņēmumu federācija”</w:t>
            </w:r>
            <w:r w:rsidR="00140BBE" w:rsidRPr="00DF0F7D">
              <w:rPr>
                <w:lang w:val="lv-LV"/>
              </w:rPr>
              <w:t xml:space="preserve"> un „Zemnieku saeima”.</w:t>
            </w:r>
          </w:p>
        </w:tc>
      </w:tr>
      <w:tr w:rsidR="0013088C" w:rsidRPr="00734DD9" w:rsidTr="004E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DF0F7D" w:rsidRDefault="0013088C" w:rsidP="008665A4">
            <w:pPr>
              <w:pStyle w:val="naiskr"/>
              <w:spacing w:before="0" w:beforeAutospacing="0" w:after="0" w:afterAutospacing="0"/>
            </w:pPr>
            <w:r w:rsidRPr="00DF0F7D">
              <w:t>2.</w:t>
            </w:r>
          </w:p>
        </w:tc>
        <w:tc>
          <w:tcPr>
            <w:tcW w:w="1639" w:type="pct"/>
          </w:tcPr>
          <w:p w:rsidR="0013088C" w:rsidRPr="00DF0F7D" w:rsidRDefault="0013088C" w:rsidP="008665A4">
            <w:pPr>
              <w:pStyle w:val="naiskr"/>
              <w:spacing w:before="0" w:beforeAutospacing="0" w:after="0" w:afterAutospacing="0"/>
              <w:jc w:val="both"/>
            </w:pPr>
            <w:r w:rsidRPr="00DF0F7D">
              <w:t>Sabiedrības līdzdalība projekta izstrādē</w:t>
            </w:r>
          </w:p>
        </w:tc>
        <w:tc>
          <w:tcPr>
            <w:tcW w:w="3053" w:type="pct"/>
          </w:tcPr>
          <w:p w:rsidR="004E1782" w:rsidRPr="00DF0F7D" w:rsidRDefault="00FB6264" w:rsidP="00B71DD8">
            <w:pPr>
              <w:pStyle w:val="naiskr"/>
              <w:spacing w:before="0" w:beforeAutospacing="0" w:after="0" w:afterAutospacing="0"/>
              <w:jc w:val="both"/>
            </w:pPr>
            <w:r w:rsidRPr="00DF0F7D">
              <w:t>Šīs anotācijas sadaļas 1.punktā minētās biedrības noteikumu projekta izvērtēšanai izvēlētas, jo pārstāv uzņēmējus,</w:t>
            </w:r>
            <w:r w:rsidR="00B71DD8" w:rsidRPr="00DF0F7D">
              <w:t xml:space="preserve"> kuru profesionālā darbība ir saistīta ar dienesta veiktajām kontrolēm.</w:t>
            </w:r>
          </w:p>
        </w:tc>
      </w:tr>
      <w:tr w:rsidR="0013088C" w:rsidRPr="00DF0F7D" w:rsidTr="004E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DF0F7D" w:rsidRDefault="0013088C" w:rsidP="008665A4">
            <w:pPr>
              <w:pStyle w:val="naiskr"/>
              <w:spacing w:before="0" w:beforeAutospacing="0" w:after="0" w:afterAutospacing="0"/>
            </w:pPr>
            <w:r w:rsidRPr="00DF0F7D">
              <w:t>3.</w:t>
            </w:r>
          </w:p>
        </w:tc>
        <w:tc>
          <w:tcPr>
            <w:tcW w:w="1639" w:type="pct"/>
          </w:tcPr>
          <w:p w:rsidR="0013088C" w:rsidRPr="00DF0F7D" w:rsidRDefault="0013088C" w:rsidP="008665A4">
            <w:pPr>
              <w:pStyle w:val="naiskr"/>
              <w:spacing w:before="0" w:beforeAutospacing="0" w:after="0" w:afterAutospacing="0"/>
              <w:jc w:val="both"/>
            </w:pPr>
            <w:r w:rsidRPr="00DF0F7D">
              <w:t>Sabiedrības līdzdalības rezultāti</w:t>
            </w:r>
          </w:p>
        </w:tc>
        <w:tc>
          <w:tcPr>
            <w:tcW w:w="3053" w:type="pct"/>
          </w:tcPr>
          <w:p w:rsidR="004E1782" w:rsidRPr="00DF0F7D" w:rsidRDefault="00FB6264" w:rsidP="008665A4">
            <w:pPr>
              <w:pStyle w:val="naiskr"/>
              <w:spacing w:before="0" w:beforeAutospacing="0" w:after="0" w:afterAutospacing="0"/>
              <w:jc w:val="both"/>
              <w:rPr>
                <w:rFonts w:eastAsia="Arial Unicode MS"/>
              </w:rPr>
            </w:pPr>
            <w:r w:rsidRPr="00DF0F7D">
              <w:rPr>
                <w:rFonts w:eastAsia="Arial Unicode MS"/>
              </w:rPr>
              <w:t>Iebildumi un priekšlikumi par noteikumu projektu nav saņemti.</w:t>
            </w:r>
          </w:p>
        </w:tc>
      </w:tr>
      <w:tr w:rsidR="0013088C" w:rsidRPr="00DF0F7D" w:rsidTr="004E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DF0F7D" w:rsidRDefault="0013088C" w:rsidP="008665A4">
            <w:pPr>
              <w:pStyle w:val="naiskr"/>
              <w:spacing w:before="0" w:beforeAutospacing="0" w:after="0" w:afterAutospacing="0"/>
            </w:pPr>
            <w:r w:rsidRPr="00DF0F7D">
              <w:t>4.</w:t>
            </w:r>
          </w:p>
        </w:tc>
        <w:tc>
          <w:tcPr>
            <w:tcW w:w="1639" w:type="pct"/>
          </w:tcPr>
          <w:p w:rsidR="0013088C" w:rsidRPr="00DF0F7D" w:rsidRDefault="0013088C" w:rsidP="008665A4">
            <w:pPr>
              <w:pStyle w:val="naiskr"/>
              <w:spacing w:before="0" w:beforeAutospacing="0" w:after="0" w:afterAutospacing="0"/>
              <w:jc w:val="both"/>
            </w:pPr>
            <w:r w:rsidRPr="00DF0F7D">
              <w:t>Saeimas un ekspertu līdzdalība</w:t>
            </w:r>
          </w:p>
        </w:tc>
        <w:tc>
          <w:tcPr>
            <w:tcW w:w="3053" w:type="pct"/>
          </w:tcPr>
          <w:p w:rsidR="0013088C" w:rsidRPr="00DF0F7D" w:rsidRDefault="0013088C" w:rsidP="008665A4">
            <w:pPr>
              <w:rPr>
                <w:lang w:val="lv-LV"/>
              </w:rPr>
            </w:pPr>
            <w:r w:rsidRPr="00DF0F7D">
              <w:rPr>
                <w:lang w:val="lv-LV"/>
              </w:rPr>
              <w:t>Konsultācijas nav notikušas.</w:t>
            </w:r>
          </w:p>
        </w:tc>
      </w:tr>
      <w:tr w:rsidR="0013088C" w:rsidRPr="00DF0F7D" w:rsidTr="004E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DF0F7D" w:rsidRDefault="0013088C" w:rsidP="008665A4">
            <w:pPr>
              <w:pStyle w:val="naiskr"/>
              <w:spacing w:before="0" w:beforeAutospacing="0" w:after="0" w:afterAutospacing="0"/>
            </w:pPr>
            <w:r w:rsidRPr="00DF0F7D">
              <w:t>5.</w:t>
            </w:r>
          </w:p>
        </w:tc>
        <w:tc>
          <w:tcPr>
            <w:tcW w:w="1639" w:type="pct"/>
          </w:tcPr>
          <w:p w:rsidR="0013088C" w:rsidRPr="00DF0F7D" w:rsidRDefault="0013088C" w:rsidP="008665A4">
            <w:pPr>
              <w:pStyle w:val="naiskr"/>
              <w:spacing w:before="0" w:beforeAutospacing="0" w:after="0" w:afterAutospacing="0"/>
              <w:jc w:val="both"/>
            </w:pPr>
            <w:r w:rsidRPr="00DF0F7D">
              <w:t>Cita informācija</w:t>
            </w:r>
          </w:p>
        </w:tc>
        <w:tc>
          <w:tcPr>
            <w:tcW w:w="3053" w:type="pct"/>
          </w:tcPr>
          <w:p w:rsidR="0013088C" w:rsidRPr="00DF0F7D" w:rsidRDefault="0013088C" w:rsidP="008665A4">
            <w:pPr>
              <w:pStyle w:val="naisc"/>
              <w:spacing w:before="0" w:beforeAutospacing="0" w:after="0" w:afterAutospacing="0"/>
              <w:jc w:val="left"/>
              <w:rPr>
                <w:sz w:val="24"/>
                <w:szCs w:val="24"/>
                <w:lang w:val="lv-LV"/>
              </w:rPr>
            </w:pPr>
            <w:r w:rsidRPr="00DF0F7D">
              <w:rPr>
                <w:sz w:val="24"/>
                <w:szCs w:val="24"/>
                <w:lang w:val="lv-LV"/>
              </w:rPr>
              <w:t>Nav</w:t>
            </w:r>
            <w:r w:rsidR="00366E84" w:rsidRPr="00DF0F7D">
              <w:rPr>
                <w:sz w:val="24"/>
                <w:szCs w:val="24"/>
                <w:lang w:val="lv-LV"/>
              </w:rPr>
              <w:t>.</w:t>
            </w:r>
          </w:p>
        </w:tc>
      </w:tr>
    </w:tbl>
    <w:p w:rsidR="00A11B10" w:rsidRPr="00DF0F7D" w:rsidRDefault="00A11B10">
      <w:pPr>
        <w:rPr>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0"/>
        <w:gridCol w:w="4118"/>
        <w:gridCol w:w="4424"/>
      </w:tblGrid>
      <w:tr w:rsidR="00A162FE" w:rsidRPr="00734DD9"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DF0F7D" w:rsidRDefault="00A162FE" w:rsidP="008665A4">
            <w:pPr>
              <w:jc w:val="center"/>
              <w:rPr>
                <w:b/>
                <w:bCs/>
                <w:sz w:val="28"/>
                <w:lang w:val="lv-LV" w:eastAsia="lv-LV"/>
              </w:rPr>
            </w:pPr>
            <w:r w:rsidRPr="00DF0F7D">
              <w:rPr>
                <w:b/>
                <w:bCs/>
                <w:sz w:val="28"/>
                <w:lang w:val="lv-LV" w:eastAsia="lv-LV"/>
              </w:rPr>
              <w:t>VII. Tiesību akta projekta izpildes nodrošināšana un tās ietekme uz institūcijām</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1.</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jc w:val="both"/>
              <w:rPr>
                <w:lang w:val="lv-LV" w:eastAsia="lv-LV"/>
              </w:rPr>
            </w:pPr>
            <w:r w:rsidRPr="00DF0F7D">
              <w:rPr>
                <w:lang w:val="lv-LV" w:eastAsia="lv-LV"/>
              </w:rPr>
              <w:t>Projekta izpildē iesaistītās institūcijas</w:t>
            </w:r>
          </w:p>
        </w:tc>
        <w:tc>
          <w:tcPr>
            <w:tcW w:w="2430" w:type="pct"/>
            <w:tcBorders>
              <w:top w:val="outset" w:sz="6" w:space="0" w:color="000000"/>
              <w:left w:val="outset" w:sz="6" w:space="0" w:color="000000"/>
              <w:bottom w:val="outset" w:sz="6" w:space="0" w:color="000000"/>
              <w:right w:val="outset" w:sz="6" w:space="0" w:color="000000"/>
            </w:tcBorders>
          </w:tcPr>
          <w:p w:rsidR="002C46AC" w:rsidRPr="00DF0F7D" w:rsidRDefault="00C41D53" w:rsidP="008665A4">
            <w:pPr>
              <w:pStyle w:val="Kjene"/>
              <w:tabs>
                <w:tab w:val="clear" w:pos="4153"/>
                <w:tab w:val="clear" w:pos="8306"/>
              </w:tabs>
              <w:snapToGrid/>
              <w:jc w:val="both"/>
              <w:rPr>
                <w:rFonts w:ascii="Times New Roman" w:hAnsi="Times New Roman"/>
                <w:sz w:val="24"/>
                <w:szCs w:val="24"/>
              </w:rPr>
            </w:pPr>
            <w:r w:rsidRPr="00DF0F7D">
              <w:rPr>
                <w:rFonts w:ascii="Times New Roman" w:hAnsi="Times New Roman"/>
                <w:sz w:val="24"/>
              </w:rPr>
              <w:t>Pārtikas un veterinārais dienests</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2.</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jc w:val="both"/>
              <w:rPr>
                <w:lang w:val="lv-LV" w:eastAsia="lv-LV"/>
              </w:rPr>
            </w:pPr>
            <w:r w:rsidRPr="00DF0F7D">
              <w:rPr>
                <w:lang w:val="lv-LV" w:eastAsia="lv-LV"/>
              </w:rPr>
              <w:t>Projekta izpildes ietekme uz pārvaldes funkcijām</w:t>
            </w:r>
          </w:p>
        </w:tc>
        <w:tc>
          <w:tcPr>
            <w:tcW w:w="2430" w:type="pct"/>
            <w:tcBorders>
              <w:top w:val="outset" w:sz="6" w:space="0" w:color="000000"/>
              <w:left w:val="outset" w:sz="6" w:space="0" w:color="000000"/>
              <w:bottom w:val="outset" w:sz="6" w:space="0" w:color="000000"/>
              <w:right w:val="outset" w:sz="6" w:space="0" w:color="000000"/>
            </w:tcBorders>
          </w:tcPr>
          <w:p w:rsidR="005F1986" w:rsidRPr="00DF0F7D" w:rsidRDefault="00C41D53" w:rsidP="008665A4">
            <w:pPr>
              <w:pStyle w:val="naiskr"/>
              <w:spacing w:before="0" w:beforeAutospacing="0" w:after="0" w:afterAutospacing="0"/>
              <w:jc w:val="both"/>
            </w:pPr>
            <w:r w:rsidRPr="00DF0F7D">
              <w:rPr>
                <w:iCs/>
              </w:rPr>
              <w:t>Projekts šo jomu neskar</w:t>
            </w:r>
            <w:r w:rsidRPr="00DF0F7D">
              <w:t>.</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3.</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jc w:val="both"/>
              <w:rPr>
                <w:lang w:val="lv-LV" w:eastAsia="lv-LV"/>
              </w:rPr>
            </w:pPr>
            <w:r w:rsidRPr="00DF0F7D">
              <w:rPr>
                <w:lang w:val="lv-LV" w:eastAsia="lv-LV"/>
              </w:rPr>
              <w:t>Projekta izpildes ietekme uz pārvaldes institucionālo struktūru.</w:t>
            </w:r>
          </w:p>
          <w:p w:rsidR="002C46AC" w:rsidRPr="00DF0F7D" w:rsidRDefault="002C46AC" w:rsidP="008665A4">
            <w:pPr>
              <w:jc w:val="both"/>
              <w:rPr>
                <w:lang w:val="lv-LV" w:eastAsia="lv-LV"/>
              </w:rPr>
            </w:pPr>
            <w:r w:rsidRPr="00DF0F7D">
              <w:rPr>
                <w:lang w:val="lv-LV" w:eastAsia="lv-LV"/>
              </w:rPr>
              <w:t>Jaunu institūciju izveide</w:t>
            </w:r>
          </w:p>
        </w:tc>
        <w:tc>
          <w:tcPr>
            <w:tcW w:w="2430" w:type="pct"/>
            <w:tcBorders>
              <w:top w:val="outset" w:sz="6" w:space="0" w:color="000000"/>
              <w:left w:val="outset" w:sz="6" w:space="0" w:color="000000"/>
              <w:bottom w:val="outset" w:sz="6" w:space="0" w:color="000000"/>
              <w:right w:val="outset" w:sz="6" w:space="0" w:color="000000"/>
            </w:tcBorders>
          </w:tcPr>
          <w:p w:rsidR="002C46AC" w:rsidRPr="00DF0F7D" w:rsidRDefault="00384564" w:rsidP="008665A4">
            <w:pPr>
              <w:pStyle w:val="Kjene"/>
              <w:tabs>
                <w:tab w:val="clear" w:pos="4153"/>
                <w:tab w:val="clear" w:pos="8306"/>
              </w:tabs>
              <w:snapToGrid/>
              <w:jc w:val="both"/>
              <w:rPr>
                <w:rFonts w:ascii="Times New Roman" w:hAnsi="Times New Roman"/>
                <w:sz w:val="24"/>
                <w:szCs w:val="24"/>
              </w:rPr>
            </w:pPr>
            <w:r w:rsidRPr="00DF0F7D">
              <w:rPr>
                <w:rFonts w:ascii="Times New Roman" w:hAnsi="Times New Roman"/>
                <w:iCs/>
                <w:sz w:val="24"/>
                <w:szCs w:val="24"/>
              </w:rPr>
              <w:t>Projekts šo jomu neskar</w:t>
            </w:r>
            <w:r w:rsidRPr="00DF0F7D">
              <w:rPr>
                <w:rFonts w:ascii="Times New Roman" w:hAnsi="Times New Roman"/>
                <w:sz w:val="24"/>
                <w:szCs w:val="24"/>
              </w:rPr>
              <w:t>.</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4.</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jc w:val="both"/>
              <w:rPr>
                <w:lang w:val="lv-LV" w:eastAsia="lv-LV"/>
              </w:rPr>
            </w:pPr>
            <w:r w:rsidRPr="00DF0F7D">
              <w:rPr>
                <w:lang w:val="lv-LV" w:eastAsia="lv-LV"/>
              </w:rPr>
              <w:t>Projekta izpildes ietekme uz pārvaldes institucionālo struktūru.</w:t>
            </w:r>
          </w:p>
          <w:p w:rsidR="002C46AC" w:rsidRPr="00DF0F7D" w:rsidRDefault="002C46AC" w:rsidP="008665A4">
            <w:pPr>
              <w:jc w:val="both"/>
              <w:rPr>
                <w:lang w:val="lv-LV" w:eastAsia="lv-LV"/>
              </w:rPr>
            </w:pPr>
            <w:r w:rsidRPr="00DF0F7D">
              <w:rPr>
                <w:lang w:val="lv-LV" w:eastAsia="lv-LV"/>
              </w:rPr>
              <w:t>Esošu institūciju likvidācija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DF0F7D" w:rsidRDefault="00384564" w:rsidP="008665A4">
            <w:pPr>
              <w:pStyle w:val="Kjene"/>
              <w:tabs>
                <w:tab w:val="clear" w:pos="4153"/>
                <w:tab w:val="clear" w:pos="8306"/>
              </w:tabs>
              <w:snapToGrid/>
              <w:jc w:val="both"/>
              <w:rPr>
                <w:rFonts w:ascii="Times New Roman" w:eastAsia="Arial Unicode MS" w:hAnsi="Times New Roman"/>
                <w:sz w:val="24"/>
                <w:szCs w:val="24"/>
              </w:rPr>
            </w:pPr>
            <w:r w:rsidRPr="00DF0F7D">
              <w:rPr>
                <w:rFonts w:ascii="Times New Roman" w:hAnsi="Times New Roman"/>
                <w:iCs/>
                <w:sz w:val="24"/>
                <w:szCs w:val="24"/>
              </w:rPr>
              <w:t>Projekts šo jomu neskar</w:t>
            </w:r>
            <w:r w:rsidRPr="00DF0F7D">
              <w:rPr>
                <w:rFonts w:ascii="Times New Roman" w:hAnsi="Times New Roman"/>
                <w:sz w:val="24"/>
                <w:szCs w:val="24"/>
              </w:rPr>
              <w:t>.</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5.</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jc w:val="both"/>
              <w:rPr>
                <w:lang w:val="lv-LV" w:eastAsia="lv-LV"/>
              </w:rPr>
            </w:pPr>
            <w:r w:rsidRPr="00DF0F7D">
              <w:rPr>
                <w:lang w:val="lv-LV" w:eastAsia="lv-LV"/>
              </w:rPr>
              <w:t>Projekta izpildes ietekme uz pārvaldes institucionālo struktūru.</w:t>
            </w:r>
          </w:p>
          <w:p w:rsidR="002C46AC" w:rsidRPr="00DF0F7D" w:rsidRDefault="002C46AC" w:rsidP="008665A4">
            <w:pPr>
              <w:jc w:val="both"/>
              <w:rPr>
                <w:lang w:val="lv-LV" w:eastAsia="lv-LV"/>
              </w:rPr>
            </w:pPr>
            <w:r w:rsidRPr="00DF0F7D">
              <w:rPr>
                <w:lang w:val="lv-LV" w:eastAsia="lv-LV"/>
              </w:rPr>
              <w:t>Esošu institūciju reorganizācija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DF0F7D" w:rsidRDefault="00384564" w:rsidP="008665A4">
            <w:pPr>
              <w:jc w:val="both"/>
              <w:rPr>
                <w:rFonts w:eastAsia="Arial Unicode MS"/>
                <w:lang w:val="lv-LV"/>
              </w:rPr>
            </w:pPr>
            <w:r w:rsidRPr="00DF0F7D">
              <w:rPr>
                <w:iCs/>
                <w:lang w:val="lv-LV"/>
              </w:rPr>
              <w:t>Projekts šo jomu neskar</w:t>
            </w:r>
            <w:r w:rsidRPr="00DF0F7D">
              <w:rPr>
                <w:lang w:val="lv-LV"/>
              </w:rPr>
              <w:t>.</w:t>
            </w:r>
          </w:p>
        </w:tc>
      </w:tr>
      <w:tr w:rsidR="002C46AC" w:rsidRPr="00DF0F7D" w:rsidTr="00CA1F22">
        <w:tc>
          <w:tcPr>
            <w:tcW w:w="0" w:type="auto"/>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6.</w:t>
            </w:r>
          </w:p>
        </w:tc>
        <w:tc>
          <w:tcPr>
            <w:tcW w:w="2262"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lang w:val="lv-LV" w:eastAsia="lv-LV"/>
              </w:rPr>
            </w:pPr>
            <w:r w:rsidRPr="00DF0F7D">
              <w:rPr>
                <w:lang w:val="lv-LV" w:eastAsia="lv-LV"/>
              </w:rPr>
              <w:t>Cita informācija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DF0F7D" w:rsidRDefault="002C46AC" w:rsidP="008665A4">
            <w:pPr>
              <w:rPr>
                <w:rFonts w:eastAsia="Arial Unicode MS"/>
                <w:lang w:val="lv-LV"/>
              </w:rPr>
            </w:pPr>
            <w:r w:rsidRPr="00DF0F7D">
              <w:rPr>
                <w:lang w:val="lv-LV"/>
              </w:rPr>
              <w:t>Nav</w:t>
            </w:r>
            <w:r w:rsidR="00366E84" w:rsidRPr="00DF0F7D">
              <w:rPr>
                <w:lang w:val="lv-LV"/>
              </w:rPr>
              <w:t>.</w:t>
            </w:r>
          </w:p>
        </w:tc>
      </w:tr>
    </w:tbl>
    <w:p w:rsidR="00F83BA3" w:rsidRPr="00DF0F7D" w:rsidRDefault="00F83BA3" w:rsidP="008665A4">
      <w:pPr>
        <w:pStyle w:val="naisf"/>
        <w:spacing w:before="0" w:beforeAutospacing="0" w:after="0" w:afterAutospacing="0"/>
        <w:rPr>
          <w:sz w:val="28"/>
          <w:lang w:val="lv-LV"/>
        </w:rPr>
      </w:pPr>
    </w:p>
    <w:p w:rsidR="00C71A34" w:rsidRPr="00DF0F7D" w:rsidRDefault="00C71A34" w:rsidP="008665A4">
      <w:pPr>
        <w:pStyle w:val="naisf"/>
        <w:spacing w:before="0" w:beforeAutospacing="0" w:after="0" w:afterAutospacing="0"/>
        <w:rPr>
          <w:sz w:val="28"/>
          <w:lang w:val="lv-LV"/>
        </w:rPr>
      </w:pPr>
    </w:p>
    <w:p w:rsidR="00105AE2" w:rsidRPr="00DF0F7D" w:rsidRDefault="00096D79" w:rsidP="008665A4">
      <w:pPr>
        <w:pStyle w:val="Virsraksts1"/>
        <w:keepNext w:val="0"/>
        <w:widowControl w:val="0"/>
        <w:ind w:firstLine="720"/>
        <w:jc w:val="left"/>
        <w:rPr>
          <w:b w:val="0"/>
          <w:szCs w:val="28"/>
        </w:rPr>
      </w:pPr>
      <w:r w:rsidRPr="00DF0F7D">
        <w:rPr>
          <w:b w:val="0"/>
          <w:szCs w:val="28"/>
        </w:rPr>
        <w:t>Zemkopības ministre</w:t>
      </w:r>
      <w:r w:rsidR="00105AE2" w:rsidRPr="00DF0F7D">
        <w:rPr>
          <w:b w:val="0"/>
          <w:szCs w:val="28"/>
        </w:rPr>
        <w:tab/>
      </w:r>
      <w:r w:rsidR="00A22819" w:rsidRPr="00DF0F7D">
        <w:rPr>
          <w:b w:val="0"/>
          <w:szCs w:val="28"/>
        </w:rPr>
        <w:tab/>
      </w:r>
      <w:r w:rsidR="00A22819" w:rsidRPr="00DF0F7D">
        <w:rPr>
          <w:b w:val="0"/>
          <w:szCs w:val="28"/>
        </w:rPr>
        <w:tab/>
      </w:r>
      <w:r w:rsidR="00A22819" w:rsidRPr="00DF0F7D">
        <w:rPr>
          <w:b w:val="0"/>
          <w:szCs w:val="28"/>
        </w:rPr>
        <w:tab/>
      </w:r>
      <w:r w:rsidR="00A22819" w:rsidRPr="00DF0F7D">
        <w:rPr>
          <w:b w:val="0"/>
          <w:szCs w:val="28"/>
        </w:rPr>
        <w:tab/>
      </w:r>
      <w:r w:rsidR="00105AE2" w:rsidRPr="00DF0F7D">
        <w:rPr>
          <w:b w:val="0"/>
          <w:szCs w:val="28"/>
        </w:rPr>
        <w:tab/>
      </w:r>
      <w:r w:rsidRPr="00DF0F7D">
        <w:rPr>
          <w:b w:val="0"/>
          <w:szCs w:val="28"/>
        </w:rPr>
        <w:t>L.Straujuma</w:t>
      </w:r>
    </w:p>
    <w:p w:rsidR="002B24A9" w:rsidRPr="00DF0F7D" w:rsidRDefault="002B24A9" w:rsidP="008665A4">
      <w:pPr>
        <w:rPr>
          <w:lang w:val="lv-LV"/>
        </w:rPr>
      </w:pPr>
    </w:p>
    <w:p w:rsidR="00C71A34" w:rsidRPr="00DF0F7D" w:rsidRDefault="00C71A34" w:rsidP="008665A4">
      <w:pPr>
        <w:rPr>
          <w:lang w:val="lv-LV"/>
        </w:rPr>
      </w:pPr>
    </w:p>
    <w:p w:rsidR="002C5736" w:rsidRDefault="002C5736" w:rsidP="008665A4">
      <w:pPr>
        <w:rPr>
          <w:lang w:val="lv-LV"/>
        </w:rPr>
      </w:pPr>
    </w:p>
    <w:p w:rsidR="002C5736" w:rsidRDefault="002C5736" w:rsidP="008665A4">
      <w:pPr>
        <w:rPr>
          <w:lang w:val="lv-LV"/>
        </w:rPr>
      </w:pPr>
    </w:p>
    <w:p w:rsidR="002C5736" w:rsidRDefault="002C5736" w:rsidP="008665A4">
      <w:pPr>
        <w:rPr>
          <w:lang w:val="lv-LV"/>
        </w:rPr>
      </w:pPr>
    </w:p>
    <w:p w:rsidR="00734DD9" w:rsidRDefault="00734DD9" w:rsidP="008665A4">
      <w:pPr>
        <w:jc w:val="both"/>
        <w:rPr>
          <w:sz w:val="20"/>
          <w:szCs w:val="20"/>
          <w:lang w:val="lv-LV"/>
        </w:rPr>
      </w:pPr>
      <w:bookmarkStart w:id="2" w:name="_GoBack"/>
      <w:bookmarkEnd w:id="2"/>
      <w:r>
        <w:rPr>
          <w:sz w:val="20"/>
          <w:szCs w:val="20"/>
          <w:lang w:val="lv-LV"/>
        </w:rPr>
        <w:t>2013.07.11. 11:21</w:t>
      </w:r>
    </w:p>
    <w:p w:rsidR="00734DD9" w:rsidRPr="00734DD9" w:rsidRDefault="00734DD9" w:rsidP="008665A4">
      <w:pPr>
        <w:jc w:val="both"/>
        <w:rPr>
          <w:sz w:val="20"/>
          <w:szCs w:val="20"/>
          <w:lang w:val="lv-LV"/>
        </w:rPr>
      </w:pPr>
      <w:fldSimple w:instr=" NUMWORDS   \* MERGEFORMAT ">
        <w:r w:rsidRPr="00734DD9">
          <w:rPr>
            <w:noProof/>
            <w:sz w:val="20"/>
            <w:szCs w:val="20"/>
            <w:lang w:val="lv-LV"/>
          </w:rPr>
          <w:t>4107</w:t>
        </w:r>
      </w:fldSimple>
    </w:p>
    <w:p w:rsidR="00294063" w:rsidRPr="00DF0F7D" w:rsidRDefault="00294063" w:rsidP="008665A4">
      <w:pPr>
        <w:jc w:val="both"/>
        <w:rPr>
          <w:sz w:val="20"/>
          <w:szCs w:val="20"/>
          <w:lang w:val="lv-LV"/>
        </w:rPr>
      </w:pPr>
      <w:r w:rsidRPr="00DF0F7D">
        <w:rPr>
          <w:sz w:val="20"/>
          <w:szCs w:val="20"/>
          <w:lang w:val="lv-LV"/>
        </w:rPr>
        <w:t>L.Gurecka</w:t>
      </w:r>
    </w:p>
    <w:p w:rsidR="00C20792" w:rsidRPr="00DF0F7D" w:rsidRDefault="00294063" w:rsidP="008665A4">
      <w:pPr>
        <w:jc w:val="both"/>
        <w:rPr>
          <w:sz w:val="20"/>
          <w:szCs w:val="20"/>
          <w:lang w:val="lv-LV"/>
        </w:rPr>
      </w:pPr>
      <w:r w:rsidRPr="00DF0F7D">
        <w:rPr>
          <w:sz w:val="20"/>
          <w:szCs w:val="20"/>
          <w:lang w:val="lv-LV"/>
        </w:rPr>
        <w:t>67027063, Linda.Gurecka@zm.gov.lv</w:t>
      </w:r>
    </w:p>
    <w:sectPr w:rsidR="00C20792" w:rsidRPr="00DF0F7D" w:rsidSect="00734DD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55" w:rsidRDefault="00AE0B55">
      <w:r>
        <w:separator/>
      </w:r>
    </w:p>
  </w:endnote>
  <w:endnote w:type="continuationSeparator" w:id="0">
    <w:p w:rsidR="00AE0B55" w:rsidRDefault="00AE0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44" w:rsidRPr="00A17DD9" w:rsidRDefault="00B90944" w:rsidP="00962D0E">
    <w:pPr>
      <w:widowControl w:val="0"/>
      <w:autoSpaceDE w:val="0"/>
      <w:autoSpaceDN w:val="0"/>
      <w:adjustRightInd w:val="0"/>
      <w:jc w:val="both"/>
      <w:rPr>
        <w:sz w:val="20"/>
        <w:szCs w:val="20"/>
        <w:lang w:val="lv-LV"/>
      </w:rPr>
    </w:pPr>
    <w:r w:rsidRPr="00A17DD9">
      <w:rPr>
        <w:sz w:val="20"/>
        <w:szCs w:val="20"/>
        <w:lang w:val="lv-LV"/>
      </w:rPr>
      <w:t>ZMAnot_</w:t>
    </w:r>
    <w:r>
      <w:rPr>
        <w:sz w:val="20"/>
        <w:szCs w:val="20"/>
        <w:lang w:val="lv-LV"/>
      </w:rPr>
      <w:t>10</w:t>
    </w:r>
    <w:r>
      <w:rPr>
        <w:sz w:val="20"/>
        <w:szCs w:val="20"/>
      </w:rPr>
      <w:t>0713</w:t>
    </w:r>
    <w:r w:rsidRPr="00A17DD9">
      <w:rPr>
        <w:sz w:val="20"/>
        <w:szCs w:val="20"/>
        <w:lang w:val="lv-LV"/>
      </w:rPr>
      <w:t>_</w:t>
    </w:r>
    <w:proofErr w:type="spellStart"/>
    <w:r w:rsidRPr="00A17DD9">
      <w:rPr>
        <w:sz w:val="20"/>
        <w:szCs w:val="20"/>
        <w:lang w:val="lv-LV"/>
      </w:rPr>
      <w:t>PVDcenradis</w:t>
    </w:r>
    <w:proofErr w:type="spellEnd"/>
    <w:r w:rsidRPr="00A17DD9">
      <w:rPr>
        <w:sz w:val="20"/>
        <w:szCs w:val="20"/>
        <w:lang w:val="lv-LV"/>
      </w:rPr>
      <w:t xml:space="preserve">; </w:t>
    </w:r>
    <w:r w:rsidRPr="00A17DD9">
      <w:rPr>
        <w:bCs/>
        <w:sz w:val="20"/>
        <w:szCs w:val="20"/>
        <w:lang w:val="lv-LV"/>
      </w:rPr>
      <w:t xml:space="preserve">Grozījumi Ministru kabineta 2010.gada </w:t>
    </w:r>
    <w:r w:rsidRPr="00A17DD9">
      <w:rPr>
        <w:sz w:val="20"/>
        <w:szCs w:val="20"/>
        <w:lang w:val="lv-LV"/>
      </w:rPr>
      <w:t>28.decembra noteikumos Nr.1231</w:t>
    </w:r>
    <w:r w:rsidRPr="00A17DD9">
      <w:rPr>
        <w:bCs/>
        <w:sz w:val="20"/>
        <w:szCs w:val="20"/>
        <w:lang w:val="lv-LV"/>
      </w:rPr>
      <w:t xml:space="preserve"> „Noteikumi par Pārtikas un veterinārā dienesta veikto valsts uzraudzības un kontroles darbību un sniegto maksas pakalpojumu samaksu</w:t>
    </w:r>
    <w:r w:rsidRPr="00A17DD9">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44" w:rsidRPr="00962D0E" w:rsidRDefault="00B90944" w:rsidP="00962D0E">
    <w:pPr>
      <w:widowControl w:val="0"/>
      <w:autoSpaceDE w:val="0"/>
      <w:autoSpaceDN w:val="0"/>
      <w:adjustRightInd w:val="0"/>
      <w:jc w:val="both"/>
      <w:rPr>
        <w:sz w:val="20"/>
        <w:szCs w:val="20"/>
      </w:rPr>
    </w:pPr>
    <w:r w:rsidRPr="00D76116">
      <w:rPr>
        <w:sz w:val="20"/>
        <w:szCs w:val="20"/>
      </w:rPr>
      <w:t>ZM</w:t>
    </w:r>
    <w:r>
      <w:rPr>
        <w:sz w:val="20"/>
        <w:szCs w:val="20"/>
      </w:rPr>
      <w:t>Anot</w:t>
    </w:r>
    <w:r w:rsidRPr="00D76116">
      <w:rPr>
        <w:sz w:val="20"/>
        <w:szCs w:val="20"/>
      </w:rPr>
      <w:t>_</w:t>
    </w:r>
    <w:r>
      <w:rPr>
        <w:sz w:val="20"/>
        <w:szCs w:val="20"/>
      </w:rPr>
      <w:t>100713</w:t>
    </w:r>
    <w:r w:rsidRPr="00D76116">
      <w:rPr>
        <w:sz w:val="20"/>
        <w:szCs w:val="20"/>
      </w:rPr>
      <w:t xml:space="preserve">_PVDcenradis; </w:t>
    </w:r>
    <w:r w:rsidRPr="00D76116">
      <w:rPr>
        <w:bCs/>
        <w:sz w:val="20"/>
        <w:szCs w:val="20"/>
        <w:lang w:val="lv-LV"/>
      </w:rPr>
      <w:t xml:space="preserve">Grozījumi Ministru kabineta 2010.gada </w:t>
    </w:r>
    <w:r w:rsidRPr="00892F79">
      <w:rPr>
        <w:sz w:val="20"/>
        <w:szCs w:val="20"/>
        <w:lang w:val="lv-LV"/>
      </w:rPr>
      <w:t>28.decembra noteikumos Nr.1231</w:t>
    </w:r>
    <w:r w:rsidRPr="00892F79">
      <w:rPr>
        <w:bCs/>
        <w:sz w:val="20"/>
        <w:szCs w:val="20"/>
        <w:lang w:val="lv-LV"/>
      </w:rPr>
      <w:t xml:space="preserve"> „Noteikumi par Pārtikas un veterinārā dienesta veikto valsts uzraudzības un kontroles darbību un sniegto</w:t>
    </w:r>
    <w:r w:rsidRPr="00D76116">
      <w:rPr>
        <w:bCs/>
        <w:sz w:val="20"/>
        <w:szCs w:val="20"/>
        <w:lang w:val="lv-LV"/>
      </w:rPr>
      <w:t xml:space="preserve"> maksas pakalpojumu samaksu</w:t>
    </w:r>
    <w:r w:rsidRPr="00D76116">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55" w:rsidRDefault="00AE0B55">
      <w:r>
        <w:separator/>
      </w:r>
    </w:p>
  </w:footnote>
  <w:footnote w:type="continuationSeparator" w:id="0">
    <w:p w:rsidR="00AE0B55" w:rsidRDefault="00AE0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44" w:rsidRDefault="00D959DB">
    <w:pPr>
      <w:pStyle w:val="Galvene"/>
      <w:framePr w:wrap="around" w:vAnchor="text" w:hAnchor="margin" w:xAlign="center" w:y="1"/>
      <w:rPr>
        <w:rStyle w:val="Lappusesnumurs"/>
      </w:rPr>
    </w:pPr>
    <w:r>
      <w:rPr>
        <w:rStyle w:val="Lappusesnumurs"/>
      </w:rPr>
      <w:fldChar w:fldCharType="begin"/>
    </w:r>
    <w:r w:rsidR="00B90944">
      <w:rPr>
        <w:rStyle w:val="Lappusesnumurs"/>
      </w:rPr>
      <w:instrText xml:space="preserve">PAGE  </w:instrText>
    </w:r>
    <w:r>
      <w:rPr>
        <w:rStyle w:val="Lappusesnumurs"/>
      </w:rPr>
      <w:fldChar w:fldCharType="end"/>
    </w:r>
  </w:p>
  <w:p w:rsidR="00B90944" w:rsidRDefault="00B9094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44" w:rsidRDefault="00D959DB">
    <w:pPr>
      <w:pStyle w:val="Galvene"/>
      <w:framePr w:wrap="around" w:vAnchor="text" w:hAnchor="margin" w:xAlign="center" w:y="1"/>
      <w:rPr>
        <w:rStyle w:val="Lappusesnumurs"/>
      </w:rPr>
    </w:pPr>
    <w:r>
      <w:rPr>
        <w:rStyle w:val="Lappusesnumurs"/>
      </w:rPr>
      <w:fldChar w:fldCharType="begin"/>
    </w:r>
    <w:r w:rsidR="00B90944">
      <w:rPr>
        <w:rStyle w:val="Lappusesnumurs"/>
      </w:rPr>
      <w:instrText xml:space="preserve">PAGE  </w:instrText>
    </w:r>
    <w:r>
      <w:rPr>
        <w:rStyle w:val="Lappusesnumurs"/>
      </w:rPr>
      <w:fldChar w:fldCharType="separate"/>
    </w:r>
    <w:r w:rsidR="00734DD9">
      <w:rPr>
        <w:rStyle w:val="Lappusesnumurs"/>
        <w:noProof/>
      </w:rPr>
      <w:t>18</w:t>
    </w:r>
    <w:r>
      <w:rPr>
        <w:rStyle w:val="Lappusesnumurs"/>
      </w:rPr>
      <w:fldChar w:fldCharType="end"/>
    </w:r>
  </w:p>
  <w:p w:rsidR="00B90944" w:rsidRDefault="00B9094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5487B"/>
    <w:multiLevelType w:val="hybridMultilevel"/>
    <w:tmpl w:val="D0E6B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3B47A7"/>
    <w:multiLevelType w:val="hybridMultilevel"/>
    <w:tmpl w:val="C8224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1"/>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0F1A"/>
    <w:rsid w:val="00001CFA"/>
    <w:rsid w:val="000030F6"/>
    <w:rsid w:val="00003470"/>
    <w:rsid w:val="00004B99"/>
    <w:rsid w:val="00004E69"/>
    <w:rsid w:val="00006069"/>
    <w:rsid w:val="00011500"/>
    <w:rsid w:val="00011D65"/>
    <w:rsid w:val="0001274B"/>
    <w:rsid w:val="00012DB7"/>
    <w:rsid w:val="00013772"/>
    <w:rsid w:val="000138F9"/>
    <w:rsid w:val="00016850"/>
    <w:rsid w:val="000168B7"/>
    <w:rsid w:val="000225AA"/>
    <w:rsid w:val="0002330F"/>
    <w:rsid w:val="0002456C"/>
    <w:rsid w:val="00026D31"/>
    <w:rsid w:val="00027698"/>
    <w:rsid w:val="0003130D"/>
    <w:rsid w:val="000323C9"/>
    <w:rsid w:val="00032DD1"/>
    <w:rsid w:val="00033CE4"/>
    <w:rsid w:val="00034F8D"/>
    <w:rsid w:val="00035AEC"/>
    <w:rsid w:val="00036178"/>
    <w:rsid w:val="00037C03"/>
    <w:rsid w:val="00040105"/>
    <w:rsid w:val="00042DEB"/>
    <w:rsid w:val="00043915"/>
    <w:rsid w:val="000463AC"/>
    <w:rsid w:val="00054536"/>
    <w:rsid w:val="00056991"/>
    <w:rsid w:val="00056D34"/>
    <w:rsid w:val="00057FBC"/>
    <w:rsid w:val="000600E2"/>
    <w:rsid w:val="00065153"/>
    <w:rsid w:val="00065DC4"/>
    <w:rsid w:val="00066953"/>
    <w:rsid w:val="0006703B"/>
    <w:rsid w:val="0006719B"/>
    <w:rsid w:val="00070E01"/>
    <w:rsid w:val="00071BDB"/>
    <w:rsid w:val="0007252E"/>
    <w:rsid w:val="0007255F"/>
    <w:rsid w:val="00072622"/>
    <w:rsid w:val="00074423"/>
    <w:rsid w:val="00074D2A"/>
    <w:rsid w:val="00074EF8"/>
    <w:rsid w:val="0007562F"/>
    <w:rsid w:val="00075C44"/>
    <w:rsid w:val="0007746D"/>
    <w:rsid w:val="00077EC5"/>
    <w:rsid w:val="00081283"/>
    <w:rsid w:val="000817A3"/>
    <w:rsid w:val="000828B5"/>
    <w:rsid w:val="0008293B"/>
    <w:rsid w:val="00082B53"/>
    <w:rsid w:val="00083281"/>
    <w:rsid w:val="00083CAC"/>
    <w:rsid w:val="0008664A"/>
    <w:rsid w:val="000902B6"/>
    <w:rsid w:val="0009142B"/>
    <w:rsid w:val="000919A8"/>
    <w:rsid w:val="00093E3F"/>
    <w:rsid w:val="000953E4"/>
    <w:rsid w:val="00095D8C"/>
    <w:rsid w:val="00096D79"/>
    <w:rsid w:val="000A0DA0"/>
    <w:rsid w:val="000A19E2"/>
    <w:rsid w:val="000A2683"/>
    <w:rsid w:val="000A2AA7"/>
    <w:rsid w:val="000A2CED"/>
    <w:rsid w:val="000A5652"/>
    <w:rsid w:val="000A67CD"/>
    <w:rsid w:val="000B053E"/>
    <w:rsid w:val="000B076F"/>
    <w:rsid w:val="000B3153"/>
    <w:rsid w:val="000B32EF"/>
    <w:rsid w:val="000B3D3E"/>
    <w:rsid w:val="000B4FBD"/>
    <w:rsid w:val="000B5EAD"/>
    <w:rsid w:val="000B77B7"/>
    <w:rsid w:val="000B7AB8"/>
    <w:rsid w:val="000C0FA7"/>
    <w:rsid w:val="000C1E85"/>
    <w:rsid w:val="000C283A"/>
    <w:rsid w:val="000C2D62"/>
    <w:rsid w:val="000C47B6"/>
    <w:rsid w:val="000C5065"/>
    <w:rsid w:val="000C5D0D"/>
    <w:rsid w:val="000C6A0A"/>
    <w:rsid w:val="000D0329"/>
    <w:rsid w:val="000D0616"/>
    <w:rsid w:val="000D3B4D"/>
    <w:rsid w:val="000D51C7"/>
    <w:rsid w:val="000D57DA"/>
    <w:rsid w:val="000D626C"/>
    <w:rsid w:val="000E3DB2"/>
    <w:rsid w:val="000E4067"/>
    <w:rsid w:val="000E447E"/>
    <w:rsid w:val="000E47D5"/>
    <w:rsid w:val="000E5F80"/>
    <w:rsid w:val="000E6933"/>
    <w:rsid w:val="000E75D1"/>
    <w:rsid w:val="000E7FF7"/>
    <w:rsid w:val="000F01FC"/>
    <w:rsid w:val="000F0966"/>
    <w:rsid w:val="000F2EB4"/>
    <w:rsid w:val="000F32C8"/>
    <w:rsid w:val="000F4C3B"/>
    <w:rsid w:val="000F4DC9"/>
    <w:rsid w:val="000F736E"/>
    <w:rsid w:val="000F7B78"/>
    <w:rsid w:val="00100B1F"/>
    <w:rsid w:val="00100FE3"/>
    <w:rsid w:val="001017AD"/>
    <w:rsid w:val="00101DE0"/>
    <w:rsid w:val="00101E0B"/>
    <w:rsid w:val="00103AD7"/>
    <w:rsid w:val="00103D1B"/>
    <w:rsid w:val="00104349"/>
    <w:rsid w:val="00105AE2"/>
    <w:rsid w:val="0010612F"/>
    <w:rsid w:val="00106E4A"/>
    <w:rsid w:val="00106ED3"/>
    <w:rsid w:val="00107F95"/>
    <w:rsid w:val="0011008F"/>
    <w:rsid w:val="001125BA"/>
    <w:rsid w:val="0011310D"/>
    <w:rsid w:val="00113AEA"/>
    <w:rsid w:val="00116784"/>
    <w:rsid w:val="001177FE"/>
    <w:rsid w:val="001178E3"/>
    <w:rsid w:val="00117DAE"/>
    <w:rsid w:val="001202BF"/>
    <w:rsid w:val="00120A82"/>
    <w:rsid w:val="00122C23"/>
    <w:rsid w:val="001243BD"/>
    <w:rsid w:val="00124E31"/>
    <w:rsid w:val="001304F1"/>
    <w:rsid w:val="0013088C"/>
    <w:rsid w:val="001311E7"/>
    <w:rsid w:val="0013150E"/>
    <w:rsid w:val="00131D05"/>
    <w:rsid w:val="00132004"/>
    <w:rsid w:val="001324A4"/>
    <w:rsid w:val="00134362"/>
    <w:rsid w:val="001345CB"/>
    <w:rsid w:val="001347E9"/>
    <w:rsid w:val="00136C98"/>
    <w:rsid w:val="00137B2C"/>
    <w:rsid w:val="00140B4C"/>
    <w:rsid w:val="00140BBE"/>
    <w:rsid w:val="0014129D"/>
    <w:rsid w:val="0014319C"/>
    <w:rsid w:val="001452FA"/>
    <w:rsid w:val="001466B6"/>
    <w:rsid w:val="001471CE"/>
    <w:rsid w:val="0014744C"/>
    <w:rsid w:val="00150011"/>
    <w:rsid w:val="0015254E"/>
    <w:rsid w:val="00155B89"/>
    <w:rsid w:val="001608F4"/>
    <w:rsid w:val="0016266C"/>
    <w:rsid w:val="00162E14"/>
    <w:rsid w:val="00164B42"/>
    <w:rsid w:val="00164C6B"/>
    <w:rsid w:val="001663CF"/>
    <w:rsid w:val="001665DD"/>
    <w:rsid w:val="00171315"/>
    <w:rsid w:val="00171BA0"/>
    <w:rsid w:val="00173034"/>
    <w:rsid w:val="001739AD"/>
    <w:rsid w:val="001748BA"/>
    <w:rsid w:val="001751F5"/>
    <w:rsid w:val="00176E50"/>
    <w:rsid w:val="00181049"/>
    <w:rsid w:val="00182C1E"/>
    <w:rsid w:val="00190774"/>
    <w:rsid w:val="001919A5"/>
    <w:rsid w:val="00192957"/>
    <w:rsid w:val="001942B7"/>
    <w:rsid w:val="00195533"/>
    <w:rsid w:val="0019798B"/>
    <w:rsid w:val="001A10EA"/>
    <w:rsid w:val="001A3B92"/>
    <w:rsid w:val="001A3FFF"/>
    <w:rsid w:val="001A6148"/>
    <w:rsid w:val="001A6A03"/>
    <w:rsid w:val="001A7C43"/>
    <w:rsid w:val="001B2F73"/>
    <w:rsid w:val="001B3B95"/>
    <w:rsid w:val="001B4882"/>
    <w:rsid w:val="001C1534"/>
    <w:rsid w:val="001C2A17"/>
    <w:rsid w:val="001C4904"/>
    <w:rsid w:val="001C4AB5"/>
    <w:rsid w:val="001C5010"/>
    <w:rsid w:val="001C5F46"/>
    <w:rsid w:val="001C7CA2"/>
    <w:rsid w:val="001D06A3"/>
    <w:rsid w:val="001D149C"/>
    <w:rsid w:val="001D180D"/>
    <w:rsid w:val="001D1A75"/>
    <w:rsid w:val="001D5A83"/>
    <w:rsid w:val="001D5DAF"/>
    <w:rsid w:val="001D77D5"/>
    <w:rsid w:val="001E02DD"/>
    <w:rsid w:val="001E14E1"/>
    <w:rsid w:val="001E264B"/>
    <w:rsid w:val="001E40A1"/>
    <w:rsid w:val="001E7670"/>
    <w:rsid w:val="001F1642"/>
    <w:rsid w:val="001F373B"/>
    <w:rsid w:val="001F5256"/>
    <w:rsid w:val="001F5C16"/>
    <w:rsid w:val="001F6C37"/>
    <w:rsid w:val="002011EF"/>
    <w:rsid w:val="0020271B"/>
    <w:rsid w:val="002027AF"/>
    <w:rsid w:val="002029FD"/>
    <w:rsid w:val="00202DE2"/>
    <w:rsid w:val="00203134"/>
    <w:rsid w:val="002043DB"/>
    <w:rsid w:val="00205C1E"/>
    <w:rsid w:val="0020639A"/>
    <w:rsid w:val="002066E7"/>
    <w:rsid w:val="00210E44"/>
    <w:rsid w:val="00211AF2"/>
    <w:rsid w:val="0021306B"/>
    <w:rsid w:val="0021364F"/>
    <w:rsid w:val="0021585D"/>
    <w:rsid w:val="002234A1"/>
    <w:rsid w:val="00224CE4"/>
    <w:rsid w:val="00225D52"/>
    <w:rsid w:val="00226338"/>
    <w:rsid w:val="00227427"/>
    <w:rsid w:val="00230D6B"/>
    <w:rsid w:val="00231601"/>
    <w:rsid w:val="00231888"/>
    <w:rsid w:val="00232132"/>
    <w:rsid w:val="0023257C"/>
    <w:rsid w:val="0023303C"/>
    <w:rsid w:val="00234884"/>
    <w:rsid w:val="00240721"/>
    <w:rsid w:val="002412CF"/>
    <w:rsid w:val="00243F66"/>
    <w:rsid w:val="0024492F"/>
    <w:rsid w:val="00244FD8"/>
    <w:rsid w:val="002465D1"/>
    <w:rsid w:val="00246C7A"/>
    <w:rsid w:val="00247ADA"/>
    <w:rsid w:val="00247BF7"/>
    <w:rsid w:val="00247D93"/>
    <w:rsid w:val="002507B1"/>
    <w:rsid w:val="002509B6"/>
    <w:rsid w:val="002511FF"/>
    <w:rsid w:val="002528C7"/>
    <w:rsid w:val="00252CBC"/>
    <w:rsid w:val="0025723C"/>
    <w:rsid w:val="00260328"/>
    <w:rsid w:val="002606D3"/>
    <w:rsid w:val="00260B58"/>
    <w:rsid w:val="00262617"/>
    <w:rsid w:val="00264E6E"/>
    <w:rsid w:val="002669C3"/>
    <w:rsid w:val="00267A04"/>
    <w:rsid w:val="00270E29"/>
    <w:rsid w:val="002740B7"/>
    <w:rsid w:val="00274350"/>
    <w:rsid w:val="00274907"/>
    <w:rsid w:val="00275D95"/>
    <w:rsid w:val="00276032"/>
    <w:rsid w:val="00276098"/>
    <w:rsid w:val="002766EE"/>
    <w:rsid w:val="00281011"/>
    <w:rsid w:val="00281E8A"/>
    <w:rsid w:val="00282F68"/>
    <w:rsid w:val="002849D1"/>
    <w:rsid w:val="0028601F"/>
    <w:rsid w:val="00286469"/>
    <w:rsid w:val="00290710"/>
    <w:rsid w:val="002915A2"/>
    <w:rsid w:val="00294063"/>
    <w:rsid w:val="0029410D"/>
    <w:rsid w:val="00294367"/>
    <w:rsid w:val="0029700C"/>
    <w:rsid w:val="00297244"/>
    <w:rsid w:val="002976A0"/>
    <w:rsid w:val="002A096C"/>
    <w:rsid w:val="002A09DE"/>
    <w:rsid w:val="002A16EB"/>
    <w:rsid w:val="002A227F"/>
    <w:rsid w:val="002A46BA"/>
    <w:rsid w:val="002A64A2"/>
    <w:rsid w:val="002A7CB6"/>
    <w:rsid w:val="002B07D7"/>
    <w:rsid w:val="002B24A9"/>
    <w:rsid w:val="002B3D70"/>
    <w:rsid w:val="002B4856"/>
    <w:rsid w:val="002B4F76"/>
    <w:rsid w:val="002B7F1D"/>
    <w:rsid w:val="002C0839"/>
    <w:rsid w:val="002C0A62"/>
    <w:rsid w:val="002C11B3"/>
    <w:rsid w:val="002C2235"/>
    <w:rsid w:val="002C45E2"/>
    <w:rsid w:val="002C46AC"/>
    <w:rsid w:val="002C4D71"/>
    <w:rsid w:val="002C5736"/>
    <w:rsid w:val="002C59C1"/>
    <w:rsid w:val="002C72FB"/>
    <w:rsid w:val="002D06D5"/>
    <w:rsid w:val="002D1A3D"/>
    <w:rsid w:val="002D1D38"/>
    <w:rsid w:val="002D4981"/>
    <w:rsid w:val="002D5421"/>
    <w:rsid w:val="002D58B9"/>
    <w:rsid w:val="002D59BE"/>
    <w:rsid w:val="002E1E2F"/>
    <w:rsid w:val="002E284E"/>
    <w:rsid w:val="002E2962"/>
    <w:rsid w:val="002E2E28"/>
    <w:rsid w:val="002E3FFA"/>
    <w:rsid w:val="002E54A0"/>
    <w:rsid w:val="002E7226"/>
    <w:rsid w:val="002E7729"/>
    <w:rsid w:val="002F01BA"/>
    <w:rsid w:val="002F0C7E"/>
    <w:rsid w:val="002F10A4"/>
    <w:rsid w:val="002F19B5"/>
    <w:rsid w:val="002F1B60"/>
    <w:rsid w:val="002F248E"/>
    <w:rsid w:val="002F3142"/>
    <w:rsid w:val="002F35FD"/>
    <w:rsid w:val="002F4716"/>
    <w:rsid w:val="002F48D2"/>
    <w:rsid w:val="002F5119"/>
    <w:rsid w:val="002F5F34"/>
    <w:rsid w:val="002F77F1"/>
    <w:rsid w:val="0030032B"/>
    <w:rsid w:val="00301426"/>
    <w:rsid w:val="003025C8"/>
    <w:rsid w:val="00302C93"/>
    <w:rsid w:val="00303267"/>
    <w:rsid w:val="00303999"/>
    <w:rsid w:val="003078B5"/>
    <w:rsid w:val="003078BF"/>
    <w:rsid w:val="00310E25"/>
    <w:rsid w:val="003122BE"/>
    <w:rsid w:val="00312474"/>
    <w:rsid w:val="003124EE"/>
    <w:rsid w:val="00313453"/>
    <w:rsid w:val="0031499A"/>
    <w:rsid w:val="00315C3F"/>
    <w:rsid w:val="0031720E"/>
    <w:rsid w:val="00320704"/>
    <w:rsid w:val="003213C7"/>
    <w:rsid w:val="0032141D"/>
    <w:rsid w:val="00321A7E"/>
    <w:rsid w:val="00323438"/>
    <w:rsid w:val="00323E0A"/>
    <w:rsid w:val="00326D8C"/>
    <w:rsid w:val="003309B4"/>
    <w:rsid w:val="0033350D"/>
    <w:rsid w:val="00333737"/>
    <w:rsid w:val="00333B48"/>
    <w:rsid w:val="003353AA"/>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57CA9"/>
    <w:rsid w:val="00360149"/>
    <w:rsid w:val="0036198C"/>
    <w:rsid w:val="00362C5F"/>
    <w:rsid w:val="00363ADB"/>
    <w:rsid w:val="00365979"/>
    <w:rsid w:val="00366162"/>
    <w:rsid w:val="00366C0D"/>
    <w:rsid w:val="00366E84"/>
    <w:rsid w:val="0037053D"/>
    <w:rsid w:val="00370D24"/>
    <w:rsid w:val="00370ED5"/>
    <w:rsid w:val="00370F96"/>
    <w:rsid w:val="00371C48"/>
    <w:rsid w:val="003750BF"/>
    <w:rsid w:val="003763AB"/>
    <w:rsid w:val="003769E4"/>
    <w:rsid w:val="00376BBB"/>
    <w:rsid w:val="00376DB3"/>
    <w:rsid w:val="0038045D"/>
    <w:rsid w:val="00381A6C"/>
    <w:rsid w:val="00382167"/>
    <w:rsid w:val="00383AE6"/>
    <w:rsid w:val="00384564"/>
    <w:rsid w:val="00386887"/>
    <w:rsid w:val="0038793B"/>
    <w:rsid w:val="00390386"/>
    <w:rsid w:val="00390C21"/>
    <w:rsid w:val="003925F5"/>
    <w:rsid w:val="00394F91"/>
    <w:rsid w:val="00395174"/>
    <w:rsid w:val="00396612"/>
    <w:rsid w:val="00396735"/>
    <w:rsid w:val="00397851"/>
    <w:rsid w:val="003A06B4"/>
    <w:rsid w:val="003A38B5"/>
    <w:rsid w:val="003A38BC"/>
    <w:rsid w:val="003A417C"/>
    <w:rsid w:val="003A4522"/>
    <w:rsid w:val="003A58B9"/>
    <w:rsid w:val="003A5A85"/>
    <w:rsid w:val="003B0695"/>
    <w:rsid w:val="003B1CE6"/>
    <w:rsid w:val="003B32C7"/>
    <w:rsid w:val="003B4687"/>
    <w:rsid w:val="003B48E4"/>
    <w:rsid w:val="003B6C47"/>
    <w:rsid w:val="003C22A9"/>
    <w:rsid w:val="003C2517"/>
    <w:rsid w:val="003C2B26"/>
    <w:rsid w:val="003C2C1B"/>
    <w:rsid w:val="003C40EB"/>
    <w:rsid w:val="003C4AC2"/>
    <w:rsid w:val="003C4FAD"/>
    <w:rsid w:val="003C7452"/>
    <w:rsid w:val="003C7F18"/>
    <w:rsid w:val="003D0D4F"/>
    <w:rsid w:val="003D158C"/>
    <w:rsid w:val="003D1F11"/>
    <w:rsid w:val="003D3819"/>
    <w:rsid w:val="003D40E7"/>
    <w:rsid w:val="003D58B7"/>
    <w:rsid w:val="003D62B2"/>
    <w:rsid w:val="003D676D"/>
    <w:rsid w:val="003E12A5"/>
    <w:rsid w:val="003E18A7"/>
    <w:rsid w:val="003E1930"/>
    <w:rsid w:val="003E1A05"/>
    <w:rsid w:val="003E36E3"/>
    <w:rsid w:val="003E3F13"/>
    <w:rsid w:val="003E584D"/>
    <w:rsid w:val="003E7379"/>
    <w:rsid w:val="003F02D7"/>
    <w:rsid w:val="003F0616"/>
    <w:rsid w:val="003F1155"/>
    <w:rsid w:val="003F1B23"/>
    <w:rsid w:val="003F29A1"/>
    <w:rsid w:val="003F2F3C"/>
    <w:rsid w:val="003F3FBE"/>
    <w:rsid w:val="003F5883"/>
    <w:rsid w:val="003F59CD"/>
    <w:rsid w:val="004002D2"/>
    <w:rsid w:val="00401D9B"/>
    <w:rsid w:val="00401F5E"/>
    <w:rsid w:val="0040262E"/>
    <w:rsid w:val="00402AE9"/>
    <w:rsid w:val="00404CB9"/>
    <w:rsid w:val="0040578E"/>
    <w:rsid w:val="0040663B"/>
    <w:rsid w:val="004067FF"/>
    <w:rsid w:val="004071C3"/>
    <w:rsid w:val="00407F86"/>
    <w:rsid w:val="00410684"/>
    <w:rsid w:val="00412458"/>
    <w:rsid w:val="00413A82"/>
    <w:rsid w:val="00414016"/>
    <w:rsid w:val="00415200"/>
    <w:rsid w:val="00415584"/>
    <w:rsid w:val="00415FD1"/>
    <w:rsid w:val="00416F55"/>
    <w:rsid w:val="0041773E"/>
    <w:rsid w:val="004208C4"/>
    <w:rsid w:val="00420E9F"/>
    <w:rsid w:val="00421F53"/>
    <w:rsid w:val="004249A6"/>
    <w:rsid w:val="004249D9"/>
    <w:rsid w:val="00424AE1"/>
    <w:rsid w:val="0042741C"/>
    <w:rsid w:val="00427DB7"/>
    <w:rsid w:val="00430719"/>
    <w:rsid w:val="004307C5"/>
    <w:rsid w:val="00430B69"/>
    <w:rsid w:val="004311F3"/>
    <w:rsid w:val="0043167D"/>
    <w:rsid w:val="004326DF"/>
    <w:rsid w:val="00433382"/>
    <w:rsid w:val="0043382A"/>
    <w:rsid w:val="004364EB"/>
    <w:rsid w:val="00437C04"/>
    <w:rsid w:val="00441151"/>
    <w:rsid w:val="004412D9"/>
    <w:rsid w:val="00443182"/>
    <w:rsid w:val="00443691"/>
    <w:rsid w:val="0044545F"/>
    <w:rsid w:val="004458AD"/>
    <w:rsid w:val="004465D0"/>
    <w:rsid w:val="00446E62"/>
    <w:rsid w:val="004477F4"/>
    <w:rsid w:val="00447F16"/>
    <w:rsid w:val="0045105A"/>
    <w:rsid w:val="00453031"/>
    <w:rsid w:val="004539B1"/>
    <w:rsid w:val="00454E19"/>
    <w:rsid w:val="00457FF3"/>
    <w:rsid w:val="00460952"/>
    <w:rsid w:val="0046268C"/>
    <w:rsid w:val="0046446B"/>
    <w:rsid w:val="004645B8"/>
    <w:rsid w:val="004656A4"/>
    <w:rsid w:val="00467FF3"/>
    <w:rsid w:val="004706C4"/>
    <w:rsid w:val="00470E0D"/>
    <w:rsid w:val="00471885"/>
    <w:rsid w:val="004727CF"/>
    <w:rsid w:val="00473AB2"/>
    <w:rsid w:val="00473DBB"/>
    <w:rsid w:val="00474A28"/>
    <w:rsid w:val="00480136"/>
    <w:rsid w:val="0048030D"/>
    <w:rsid w:val="00480D9E"/>
    <w:rsid w:val="004813EF"/>
    <w:rsid w:val="00482AD7"/>
    <w:rsid w:val="00484517"/>
    <w:rsid w:val="0048533B"/>
    <w:rsid w:val="0048641E"/>
    <w:rsid w:val="00486E98"/>
    <w:rsid w:val="00486F47"/>
    <w:rsid w:val="004878C7"/>
    <w:rsid w:val="00487CE5"/>
    <w:rsid w:val="00490239"/>
    <w:rsid w:val="00490A06"/>
    <w:rsid w:val="00490DB2"/>
    <w:rsid w:val="0049221B"/>
    <w:rsid w:val="00493D34"/>
    <w:rsid w:val="004946DA"/>
    <w:rsid w:val="0049485B"/>
    <w:rsid w:val="00497D47"/>
    <w:rsid w:val="00497E35"/>
    <w:rsid w:val="004A04E3"/>
    <w:rsid w:val="004A19ED"/>
    <w:rsid w:val="004A4BC4"/>
    <w:rsid w:val="004A54FF"/>
    <w:rsid w:val="004A62E4"/>
    <w:rsid w:val="004A7293"/>
    <w:rsid w:val="004B0C51"/>
    <w:rsid w:val="004B2635"/>
    <w:rsid w:val="004B3171"/>
    <w:rsid w:val="004B546A"/>
    <w:rsid w:val="004B582F"/>
    <w:rsid w:val="004B63F0"/>
    <w:rsid w:val="004B6F89"/>
    <w:rsid w:val="004B7338"/>
    <w:rsid w:val="004C07F8"/>
    <w:rsid w:val="004C121F"/>
    <w:rsid w:val="004C1820"/>
    <w:rsid w:val="004C277C"/>
    <w:rsid w:val="004C36AD"/>
    <w:rsid w:val="004C4BAD"/>
    <w:rsid w:val="004C5C71"/>
    <w:rsid w:val="004D0202"/>
    <w:rsid w:val="004D120C"/>
    <w:rsid w:val="004D283F"/>
    <w:rsid w:val="004D29AD"/>
    <w:rsid w:val="004D2FD5"/>
    <w:rsid w:val="004D373C"/>
    <w:rsid w:val="004D414B"/>
    <w:rsid w:val="004D4CAB"/>
    <w:rsid w:val="004D6263"/>
    <w:rsid w:val="004D7188"/>
    <w:rsid w:val="004E0F9E"/>
    <w:rsid w:val="004E1782"/>
    <w:rsid w:val="004E1E5F"/>
    <w:rsid w:val="004E202E"/>
    <w:rsid w:val="004E24FA"/>
    <w:rsid w:val="004E3772"/>
    <w:rsid w:val="004E6B0F"/>
    <w:rsid w:val="004E78C9"/>
    <w:rsid w:val="004F158A"/>
    <w:rsid w:val="004F1BDB"/>
    <w:rsid w:val="004F3B97"/>
    <w:rsid w:val="004F407F"/>
    <w:rsid w:val="004F4421"/>
    <w:rsid w:val="004F5785"/>
    <w:rsid w:val="004F5F75"/>
    <w:rsid w:val="004F667E"/>
    <w:rsid w:val="005008BC"/>
    <w:rsid w:val="005011BE"/>
    <w:rsid w:val="00501960"/>
    <w:rsid w:val="005048A0"/>
    <w:rsid w:val="00504D62"/>
    <w:rsid w:val="00504ECD"/>
    <w:rsid w:val="00505064"/>
    <w:rsid w:val="00506458"/>
    <w:rsid w:val="005077CF"/>
    <w:rsid w:val="00507A3B"/>
    <w:rsid w:val="00507CDD"/>
    <w:rsid w:val="00507E40"/>
    <w:rsid w:val="0051051E"/>
    <w:rsid w:val="00510BED"/>
    <w:rsid w:val="00511DD2"/>
    <w:rsid w:val="00512A7E"/>
    <w:rsid w:val="00514AF7"/>
    <w:rsid w:val="0051661B"/>
    <w:rsid w:val="00517314"/>
    <w:rsid w:val="005206CF"/>
    <w:rsid w:val="005214F6"/>
    <w:rsid w:val="00521C50"/>
    <w:rsid w:val="00526F5F"/>
    <w:rsid w:val="005279BC"/>
    <w:rsid w:val="00527A6D"/>
    <w:rsid w:val="00530EFF"/>
    <w:rsid w:val="005311BA"/>
    <w:rsid w:val="0053651B"/>
    <w:rsid w:val="00537316"/>
    <w:rsid w:val="005402D9"/>
    <w:rsid w:val="005403CF"/>
    <w:rsid w:val="00541ED4"/>
    <w:rsid w:val="005433EB"/>
    <w:rsid w:val="005434A2"/>
    <w:rsid w:val="0054423C"/>
    <w:rsid w:val="005448AB"/>
    <w:rsid w:val="00544DA0"/>
    <w:rsid w:val="00546F6C"/>
    <w:rsid w:val="0054760A"/>
    <w:rsid w:val="00550CD0"/>
    <w:rsid w:val="00551488"/>
    <w:rsid w:val="00551DD5"/>
    <w:rsid w:val="005528A5"/>
    <w:rsid w:val="00552C28"/>
    <w:rsid w:val="00556FB2"/>
    <w:rsid w:val="005601FE"/>
    <w:rsid w:val="00563687"/>
    <w:rsid w:val="00566CCD"/>
    <w:rsid w:val="00567B70"/>
    <w:rsid w:val="00570B11"/>
    <w:rsid w:val="00571E48"/>
    <w:rsid w:val="0057217F"/>
    <w:rsid w:val="00572BC9"/>
    <w:rsid w:val="005741FC"/>
    <w:rsid w:val="0057449E"/>
    <w:rsid w:val="00575B15"/>
    <w:rsid w:val="00577D5E"/>
    <w:rsid w:val="00580A2C"/>
    <w:rsid w:val="00580A44"/>
    <w:rsid w:val="00581A16"/>
    <w:rsid w:val="005820CE"/>
    <w:rsid w:val="00584C4B"/>
    <w:rsid w:val="00585561"/>
    <w:rsid w:val="005858F2"/>
    <w:rsid w:val="00585BD7"/>
    <w:rsid w:val="00585EF5"/>
    <w:rsid w:val="00591B88"/>
    <w:rsid w:val="00596775"/>
    <w:rsid w:val="005A061F"/>
    <w:rsid w:val="005A069F"/>
    <w:rsid w:val="005A0978"/>
    <w:rsid w:val="005A3B29"/>
    <w:rsid w:val="005A5AF9"/>
    <w:rsid w:val="005A622B"/>
    <w:rsid w:val="005A6AF8"/>
    <w:rsid w:val="005A71C2"/>
    <w:rsid w:val="005A7D0E"/>
    <w:rsid w:val="005B0543"/>
    <w:rsid w:val="005B1B7C"/>
    <w:rsid w:val="005B2693"/>
    <w:rsid w:val="005B345D"/>
    <w:rsid w:val="005B34A4"/>
    <w:rsid w:val="005B4287"/>
    <w:rsid w:val="005B58E9"/>
    <w:rsid w:val="005B6F87"/>
    <w:rsid w:val="005B7245"/>
    <w:rsid w:val="005B772E"/>
    <w:rsid w:val="005C0054"/>
    <w:rsid w:val="005C085E"/>
    <w:rsid w:val="005C2039"/>
    <w:rsid w:val="005C3E0C"/>
    <w:rsid w:val="005C7AAB"/>
    <w:rsid w:val="005D0699"/>
    <w:rsid w:val="005D0D2A"/>
    <w:rsid w:val="005D2108"/>
    <w:rsid w:val="005D29F6"/>
    <w:rsid w:val="005D419C"/>
    <w:rsid w:val="005D41D3"/>
    <w:rsid w:val="005D5327"/>
    <w:rsid w:val="005D5C71"/>
    <w:rsid w:val="005E14A7"/>
    <w:rsid w:val="005E18E2"/>
    <w:rsid w:val="005E2038"/>
    <w:rsid w:val="005E3C44"/>
    <w:rsid w:val="005E5056"/>
    <w:rsid w:val="005E53F4"/>
    <w:rsid w:val="005E5FB6"/>
    <w:rsid w:val="005E61B9"/>
    <w:rsid w:val="005F164F"/>
    <w:rsid w:val="005F1986"/>
    <w:rsid w:val="005F208D"/>
    <w:rsid w:val="005F4DB2"/>
    <w:rsid w:val="005F4DBB"/>
    <w:rsid w:val="005F548A"/>
    <w:rsid w:val="00602628"/>
    <w:rsid w:val="006041BA"/>
    <w:rsid w:val="006044EC"/>
    <w:rsid w:val="00604DA3"/>
    <w:rsid w:val="006079B7"/>
    <w:rsid w:val="00607E42"/>
    <w:rsid w:val="00612624"/>
    <w:rsid w:val="00612E34"/>
    <w:rsid w:val="00613168"/>
    <w:rsid w:val="00613EAD"/>
    <w:rsid w:val="00616204"/>
    <w:rsid w:val="00616FA0"/>
    <w:rsid w:val="00617292"/>
    <w:rsid w:val="00620830"/>
    <w:rsid w:val="006208EC"/>
    <w:rsid w:val="00620FF4"/>
    <w:rsid w:val="00621E8E"/>
    <w:rsid w:val="006221E0"/>
    <w:rsid w:val="0062238B"/>
    <w:rsid w:val="00624CFE"/>
    <w:rsid w:val="00624E81"/>
    <w:rsid w:val="00626114"/>
    <w:rsid w:val="0062798B"/>
    <w:rsid w:val="006310BB"/>
    <w:rsid w:val="00631891"/>
    <w:rsid w:val="006327B5"/>
    <w:rsid w:val="00633993"/>
    <w:rsid w:val="00633C24"/>
    <w:rsid w:val="00634084"/>
    <w:rsid w:val="006342C4"/>
    <w:rsid w:val="00634701"/>
    <w:rsid w:val="00636A92"/>
    <w:rsid w:val="00636B04"/>
    <w:rsid w:val="00637747"/>
    <w:rsid w:val="006409CE"/>
    <w:rsid w:val="00643C2E"/>
    <w:rsid w:val="0064439D"/>
    <w:rsid w:val="00645135"/>
    <w:rsid w:val="00645761"/>
    <w:rsid w:val="00651106"/>
    <w:rsid w:val="00651925"/>
    <w:rsid w:val="00652B5B"/>
    <w:rsid w:val="0065363A"/>
    <w:rsid w:val="00653C1C"/>
    <w:rsid w:val="00655ACE"/>
    <w:rsid w:val="00655EBB"/>
    <w:rsid w:val="00656C23"/>
    <w:rsid w:val="00657962"/>
    <w:rsid w:val="00660CB0"/>
    <w:rsid w:val="006618DD"/>
    <w:rsid w:val="006638B3"/>
    <w:rsid w:val="0066452D"/>
    <w:rsid w:val="00665925"/>
    <w:rsid w:val="006662B5"/>
    <w:rsid w:val="00672772"/>
    <w:rsid w:val="0067321A"/>
    <w:rsid w:val="00673642"/>
    <w:rsid w:val="00674D5D"/>
    <w:rsid w:val="00675331"/>
    <w:rsid w:val="00677712"/>
    <w:rsid w:val="00680B20"/>
    <w:rsid w:val="00680E5A"/>
    <w:rsid w:val="0068171E"/>
    <w:rsid w:val="00681AA8"/>
    <w:rsid w:val="00683A17"/>
    <w:rsid w:val="00684ACF"/>
    <w:rsid w:val="00684DF8"/>
    <w:rsid w:val="0069043D"/>
    <w:rsid w:val="00691CB0"/>
    <w:rsid w:val="0069612C"/>
    <w:rsid w:val="00696270"/>
    <w:rsid w:val="00696562"/>
    <w:rsid w:val="00696E0F"/>
    <w:rsid w:val="006A1117"/>
    <w:rsid w:val="006A1EF1"/>
    <w:rsid w:val="006A1F3F"/>
    <w:rsid w:val="006A288A"/>
    <w:rsid w:val="006A3A09"/>
    <w:rsid w:val="006A3CD4"/>
    <w:rsid w:val="006A4674"/>
    <w:rsid w:val="006A51AD"/>
    <w:rsid w:val="006A6762"/>
    <w:rsid w:val="006A699B"/>
    <w:rsid w:val="006A729F"/>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3DE7"/>
    <w:rsid w:val="006C4FA8"/>
    <w:rsid w:val="006C6551"/>
    <w:rsid w:val="006D0C17"/>
    <w:rsid w:val="006D39B3"/>
    <w:rsid w:val="006D42DC"/>
    <w:rsid w:val="006D49DC"/>
    <w:rsid w:val="006D4AD9"/>
    <w:rsid w:val="006D5174"/>
    <w:rsid w:val="006E0585"/>
    <w:rsid w:val="006E218E"/>
    <w:rsid w:val="006E3915"/>
    <w:rsid w:val="006E4A20"/>
    <w:rsid w:val="006E4D1A"/>
    <w:rsid w:val="006E63AB"/>
    <w:rsid w:val="006E6815"/>
    <w:rsid w:val="006E6F98"/>
    <w:rsid w:val="006E784F"/>
    <w:rsid w:val="006F116F"/>
    <w:rsid w:val="006F13C1"/>
    <w:rsid w:val="006F4812"/>
    <w:rsid w:val="006F630C"/>
    <w:rsid w:val="0070032A"/>
    <w:rsid w:val="00701EAF"/>
    <w:rsid w:val="00703587"/>
    <w:rsid w:val="0070390F"/>
    <w:rsid w:val="00703C2C"/>
    <w:rsid w:val="00703C5F"/>
    <w:rsid w:val="00705B9B"/>
    <w:rsid w:val="00707F0C"/>
    <w:rsid w:val="00710403"/>
    <w:rsid w:val="00710984"/>
    <w:rsid w:val="0071112B"/>
    <w:rsid w:val="007119A1"/>
    <w:rsid w:val="00711B91"/>
    <w:rsid w:val="00711FA0"/>
    <w:rsid w:val="00712168"/>
    <w:rsid w:val="00712324"/>
    <w:rsid w:val="00712B0E"/>
    <w:rsid w:val="00712E90"/>
    <w:rsid w:val="007136BC"/>
    <w:rsid w:val="007136FA"/>
    <w:rsid w:val="00713D3B"/>
    <w:rsid w:val="007144EE"/>
    <w:rsid w:val="00714A46"/>
    <w:rsid w:val="00717241"/>
    <w:rsid w:val="007202A7"/>
    <w:rsid w:val="0072310C"/>
    <w:rsid w:val="007231F3"/>
    <w:rsid w:val="00723EB9"/>
    <w:rsid w:val="007247AE"/>
    <w:rsid w:val="00724D06"/>
    <w:rsid w:val="00725D38"/>
    <w:rsid w:val="007264EF"/>
    <w:rsid w:val="00726C07"/>
    <w:rsid w:val="00727092"/>
    <w:rsid w:val="007270D1"/>
    <w:rsid w:val="007305D7"/>
    <w:rsid w:val="00731910"/>
    <w:rsid w:val="007331EA"/>
    <w:rsid w:val="00733FEB"/>
    <w:rsid w:val="00734DD9"/>
    <w:rsid w:val="00735F3A"/>
    <w:rsid w:val="007360E6"/>
    <w:rsid w:val="007410CE"/>
    <w:rsid w:val="00741C8B"/>
    <w:rsid w:val="0074240F"/>
    <w:rsid w:val="007443E2"/>
    <w:rsid w:val="00744CBE"/>
    <w:rsid w:val="00744E91"/>
    <w:rsid w:val="00747291"/>
    <w:rsid w:val="007473F9"/>
    <w:rsid w:val="00747C12"/>
    <w:rsid w:val="00747DBC"/>
    <w:rsid w:val="00750AF4"/>
    <w:rsid w:val="00751995"/>
    <w:rsid w:val="00751C2C"/>
    <w:rsid w:val="00752674"/>
    <w:rsid w:val="007528E1"/>
    <w:rsid w:val="007565EA"/>
    <w:rsid w:val="00756FAE"/>
    <w:rsid w:val="00757B05"/>
    <w:rsid w:val="0076221A"/>
    <w:rsid w:val="00765D50"/>
    <w:rsid w:val="007671F2"/>
    <w:rsid w:val="0076750E"/>
    <w:rsid w:val="00767796"/>
    <w:rsid w:val="007677EC"/>
    <w:rsid w:val="00773A0C"/>
    <w:rsid w:val="00774566"/>
    <w:rsid w:val="00775737"/>
    <w:rsid w:val="00775801"/>
    <w:rsid w:val="00775F62"/>
    <w:rsid w:val="007762A2"/>
    <w:rsid w:val="0078033C"/>
    <w:rsid w:val="00780F76"/>
    <w:rsid w:val="0078183B"/>
    <w:rsid w:val="007826AB"/>
    <w:rsid w:val="007828C1"/>
    <w:rsid w:val="00782D80"/>
    <w:rsid w:val="00784E48"/>
    <w:rsid w:val="00785231"/>
    <w:rsid w:val="00790148"/>
    <w:rsid w:val="00794955"/>
    <w:rsid w:val="007A0796"/>
    <w:rsid w:val="007A1125"/>
    <w:rsid w:val="007A2810"/>
    <w:rsid w:val="007A3791"/>
    <w:rsid w:val="007A3B9F"/>
    <w:rsid w:val="007A514C"/>
    <w:rsid w:val="007A5B59"/>
    <w:rsid w:val="007A6C35"/>
    <w:rsid w:val="007A6FA0"/>
    <w:rsid w:val="007B05A5"/>
    <w:rsid w:val="007B2CAB"/>
    <w:rsid w:val="007B406F"/>
    <w:rsid w:val="007B4D27"/>
    <w:rsid w:val="007B665B"/>
    <w:rsid w:val="007B758A"/>
    <w:rsid w:val="007B7C17"/>
    <w:rsid w:val="007C15D5"/>
    <w:rsid w:val="007C162E"/>
    <w:rsid w:val="007C1935"/>
    <w:rsid w:val="007C3E31"/>
    <w:rsid w:val="007C40B3"/>
    <w:rsid w:val="007C486A"/>
    <w:rsid w:val="007C4B74"/>
    <w:rsid w:val="007C6E47"/>
    <w:rsid w:val="007C77C6"/>
    <w:rsid w:val="007D0212"/>
    <w:rsid w:val="007D0664"/>
    <w:rsid w:val="007D074B"/>
    <w:rsid w:val="007D4BDE"/>
    <w:rsid w:val="007D62BD"/>
    <w:rsid w:val="007D677C"/>
    <w:rsid w:val="007D6FDC"/>
    <w:rsid w:val="007D7C06"/>
    <w:rsid w:val="007E234A"/>
    <w:rsid w:val="007E2DCF"/>
    <w:rsid w:val="007E2F36"/>
    <w:rsid w:val="007E312B"/>
    <w:rsid w:val="007E515D"/>
    <w:rsid w:val="007E54E7"/>
    <w:rsid w:val="007E6A41"/>
    <w:rsid w:val="007E6C81"/>
    <w:rsid w:val="007E6FC7"/>
    <w:rsid w:val="007F11E2"/>
    <w:rsid w:val="007F332B"/>
    <w:rsid w:val="007F7D05"/>
    <w:rsid w:val="008002A3"/>
    <w:rsid w:val="00801836"/>
    <w:rsid w:val="00805453"/>
    <w:rsid w:val="00806E42"/>
    <w:rsid w:val="00807460"/>
    <w:rsid w:val="00810D6E"/>
    <w:rsid w:val="00811084"/>
    <w:rsid w:val="0081203D"/>
    <w:rsid w:val="008135E1"/>
    <w:rsid w:val="00813764"/>
    <w:rsid w:val="008138DB"/>
    <w:rsid w:val="00813C57"/>
    <w:rsid w:val="00813D28"/>
    <w:rsid w:val="008143C4"/>
    <w:rsid w:val="008150C7"/>
    <w:rsid w:val="008173F0"/>
    <w:rsid w:val="008208D0"/>
    <w:rsid w:val="00821C4D"/>
    <w:rsid w:val="008220EA"/>
    <w:rsid w:val="0082265D"/>
    <w:rsid w:val="00822F01"/>
    <w:rsid w:val="008231FE"/>
    <w:rsid w:val="00824283"/>
    <w:rsid w:val="008256CF"/>
    <w:rsid w:val="00833431"/>
    <w:rsid w:val="00835193"/>
    <w:rsid w:val="008351E8"/>
    <w:rsid w:val="00835CFA"/>
    <w:rsid w:val="00836F29"/>
    <w:rsid w:val="00843128"/>
    <w:rsid w:val="00843DF3"/>
    <w:rsid w:val="0084563D"/>
    <w:rsid w:val="00846711"/>
    <w:rsid w:val="00846F1D"/>
    <w:rsid w:val="00854598"/>
    <w:rsid w:val="00856738"/>
    <w:rsid w:val="00856DA5"/>
    <w:rsid w:val="00860B22"/>
    <w:rsid w:val="00863961"/>
    <w:rsid w:val="00864747"/>
    <w:rsid w:val="00864D22"/>
    <w:rsid w:val="0086556F"/>
    <w:rsid w:val="00866225"/>
    <w:rsid w:val="008665A4"/>
    <w:rsid w:val="0086732B"/>
    <w:rsid w:val="008678C6"/>
    <w:rsid w:val="00867B2D"/>
    <w:rsid w:val="008714A5"/>
    <w:rsid w:val="00872599"/>
    <w:rsid w:val="00872E8D"/>
    <w:rsid w:val="00875E5C"/>
    <w:rsid w:val="008762A7"/>
    <w:rsid w:val="00876A2E"/>
    <w:rsid w:val="00876B0D"/>
    <w:rsid w:val="00876CFF"/>
    <w:rsid w:val="00877AFB"/>
    <w:rsid w:val="00880407"/>
    <w:rsid w:val="00881F41"/>
    <w:rsid w:val="00881F47"/>
    <w:rsid w:val="008828B3"/>
    <w:rsid w:val="00883A11"/>
    <w:rsid w:val="00883BFB"/>
    <w:rsid w:val="00884266"/>
    <w:rsid w:val="0088436F"/>
    <w:rsid w:val="008849BC"/>
    <w:rsid w:val="00885197"/>
    <w:rsid w:val="0088733F"/>
    <w:rsid w:val="00887C72"/>
    <w:rsid w:val="00892DFD"/>
    <w:rsid w:val="00892F79"/>
    <w:rsid w:val="008930BB"/>
    <w:rsid w:val="008940B2"/>
    <w:rsid w:val="00895210"/>
    <w:rsid w:val="0089539C"/>
    <w:rsid w:val="008957BF"/>
    <w:rsid w:val="0089656E"/>
    <w:rsid w:val="008A1380"/>
    <w:rsid w:val="008A4B6E"/>
    <w:rsid w:val="008A4C84"/>
    <w:rsid w:val="008A54A5"/>
    <w:rsid w:val="008A5EE9"/>
    <w:rsid w:val="008A6EF1"/>
    <w:rsid w:val="008B0F1E"/>
    <w:rsid w:val="008B248C"/>
    <w:rsid w:val="008B4BF0"/>
    <w:rsid w:val="008B7D2F"/>
    <w:rsid w:val="008C33A0"/>
    <w:rsid w:val="008C36EE"/>
    <w:rsid w:val="008C40B8"/>
    <w:rsid w:val="008C425B"/>
    <w:rsid w:val="008C67F8"/>
    <w:rsid w:val="008C6F66"/>
    <w:rsid w:val="008D05D4"/>
    <w:rsid w:val="008D2489"/>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51A1"/>
    <w:rsid w:val="008E6967"/>
    <w:rsid w:val="008E732F"/>
    <w:rsid w:val="008E76CE"/>
    <w:rsid w:val="008E7C94"/>
    <w:rsid w:val="008F0DDD"/>
    <w:rsid w:val="008F239E"/>
    <w:rsid w:val="008F27E8"/>
    <w:rsid w:val="008F2C3C"/>
    <w:rsid w:val="008F3459"/>
    <w:rsid w:val="008F3942"/>
    <w:rsid w:val="008F5A26"/>
    <w:rsid w:val="008F5C5F"/>
    <w:rsid w:val="008F7098"/>
    <w:rsid w:val="008F73D3"/>
    <w:rsid w:val="008F77BD"/>
    <w:rsid w:val="009003B8"/>
    <w:rsid w:val="00903CAD"/>
    <w:rsid w:val="009044B5"/>
    <w:rsid w:val="00904AE3"/>
    <w:rsid w:val="009065E8"/>
    <w:rsid w:val="00907FE0"/>
    <w:rsid w:val="00910741"/>
    <w:rsid w:val="0091356D"/>
    <w:rsid w:val="00914D26"/>
    <w:rsid w:val="0091545F"/>
    <w:rsid w:val="00915777"/>
    <w:rsid w:val="00922501"/>
    <w:rsid w:val="00922732"/>
    <w:rsid w:val="00922CC9"/>
    <w:rsid w:val="0092335B"/>
    <w:rsid w:val="00926891"/>
    <w:rsid w:val="009278E8"/>
    <w:rsid w:val="00930777"/>
    <w:rsid w:val="00933742"/>
    <w:rsid w:val="009340A8"/>
    <w:rsid w:val="00936843"/>
    <w:rsid w:val="00936D70"/>
    <w:rsid w:val="009372C3"/>
    <w:rsid w:val="009402E4"/>
    <w:rsid w:val="0094060D"/>
    <w:rsid w:val="00941474"/>
    <w:rsid w:val="00942028"/>
    <w:rsid w:val="00942F8A"/>
    <w:rsid w:val="009448FE"/>
    <w:rsid w:val="009456AA"/>
    <w:rsid w:val="009456E2"/>
    <w:rsid w:val="0094583B"/>
    <w:rsid w:val="00945AD3"/>
    <w:rsid w:val="00945CD3"/>
    <w:rsid w:val="0095029E"/>
    <w:rsid w:val="00951A15"/>
    <w:rsid w:val="00952E78"/>
    <w:rsid w:val="00953D50"/>
    <w:rsid w:val="00954D49"/>
    <w:rsid w:val="009574A4"/>
    <w:rsid w:val="0096030D"/>
    <w:rsid w:val="009605B2"/>
    <w:rsid w:val="00962D0E"/>
    <w:rsid w:val="00962D51"/>
    <w:rsid w:val="00962D79"/>
    <w:rsid w:val="00965105"/>
    <w:rsid w:val="00965F99"/>
    <w:rsid w:val="00966022"/>
    <w:rsid w:val="00967B46"/>
    <w:rsid w:val="00967CD4"/>
    <w:rsid w:val="00970157"/>
    <w:rsid w:val="00970789"/>
    <w:rsid w:val="0097195C"/>
    <w:rsid w:val="00975D4C"/>
    <w:rsid w:val="00976CFE"/>
    <w:rsid w:val="009816F5"/>
    <w:rsid w:val="0098399E"/>
    <w:rsid w:val="00984F62"/>
    <w:rsid w:val="0099066A"/>
    <w:rsid w:val="00990834"/>
    <w:rsid w:val="0099092D"/>
    <w:rsid w:val="00991E93"/>
    <w:rsid w:val="00992600"/>
    <w:rsid w:val="0099390A"/>
    <w:rsid w:val="009954AF"/>
    <w:rsid w:val="00996A3D"/>
    <w:rsid w:val="00997468"/>
    <w:rsid w:val="009A24CA"/>
    <w:rsid w:val="009A49E1"/>
    <w:rsid w:val="009A678E"/>
    <w:rsid w:val="009A7AFC"/>
    <w:rsid w:val="009B1A99"/>
    <w:rsid w:val="009B2629"/>
    <w:rsid w:val="009B3704"/>
    <w:rsid w:val="009B3D43"/>
    <w:rsid w:val="009B4F7D"/>
    <w:rsid w:val="009B5D76"/>
    <w:rsid w:val="009B7FF9"/>
    <w:rsid w:val="009C1566"/>
    <w:rsid w:val="009C2A21"/>
    <w:rsid w:val="009C3234"/>
    <w:rsid w:val="009C622E"/>
    <w:rsid w:val="009C7611"/>
    <w:rsid w:val="009C7745"/>
    <w:rsid w:val="009D0D27"/>
    <w:rsid w:val="009D2A06"/>
    <w:rsid w:val="009D3425"/>
    <w:rsid w:val="009D379B"/>
    <w:rsid w:val="009D3A54"/>
    <w:rsid w:val="009D6967"/>
    <w:rsid w:val="009E04D3"/>
    <w:rsid w:val="009E1934"/>
    <w:rsid w:val="009E2782"/>
    <w:rsid w:val="009E3BB1"/>
    <w:rsid w:val="009E55DC"/>
    <w:rsid w:val="009E76E9"/>
    <w:rsid w:val="009F3750"/>
    <w:rsid w:val="009F3D1F"/>
    <w:rsid w:val="009F4C7E"/>
    <w:rsid w:val="009F5B68"/>
    <w:rsid w:val="009F6C26"/>
    <w:rsid w:val="009F7BCA"/>
    <w:rsid w:val="009F7CE3"/>
    <w:rsid w:val="00A0028C"/>
    <w:rsid w:val="00A01405"/>
    <w:rsid w:val="00A02244"/>
    <w:rsid w:val="00A02E05"/>
    <w:rsid w:val="00A03234"/>
    <w:rsid w:val="00A06C99"/>
    <w:rsid w:val="00A0709D"/>
    <w:rsid w:val="00A07DDC"/>
    <w:rsid w:val="00A109A0"/>
    <w:rsid w:val="00A113CA"/>
    <w:rsid w:val="00A119ED"/>
    <w:rsid w:val="00A11B10"/>
    <w:rsid w:val="00A122C9"/>
    <w:rsid w:val="00A12BE1"/>
    <w:rsid w:val="00A14303"/>
    <w:rsid w:val="00A162FE"/>
    <w:rsid w:val="00A1776A"/>
    <w:rsid w:val="00A17941"/>
    <w:rsid w:val="00A17DD9"/>
    <w:rsid w:val="00A2013F"/>
    <w:rsid w:val="00A203E6"/>
    <w:rsid w:val="00A220DD"/>
    <w:rsid w:val="00A22819"/>
    <w:rsid w:val="00A23611"/>
    <w:rsid w:val="00A2395A"/>
    <w:rsid w:val="00A262F2"/>
    <w:rsid w:val="00A269B2"/>
    <w:rsid w:val="00A26A95"/>
    <w:rsid w:val="00A26D42"/>
    <w:rsid w:val="00A31193"/>
    <w:rsid w:val="00A31BD4"/>
    <w:rsid w:val="00A3317E"/>
    <w:rsid w:val="00A33672"/>
    <w:rsid w:val="00A37939"/>
    <w:rsid w:val="00A40717"/>
    <w:rsid w:val="00A41894"/>
    <w:rsid w:val="00A426FC"/>
    <w:rsid w:val="00A431A8"/>
    <w:rsid w:val="00A44272"/>
    <w:rsid w:val="00A44457"/>
    <w:rsid w:val="00A44EA9"/>
    <w:rsid w:val="00A47C0F"/>
    <w:rsid w:val="00A51F28"/>
    <w:rsid w:val="00A604F2"/>
    <w:rsid w:val="00A610CB"/>
    <w:rsid w:val="00A618F6"/>
    <w:rsid w:val="00A6353D"/>
    <w:rsid w:val="00A6550C"/>
    <w:rsid w:val="00A70814"/>
    <w:rsid w:val="00A742FB"/>
    <w:rsid w:val="00A7445D"/>
    <w:rsid w:val="00A74DE3"/>
    <w:rsid w:val="00A7681E"/>
    <w:rsid w:val="00A8008A"/>
    <w:rsid w:val="00A816C2"/>
    <w:rsid w:val="00A81C53"/>
    <w:rsid w:val="00A82758"/>
    <w:rsid w:val="00A82960"/>
    <w:rsid w:val="00A83040"/>
    <w:rsid w:val="00A83A70"/>
    <w:rsid w:val="00A8466D"/>
    <w:rsid w:val="00A84A94"/>
    <w:rsid w:val="00A856EA"/>
    <w:rsid w:val="00A867C0"/>
    <w:rsid w:val="00A8748A"/>
    <w:rsid w:val="00A90B4D"/>
    <w:rsid w:val="00A92893"/>
    <w:rsid w:val="00A92A68"/>
    <w:rsid w:val="00A92FD6"/>
    <w:rsid w:val="00A93768"/>
    <w:rsid w:val="00A94576"/>
    <w:rsid w:val="00A95A1F"/>
    <w:rsid w:val="00A95BDF"/>
    <w:rsid w:val="00A97C2F"/>
    <w:rsid w:val="00AA0865"/>
    <w:rsid w:val="00AA0E7C"/>
    <w:rsid w:val="00AA1496"/>
    <w:rsid w:val="00AA4615"/>
    <w:rsid w:val="00AA50DE"/>
    <w:rsid w:val="00AA5FBC"/>
    <w:rsid w:val="00AB3027"/>
    <w:rsid w:val="00AB3AF8"/>
    <w:rsid w:val="00AB5A60"/>
    <w:rsid w:val="00AB6A7A"/>
    <w:rsid w:val="00AC2439"/>
    <w:rsid w:val="00AC27FB"/>
    <w:rsid w:val="00AC35AB"/>
    <w:rsid w:val="00AC7264"/>
    <w:rsid w:val="00AD0312"/>
    <w:rsid w:val="00AD39D3"/>
    <w:rsid w:val="00AD3AF0"/>
    <w:rsid w:val="00AD3D49"/>
    <w:rsid w:val="00AD3FDA"/>
    <w:rsid w:val="00AE02A3"/>
    <w:rsid w:val="00AE0B55"/>
    <w:rsid w:val="00AE3ECB"/>
    <w:rsid w:val="00AE480E"/>
    <w:rsid w:val="00AE500B"/>
    <w:rsid w:val="00AE55CE"/>
    <w:rsid w:val="00AE5CEA"/>
    <w:rsid w:val="00AF1735"/>
    <w:rsid w:val="00AF2D67"/>
    <w:rsid w:val="00AF41B6"/>
    <w:rsid w:val="00AF66A5"/>
    <w:rsid w:val="00B00617"/>
    <w:rsid w:val="00B00ADB"/>
    <w:rsid w:val="00B01566"/>
    <w:rsid w:val="00B024E8"/>
    <w:rsid w:val="00B02802"/>
    <w:rsid w:val="00B03835"/>
    <w:rsid w:val="00B04412"/>
    <w:rsid w:val="00B05949"/>
    <w:rsid w:val="00B11405"/>
    <w:rsid w:val="00B14407"/>
    <w:rsid w:val="00B14D75"/>
    <w:rsid w:val="00B158D4"/>
    <w:rsid w:val="00B16894"/>
    <w:rsid w:val="00B208F0"/>
    <w:rsid w:val="00B226E6"/>
    <w:rsid w:val="00B2516E"/>
    <w:rsid w:val="00B254C1"/>
    <w:rsid w:val="00B25C20"/>
    <w:rsid w:val="00B304F1"/>
    <w:rsid w:val="00B311BD"/>
    <w:rsid w:val="00B3133E"/>
    <w:rsid w:val="00B3698C"/>
    <w:rsid w:val="00B36DAD"/>
    <w:rsid w:val="00B40B98"/>
    <w:rsid w:val="00B42144"/>
    <w:rsid w:val="00B43EB3"/>
    <w:rsid w:val="00B4553E"/>
    <w:rsid w:val="00B47275"/>
    <w:rsid w:val="00B47678"/>
    <w:rsid w:val="00B47B5C"/>
    <w:rsid w:val="00B47CAD"/>
    <w:rsid w:val="00B50388"/>
    <w:rsid w:val="00B51624"/>
    <w:rsid w:val="00B536F8"/>
    <w:rsid w:val="00B54C3F"/>
    <w:rsid w:val="00B55679"/>
    <w:rsid w:val="00B55B6F"/>
    <w:rsid w:val="00B55EA8"/>
    <w:rsid w:val="00B6023B"/>
    <w:rsid w:val="00B63B5F"/>
    <w:rsid w:val="00B64EEF"/>
    <w:rsid w:val="00B65C5D"/>
    <w:rsid w:val="00B65FEE"/>
    <w:rsid w:val="00B665F2"/>
    <w:rsid w:val="00B66D04"/>
    <w:rsid w:val="00B67002"/>
    <w:rsid w:val="00B70982"/>
    <w:rsid w:val="00B71D8C"/>
    <w:rsid w:val="00B71DD8"/>
    <w:rsid w:val="00B75F5C"/>
    <w:rsid w:val="00B764FE"/>
    <w:rsid w:val="00B77BE8"/>
    <w:rsid w:val="00B80D6E"/>
    <w:rsid w:val="00B82F71"/>
    <w:rsid w:val="00B8430C"/>
    <w:rsid w:val="00B84E28"/>
    <w:rsid w:val="00B85613"/>
    <w:rsid w:val="00B85F3C"/>
    <w:rsid w:val="00B86B6F"/>
    <w:rsid w:val="00B87389"/>
    <w:rsid w:val="00B9019F"/>
    <w:rsid w:val="00B90944"/>
    <w:rsid w:val="00B90FB8"/>
    <w:rsid w:val="00B91540"/>
    <w:rsid w:val="00B9449B"/>
    <w:rsid w:val="00B95882"/>
    <w:rsid w:val="00B960B9"/>
    <w:rsid w:val="00B96774"/>
    <w:rsid w:val="00BA16E7"/>
    <w:rsid w:val="00BA17E5"/>
    <w:rsid w:val="00BA2698"/>
    <w:rsid w:val="00BA299F"/>
    <w:rsid w:val="00BA2FEA"/>
    <w:rsid w:val="00BA3C5D"/>
    <w:rsid w:val="00BA41FC"/>
    <w:rsid w:val="00BA4306"/>
    <w:rsid w:val="00BA6631"/>
    <w:rsid w:val="00BA7758"/>
    <w:rsid w:val="00BB1974"/>
    <w:rsid w:val="00BB2CA5"/>
    <w:rsid w:val="00BB4D9B"/>
    <w:rsid w:val="00BB5197"/>
    <w:rsid w:val="00BB7046"/>
    <w:rsid w:val="00BC0D6B"/>
    <w:rsid w:val="00BC1019"/>
    <w:rsid w:val="00BC15F0"/>
    <w:rsid w:val="00BC1700"/>
    <w:rsid w:val="00BC17F6"/>
    <w:rsid w:val="00BC1884"/>
    <w:rsid w:val="00BC33D0"/>
    <w:rsid w:val="00BC7BCD"/>
    <w:rsid w:val="00BD007F"/>
    <w:rsid w:val="00BD03CE"/>
    <w:rsid w:val="00BD285B"/>
    <w:rsid w:val="00BD44C9"/>
    <w:rsid w:val="00BD452D"/>
    <w:rsid w:val="00BD5018"/>
    <w:rsid w:val="00BD6039"/>
    <w:rsid w:val="00BD6E6E"/>
    <w:rsid w:val="00BD6FBF"/>
    <w:rsid w:val="00BD7395"/>
    <w:rsid w:val="00BE26B5"/>
    <w:rsid w:val="00BE2EDE"/>
    <w:rsid w:val="00BE335F"/>
    <w:rsid w:val="00BE3987"/>
    <w:rsid w:val="00BE4408"/>
    <w:rsid w:val="00BE594B"/>
    <w:rsid w:val="00BE5A48"/>
    <w:rsid w:val="00BE7E71"/>
    <w:rsid w:val="00BE7EDB"/>
    <w:rsid w:val="00BF0AB8"/>
    <w:rsid w:val="00BF13DB"/>
    <w:rsid w:val="00BF3B08"/>
    <w:rsid w:val="00BF407A"/>
    <w:rsid w:val="00BF49C9"/>
    <w:rsid w:val="00BF4F6B"/>
    <w:rsid w:val="00C018B4"/>
    <w:rsid w:val="00C01D97"/>
    <w:rsid w:val="00C0292C"/>
    <w:rsid w:val="00C11917"/>
    <w:rsid w:val="00C11C1B"/>
    <w:rsid w:val="00C11E8B"/>
    <w:rsid w:val="00C124C7"/>
    <w:rsid w:val="00C135BF"/>
    <w:rsid w:val="00C146DA"/>
    <w:rsid w:val="00C14814"/>
    <w:rsid w:val="00C155EA"/>
    <w:rsid w:val="00C20792"/>
    <w:rsid w:val="00C22A36"/>
    <w:rsid w:val="00C22FAC"/>
    <w:rsid w:val="00C23008"/>
    <w:rsid w:val="00C24FF0"/>
    <w:rsid w:val="00C25B5A"/>
    <w:rsid w:val="00C26718"/>
    <w:rsid w:val="00C27B30"/>
    <w:rsid w:val="00C30D24"/>
    <w:rsid w:val="00C31253"/>
    <w:rsid w:val="00C313BE"/>
    <w:rsid w:val="00C32D09"/>
    <w:rsid w:val="00C33C92"/>
    <w:rsid w:val="00C33FFB"/>
    <w:rsid w:val="00C35CA9"/>
    <w:rsid w:val="00C37D0D"/>
    <w:rsid w:val="00C41D53"/>
    <w:rsid w:val="00C4356E"/>
    <w:rsid w:val="00C445FD"/>
    <w:rsid w:val="00C44D1B"/>
    <w:rsid w:val="00C47F77"/>
    <w:rsid w:val="00C50C7E"/>
    <w:rsid w:val="00C53289"/>
    <w:rsid w:val="00C535AB"/>
    <w:rsid w:val="00C5388E"/>
    <w:rsid w:val="00C55582"/>
    <w:rsid w:val="00C56475"/>
    <w:rsid w:val="00C60365"/>
    <w:rsid w:val="00C61A54"/>
    <w:rsid w:val="00C63C55"/>
    <w:rsid w:val="00C67D4D"/>
    <w:rsid w:val="00C700E7"/>
    <w:rsid w:val="00C710FA"/>
    <w:rsid w:val="00C71547"/>
    <w:rsid w:val="00C715FC"/>
    <w:rsid w:val="00C7191B"/>
    <w:rsid w:val="00C71A34"/>
    <w:rsid w:val="00C727B6"/>
    <w:rsid w:val="00C729A4"/>
    <w:rsid w:val="00C72D0B"/>
    <w:rsid w:val="00C73082"/>
    <w:rsid w:val="00C7415B"/>
    <w:rsid w:val="00C74319"/>
    <w:rsid w:val="00C76CD0"/>
    <w:rsid w:val="00C81D63"/>
    <w:rsid w:val="00C83ED2"/>
    <w:rsid w:val="00C86BD2"/>
    <w:rsid w:val="00C8717F"/>
    <w:rsid w:val="00C87AFB"/>
    <w:rsid w:val="00C87B21"/>
    <w:rsid w:val="00C9035A"/>
    <w:rsid w:val="00C9138E"/>
    <w:rsid w:val="00C9293F"/>
    <w:rsid w:val="00C9386D"/>
    <w:rsid w:val="00C93C7D"/>
    <w:rsid w:val="00C9467B"/>
    <w:rsid w:val="00C9647E"/>
    <w:rsid w:val="00C96A52"/>
    <w:rsid w:val="00CA1422"/>
    <w:rsid w:val="00CA1961"/>
    <w:rsid w:val="00CA1F22"/>
    <w:rsid w:val="00CA2352"/>
    <w:rsid w:val="00CA2BB8"/>
    <w:rsid w:val="00CB0289"/>
    <w:rsid w:val="00CB1453"/>
    <w:rsid w:val="00CB2125"/>
    <w:rsid w:val="00CB3495"/>
    <w:rsid w:val="00CB4237"/>
    <w:rsid w:val="00CB575A"/>
    <w:rsid w:val="00CB6F1D"/>
    <w:rsid w:val="00CB7B61"/>
    <w:rsid w:val="00CC005F"/>
    <w:rsid w:val="00CC0F51"/>
    <w:rsid w:val="00CC23DD"/>
    <w:rsid w:val="00CC26BC"/>
    <w:rsid w:val="00CC55EC"/>
    <w:rsid w:val="00CC5A4B"/>
    <w:rsid w:val="00CC6D1C"/>
    <w:rsid w:val="00CC709B"/>
    <w:rsid w:val="00CC7B01"/>
    <w:rsid w:val="00CD02E8"/>
    <w:rsid w:val="00CD227B"/>
    <w:rsid w:val="00CD3C3D"/>
    <w:rsid w:val="00CD4926"/>
    <w:rsid w:val="00CD4E19"/>
    <w:rsid w:val="00CD5AA6"/>
    <w:rsid w:val="00CD5C37"/>
    <w:rsid w:val="00CD738C"/>
    <w:rsid w:val="00CD74BA"/>
    <w:rsid w:val="00CE10F7"/>
    <w:rsid w:val="00CE1C82"/>
    <w:rsid w:val="00CE2A89"/>
    <w:rsid w:val="00CE3027"/>
    <w:rsid w:val="00CE3DBA"/>
    <w:rsid w:val="00CE6072"/>
    <w:rsid w:val="00CE6F05"/>
    <w:rsid w:val="00CF0BA8"/>
    <w:rsid w:val="00CF1642"/>
    <w:rsid w:val="00CF2337"/>
    <w:rsid w:val="00CF3058"/>
    <w:rsid w:val="00CF3142"/>
    <w:rsid w:val="00CF32C2"/>
    <w:rsid w:val="00CF7F75"/>
    <w:rsid w:val="00D005C1"/>
    <w:rsid w:val="00D0116A"/>
    <w:rsid w:val="00D0142D"/>
    <w:rsid w:val="00D02029"/>
    <w:rsid w:val="00D03D95"/>
    <w:rsid w:val="00D042D0"/>
    <w:rsid w:val="00D07EC4"/>
    <w:rsid w:val="00D1050C"/>
    <w:rsid w:val="00D12371"/>
    <w:rsid w:val="00D133F1"/>
    <w:rsid w:val="00D13AC6"/>
    <w:rsid w:val="00D14C88"/>
    <w:rsid w:val="00D16049"/>
    <w:rsid w:val="00D17E16"/>
    <w:rsid w:val="00D17F4D"/>
    <w:rsid w:val="00D20510"/>
    <w:rsid w:val="00D20539"/>
    <w:rsid w:val="00D21018"/>
    <w:rsid w:val="00D225D8"/>
    <w:rsid w:val="00D2546F"/>
    <w:rsid w:val="00D25A3E"/>
    <w:rsid w:val="00D25D5F"/>
    <w:rsid w:val="00D26DE6"/>
    <w:rsid w:val="00D27570"/>
    <w:rsid w:val="00D27E52"/>
    <w:rsid w:val="00D31091"/>
    <w:rsid w:val="00D31E5B"/>
    <w:rsid w:val="00D34862"/>
    <w:rsid w:val="00D41070"/>
    <w:rsid w:val="00D41E94"/>
    <w:rsid w:val="00D43DF8"/>
    <w:rsid w:val="00D45515"/>
    <w:rsid w:val="00D47A2C"/>
    <w:rsid w:val="00D509B4"/>
    <w:rsid w:val="00D512C1"/>
    <w:rsid w:val="00D51CC0"/>
    <w:rsid w:val="00D52BBF"/>
    <w:rsid w:val="00D53507"/>
    <w:rsid w:val="00D54624"/>
    <w:rsid w:val="00D54AA4"/>
    <w:rsid w:val="00D57613"/>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598B"/>
    <w:rsid w:val="00D76273"/>
    <w:rsid w:val="00D76ED2"/>
    <w:rsid w:val="00D778DF"/>
    <w:rsid w:val="00D77FAF"/>
    <w:rsid w:val="00D811A0"/>
    <w:rsid w:val="00D83171"/>
    <w:rsid w:val="00D832DE"/>
    <w:rsid w:val="00D850E8"/>
    <w:rsid w:val="00D85F84"/>
    <w:rsid w:val="00D85FA1"/>
    <w:rsid w:val="00D861C7"/>
    <w:rsid w:val="00D87C45"/>
    <w:rsid w:val="00D92523"/>
    <w:rsid w:val="00D9475E"/>
    <w:rsid w:val="00D9558A"/>
    <w:rsid w:val="00D959DB"/>
    <w:rsid w:val="00D96580"/>
    <w:rsid w:val="00D97434"/>
    <w:rsid w:val="00DA138A"/>
    <w:rsid w:val="00DA6CAA"/>
    <w:rsid w:val="00DB023D"/>
    <w:rsid w:val="00DB57D4"/>
    <w:rsid w:val="00DB6521"/>
    <w:rsid w:val="00DB6661"/>
    <w:rsid w:val="00DB6892"/>
    <w:rsid w:val="00DB6E53"/>
    <w:rsid w:val="00DB6EB1"/>
    <w:rsid w:val="00DC086B"/>
    <w:rsid w:val="00DC1E01"/>
    <w:rsid w:val="00DC1FAF"/>
    <w:rsid w:val="00DC3509"/>
    <w:rsid w:val="00DC5600"/>
    <w:rsid w:val="00DC5DA0"/>
    <w:rsid w:val="00DC5E91"/>
    <w:rsid w:val="00DC635E"/>
    <w:rsid w:val="00DD1D3A"/>
    <w:rsid w:val="00DD4605"/>
    <w:rsid w:val="00DD4BEF"/>
    <w:rsid w:val="00DD4DBC"/>
    <w:rsid w:val="00DD60C1"/>
    <w:rsid w:val="00DD75C0"/>
    <w:rsid w:val="00DE180C"/>
    <w:rsid w:val="00DE295E"/>
    <w:rsid w:val="00DE30C9"/>
    <w:rsid w:val="00DE36D3"/>
    <w:rsid w:val="00DE38F3"/>
    <w:rsid w:val="00DE5976"/>
    <w:rsid w:val="00DE5FE6"/>
    <w:rsid w:val="00DE6046"/>
    <w:rsid w:val="00DE66F8"/>
    <w:rsid w:val="00DE74D3"/>
    <w:rsid w:val="00DF06E7"/>
    <w:rsid w:val="00DF0F7D"/>
    <w:rsid w:val="00DF1481"/>
    <w:rsid w:val="00DF162F"/>
    <w:rsid w:val="00DF2CB4"/>
    <w:rsid w:val="00DF2D0D"/>
    <w:rsid w:val="00DF330D"/>
    <w:rsid w:val="00DF34C1"/>
    <w:rsid w:val="00DF3C7F"/>
    <w:rsid w:val="00DF4D99"/>
    <w:rsid w:val="00DF71D3"/>
    <w:rsid w:val="00DF7713"/>
    <w:rsid w:val="00DF7C16"/>
    <w:rsid w:val="00E01082"/>
    <w:rsid w:val="00E01B29"/>
    <w:rsid w:val="00E02806"/>
    <w:rsid w:val="00E029E7"/>
    <w:rsid w:val="00E06F9B"/>
    <w:rsid w:val="00E14CDF"/>
    <w:rsid w:val="00E2125C"/>
    <w:rsid w:val="00E221D6"/>
    <w:rsid w:val="00E222D0"/>
    <w:rsid w:val="00E2273F"/>
    <w:rsid w:val="00E22EFF"/>
    <w:rsid w:val="00E25042"/>
    <w:rsid w:val="00E25DE9"/>
    <w:rsid w:val="00E26CE7"/>
    <w:rsid w:val="00E341D4"/>
    <w:rsid w:val="00E34C56"/>
    <w:rsid w:val="00E34D2F"/>
    <w:rsid w:val="00E34F56"/>
    <w:rsid w:val="00E351EE"/>
    <w:rsid w:val="00E35982"/>
    <w:rsid w:val="00E365E2"/>
    <w:rsid w:val="00E36952"/>
    <w:rsid w:val="00E37FE3"/>
    <w:rsid w:val="00E40BD9"/>
    <w:rsid w:val="00E41110"/>
    <w:rsid w:val="00E46A87"/>
    <w:rsid w:val="00E4715A"/>
    <w:rsid w:val="00E473FE"/>
    <w:rsid w:val="00E55353"/>
    <w:rsid w:val="00E565E7"/>
    <w:rsid w:val="00E56B01"/>
    <w:rsid w:val="00E57F7B"/>
    <w:rsid w:val="00E609F0"/>
    <w:rsid w:val="00E61540"/>
    <w:rsid w:val="00E61AD5"/>
    <w:rsid w:val="00E6255D"/>
    <w:rsid w:val="00E63114"/>
    <w:rsid w:val="00E664C7"/>
    <w:rsid w:val="00E67F5F"/>
    <w:rsid w:val="00E72878"/>
    <w:rsid w:val="00E73750"/>
    <w:rsid w:val="00E75770"/>
    <w:rsid w:val="00E800E6"/>
    <w:rsid w:val="00E81221"/>
    <w:rsid w:val="00E82751"/>
    <w:rsid w:val="00E82D25"/>
    <w:rsid w:val="00E83BCF"/>
    <w:rsid w:val="00E84921"/>
    <w:rsid w:val="00E850A5"/>
    <w:rsid w:val="00E85136"/>
    <w:rsid w:val="00E8584F"/>
    <w:rsid w:val="00E90845"/>
    <w:rsid w:val="00E94440"/>
    <w:rsid w:val="00E94E94"/>
    <w:rsid w:val="00E952E0"/>
    <w:rsid w:val="00E95850"/>
    <w:rsid w:val="00E96623"/>
    <w:rsid w:val="00E96929"/>
    <w:rsid w:val="00E975A7"/>
    <w:rsid w:val="00EA0947"/>
    <w:rsid w:val="00EA1D31"/>
    <w:rsid w:val="00EA20FC"/>
    <w:rsid w:val="00EA2490"/>
    <w:rsid w:val="00EA2C74"/>
    <w:rsid w:val="00EA4AD5"/>
    <w:rsid w:val="00EA61A1"/>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47AC"/>
    <w:rsid w:val="00ED7FFE"/>
    <w:rsid w:val="00EE0E6E"/>
    <w:rsid w:val="00EE2D65"/>
    <w:rsid w:val="00EE34B2"/>
    <w:rsid w:val="00EE5A45"/>
    <w:rsid w:val="00EE5B1D"/>
    <w:rsid w:val="00EE666B"/>
    <w:rsid w:val="00EE6AA3"/>
    <w:rsid w:val="00EF22FA"/>
    <w:rsid w:val="00EF3C41"/>
    <w:rsid w:val="00F00B39"/>
    <w:rsid w:val="00F01AFC"/>
    <w:rsid w:val="00F040F5"/>
    <w:rsid w:val="00F0456E"/>
    <w:rsid w:val="00F05283"/>
    <w:rsid w:val="00F10386"/>
    <w:rsid w:val="00F107C1"/>
    <w:rsid w:val="00F10CA9"/>
    <w:rsid w:val="00F13546"/>
    <w:rsid w:val="00F15953"/>
    <w:rsid w:val="00F15B4A"/>
    <w:rsid w:val="00F20FEC"/>
    <w:rsid w:val="00F21D44"/>
    <w:rsid w:val="00F22537"/>
    <w:rsid w:val="00F238D5"/>
    <w:rsid w:val="00F24714"/>
    <w:rsid w:val="00F2517F"/>
    <w:rsid w:val="00F27286"/>
    <w:rsid w:val="00F2763C"/>
    <w:rsid w:val="00F30C10"/>
    <w:rsid w:val="00F31BD0"/>
    <w:rsid w:val="00F32B1E"/>
    <w:rsid w:val="00F3329C"/>
    <w:rsid w:val="00F34814"/>
    <w:rsid w:val="00F34B64"/>
    <w:rsid w:val="00F363E9"/>
    <w:rsid w:val="00F36E0F"/>
    <w:rsid w:val="00F40B07"/>
    <w:rsid w:val="00F41EB7"/>
    <w:rsid w:val="00F42EBB"/>
    <w:rsid w:val="00F43267"/>
    <w:rsid w:val="00F46B33"/>
    <w:rsid w:val="00F517A7"/>
    <w:rsid w:val="00F5314C"/>
    <w:rsid w:val="00F53357"/>
    <w:rsid w:val="00F53ADF"/>
    <w:rsid w:val="00F56E2E"/>
    <w:rsid w:val="00F57AC9"/>
    <w:rsid w:val="00F57B84"/>
    <w:rsid w:val="00F629B9"/>
    <w:rsid w:val="00F6312D"/>
    <w:rsid w:val="00F639BB"/>
    <w:rsid w:val="00F64072"/>
    <w:rsid w:val="00F64F2F"/>
    <w:rsid w:val="00F67876"/>
    <w:rsid w:val="00F67FA1"/>
    <w:rsid w:val="00F71FAF"/>
    <w:rsid w:val="00F72274"/>
    <w:rsid w:val="00F776DA"/>
    <w:rsid w:val="00F80D92"/>
    <w:rsid w:val="00F83AAD"/>
    <w:rsid w:val="00F83BA3"/>
    <w:rsid w:val="00F8482C"/>
    <w:rsid w:val="00F8738D"/>
    <w:rsid w:val="00F902F6"/>
    <w:rsid w:val="00F9180B"/>
    <w:rsid w:val="00F924E2"/>
    <w:rsid w:val="00F9319A"/>
    <w:rsid w:val="00F9556A"/>
    <w:rsid w:val="00F959A2"/>
    <w:rsid w:val="00F95C7C"/>
    <w:rsid w:val="00F973B4"/>
    <w:rsid w:val="00FA020C"/>
    <w:rsid w:val="00FA02B3"/>
    <w:rsid w:val="00FA08DA"/>
    <w:rsid w:val="00FA2FBB"/>
    <w:rsid w:val="00FA35E3"/>
    <w:rsid w:val="00FA49AD"/>
    <w:rsid w:val="00FA53DE"/>
    <w:rsid w:val="00FA6BDD"/>
    <w:rsid w:val="00FB0DFB"/>
    <w:rsid w:val="00FB12AC"/>
    <w:rsid w:val="00FB20CF"/>
    <w:rsid w:val="00FB4839"/>
    <w:rsid w:val="00FB6264"/>
    <w:rsid w:val="00FB6B3F"/>
    <w:rsid w:val="00FC1248"/>
    <w:rsid w:val="00FC13D5"/>
    <w:rsid w:val="00FC1AAF"/>
    <w:rsid w:val="00FC25E0"/>
    <w:rsid w:val="00FC27F1"/>
    <w:rsid w:val="00FC4BA2"/>
    <w:rsid w:val="00FC4D1D"/>
    <w:rsid w:val="00FC58EA"/>
    <w:rsid w:val="00FC674E"/>
    <w:rsid w:val="00FC73F6"/>
    <w:rsid w:val="00FD0941"/>
    <w:rsid w:val="00FD1137"/>
    <w:rsid w:val="00FD1AE2"/>
    <w:rsid w:val="00FD1C9F"/>
    <w:rsid w:val="00FD1D47"/>
    <w:rsid w:val="00FD247B"/>
    <w:rsid w:val="00FD27DC"/>
    <w:rsid w:val="00FD3CB9"/>
    <w:rsid w:val="00FD4AAD"/>
    <w:rsid w:val="00FD51CF"/>
    <w:rsid w:val="00FD5309"/>
    <w:rsid w:val="00FD61A0"/>
    <w:rsid w:val="00FE13C3"/>
    <w:rsid w:val="00FE3BBD"/>
    <w:rsid w:val="00FE46CA"/>
    <w:rsid w:val="00FE6117"/>
    <w:rsid w:val="00FE6202"/>
    <w:rsid w:val="00FE72BC"/>
    <w:rsid w:val="00FF087E"/>
    <w:rsid w:val="00FF185B"/>
    <w:rsid w:val="00FF1ED7"/>
    <w:rsid w:val="00FF2716"/>
    <w:rsid w:val="00FF3355"/>
    <w:rsid w:val="00FF5063"/>
    <w:rsid w:val="00FF568C"/>
    <w:rsid w:val="00FF6B27"/>
    <w:rsid w:val="00FF73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rsid w:val="00232132"/>
    <w:pPr>
      <w:spacing w:before="240" w:line="360" w:lineRule="auto"/>
      <w:ind w:firstLine="300"/>
      <w:jc w:val="both"/>
    </w:pPr>
    <w:rPr>
      <w:rFonts w:ascii="Verdana" w:hAnsi="Verdana"/>
      <w:sz w:val="18"/>
      <w:szCs w:val="18"/>
      <w:lang w:val="lv-LV" w:eastAsia="lv-LV"/>
    </w:rPr>
  </w:style>
  <w:style w:type="paragraph" w:styleId="Pamattekstaatkpe2">
    <w:name w:val="Body Text Indent 2"/>
    <w:basedOn w:val="Parastais"/>
    <w:link w:val="Pamattekstaatkpe2Rakstz"/>
    <w:rsid w:val="00CA2BB8"/>
    <w:pPr>
      <w:spacing w:after="120" w:line="480" w:lineRule="auto"/>
      <w:ind w:left="283"/>
    </w:pPr>
  </w:style>
  <w:style w:type="character" w:customStyle="1" w:styleId="Pamattekstaatkpe2Rakstz">
    <w:name w:val="Pamatteksta atkāpe 2 Rakstz."/>
    <w:basedOn w:val="Noklusjumarindkopasfonts"/>
    <w:link w:val="Pamattekstaatkpe2"/>
    <w:rsid w:val="00CA2BB8"/>
    <w:rPr>
      <w:sz w:val="24"/>
      <w:szCs w:val="24"/>
      <w:lang w:val="en-GB" w:eastAsia="en-US"/>
    </w:rPr>
  </w:style>
  <w:style w:type="paragraph" w:customStyle="1" w:styleId="tv2133">
    <w:name w:val="tv2133"/>
    <w:basedOn w:val="Parastais"/>
    <w:rsid w:val="00CA2BB8"/>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s"/>
    <w:rsid w:val="00232132"/>
    <w:pPr>
      <w:spacing w:before="240" w:line="360" w:lineRule="auto"/>
      <w:ind w:firstLine="300"/>
      <w:jc w:val="both"/>
    </w:pPr>
    <w:rPr>
      <w:rFonts w:ascii="Verdana" w:hAnsi="Verdana"/>
      <w:sz w:val="18"/>
      <w:szCs w:val="18"/>
      <w:lang w:val="lv-LV" w:eastAsia="lv-LV"/>
    </w:rPr>
  </w:style>
  <w:style w:type="paragraph" w:styleId="Pamattekstaatkpe2">
    <w:name w:val="Body Text Indent 2"/>
    <w:basedOn w:val="Parasts"/>
    <w:link w:val="Pamattekstaatkpe2Rakstz"/>
    <w:rsid w:val="00CA2BB8"/>
    <w:pPr>
      <w:spacing w:after="120" w:line="480" w:lineRule="auto"/>
      <w:ind w:left="283"/>
    </w:pPr>
  </w:style>
  <w:style w:type="character" w:customStyle="1" w:styleId="Pamattekstaatkpe2Rakstz">
    <w:name w:val="Pamatteksta atkāpe 2 Rakstz."/>
    <w:basedOn w:val="Noklusjumarindkopasfonts"/>
    <w:link w:val="Pamattekstaatkpe2"/>
    <w:rsid w:val="00CA2BB8"/>
    <w:rPr>
      <w:sz w:val="24"/>
      <w:szCs w:val="24"/>
      <w:lang w:val="en-GB" w:eastAsia="en-US"/>
    </w:rPr>
  </w:style>
  <w:style w:type="paragraph" w:customStyle="1" w:styleId="tv2133">
    <w:name w:val="tv2133"/>
    <w:basedOn w:val="Parasts"/>
    <w:rsid w:val="00CA2BB8"/>
    <w:pPr>
      <w:spacing w:line="360" w:lineRule="auto"/>
      <w:ind w:firstLine="300"/>
    </w:pPr>
    <w:rPr>
      <w:color w:val="414142"/>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438791918">
      <w:bodyDiv w:val="1"/>
      <w:marLeft w:val="0"/>
      <w:marRight w:val="0"/>
      <w:marTop w:val="0"/>
      <w:marBottom w:val="0"/>
      <w:divBdr>
        <w:top w:val="none" w:sz="0" w:space="0" w:color="auto"/>
        <w:left w:val="none" w:sz="0" w:space="0" w:color="auto"/>
        <w:bottom w:val="none" w:sz="0" w:space="0" w:color="auto"/>
        <w:right w:val="none" w:sz="0" w:space="0" w:color="auto"/>
      </w:divBdr>
      <w:divsChild>
        <w:div w:id="1465081293">
          <w:marLeft w:val="0"/>
          <w:marRight w:val="0"/>
          <w:marTop w:val="0"/>
          <w:marBottom w:val="0"/>
          <w:divBdr>
            <w:top w:val="none" w:sz="0" w:space="0" w:color="auto"/>
            <w:left w:val="none" w:sz="0" w:space="0" w:color="auto"/>
            <w:bottom w:val="none" w:sz="0" w:space="0" w:color="auto"/>
            <w:right w:val="none" w:sz="0" w:space="0" w:color="auto"/>
          </w:divBdr>
          <w:divsChild>
            <w:div w:id="82990882">
              <w:marLeft w:val="0"/>
              <w:marRight w:val="0"/>
              <w:marTop w:val="0"/>
              <w:marBottom w:val="0"/>
              <w:divBdr>
                <w:top w:val="none" w:sz="0" w:space="0" w:color="auto"/>
                <w:left w:val="none" w:sz="0" w:space="0" w:color="auto"/>
                <w:bottom w:val="none" w:sz="0" w:space="0" w:color="auto"/>
                <w:right w:val="none" w:sz="0" w:space="0" w:color="auto"/>
              </w:divBdr>
              <w:divsChild>
                <w:div w:id="216012458">
                  <w:marLeft w:val="0"/>
                  <w:marRight w:val="0"/>
                  <w:marTop w:val="0"/>
                  <w:marBottom w:val="0"/>
                  <w:divBdr>
                    <w:top w:val="none" w:sz="0" w:space="0" w:color="auto"/>
                    <w:left w:val="none" w:sz="0" w:space="0" w:color="auto"/>
                    <w:bottom w:val="none" w:sz="0" w:space="0" w:color="auto"/>
                    <w:right w:val="none" w:sz="0" w:space="0" w:color="auto"/>
                  </w:divBdr>
                  <w:divsChild>
                    <w:div w:id="1983077830">
                      <w:marLeft w:val="0"/>
                      <w:marRight w:val="0"/>
                      <w:marTop w:val="0"/>
                      <w:marBottom w:val="0"/>
                      <w:divBdr>
                        <w:top w:val="none" w:sz="0" w:space="0" w:color="auto"/>
                        <w:left w:val="none" w:sz="0" w:space="0" w:color="auto"/>
                        <w:bottom w:val="none" w:sz="0" w:space="0" w:color="auto"/>
                        <w:right w:val="none" w:sz="0" w:space="0" w:color="auto"/>
                      </w:divBdr>
                      <w:divsChild>
                        <w:div w:id="676540478">
                          <w:marLeft w:val="0"/>
                          <w:marRight w:val="0"/>
                          <w:marTop w:val="0"/>
                          <w:marBottom w:val="0"/>
                          <w:divBdr>
                            <w:top w:val="none" w:sz="0" w:space="0" w:color="auto"/>
                            <w:left w:val="none" w:sz="0" w:space="0" w:color="auto"/>
                            <w:bottom w:val="none" w:sz="0" w:space="0" w:color="auto"/>
                            <w:right w:val="none" w:sz="0" w:space="0" w:color="auto"/>
                          </w:divBdr>
                          <w:divsChild>
                            <w:div w:id="9726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304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35198122">
      <w:bodyDiv w:val="1"/>
      <w:marLeft w:val="0"/>
      <w:marRight w:val="0"/>
      <w:marTop w:val="0"/>
      <w:marBottom w:val="0"/>
      <w:divBdr>
        <w:top w:val="none" w:sz="0" w:space="0" w:color="auto"/>
        <w:left w:val="none" w:sz="0" w:space="0" w:color="auto"/>
        <w:bottom w:val="none" w:sz="0" w:space="0" w:color="auto"/>
        <w:right w:val="none" w:sz="0" w:space="0" w:color="auto"/>
      </w:divBdr>
    </w:div>
    <w:div w:id="710302184">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24947">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35023313">
      <w:bodyDiv w:val="1"/>
      <w:marLeft w:val="0"/>
      <w:marRight w:val="0"/>
      <w:marTop w:val="0"/>
      <w:marBottom w:val="0"/>
      <w:divBdr>
        <w:top w:val="none" w:sz="0" w:space="0" w:color="auto"/>
        <w:left w:val="none" w:sz="0" w:space="0" w:color="auto"/>
        <w:bottom w:val="none" w:sz="0" w:space="0" w:color="auto"/>
        <w:right w:val="none" w:sz="0" w:space="0" w:color="auto"/>
      </w:divBdr>
    </w:div>
    <w:div w:id="191858946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02544312">
      <w:bodyDiv w:val="1"/>
      <w:marLeft w:val="0"/>
      <w:marRight w:val="0"/>
      <w:marTop w:val="0"/>
      <w:marBottom w:val="0"/>
      <w:divBdr>
        <w:top w:val="none" w:sz="0" w:space="0" w:color="auto"/>
        <w:left w:val="none" w:sz="0" w:space="0" w:color="auto"/>
        <w:bottom w:val="none" w:sz="0" w:space="0" w:color="auto"/>
        <w:right w:val="none" w:sz="0" w:space="0" w:color="auto"/>
      </w:divBdr>
      <w:divsChild>
        <w:div w:id="1576629209">
          <w:marLeft w:val="0"/>
          <w:marRight w:val="0"/>
          <w:marTop w:val="0"/>
          <w:marBottom w:val="0"/>
          <w:divBdr>
            <w:top w:val="none" w:sz="0" w:space="0" w:color="auto"/>
            <w:left w:val="none" w:sz="0" w:space="0" w:color="auto"/>
            <w:bottom w:val="none" w:sz="0" w:space="0" w:color="auto"/>
            <w:right w:val="none" w:sz="0" w:space="0" w:color="auto"/>
          </w:divBdr>
          <w:divsChild>
            <w:div w:id="1198355877">
              <w:marLeft w:val="0"/>
              <w:marRight w:val="0"/>
              <w:marTop w:val="0"/>
              <w:marBottom w:val="0"/>
              <w:divBdr>
                <w:top w:val="none" w:sz="0" w:space="0" w:color="auto"/>
                <w:left w:val="none" w:sz="0" w:space="0" w:color="auto"/>
                <w:bottom w:val="none" w:sz="0" w:space="0" w:color="auto"/>
                <w:right w:val="none" w:sz="0" w:space="0" w:color="auto"/>
              </w:divBdr>
              <w:divsChild>
                <w:div w:id="265576693">
                  <w:marLeft w:val="0"/>
                  <w:marRight w:val="0"/>
                  <w:marTop w:val="0"/>
                  <w:marBottom w:val="0"/>
                  <w:divBdr>
                    <w:top w:val="none" w:sz="0" w:space="0" w:color="auto"/>
                    <w:left w:val="none" w:sz="0" w:space="0" w:color="auto"/>
                    <w:bottom w:val="none" w:sz="0" w:space="0" w:color="auto"/>
                    <w:right w:val="none" w:sz="0" w:space="0" w:color="auto"/>
                  </w:divBdr>
                  <w:divsChild>
                    <w:div w:id="1703165099">
                      <w:marLeft w:val="0"/>
                      <w:marRight w:val="0"/>
                      <w:marTop w:val="0"/>
                      <w:marBottom w:val="0"/>
                      <w:divBdr>
                        <w:top w:val="none" w:sz="0" w:space="0" w:color="auto"/>
                        <w:left w:val="none" w:sz="0" w:space="0" w:color="auto"/>
                        <w:bottom w:val="none" w:sz="0" w:space="0" w:color="auto"/>
                        <w:right w:val="none" w:sz="0" w:space="0" w:color="auto"/>
                      </w:divBdr>
                      <w:divsChild>
                        <w:div w:id="696202219">
                          <w:marLeft w:val="0"/>
                          <w:marRight w:val="0"/>
                          <w:marTop w:val="0"/>
                          <w:marBottom w:val="0"/>
                          <w:divBdr>
                            <w:top w:val="none" w:sz="0" w:space="0" w:color="auto"/>
                            <w:left w:val="none" w:sz="0" w:space="0" w:color="auto"/>
                            <w:bottom w:val="none" w:sz="0" w:space="0" w:color="auto"/>
                            <w:right w:val="none" w:sz="0" w:space="0" w:color="auto"/>
                          </w:divBdr>
                          <w:divsChild>
                            <w:div w:id="1927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7R0834:20081010: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91BF-43CB-41AE-BBC6-341CB88F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4205</Words>
  <Characters>26286</Characters>
  <Application>Microsoft Office Word</Application>
  <DocSecurity>0</DocSecurity>
  <Lines>1546</Lines>
  <Paragraphs>609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28.12.2010. noteikumos Nr.1231 "Noteikumi par PVD veikto valsts uzraudzības un kontroles darbību un sniegto maksas pakalpojumu samaksu"</vt:lpstr>
      <vt:lpstr>Grozījumi MK 28.12.2010. noteikumos Nr.1231 "Noteikumi par PVD veikto valsts uzraudzības un kontroles darbību un sniegto maksas pakalpojumu samaksu"</vt:lpstr>
    </vt:vector>
  </TitlesOfParts>
  <Manager>Veterinārais un pārtikas pārstrādes departaments</Manager>
  <Company>Zemkopības ministrija</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28.12.2010. noteikumos Nr.1231 "Noteikumi par PVD veikto valsts uzraudzības un kontroles darbību un sniegto maksas pakalpojumu samaksu"</dc:title>
  <dc:subject>MK noteikumu projekta anotācija</dc:subject>
  <dc:creator>Linda Gurecka</dc:creator>
  <dc:description>Linda.Gurecka@zm.gov.lv
67027063</dc:description>
  <cp:lastModifiedBy>Renārs Žagars</cp:lastModifiedBy>
  <cp:revision>24</cp:revision>
  <cp:lastPrinted>2013-07-10T13:11:00Z</cp:lastPrinted>
  <dcterms:created xsi:type="dcterms:W3CDTF">2013-07-10T13:32:00Z</dcterms:created>
  <dcterms:modified xsi:type="dcterms:W3CDTF">2013-07-11T08:22:00Z</dcterms:modified>
</cp:coreProperties>
</file>