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89" w:rsidRPr="0002029A" w:rsidRDefault="00416589" w:rsidP="0002029A">
      <w:pPr>
        <w:pStyle w:val="Pamatteksts"/>
        <w:jc w:val="center"/>
        <w:rPr>
          <w:szCs w:val="28"/>
        </w:rPr>
      </w:pPr>
      <w:r w:rsidRPr="0002029A">
        <w:rPr>
          <w:szCs w:val="28"/>
        </w:rPr>
        <w:t>Ministru kabineta noteikumu projekta „</w:t>
      </w:r>
      <w:r>
        <w:rPr>
          <w:szCs w:val="28"/>
        </w:rPr>
        <w:t>Trušu un kažokzvēru pārraudzības kārtība</w:t>
      </w:r>
      <w:r w:rsidRPr="0002029A">
        <w:rPr>
          <w:szCs w:val="28"/>
        </w:rPr>
        <w:t>” sākotnējās ietekmes novērtējuma ziņojums (anotācija)</w:t>
      </w:r>
    </w:p>
    <w:p w:rsidR="00416589" w:rsidRDefault="00416589" w:rsidP="00F37F7E">
      <w:pPr>
        <w:pStyle w:val="naisc"/>
        <w:widowControl w:val="0"/>
        <w:spacing w:before="0" w:beforeAutospacing="0" w:after="0" w:afterAutospacing="0"/>
        <w:jc w:val="cente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416589" w:rsidRPr="00906B31" w:rsidTr="000D7729">
        <w:trPr>
          <w:jc w:val="center"/>
        </w:trPr>
        <w:tc>
          <w:tcPr>
            <w:tcW w:w="5000" w:type="pct"/>
            <w:gridSpan w:val="3"/>
          </w:tcPr>
          <w:p w:rsidR="00416589" w:rsidRPr="00787D30" w:rsidRDefault="00416589" w:rsidP="00F37F7E">
            <w:pPr>
              <w:pStyle w:val="naisnod"/>
              <w:spacing w:before="0" w:beforeAutospacing="0" w:after="0" w:afterAutospacing="0"/>
              <w:jc w:val="center"/>
            </w:pPr>
            <w:r w:rsidRPr="00906B31">
              <w:rPr>
                <w:b/>
                <w:bCs/>
              </w:rPr>
              <w:t xml:space="preserve">I. </w:t>
            </w:r>
            <w:r>
              <w:rPr>
                <w:b/>
                <w:bCs/>
              </w:rPr>
              <w:t>Tiesību akta projekta izstrādes nepieciešamība</w:t>
            </w:r>
          </w:p>
        </w:tc>
      </w:tr>
      <w:tr w:rsidR="00416589" w:rsidRPr="00906B31" w:rsidTr="00ED3F12">
        <w:trPr>
          <w:jc w:val="center"/>
        </w:trPr>
        <w:tc>
          <w:tcPr>
            <w:tcW w:w="328" w:type="pct"/>
          </w:tcPr>
          <w:p w:rsidR="00416589" w:rsidRPr="00787D30" w:rsidRDefault="00416589" w:rsidP="00F37F7E">
            <w:pPr>
              <w:pStyle w:val="naiskr"/>
              <w:tabs>
                <w:tab w:val="left" w:pos="3044"/>
              </w:tabs>
              <w:spacing w:before="0" w:beforeAutospacing="0" w:after="0" w:afterAutospacing="0"/>
              <w:jc w:val="both"/>
            </w:pPr>
            <w:r w:rsidRPr="00787D30">
              <w:t xml:space="preserve">1. </w:t>
            </w:r>
          </w:p>
        </w:tc>
        <w:tc>
          <w:tcPr>
            <w:tcW w:w="1917" w:type="pct"/>
          </w:tcPr>
          <w:p w:rsidR="00416589" w:rsidRPr="00787D30" w:rsidRDefault="00416589" w:rsidP="00F37F7E">
            <w:pPr>
              <w:pStyle w:val="naiskr"/>
              <w:tabs>
                <w:tab w:val="left" w:pos="3044"/>
              </w:tabs>
              <w:spacing w:before="0" w:beforeAutospacing="0" w:after="0" w:afterAutospacing="0"/>
              <w:jc w:val="both"/>
            </w:pPr>
            <w:r w:rsidRPr="000A0D36">
              <w:rPr>
                <w:color w:val="000000"/>
              </w:rPr>
              <w:t>Pamatojums</w:t>
            </w:r>
          </w:p>
        </w:tc>
        <w:tc>
          <w:tcPr>
            <w:tcW w:w="2755" w:type="pct"/>
          </w:tcPr>
          <w:p w:rsidR="00416589" w:rsidRPr="000B4B7F" w:rsidRDefault="00416589" w:rsidP="00EC3A5E">
            <w:pPr>
              <w:jc w:val="both"/>
            </w:pPr>
            <w:r w:rsidRPr="00704242">
              <w:t xml:space="preserve">Ministru kabineta noteikumu projekts </w:t>
            </w:r>
            <w:r>
              <w:t xml:space="preserve">„Trušu un kažokzvēru pārraudzības kārtība” (turpmāk – noteikumu projekts) </w:t>
            </w:r>
            <w:r w:rsidRPr="00704242">
              <w:t xml:space="preserve">sagatavots saskaņā ar </w:t>
            </w:r>
            <w:r>
              <w:t>Ciltsdarba un dzīvnieku audzēšanas likuma 12</w:t>
            </w:r>
            <w:r w:rsidRPr="00704242">
              <w:t>.p</w:t>
            </w:r>
            <w:r>
              <w:t>anta pirmo daļu.</w:t>
            </w:r>
          </w:p>
        </w:tc>
      </w:tr>
      <w:tr w:rsidR="00416589" w:rsidRPr="00906B31" w:rsidTr="00ED3F12">
        <w:trPr>
          <w:jc w:val="center"/>
        </w:trPr>
        <w:tc>
          <w:tcPr>
            <w:tcW w:w="328" w:type="pct"/>
          </w:tcPr>
          <w:p w:rsidR="00416589" w:rsidRPr="00906B31" w:rsidRDefault="00416589" w:rsidP="00F37F7E">
            <w:pPr>
              <w:pStyle w:val="Pamatteksts"/>
              <w:widowControl w:val="0"/>
              <w:jc w:val="both"/>
              <w:rPr>
                <w:b w:val="0"/>
                <w:sz w:val="24"/>
                <w:szCs w:val="24"/>
              </w:rPr>
            </w:pPr>
            <w:r w:rsidRPr="00906B31">
              <w:rPr>
                <w:b w:val="0"/>
                <w:sz w:val="24"/>
                <w:szCs w:val="24"/>
              </w:rPr>
              <w:t xml:space="preserve">2. </w:t>
            </w:r>
          </w:p>
        </w:tc>
        <w:tc>
          <w:tcPr>
            <w:tcW w:w="1917" w:type="pct"/>
          </w:tcPr>
          <w:p w:rsidR="00416589" w:rsidRPr="00906B31" w:rsidRDefault="00416589" w:rsidP="00F37F7E">
            <w:pPr>
              <w:pStyle w:val="Pamatteksts"/>
              <w:widowControl w:val="0"/>
              <w:jc w:val="both"/>
              <w:rPr>
                <w:b w:val="0"/>
                <w:sz w:val="24"/>
                <w:szCs w:val="24"/>
              </w:rPr>
            </w:pPr>
            <w:r w:rsidRPr="00683765">
              <w:rPr>
                <w:b w:val="0"/>
                <w:color w:val="000000"/>
                <w:sz w:val="24"/>
                <w:szCs w:val="24"/>
              </w:rPr>
              <w:t>Pašreizējā situācija un problēmas</w:t>
            </w:r>
          </w:p>
        </w:tc>
        <w:tc>
          <w:tcPr>
            <w:tcW w:w="2755" w:type="pct"/>
            <w:tcBorders>
              <w:bottom w:val="single" w:sz="4" w:space="0" w:color="auto"/>
            </w:tcBorders>
          </w:tcPr>
          <w:p w:rsidR="00416589" w:rsidRPr="000B4B7F" w:rsidRDefault="00416589" w:rsidP="004F4E29">
            <w:pPr>
              <w:jc w:val="both"/>
            </w:pPr>
            <w:r w:rsidRPr="00E0680A">
              <w:t xml:space="preserve">Šobrīd </w:t>
            </w:r>
            <w:r>
              <w:t>trušu un kažokzvēru pārraudzības kārtību</w:t>
            </w:r>
            <w:r w:rsidRPr="00E0680A">
              <w:t xml:space="preserve"> </w:t>
            </w:r>
            <w:r>
              <w:t>ne</w:t>
            </w:r>
            <w:r w:rsidRPr="00E0680A">
              <w:t>nosaka Ministru kabinet</w:t>
            </w:r>
            <w:r>
              <w:t xml:space="preserve">s. Trušu un kažokzvēru pārraudzība notiek saskaņā ar šķirnes dzīvnieku organizācijas izstrādāto ciltsdarba programmu. </w:t>
            </w:r>
            <w:r w:rsidRPr="00E0680A">
              <w:t>Ar 2011.gada 1.jūliju stā</w:t>
            </w:r>
            <w:r>
              <w:t>jās</w:t>
            </w:r>
            <w:r w:rsidRPr="00E0680A">
              <w:t xml:space="preserve"> spēkā Ciltsdarba un dzīvnieku audzēšanas likums (Latvijas Vēstnesis, 2011, 2</w:t>
            </w:r>
            <w:r>
              <w:t>1.</w:t>
            </w:r>
            <w:r w:rsidRPr="00E0680A">
              <w:t xml:space="preserve">nr.), </w:t>
            </w:r>
            <w:r>
              <w:t>kas paredz, ka ir jāizstrādā noteikumu projekts, kas noteiks trušu un kažokzvēru pārraudzības kārtību</w:t>
            </w:r>
            <w:r w:rsidRPr="00E0680A">
              <w:t>.</w:t>
            </w:r>
            <w:r>
              <w:t xml:space="preserve"> </w:t>
            </w:r>
            <w:r w:rsidRPr="00C733E9">
              <w:t xml:space="preserve">Pašreiz </w:t>
            </w:r>
            <w:r w:rsidRPr="00451BE6">
              <w:t>šķirnes saimniecībās veic selekcijas darbu ar četru dažādu šķirņu trušiem</w:t>
            </w:r>
            <w:r>
              <w:t>, no kurām t</w:t>
            </w:r>
            <w:r w:rsidRPr="00451BE6">
              <w:t>rīs šķirn</w:t>
            </w:r>
            <w:r>
              <w:t>es –</w:t>
            </w:r>
            <w:r w:rsidRPr="00451BE6">
              <w:t xml:space="preserve"> Kalifornijas, Jaunzēlandes sarkanais un Latvijas </w:t>
            </w:r>
            <w:proofErr w:type="spellStart"/>
            <w:r w:rsidRPr="00451BE6">
              <w:t>baltpieris</w:t>
            </w:r>
            <w:proofErr w:type="spellEnd"/>
            <w:r>
              <w:t> –</w:t>
            </w:r>
            <w:r w:rsidRPr="00451BE6">
              <w:t xml:space="preserve"> ir gaļas šķirnes, </w:t>
            </w:r>
            <w:r>
              <w:t xml:space="preserve">bet </w:t>
            </w:r>
            <w:proofErr w:type="spellStart"/>
            <w:r w:rsidR="000021DC" w:rsidRPr="000021DC">
              <w:rPr>
                <w:i/>
              </w:rPr>
              <w:t>Rex</w:t>
            </w:r>
            <w:proofErr w:type="spellEnd"/>
            <w:r w:rsidR="000021DC" w:rsidRPr="000021DC">
              <w:rPr>
                <w:i/>
              </w:rPr>
              <w:t xml:space="preserve"> </w:t>
            </w:r>
            <w:proofErr w:type="spellStart"/>
            <w:r w:rsidR="000021DC" w:rsidRPr="000021DC">
              <w:rPr>
                <w:i/>
              </w:rPr>
              <w:t>castor</w:t>
            </w:r>
            <w:proofErr w:type="spellEnd"/>
            <w:r w:rsidRPr="00451BE6">
              <w:t xml:space="preserve"> </w:t>
            </w:r>
            <w:proofErr w:type="spellStart"/>
            <w:r w:rsidRPr="00451BE6">
              <w:t>īsmataino</w:t>
            </w:r>
            <w:proofErr w:type="spellEnd"/>
            <w:r w:rsidRPr="00451BE6">
              <w:t xml:space="preserve"> trušu šķirn</w:t>
            </w:r>
            <w:r>
              <w:t>i</w:t>
            </w:r>
            <w:r w:rsidRPr="00451BE6">
              <w:t xml:space="preserve"> ar īpatnēju matu struktūru audzē galvenokārt ādiņu ieguvei un vaislai</w:t>
            </w:r>
            <w:r>
              <w:t>. Savukārt kažokzvēru saimniecībās pamatā tiek audzētas dažādu šķirņu ūdeles, lapsas, polārlapsas un šinšillas. Kažokzvēri tiek audzēti kažokādu iegūšanai. Veicot mērķtiecīgu ciltsdarbu, uzlabojot selekcijas rezultātus un atjaunojot kažokzvēru šķirnes, ir ievērojami uzlabojies kažokādu lielums un apmatojuma kvalitāte. Tāpēc zvērsaimniecībās iegūtās kažokādas ir daudz konkurētspējīgākas starptautiskajās kažokādu izsolēs.</w:t>
            </w:r>
          </w:p>
        </w:tc>
      </w:tr>
      <w:tr w:rsidR="00416589" w:rsidRPr="00906B31" w:rsidTr="00ED3F12">
        <w:trPr>
          <w:jc w:val="center"/>
        </w:trPr>
        <w:tc>
          <w:tcPr>
            <w:tcW w:w="328" w:type="pct"/>
          </w:tcPr>
          <w:p w:rsidR="00416589" w:rsidRPr="00683765" w:rsidRDefault="00416589" w:rsidP="00F37F7E">
            <w:pPr>
              <w:pStyle w:val="Pamatteksts"/>
              <w:widowControl w:val="0"/>
              <w:jc w:val="both"/>
              <w:rPr>
                <w:b w:val="0"/>
                <w:sz w:val="24"/>
                <w:szCs w:val="24"/>
              </w:rPr>
            </w:pPr>
            <w:r w:rsidRPr="00683765">
              <w:rPr>
                <w:b w:val="0"/>
                <w:sz w:val="24"/>
                <w:szCs w:val="24"/>
              </w:rPr>
              <w:t>3.</w:t>
            </w:r>
            <w:r w:rsidRPr="00683765">
              <w:rPr>
                <w:b w:val="0"/>
                <w:color w:val="000000"/>
                <w:sz w:val="24"/>
                <w:szCs w:val="24"/>
              </w:rPr>
              <w:t xml:space="preserve"> </w:t>
            </w:r>
          </w:p>
        </w:tc>
        <w:tc>
          <w:tcPr>
            <w:tcW w:w="1917" w:type="pct"/>
          </w:tcPr>
          <w:p w:rsidR="00416589" w:rsidRPr="00683765" w:rsidRDefault="00416589" w:rsidP="00F37F7E">
            <w:pPr>
              <w:pStyle w:val="Pamatteksts"/>
              <w:widowControl w:val="0"/>
              <w:jc w:val="both"/>
              <w:rPr>
                <w:b w:val="0"/>
                <w:sz w:val="24"/>
                <w:szCs w:val="24"/>
              </w:rPr>
            </w:pPr>
            <w:r w:rsidRPr="00683765">
              <w:rPr>
                <w:b w:val="0"/>
                <w:color w:val="000000"/>
                <w:sz w:val="24"/>
                <w:szCs w:val="24"/>
              </w:rPr>
              <w:t>Saistītie politikas ietekmes novērtējumi un pētījumi</w:t>
            </w:r>
          </w:p>
        </w:tc>
        <w:tc>
          <w:tcPr>
            <w:tcW w:w="2755" w:type="pct"/>
            <w:tcBorders>
              <w:bottom w:val="single" w:sz="4" w:space="0" w:color="auto"/>
            </w:tcBorders>
          </w:tcPr>
          <w:p w:rsidR="00416589" w:rsidRPr="00DF3721" w:rsidRDefault="00416589" w:rsidP="00F37F7E">
            <w:pPr>
              <w:jc w:val="both"/>
            </w:pPr>
            <w:r>
              <w:t>Projekts šo jomu neskar</w:t>
            </w:r>
            <w:r w:rsidRPr="000A0D36">
              <w:t>.</w:t>
            </w:r>
          </w:p>
        </w:tc>
      </w:tr>
      <w:tr w:rsidR="00416589" w:rsidRPr="00906B31" w:rsidTr="00ED3F12">
        <w:trPr>
          <w:jc w:val="center"/>
        </w:trPr>
        <w:tc>
          <w:tcPr>
            <w:tcW w:w="328" w:type="pct"/>
            <w:tcBorders>
              <w:right w:val="single" w:sz="4" w:space="0" w:color="auto"/>
            </w:tcBorders>
          </w:tcPr>
          <w:p w:rsidR="00416589" w:rsidRPr="00683765" w:rsidRDefault="00416589" w:rsidP="00F37F7E">
            <w:pPr>
              <w:pStyle w:val="naiskr"/>
              <w:spacing w:before="0" w:beforeAutospacing="0" w:after="0" w:afterAutospacing="0"/>
              <w:jc w:val="both"/>
            </w:pPr>
            <w:r>
              <w:t>4</w:t>
            </w:r>
            <w:r w:rsidRPr="00683765">
              <w:t xml:space="preserve">. </w:t>
            </w:r>
          </w:p>
        </w:tc>
        <w:tc>
          <w:tcPr>
            <w:tcW w:w="1917" w:type="pct"/>
            <w:tcBorders>
              <w:right w:val="single" w:sz="4" w:space="0" w:color="auto"/>
            </w:tcBorders>
          </w:tcPr>
          <w:p w:rsidR="00416589" w:rsidRPr="00683765" w:rsidRDefault="00416589" w:rsidP="00F37F7E">
            <w:pPr>
              <w:pStyle w:val="naiskr"/>
              <w:spacing w:before="0" w:beforeAutospacing="0" w:after="0" w:afterAutospacing="0"/>
              <w:jc w:val="both"/>
            </w:pPr>
            <w:r w:rsidRPr="000A0D36">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416589" w:rsidRPr="00E539EB" w:rsidRDefault="00416589" w:rsidP="00000859">
            <w:pPr>
              <w:jc w:val="both"/>
              <w:rPr>
                <w:b/>
              </w:rPr>
            </w:pPr>
            <w:r w:rsidRPr="00E06A76">
              <w:t>Noteikumu projekta sagatavošanas mērķis ir noteikt trušu un kažokzvēru pārraudzības kārtību.</w:t>
            </w:r>
            <w:r w:rsidRPr="00E539EB">
              <w:rPr>
                <w:b/>
              </w:rPr>
              <w:t xml:space="preserve"> </w:t>
            </w:r>
            <w:r w:rsidR="000021DC" w:rsidRPr="000021DC">
              <w:t xml:space="preserve">Tā kā katrai dzīvnieku sugai </w:t>
            </w:r>
            <w:r>
              <w:t>atšķiras</w:t>
            </w:r>
            <w:r w:rsidR="000021DC" w:rsidRPr="000021DC">
              <w:t xml:space="preserve"> </w:t>
            </w:r>
            <w:r>
              <w:t xml:space="preserve">gan </w:t>
            </w:r>
            <w:r w:rsidR="000021DC" w:rsidRPr="000021DC">
              <w:t xml:space="preserve">fizioloģiskās īpatnības, </w:t>
            </w:r>
            <w:r>
              <w:t xml:space="preserve">gan </w:t>
            </w:r>
            <w:r w:rsidR="000021DC" w:rsidRPr="000021DC">
              <w:t>izmantošanas veids, tad noteikumu projekts paredz atšķirīgu pārraudzības gadu un pārraudzības datu uzskaiti un apstrādi. Lai veiktu pārraudzību</w:t>
            </w:r>
            <w:r>
              <w:t>,</w:t>
            </w:r>
            <w:r w:rsidR="000021DC" w:rsidRPr="000021DC">
              <w:t xml:space="preserve"> </w:t>
            </w:r>
            <w:r>
              <w:t xml:space="preserve">par </w:t>
            </w:r>
            <w:r w:rsidR="000021DC" w:rsidRPr="000021DC">
              <w:t>katr</w:t>
            </w:r>
            <w:r>
              <w:t>u</w:t>
            </w:r>
            <w:r w:rsidR="000021DC" w:rsidRPr="000021DC">
              <w:t xml:space="preserve"> dzīvnieku sug</w:t>
            </w:r>
            <w:r>
              <w:t>u</w:t>
            </w:r>
            <w:r w:rsidR="000021DC" w:rsidRPr="000021DC">
              <w:t xml:space="preserve"> individuāli </w:t>
            </w:r>
            <w:r>
              <w:t>nepieciešama</w:t>
            </w:r>
            <w:r w:rsidR="000021DC" w:rsidRPr="000021DC">
              <w:t xml:space="preserve"> pārraudzīb</w:t>
            </w:r>
            <w:r>
              <w:t>as</w:t>
            </w:r>
            <w:r w:rsidR="000021DC" w:rsidRPr="000021DC">
              <w:t xml:space="preserve"> datu uzskait</w:t>
            </w:r>
            <w:r>
              <w:t>e</w:t>
            </w:r>
            <w:r w:rsidR="000021DC" w:rsidRPr="000021DC">
              <w:t>, kas nodrošina kvantitatīvus un kvalitatīvus datus par dzīvnieku produktivitāti un eksterjeru</w:t>
            </w:r>
            <w:r>
              <w:t>,</w:t>
            </w:r>
            <w:r w:rsidR="000021DC" w:rsidRPr="000021DC">
              <w:t xml:space="preserve"> </w:t>
            </w:r>
            <w:r>
              <w:t>kā arī</w:t>
            </w:r>
            <w:r w:rsidR="000021DC" w:rsidRPr="000021DC">
              <w:t xml:space="preserve"> šo datu reģistrēšan</w:t>
            </w:r>
            <w:r>
              <w:t>a</w:t>
            </w:r>
            <w:r w:rsidR="000021DC" w:rsidRPr="000021DC">
              <w:t>. Tāpat</w:t>
            </w:r>
            <w:r>
              <w:t>,</w:t>
            </w:r>
            <w:r w:rsidR="000021DC" w:rsidRPr="000021DC">
              <w:t xml:space="preserve"> lai veiktu pārraudzību, </w:t>
            </w:r>
            <w:r>
              <w:t xml:space="preserve">tajā </w:t>
            </w:r>
            <w:r w:rsidR="000021DC" w:rsidRPr="000021DC">
              <w:t>jāpiedalās gan ganāmpulka īpašniekam, gan fiziskai personai, kas ir saņēmusi atbilstošu sertifikātu vai apliecību dzīvnieku pārraudzības veikšanai (pārraugs) vai sertifikātu dzīvnieku vērtēšanas veikšanai (vērtētājs) (saskaņā ar Ciltsdarba un dzīvnieku audzēšanas likumu). Fiziska persona (t</w:t>
            </w:r>
            <w:r>
              <w:t>ostarp</w:t>
            </w:r>
            <w:r w:rsidR="000021DC" w:rsidRPr="000021DC">
              <w:t xml:space="preserve"> ganāmpulka īpašnieks) vienlai</w:t>
            </w:r>
            <w:r>
              <w:t>kus</w:t>
            </w:r>
            <w:r w:rsidR="000021DC" w:rsidRPr="000021DC">
              <w:t xml:space="preserve"> var </w:t>
            </w:r>
            <w:r w:rsidR="000021DC" w:rsidRPr="000021DC">
              <w:lastRenderedPageBreak/>
              <w:t>iegūt sertifikātu vērtētāja un pārrauga darba veikšanai vai apliecību pārrauga darba veikšanai vienā ganāmpulkā un sertifikātu vērtētāja darba veikšanai.</w:t>
            </w:r>
            <w:r w:rsidRPr="00E539EB">
              <w:rPr>
                <w:b/>
              </w:rPr>
              <w:t xml:space="preserve"> </w:t>
            </w:r>
          </w:p>
          <w:p w:rsidR="00416589" w:rsidRPr="00E0680A" w:rsidRDefault="00416589" w:rsidP="002513DF">
            <w:pPr>
              <w:pStyle w:val="naispie"/>
              <w:spacing w:before="0" w:beforeAutospacing="0" w:after="0" w:afterAutospacing="0"/>
              <w:jc w:val="both"/>
            </w:pPr>
            <w:r w:rsidRPr="00E0680A">
              <w:t>Noteikumu projekts paredz:</w:t>
            </w:r>
          </w:p>
          <w:p w:rsidR="00416589" w:rsidRDefault="00416589" w:rsidP="00F47A8E">
            <w:pPr>
              <w:jc w:val="both"/>
              <w:rPr>
                <w:bCs/>
              </w:rPr>
            </w:pPr>
            <w:r>
              <w:rPr>
                <w:bCs/>
              </w:rPr>
              <w:t xml:space="preserve">1) kārtību, kādā tiks veikta </w:t>
            </w:r>
            <w:r>
              <w:t xml:space="preserve">trušu un kažokzvēru </w:t>
            </w:r>
            <w:r>
              <w:rPr>
                <w:bCs/>
              </w:rPr>
              <w:t>pārraudzība;</w:t>
            </w:r>
          </w:p>
          <w:p w:rsidR="00416589" w:rsidRDefault="00416589" w:rsidP="00F47A8E">
            <w:pPr>
              <w:jc w:val="both"/>
              <w:rPr>
                <w:bCs/>
              </w:rPr>
            </w:pPr>
            <w:r>
              <w:rPr>
                <w:bCs/>
              </w:rPr>
              <w:t>2) pārraudzības un vērtēšanas datu uzskaites un reģistrēšanas kārtību;</w:t>
            </w:r>
          </w:p>
          <w:p w:rsidR="00416589" w:rsidRDefault="00416589" w:rsidP="00F47A8E">
            <w:pPr>
              <w:jc w:val="both"/>
              <w:rPr>
                <w:bCs/>
              </w:rPr>
            </w:pPr>
            <w:r>
              <w:rPr>
                <w:bCs/>
              </w:rPr>
              <w:t>3) ganāmpulka īpašnieka un f</w:t>
            </w:r>
            <w:r>
              <w:t xml:space="preserve">iziskās </w:t>
            </w:r>
            <w:r w:rsidRPr="00A95957">
              <w:t>personas, kas vei</w:t>
            </w:r>
            <w:r>
              <w:t>ks</w:t>
            </w:r>
            <w:r w:rsidRPr="00A95957">
              <w:t xml:space="preserve"> </w:t>
            </w:r>
            <w:r>
              <w:t>trušu un kažokzvēru</w:t>
            </w:r>
            <w:r w:rsidRPr="00A95957">
              <w:t xml:space="preserve"> pārraudzību</w:t>
            </w:r>
            <w:r>
              <w:t xml:space="preserve"> </w:t>
            </w:r>
            <w:r>
              <w:rPr>
                <w:bCs/>
              </w:rPr>
              <w:t>un</w:t>
            </w:r>
            <w:r>
              <w:t xml:space="preserve"> vērtēšanu,</w:t>
            </w:r>
            <w:r>
              <w:rPr>
                <w:bCs/>
              </w:rPr>
              <w:t xml:space="preserve"> tiesības un pienākumus;</w:t>
            </w:r>
          </w:p>
          <w:p w:rsidR="00416589" w:rsidRPr="00A3435F" w:rsidRDefault="00416589" w:rsidP="00F47A8E">
            <w:pPr>
              <w:pStyle w:val="naispie"/>
              <w:spacing w:before="0" w:beforeAutospacing="0" w:after="0" w:afterAutospacing="0"/>
              <w:jc w:val="both"/>
              <w:rPr>
                <w:bCs/>
              </w:rPr>
            </w:pPr>
            <w:r>
              <w:rPr>
                <w:bCs/>
              </w:rPr>
              <w:t xml:space="preserve">4) šķirnes lauksaimniecības dzīvnieku audzētāju organizācijas funkcijas </w:t>
            </w:r>
            <w:r>
              <w:t xml:space="preserve">trušu un kažokzvēru </w:t>
            </w:r>
            <w:r>
              <w:rPr>
                <w:bCs/>
              </w:rPr>
              <w:t>pārraudzības procesā.</w:t>
            </w:r>
          </w:p>
        </w:tc>
      </w:tr>
      <w:tr w:rsidR="00416589" w:rsidRPr="00906B31" w:rsidTr="00421391">
        <w:trPr>
          <w:jc w:val="center"/>
        </w:trPr>
        <w:tc>
          <w:tcPr>
            <w:tcW w:w="328" w:type="pct"/>
            <w:tcBorders>
              <w:right w:val="single" w:sz="4" w:space="0" w:color="auto"/>
            </w:tcBorders>
          </w:tcPr>
          <w:p w:rsidR="00416589" w:rsidRDefault="00416589" w:rsidP="00F37F7E">
            <w:pPr>
              <w:pStyle w:val="naiskr"/>
              <w:spacing w:before="0" w:beforeAutospacing="0" w:after="0" w:afterAutospacing="0"/>
              <w:jc w:val="both"/>
            </w:pPr>
            <w:r>
              <w:lastRenderedPageBreak/>
              <w:t xml:space="preserve">5. </w:t>
            </w:r>
          </w:p>
        </w:tc>
        <w:tc>
          <w:tcPr>
            <w:tcW w:w="1917" w:type="pct"/>
            <w:tcBorders>
              <w:right w:val="single" w:sz="4" w:space="0" w:color="auto"/>
            </w:tcBorders>
          </w:tcPr>
          <w:p w:rsidR="00416589" w:rsidRDefault="00416589" w:rsidP="00F37F7E">
            <w:pPr>
              <w:pStyle w:val="naiskr"/>
              <w:spacing w:before="0" w:beforeAutospacing="0" w:after="0" w:afterAutospacing="0"/>
              <w:jc w:val="both"/>
            </w:pPr>
            <w:r w:rsidRPr="000A0D36">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416589" w:rsidRPr="00BE4880" w:rsidRDefault="00416589" w:rsidP="000F4B00">
            <w:pPr>
              <w:jc w:val="both"/>
            </w:pPr>
            <w:r>
              <w:t>Valsts aģentūra „Lauksaimniecības datu centrs” (turpmāk – datu centrs) un Pārtikas un veterinārais dienests.</w:t>
            </w:r>
          </w:p>
        </w:tc>
      </w:tr>
      <w:tr w:rsidR="00416589" w:rsidRPr="00906B31" w:rsidTr="004966B8">
        <w:trPr>
          <w:jc w:val="center"/>
        </w:trPr>
        <w:tc>
          <w:tcPr>
            <w:tcW w:w="328" w:type="pct"/>
            <w:tcBorders>
              <w:right w:val="single" w:sz="4" w:space="0" w:color="auto"/>
            </w:tcBorders>
          </w:tcPr>
          <w:p w:rsidR="00416589" w:rsidRDefault="00416589" w:rsidP="00F37F7E">
            <w:pPr>
              <w:pStyle w:val="naiskr"/>
              <w:spacing w:before="0" w:beforeAutospacing="0" w:after="0" w:afterAutospacing="0"/>
              <w:jc w:val="both"/>
            </w:pPr>
            <w:r>
              <w:rPr>
                <w:color w:val="000000"/>
              </w:rPr>
              <w:t xml:space="preserve">6. </w:t>
            </w:r>
          </w:p>
        </w:tc>
        <w:tc>
          <w:tcPr>
            <w:tcW w:w="1917" w:type="pct"/>
            <w:tcBorders>
              <w:right w:val="single" w:sz="4" w:space="0" w:color="auto"/>
            </w:tcBorders>
          </w:tcPr>
          <w:p w:rsidR="00416589" w:rsidRDefault="00416589" w:rsidP="00F37F7E">
            <w:pPr>
              <w:pStyle w:val="naiskr"/>
              <w:spacing w:before="0" w:beforeAutospacing="0" w:after="0" w:afterAutospacing="0"/>
              <w:jc w:val="both"/>
            </w:pPr>
            <w:r w:rsidRPr="000A0D36">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416589" w:rsidRDefault="00416589" w:rsidP="00F37F7E">
            <w:pPr>
              <w:jc w:val="both"/>
            </w:pPr>
            <w:r>
              <w:t>Projekts šo jomu neskar</w:t>
            </w:r>
            <w:r w:rsidRPr="000A0D36">
              <w:t>.</w:t>
            </w:r>
          </w:p>
        </w:tc>
      </w:tr>
      <w:tr w:rsidR="00416589" w:rsidRPr="00906B31" w:rsidTr="005660EB">
        <w:trPr>
          <w:trHeight w:val="232"/>
          <w:jc w:val="center"/>
        </w:trPr>
        <w:tc>
          <w:tcPr>
            <w:tcW w:w="328" w:type="pct"/>
          </w:tcPr>
          <w:p w:rsidR="00416589" w:rsidRPr="00787D30" w:rsidRDefault="00416589" w:rsidP="00F37F7E">
            <w:pPr>
              <w:pStyle w:val="naiskr"/>
              <w:spacing w:before="0" w:beforeAutospacing="0" w:after="0" w:afterAutospacing="0"/>
              <w:jc w:val="both"/>
            </w:pPr>
            <w:r>
              <w:t>7</w:t>
            </w:r>
            <w:r w:rsidRPr="00787D30">
              <w:t xml:space="preserve">. </w:t>
            </w:r>
          </w:p>
        </w:tc>
        <w:tc>
          <w:tcPr>
            <w:tcW w:w="1917" w:type="pct"/>
          </w:tcPr>
          <w:p w:rsidR="00416589" w:rsidRPr="00787D30" w:rsidRDefault="00416589" w:rsidP="00F37F7E">
            <w:pPr>
              <w:pStyle w:val="naiskr"/>
              <w:spacing w:before="0" w:beforeAutospacing="0" w:after="0" w:afterAutospacing="0"/>
              <w:jc w:val="both"/>
            </w:pPr>
            <w:r w:rsidRPr="00787D30">
              <w:t>Cita informācija</w:t>
            </w:r>
          </w:p>
        </w:tc>
        <w:tc>
          <w:tcPr>
            <w:tcW w:w="2755" w:type="pct"/>
            <w:tcBorders>
              <w:top w:val="single" w:sz="4" w:space="0" w:color="auto"/>
            </w:tcBorders>
          </w:tcPr>
          <w:p w:rsidR="00416589" w:rsidRPr="00416589" w:rsidRDefault="000021DC" w:rsidP="00120702">
            <w:pPr>
              <w:spacing w:before="100" w:beforeAutospacing="1" w:after="100" w:afterAutospacing="1"/>
              <w:jc w:val="both"/>
            </w:pPr>
            <w:r w:rsidRPr="000021DC">
              <w:t>Tā kā šinšillām ir atšķirīgs mazuļu dzimšanas periods (šinšillu mazuļi dzimst visu gadu) n</w:t>
            </w:r>
            <w:r w:rsidR="00416589">
              <w:t>ekā</w:t>
            </w:r>
            <w:r w:rsidRPr="000021DC">
              <w:t xml:space="preserve"> ūdelēm, lapsām un polārlapsām (izteikti sezonāls kucēnu dzimšanas periods, t.i., 1 reizi gadā ir kucēnu metiens agri pavasarī), tādēļ ir atšķirīgs kopsavilkumu iesniegšanas laiks. Iepriekšējā gada decembrī dzimušo šinšillu mazuļu vērtēšana var notikt tikai 6</w:t>
            </w:r>
            <w:r w:rsidR="00416589">
              <w:t>–</w:t>
            </w:r>
            <w:r w:rsidRPr="000021DC">
              <w:t>7 mēnešu vecumā (t.i., līdz jūnija beigām šinšillu mazuļu vērtēšana ir pabeigta), jo tūlīt pēc dzimšanas aiztikt šinšillu mazuļus nedrīkst</w:t>
            </w:r>
            <w:r w:rsidR="00416589">
              <w:t>.</w:t>
            </w:r>
            <w:r w:rsidRPr="000021DC">
              <w:t xml:space="preserve"> </w:t>
            </w:r>
            <w:r w:rsidR="00416589">
              <w:t>Tā</w:t>
            </w:r>
            <w:r w:rsidRPr="000021DC">
              <w:t xml:space="preserve"> tiek nodrošināta pilnīga visu iepriekšējā gadā dzimušo šinšillu mazuļu pārraudzības datu uzskaite, un tie ir novērtēti un dati iekļauti iepriekšējā pārraudzības gada kopsavilkumā. Savukārt visi ūdeļu, lapsu un polārlapsu pavasarī dzimušie kucēni ir jau uzskaitīti un novērtēti septembrī</w:t>
            </w:r>
            <w:r w:rsidR="00416589">
              <w:t xml:space="preserve"> un</w:t>
            </w:r>
            <w:r w:rsidRPr="000021DC">
              <w:t xml:space="preserve"> oktobrī (6</w:t>
            </w:r>
            <w:r w:rsidR="00416589">
              <w:t>–</w:t>
            </w:r>
            <w:r w:rsidRPr="000021DC">
              <w:t>7 mēnešu vecumā) un dati apkopoti par iepriekšējo pārraudzības gadu.</w:t>
            </w:r>
          </w:p>
        </w:tc>
      </w:tr>
      <w:tr w:rsidR="00416589" w:rsidRPr="00906B31" w:rsidTr="000D7729">
        <w:trPr>
          <w:jc w:val="center"/>
        </w:trPr>
        <w:tc>
          <w:tcPr>
            <w:tcW w:w="5000" w:type="pct"/>
            <w:gridSpan w:val="3"/>
          </w:tcPr>
          <w:p w:rsidR="00416589" w:rsidRPr="00787D30" w:rsidRDefault="00416589" w:rsidP="00F37F7E">
            <w:pPr>
              <w:pStyle w:val="naisnod"/>
              <w:spacing w:before="0" w:beforeAutospacing="0" w:after="0" w:afterAutospacing="0"/>
              <w:jc w:val="center"/>
            </w:pPr>
            <w:r w:rsidRPr="00906B31">
              <w:rPr>
                <w:b/>
                <w:bCs/>
              </w:rPr>
              <w:t>I</w:t>
            </w:r>
            <w:r>
              <w:rPr>
                <w:b/>
                <w:bCs/>
              </w:rPr>
              <w:t>I</w:t>
            </w:r>
            <w:r w:rsidRPr="00906B31">
              <w:rPr>
                <w:b/>
                <w:bCs/>
              </w:rPr>
              <w:t xml:space="preserve">. </w:t>
            </w:r>
            <w:r>
              <w:rPr>
                <w:b/>
                <w:bCs/>
              </w:rPr>
              <w:t xml:space="preserve">Tiesību </w:t>
            </w:r>
            <w:r w:rsidRPr="00906B31">
              <w:rPr>
                <w:b/>
                <w:bCs/>
              </w:rPr>
              <w:t>akt</w:t>
            </w:r>
            <w:r>
              <w:rPr>
                <w:b/>
                <w:bCs/>
              </w:rPr>
              <w:t>a projekta ietekme uz sabiedrību</w:t>
            </w:r>
          </w:p>
        </w:tc>
      </w:tr>
      <w:tr w:rsidR="00416589" w:rsidRPr="00906B31" w:rsidTr="000D7729">
        <w:trPr>
          <w:jc w:val="center"/>
        </w:trPr>
        <w:tc>
          <w:tcPr>
            <w:tcW w:w="328" w:type="pct"/>
          </w:tcPr>
          <w:p w:rsidR="00416589" w:rsidRPr="00787D30" w:rsidRDefault="00416589" w:rsidP="00F37F7E">
            <w:pPr>
              <w:pStyle w:val="naiskr"/>
              <w:tabs>
                <w:tab w:val="left" w:pos="3044"/>
              </w:tabs>
              <w:spacing w:before="0" w:beforeAutospacing="0" w:after="0" w:afterAutospacing="0"/>
              <w:jc w:val="both"/>
            </w:pPr>
            <w:r w:rsidRPr="00787D30">
              <w:t xml:space="preserve">1. </w:t>
            </w:r>
          </w:p>
        </w:tc>
        <w:tc>
          <w:tcPr>
            <w:tcW w:w="1917" w:type="pct"/>
          </w:tcPr>
          <w:p w:rsidR="00416589" w:rsidRPr="00787D30" w:rsidRDefault="00416589" w:rsidP="00F37F7E">
            <w:pPr>
              <w:pStyle w:val="naiskr"/>
              <w:tabs>
                <w:tab w:val="left" w:pos="3044"/>
              </w:tabs>
              <w:spacing w:before="0" w:beforeAutospacing="0" w:after="0" w:afterAutospacing="0"/>
              <w:jc w:val="both"/>
            </w:pPr>
            <w:r>
              <w:rPr>
                <w:color w:val="000000"/>
              </w:rPr>
              <w:t xml:space="preserve">Sabiedrības </w:t>
            </w:r>
            <w:proofErr w:type="spellStart"/>
            <w:r>
              <w:rPr>
                <w:color w:val="000000"/>
              </w:rPr>
              <w:t>mērķgrupa</w:t>
            </w:r>
            <w:proofErr w:type="spellEnd"/>
          </w:p>
        </w:tc>
        <w:tc>
          <w:tcPr>
            <w:tcW w:w="2755" w:type="pct"/>
          </w:tcPr>
          <w:p w:rsidR="00416589" w:rsidRPr="00CD1F03" w:rsidRDefault="00416589" w:rsidP="00CD1F03">
            <w:pPr>
              <w:autoSpaceDE w:val="0"/>
              <w:autoSpaceDN w:val="0"/>
              <w:adjustRightInd w:val="0"/>
              <w:jc w:val="both"/>
            </w:pPr>
            <w:r w:rsidRPr="00CD1F03">
              <w:t>Šobrīd šķirnes lauksaimniecības dzīvnieku audzētāju organizācijas</w:t>
            </w:r>
            <w:r>
              <w:t xml:space="preserve"> </w:t>
            </w:r>
            <w:r w:rsidRPr="00CD1F03">
              <w:t xml:space="preserve">statusu valstī ir ieguvuši Latvijas </w:t>
            </w:r>
            <w:proofErr w:type="spellStart"/>
            <w:r w:rsidRPr="00CD1F03">
              <w:t>s</w:t>
            </w:r>
            <w:r>
              <w:t>ī</w:t>
            </w:r>
            <w:r w:rsidRPr="00CD1F03">
              <w:t>kdz</w:t>
            </w:r>
            <w:r>
              <w:t>ī</w:t>
            </w:r>
            <w:r w:rsidRPr="00CD1F03">
              <w:t>vnieku</w:t>
            </w:r>
            <w:proofErr w:type="spellEnd"/>
            <w:r w:rsidRPr="00CD1F03">
              <w:t xml:space="preserve"> audz</w:t>
            </w:r>
            <w:r>
              <w:t>ē</w:t>
            </w:r>
            <w:r w:rsidRPr="00CD1F03">
              <w:t>t</w:t>
            </w:r>
            <w:r>
              <w:t>ā</w:t>
            </w:r>
            <w:r w:rsidRPr="00CD1F03">
              <w:t>ju biedr</w:t>
            </w:r>
            <w:r>
              <w:t>ī</w:t>
            </w:r>
            <w:r w:rsidRPr="00CD1F03">
              <w:t>ba „Trusis un citi”</w:t>
            </w:r>
            <w:r>
              <w:t>, Latvijas Šķirnes Trušu audzētāju asociācija (turpmāk –  truškopības organizācija), SIA „Latvijas Zvērkopju asociācija” un biedrība „Latvijas Šinšillu audzētāju asociācija” (turpmāk – kažokzvēru organizācija).</w:t>
            </w:r>
          </w:p>
          <w:p w:rsidR="00416589" w:rsidRPr="00A95957" w:rsidRDefault="00416589" w:rsidP="00D112F5">
            <w:pPr>
              <w:jc w:val="both"/>
            </w:pPr>
            <w:r>
              <w:t xml:space="preserve">Pēc datu centra datiem (pēc stāvokļa 01.01.11.), ar trušu audzēšanu nodarbojas 569 saimniecības ar 19 356 trušiem, bet ar kažokzvēru audzēšanu – </w:t>
            </w:r>
            <w:bookmarkStart w:id="0" w:name="OLE_LINK1"/>
            <w:bookmarkStart w:id="1" w:name="OLE_LINK2"/>
            <w:r>
              <w:t>600 saimniecību</w:t>
            </w:r>
            <w:bookmarkEnd w:id="0"/>
            <w:bookmarkEnd w:id="1"/>
            <w:r>
              <w:t xml:space="preserve"> ar 96 992 kažokzvēriem.</w:t>
            </w:r>
          </w:p>
          <w:p w:rsidR="00416589" w:rsidRPr="00583239" w:rsidRDefault="00416589" w:rsidP="00D112F5">
            <w:pPr>
              <w:jc w:val="both"/>
            </w:pPr>
            <w:r>
              <w:t xml:space="preserve">Fiziskās </w:t>
            </w:r>
            <w:r w:rsidRPr="00A95957">
              <w:t>personas, kas vei</w:t>
            </w:r>
            <w:r>
              <w:t>ks</w:t>
            </w:r>
            <w:r w:rsidRPr="00A95957">
              <w:t xml:space="preserve"> </w:t>
            </w:r>
            <w:r>
              <w:t>trušu un kažokzvēru</w:t>
            </w:r>
            <w:r w:rsidRPr="00A95957">
              <w:t xml:space="preserve"> pārraudzību</w:t>
            </w:r>
            <w:r>
              <w:t xml:space="preserve"> un vērtēšanu</w:t>
            </w:r>
            <w:r w:rsidRPr="00A95957">
              <w:t>.</w:t>
            </w:r>
          </w:p>
        </w:tc>
      </w:tr>
      <w:tr w:rsidR="00416589" w:rsidRPr="00906B31" w:rsidTr="000D7729">
        <w:trPr>
          <w:jc w:val="center"/>
        </w:trPr>
        <w:tc>
          <w:tcPr>
            <w:tcW w:w="328" w:type="pct"/>
          </w:tcPr>
          <w:p w:rsidR="00416589" w:rsidRDefault="00416589" w:rsidP="00D112F5">
            <w:pPr>
              <w:jc w:val="both"/>
            </w:pPr>
            <w:r>
              <w:t xml:space="preserve"> 2. </w:t>
            </w:r>
          </w:p>
        </w:tc>
        <w:tc>
          <w:tcPr>
            <w:tcW w:w="1917" w:type="pct"/>
          </w:tcPr>
          <w:p w:rsidR="00416589" w:rsidRDefault="00416589" w:rsidP="00D112F5">
            <w:pPr>
              <w:jc w:val="both"/>
            </w:pPr>
            <w:r>
              <w:t xml:space="preserve">Citas sabiedrības grupas (bez </w:t>
            </w:r>
            <w:proofErr w:type="spellStart"/>
            <w:r>
              <w:lastRenderedPageBreak/>
              <w:t>mērķgrupas</w:t>
            </w:r>
            <w:proofErr w:type="spellEnd"/>
            <w:r>
              <w:t>), kuras tiesiskais regulējums arī ietekmē vai varētu ietekmēt</w:t>
            </w:r>
          </w:p>
        </w:tc>
        <w:tc>
          <w:tcPr>
            <w:tcW w:w="2755" w:type="pct"/>
            <w:tcBorders>
              <w:bottom w:val="single" w:sz="4" w:space="0" w:color="auto"/>
            </w:tcBorders>
          </w:tcPr>
          <w:p w:rsidR="00416589" w:rsidRDefault="00416589" w:rsidP="00D112F5">
            <w:pPr>
              <w:jc w:val="both"/>
            </w:pPr>
            <w:r>
              <w:lastRenderedPageBreak/>
              <w:t>Projekts šo jomu neskar</w:t>
            </w:r>
            <w:r w:rsidRPr="000A0D36">
              <w:t>.</w:t>
            </w:r>
          </w:p>
        </w:tc>
      </w:tr>
      <w:tr w:rsidR="00416589" w:rsidRPr="00906B31" w:rsidTr="000D7729">
        <w:trPr>
          <w:jc w:val="center"/>
        </w:trPr>
        <w:tc>
          <w:tcPr>
            <w:tcW w:w="328" w:type="pct"/>
          </w:tcPr>
          <w:p w:rsidR="00416589" w:rsidRDefault="00416589" w:rsidP="00D112F5">
            <w:pPr>
              <w:jc w:val="both"/>
            </w:pPr>
            <w:r>
              <w:lastRenderedPageBreak/>
              <w:t xml:space="preserve"> 3. </w:t>
            </w:r>
          </w:p>
        </w:tc>
        <w:tc>
          <w:tcPr>
            <w:tcW w:w="1917" w:type="pct"/>
          </w:tcPr>
          <w:p w:rsidR="00416589" w:rsidRDefault="00416589" w:rsidP="00D112F5">
            <w:pPr>
              <w:jc w:val="both"/>
            </w:pPr>
            <w:r>
              <w:t>Tiesiskā regulējuma finansiālā ietekme</w:t>
            </w:r>
          </w:p>
        </w:tc>
        <w:tc>
          <w:tcPr>
            <w:tcW w:w="2755" w:type="pct"/>
            <w:tcBorders>
              <w:bottom w:val="single" w:sz="4" w:space="0" w:color="auto"/>
            </w:tcBorders>
          </w:tcPr>
          <w:p w:rsidR="00416589" w:rsidRPr="00A8754B" w:rsidRDefault="00416589" w:rsidP="00D64F63">
            <w:pPr>
              <w:jc w:val="both"/>
              <w:rPr>
                <w:highlight w:val="yellow"/>
              </w:rPr>
            </w:pPr>
            <w:r>
              <w:t>Projekts šo jomu neskar</w:t>
            </w:r>
            <w:r w:rsidRPr="000A0D36">
              <w:t>.</w:t>
            </w:r>
          </w:p>
        </w:tc>
      </w:tr>
      <w:tr w:rsidR="00416589" w:rsidRPr="00906B31" w:rsidTr="000D7729">
        <w:trPr>
          <w:jc w:val="center"/>
        </w:trPr>
        <w:tc>
          <w:tcPr>
            <w:tcW w:w="328" w:type="pct"/>
            <w:tcBorders>
              <w:right w:val="single" w:sz="4" w:space="0" w:color="auto"/>
            </w:tcBorders>
          </w:tcPr>
          <w:p w:rsidR="00416589" w:rsidRDefault="00416589" w:rsidP="00D112F5">
            <w:pPr>
              <w:jc w:val="both"/>
            </w:pPr>
            <w:r>
              <w:t xml:space="preserve"> 4. </w:t>
            </w:r>
          </w:p>
        </w:tc>
        <w:tc>
          <w:tcPr>
            <w:tcW w:w="1917" w:type="pct"/>
            <w:tcBorders>
              <w:right w:val="single" w:sz="4" w:space="0" w:color="auto"/>
            </w:tcBorders>
          </w:tcPr>
          <w:p w:rsidR="00416589" w:rsidRDefault="00416589" w:rsidP="00D112F5">
            <w:pPr>
              <w:jc w:val="both"/>
            </w:pPr>
            <w:r>
              <w:t>Tiesiskā regulējuma nefinansiālā ietekme</w:t>
            </w:r>
          </w:p>
        </w:tc>
        <w:tc>
          <w:tcPr>
            <w:tcW w:w="2755" w:type="pct"/>
            <w:tcBorders>
              <w:top w:val="single" w:sz="4" w:space="0" w:color="auto"/>
              <w:left w:val="single" w:sz="4" w:space="0" w:color="auto"/>
              <w:bottom w:val="single" w:sz="4" w:space="0" w:color="auto"/>
              <w:right w:val="single" w:sz="4" w:space="0" w:color="auto"/>
            </w:tcBorders>
          </w:tcPr>
          <w:p w:rsidR="00416589" w:rsidRPr="004E1DF2" w:rsidRDefault="00416589" w:rsidP="00D64F63">
            <w:pPr>
              <w:jc w:val="both"/>
              <w:rPr>
                <w:highlight w:val="yellow"/>
              </w:rPr>
            </w:pPr>
            <w:r>
              <w:t>Projekts šo jomu neskar</w:t>
            </w:r>
            <w:r w:rsidRPr="000A0D36">
              <w:t>.</w:t>
            </w:r>
          </w:p>
        </w:tc>
      </w:tr>
      <w:tr w:rsidR="00416589" w:rsidRPr="00906B31" w:rsidTr="000D7729">
        <w:trPr>
          <w:jc w:val="center"/>
        </w:trPr>
        <w:tc>
          <w:tcPr>
            <w:tcW w:w="328" w:type="pct"/>
            <w:tcBorders>
              <w:right w:val="single" w:sz="4" w:space="0" w:color="auto"/>
            </w:tcBorders>
          </w:tcPr>
          <w:p w:rsidR="00416589" w:rsidRDefault="00416589" w:rsidP="00D112F5">
            <w:pPr>
              <w:jc w:val="both"/>
            </w:pPr>
            <w:r>
              <w:t> 5.</w:t>
            </w:r>
          </w:p>
        </w:tc>
        <w:tc>
          <w:tcPr>
            <w:tcW w:w="1917" w:type="pct"/>
            <w:tcBorders>
              <w:right w:val="single" w:sz="4" w:space="0" w:color="auto"/>
            </w:tcBorders>
          </w:tcPr>
          <w:p w:rsidR="00416589" w:rsidRDefault="00416589" w:rsidP="00D112F5">
            <w:pPr>
              <w:jc w:val="both"/>
            </w:pPr>
            <w:r>
              <w:t>Administratīvās procedūras raksturojums</w:t>
            </w:r>
          </w:p>
        </w:tc>
        <w:tc>
          <w:tcPr>
            <w:tcW w:w="2755" w:type="pct"/>
            <w:tcBorders>
              <w:top w:val="single" w:sz="4" w:space="0" w:color="auto"/>
              <w:left w:val="single" w:sz="4" w:space="0" w:color="auto"/>
              <w:bottom w:val="single" w:sz="4" w:space="0" w:color="auto"/>
              <w:right w:val="single" w:sz="4" w:space="0" w:color="auto"/>
            </w:tcBorders>
          </w:tcPr>
          <w:p w:rsidR="00416589" w:rsidRPr="005E05A3" w:rsidRDefault="00416589" w:rsidP="00D25A18">
            <w:pPr>
              <w:jc w:val="both"/>
            </w:pPr>
            <w:r>
              <w:t>Trušu un kažokzvēru pārraudzību un vērtēšanu saskaņā ar Ciltsdarba un dzīvnieku audzēšanas likumu var veikt fiziskā persona</w:t>
            </w:r>
            <w:r w:rsidRPr="005E05A3">
              <w:t xml:space="preserve">, kas ir saņēmusi atbilstošu sertifikātu attiecīgās darbības veikšanai vai apliecību šī darba veikšanai vienā ganāmpulkā. </w:t>
            </w:r>
          </w:p>
          <w:p w:rsidR="00416589" w:rsidRDefault="00416589" w:rsidP="00360855">
            <w:pPr>
              <w:jc w:val="both"/>
            </w:pPr>
            <w:r>
              <w:t xml:space="preserve">Fiziska persona, kas veic trušu pārraudzību, pārraudzības datus reģistrē </w:t>
            </w:r>
            <w:proofErr w:type="spellStart"/>
            <w:r>
              <w:t>ciltsdokumentos</w:t>
            </w:r>
            <w:proofErr w:type="spellEnd"/>
            <w:r>
              <w:t xml:space="preserve"> (gan</w:t>
            </w:r>
            <w:r w:rsidRPr="000C051C">
              <w:t xml:space="preserve"> papīra formā</w:t>
            </w:r>
            <w:r>
              <w:t xml:space="preserve">, gan elektroniski) un šos datus nosūta truškopības organizācijai. </w:t>
            </w:r>
          </w:p>
          <w:p w:rsidR="00416589" w:rsidRPr="000123F9" w:rsidRDefault="00416589" w:rsidP="00221B59">
            <w:pPr>
              <w:jc w:val="both"/>
              <w:rPr>
                <w:color w:val="FF0000"/>
              </w:rPr>
            </w:pPr>
            <w:r>
              <w:t xml:space="preserve">Fiziska persona, kas veic kažokzvēru pārraudzību un vērtēšanu, pārraudzības datus un vērtēšanas datus reģistrē </w:t>
            </w:r>
            <w:proofErr w:type="spellStart"/>
            <w:r>
              <w:t>ciltsdokumentos</w:t>
            </w:r>
            <w:proofErr w:type="spellEnd"/>
            <w:r>
              <w:t xml:space="preserve"> (gan elektroniski, gan papīra formā). Kažokzvēru pārraudzības un vērtēšanas datus par iepriekšējo pārraudzības gadu kažokzvēru organizācija saņem no fiziskas personas, kas veic kažokzvēru pārraudzību un vērtēšanu, gan</w:t>
            </w:r>
            <w:r w:rsidRPr="000C051C">
              <w:t xml:space="preserve"> papīra formā</w:t>
            </w:r>
            <w:r>
              <w:t xml:space="preserve">, gan elektroniski. Pēc pārraudzības datu saņemšanas kažokzvēru organizācija veic šo datu apkopošanu un analīzi. </w:t>
            </w:r>
          </w:p>
        </w:tc>
      </w:tr>
      <w:tr w:rsidR="00416589" w:rsidRPr="00906B31" w:rsidTr="000D7729">
        <w:trPr>
          <w:jc w:val="center"/>
        </w:trPr>
        <w:tc>
          <w:tcPr>
            <w:tcW w:w="328" w:type="pct"/>
            <w:tcBorders>
              <w:right w:val="single" w:sz="4" w:space="0" w:color="auto"/>
            </w:tcBorders>
          </w:tcPr>
          <w:p w:rsidR="00416589" w:rsidRDefault="00416589" w:rsidP="00D112F5">
            <w:pPr>
              <w:jc w:val="both"/>
            </w:pPr>
            <w:r>
              <w:t>6.  </w:t>
            </w:r>
          </w:p>
        </w:tc>
        <w:tc>
          <w:tcPr>
            <w:tcW w:w="1917" w:type="pct"/>
            <w:tcBorders>
              <w:right w:val="single" w:sz="4" w:space="0" w:color="auto"/>
            </w:tcBorders>
          </w:tcPr>
          <w:p w:rsidR="00416589" w:rsidRDefault="00416589" w:rsidP="00D112F5">
            <w:pPr>
              <w:jc w:val="both"/>
            </w:pPr>
            <w:r>
              <w:t>Administratīvo izmaksu monetārs novērtējums</w:t>
            </w:r>
          </w:p>
        </w:tc>
        <w:tc>
          <w:tcPr>
            <w:tcW w:w="2755" w:type="pct"/>
            <w:tcBorders>
              <w:top w:val="single" w:sz="4" w:space="0" w:color="auto"/>
              <w:left w:val="single" w:sz="4" w:space="0" w:color="auto"/>
              <w:bottom w:val="single" w:sz="4" w:space="0" w:color="auto"/>
              <w:right w:val="single" w:sz="4" w:space="0" w:color="auto"/>
            </w:tcBorders>
          </w:tcPr>
          <w:p w:rsidR="00416589" w:rsidRDefault="00416589" w:rsidP="00D112F5">
            <w:pPr>
              <w:jc w:val="both"/>
            </w:pPr>
            <w:r>
              <w:t>Projekts šo jomu neskar</w:t>
            </w:r>
            <w:r w:rsidRPr="000A0D36">
              <w:t>.</w:t>
            </w:r>
          </w:p>
        </w:tc>
      </w:tr>
      <w:tr w:rsidR="00416589" w:rsidRPr="00906B31" w:rsidTr="000D7729">
        <w:trPr>
          <w:trHeight w:val="232"/>
          <w:jc w:val="center"/>
        </w:trPr>
        <w:tc>
          <w:tcPr>
            <w:tcW w:w="328" w:type="pct"/>
          </w:tcPr>
          <w:p w:rsidR="00416589" w:rsidRDefault="00416589" w:rsidP="00D112F5">
            <w:pPr>
              <w:jc w:val="both"/>
            </w:pPr>
            <w:r>
              <w:t>7.  </w:t>
            </w:r>
          </w:p>
        </w:tc>
        <w:tc>
          <w:tcPr>
            <w:tcW w:w="1917" w:type="pct"/>
          </w:tcPr>
          <w:p w:rsidR="00416589" w:rsidRDefault="00416589" w:rsidP="00D112F5">
            <w:pPr>
              <w:jc w:val="both"/>
            </w:pPr>
            <w:r>
              <w:t>Cita informācija</w:t>
            </w:r>
          </w:p>
        </w:tc>
        <w:tc>
          <w:tcPr>
            <w:tcW w:w="2755" w:type="pct"/>
            <w:tcBorders>
              <w:top w:val="single" w:sz="4" w:space="0" w:color="auto"/>
            </w:tcBorders>
          </w:tcPr>
          <w:p w:rsidR="00416589" w:rsidRDefault="00416589" w:rsidP="00221B59">
            <w:pPr>
              <w:jc w:val="both"/>
            </w:pPr>
            <w:r>
              <w:t>Turpmāk truškopības organizācija uzturēs un administrēs datubāzi „</w:t>
            </w:r>
            <w:proofErr w:type="spellStart"/>
            <w:r>
              <w:t>Rabis</w:t>
            </w:r>
            <w:proofErr w:type="spellEnd"/>
            <w:r>
              <w:t xml:space="preserve">”, un pārraugs pārraudzības datus varēs reģistrēt tajā. </w:t>
            </w:r>
            <w:r w:rsidRPr="0075547D">
              <w:t xml:space="preserve">Tas savukārt atvieglos pārraudzības datu apmaiņu starp </w:t>
            </w:r>
            <w:r>
              <w:t xml:space="preserve">truškopības </w:t>
            </w:r>
            <w:r w:rsidRPr="0075547D">
              <w:t xml:space="preserve">organizācijām un pārraudzības ganāmpulku īpašniekiem, turklāt gan pārraugs, gan ganāmpulka īpašnieks pretī saņems datu apkopojumus un izdrukas. </w:t>
            </w:r>
            <w:r>
              <w:t>Truškopības</w:t>
            </w:r>
            <w:r w:rsidRPr="0075547D">
              <w:t xml:space="preserve"> organizācija papildu finansējumu datubāzes uzturēšanai pašreiz neparedz.</w:t>
            </w:r>
            <w:r>
              <w:t xml:space="preserve"> Kažokzvēru organizācijai nav izveidota atsevišķa datubāze.</w:t>
            </w:r>
          </w:p>
        </w:tc>
      </w:tr>
    </w:tbl>
    <w:p w:rsidR="00416589" w:rsidRDefault="00416589" w:rsidP="004B28A8">
      <w:pPr>
        <w:rPr>
          <w:i/>
        </w:rPr>
      </w:pPr>
      <w:r w:rsidRPr="00025602">
        <w:rPr>
          <w:i/>
        </w:rPr>
        <w:t xml:space="preserve">Anotācijas </w:t>
      </w:r>
      <w:r>
        <w:rPr>
          <w:i/>
        </w:rPr>
        <w:t xml:space="preserve">III, IV un V sadaļa – </w:t>
      </w:r>
      <w:r w:rsidRPr="00753382">
        <w:rPr>
          <w:i/>
        </w:rPr>
        <w:t>projekts šīs jomas neskar.</w:t>
      </w:r>
    </w:p>
    <w:p w:rsidR="00416589" w:rsidRDefault="00416589" w:rsidP="004B28A8">
      <w:pPr>
        <w:rPr>
          <w:i/>
        </w:rPr>
      </w:pPr>
    </w:p>
    <w:p w:rsidR="00416589" w:rsidRDefault="00416589" w:rsidP="004B28A8">
      <w:pPr>
        <w:rPr>
          <w:i/>
        </w:rPr>
      </w:pPr>
    </w:p>
    <w:tbl>
      <w:tblPr>
        <w:tblW w:w="9751"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2"/>
        <w:gridCol w:w="3457"/>
        <w:gridCol w:w="5442"/>
      </w:tblGrid>
      <w:tr w:rsidR="00416589" w:rsidRPr="00C96118" w:rsidTr="006A2BA1">
        <w:trPr>
          <w:jc w:val="center"/>
        </w:trPr>
        <w:tc>
          <w:tcPr>
            <w:tcW w:w="9751" w:type="dxa"/>
            <w:gridSpan w:val="3"/>
          </w:tcPr>
          <w:p w:rsidR="00416589" w:rsidRPr="00C96118" w:rsidRDefault="00416589" w:rsidP="006A2BA1">
            <w:pPr>
              <w:pStyle w:val="naisnod"/>
              <w:spacing w:before="0" w:after="0"/>
              <w:ind w:left="57" w:right="57"/>
              <w:jc w:val="center"/>
              <w:rPr>
                <w:b/>
              </w:rPr>
            </w:pPr>
            <w:r w:rsidRPr="00C96118">
              <w:rPr>
                <w:b/>
              </w:rPr>
              <w:t>VI. Sabiedrības līdzdalība un šīs līdzdalības rezultāti</w:t>
            </w:r>
          </w:p>
        </w:tc>
      </w:tr>
      <w:tr w:rsidR="00416589" w:rsidRPr="00C96118" w:rsidTr="00EC3C51">
        <w:trPr>
          <w:trHeight w:val="553"/>
          <w:jc w:val="center"/>
        </w:trPr>
        <w:tc>
          <w:tcPr>
            <w:tcW w:w="852" w:type="dxa"/>
          </w:tcPr>
          <w:p w:rsidR="00416589" w:rsidRPr="00C96118" w:rsidRDefault="00416589" w:rsidP="006A2BA1">
            <w:pPr>
              <w:pStyle w:val="naiskr"/>
              <w:spacing w:before="0" w:after="0"/>
              <w:ind w:left="57" w:right="57"/>
              <w:rPr>
                <w:bCs/>
              </w:rPr>
            </w:pPr>
            <w:r w:rsidRPr="00C96118">
              <w:rPr>
                <w:bCs/>
              </w:rPr>
              <w:t>1.</w:t>
            </w:r>
          </w:p>
        </w:tc>
        <w:tc>
          <w:tcPr>
            <w:tcW w:w="3457" w:type="dxa"/>
          </w:tcPr>
          <w:p w:rsidR="00416589" w:rsidRPr="00C96118" w:rsidRDefault="00416589" w:rsidP="006A2BA1">
            <w:pPr>
              <w:pStyle w:val="naiskr"/>
              <w:tabs>
                <w:tab w:val="left" w:pos="170"/>
              </w:tabs>
              <w:spacing w:before="0" w:after="0"/>
              <w:ind w:left="57" w:right="57"/>
            </w:pPr>
            <w:r w:rsidRPr="00C96118">
              <w:t>Sabiedrības informēšana par projekta izstrādes uzsākšanu</w:t>
            </w:r>
          </w:p>
        </w:tc>
        <w:tc>
          <w:tcPr>
            <w:tcW w:w="5442" w:type="dxa"/>
          </w:tcPr>
          <w:p w:rsidR="00416589" w:rsidRPr="00572BCD" w:rsidRDefault="00416589" w:rsidP="0051590D">
            <w:pPr>
              <w:autoSpaceDE w:val="0"/>
              <w:autoSpaceDN w:val="0"/>
              <w:adjustRightInd w:val="0"/>
              <w:jc w:val="both"/>
            </w:pPr>
            <w:r>
              <w:t xml:space="preserve"> </w:t>
            </w:r>
            <w:r w:rsidRPr="0085720C">
              <w:t>Noteikumu projekts nosūtīts elektroniski</w:t>
            </w:r>
            <w:r>
              <w:t xml:space="preserve"> truškopības un kažokzvēru organizācijām, kā arī organizēta sanāksme.</w:t>
            </w:r>
          </w:p>
        </w:tc>
      </w:tr>
      <w:tr w:rsidR="00416589" w:rsidRPr="00C96118" w:rsidTr="00EC3C51">
        <w:trPr>
          <w:trHeight w:val="339"/>
          <w:jc w:val="center"/>
        </w:trPr>
        <w:tc>
          <w:tcPr>
            <w:tcW w:w="852" w:type="dxa"/>
          </w:tcPr>
          <w:p w:rsidR="00416589" w:rsidRPr="00C96118" w:rsidRDefault="00416589" w:rsidP="006A2BA1">
            <w:pPr>
              <w:pStyle w:val="naiskr"/>
              <w:spacing w:before="0" w:after="0"/>
              <w:ind w:left="57" w:right="57"/>
              <w:rPr>
                <w:bCs/>
              </w:rPr>
            </w:pPr>
            <w:r w:rsidRPr="00C96118">
              <w:rPr>
                <w:bCs/>
              </w:rPr>
              <w:t>2.</w:t>
            </w:r>
          </w:p>
        </w:tc>
        <w:tc>
          <w:tcPr>
            <w:tcW w:w="3457" w:type="dxa"/>
          </w:tcPr>
          <w:p w:rsidR="00416589" w:rsidRPr="00C96118" w:rsidRDefault="00416589" w:rsidP="006A2BA1">
            <w:pPr>
              <w:pStyle w:val="naiskr"/>
              <w:spacing w:before="0" w:after="0"/>
              <w:ind w:left="57" w:right="57"/>
            </w:pPr>
            <w:r w:rsidRPr="00C96118">
              <w:t xml:space="preserve">Sabiedrības līdzdalība projekta izstrādē </w:t>
            </w:r>
          </w:p>
        </w:tc>
        <w:tc>
          <w:tcPr>
            <w:tcW w:w="5442" w:type="dxa"/>
          </w:tcPr>
          <w:p w:rsidR="00416589" w:rsidRPr="00570870" w:rsidRDefault="00416589" w:rsidP="0051590D">
            <w:pPr>
              <w:autoSpaceDE w:val="0"/>
              <w:autoSpaceDN w:val="0"/>
              <w:adjustRightInd w:val="0"/>
              <w:jc w:val="both"/>
              <w:rPr>
                <w:color w:val="000000"/>
              </w:rPr>
            </w:pPr>
            <w:r>
              <w:t>Truškopības un kažokzvēru organizācijas izteica savus komentārus un priekšlikumus.</w:t>
            </w:r>
          </w:p>
        </w:tc>
      </w:tr>
      <w:tr w:rsidR="00416589" w:rsidRPr="00C96118" w:rsidTr="00EC3C51">
        <w:trPr>
          <w:trHeight w:val="375"/>
          <w:jc w:val="center"/>
        </w:trPr>
        <w:tc>
          <w:tcPr>
            <w:tcW w:w="852" w:type="dxa"/>
          </w:tcPr>
          <w:p w:rsidR="00416589" w:rsidRPr="00C96118" w:rsidRDefault="00416589" w:rsidP="006A2BA1">
            <w:pPr>
              <w:pStyle w:val="naiskr"/>
              <w:spacing w:before="0" w:after="0"/>
              <w:ind w:left="57" w:right="57"/>
              <w:rPr>
                <w:bCs/>
              </w:rPr>
            </w:pPr>
            <w:r w:rsidRPr="00C96118">
              <w:rPr>
                <w:bCs/>
              </w:rPr>
              <w:t>3.</w:t>
            </w:r>
          </w:p>
        </w:tc>
        <w:tc>
          <w:tcPr>
            <w:tcW w:w="3457" w:type="dxa"/>
          </w:tcPr>
          <w:p w:rsidR="00416589" w:rsidRPr="00C96118" w:rsidRDefault="00416589" w:rsidP="006A2BA1">
            <w:pPr>
              <w:pStyle w:val="naiskr"/>
              <w:spacing w:before="0" w:after="0"/>
              <w:ind w:left="57" w:right="57"/>
            </w:pPr>
            <w:r w:rsidRPr="00C96118">
              <w:t xml:space="preserve">Sabiedrības līdzdalības rezultāti </w:t>
            </w:r>
          </w:p>
        </w:tc>
        <w:tc>
          <w:tcPr>
            <w:tcW w:w="5442" w:type="dxa"/>
          </w:tcPr>
          <w:p w:rsidR="00416589" w:rsidRPr="00570870" w:rsidRDefault="00416589" w:rsidP="00566EEA">
            <w:pPr>
              <w:autoSpaceDE w:val="0"/>
              <w:autoSpaceDN w:val="0"/>
              <w:adjustRightInd w:val="0"/>
              <w:jc w:val="both"/>
              <w:rPr>
                <w:color w:val="000000"/>
              </w:rPr>
            </w:pPr>
            <w:r>
              <w:t>Truškopības un kažokzvēru organizācijas atbalsta noteikumu projekta izstrādi, izteiktie priekšlikumi ir ņemti vērā.</w:t>
            </w:r>
          </w:p>
        </w:tc>
      </w:tr>
      <w:tr w:rsidR="00416589" w:rsidRPr="00C96118" w:rsidTr="00EC3C51">
        <w:trPr>
          <w:trHeight w:val="397"/>
          <w:jc w:val="center"/>
        </w:trPr>
        <w:tc>
          <w:tcPr>
            <w:tcW w:w="852" w:type="dxa"/>
          </w:tcPr>
          <w:p w:rsidR="00416589" w:rsidRPr="00C96118" w:rsidRDefault="00416589" w:rsidP="006A2BA1">
            <w:pPr>
              <w:pStyle w:val="naiskr"/>
              <w:spacing w:before="0" w:after="0"/>
              <w:ind w:left="57" w:right="57"/>
              <w:rPr>
                <w:bCs/>
              </w:rPr>
            </w:pPr>
            <w:r w:rsidRPr="00C96118">
              <w:rPr>
                <w:bCs/>
              </w:rPr>
              <w:lastRenderedPageBreak/>
              <w:t>4.</w:t>
            </w:r>
          </w:p>
        </w:tc>
        <w:tc>
          <w:tcPr>
            <w:tcW w:w="3457" w:type="dxa"/>
          </w:tcPr>
          <w:p w:rsidR="00416589" w:rsidRPr="00C96118" w:rsidRDefault="00416589" w:rsidP="006A2BA1">
            <w:pPr>
              <w:pStyle w:val="naiskr"/>
              <w:spacing w:before="0" w:after="0"/>
              <w:ind w:left="57" w:right="57"/>
            </w:pPr>
            <w:r w:rsidRPr="00C96118">
              <w:t>Saeimas un ekspertu līdzdalība</w:t>
            </w:r>
          </w:p>
        </w:tc>
        <w:tc>
          <w:tcPr>
            <w:tcW w:w="5442" w:type="dxa"/>
          </w:tcPr>
          <w:p w:rsidR="00416589" w:rsidRPr="00570870" w:rsidRDefault="00416589" w:rsidP="006A2BA1">
            <w:pPr>
              <w:spacing w:before="100" w:beforeAutospacing="1" w:after="100" w:afterAutospacing="1"/>
              <w:jc w:val="both"/>
              <w:rPr>
                <w:color w:val="000000"/>
              </w:rPr>
            </w:pPr>
            <w:r w:rsidRPr="00570870">
              <w:rPr>
                <w:color w:val="000000"/>
              </w:rPr>
              <w:t>Nav attiecināms.</w:t>
            </w:r>
          </w:p>
        </w:tc>
      </w:tr>
      <w:tr w:rsidR="00416589" w:rsidRPr="00C96118" w:rsidTr="00EC3C51">
        <w:trPr>
          <w:trHeight w:val="387"/>
          <w:jc w:val="center"/>
        </w:trPr>
        <w:tc>
          <w:tcPr>
            <w:tcW w:w="852" w:type="dxa"/>
          </w:tcPr>
          <w:p w:rsidR="00416589" w:rsidRPr="00C96118" w:rsidRDefault="00416589" w:rsidP="006A2BA1">
            <w:pPr>
              <w:pStyle w:val="naiskr"/>
              <w:spacing w:before="0" w:after="0"/>
              <w:ind w:left="57" w:right="57"/>
              <w:rPr>
                <w:bCs/>
              </w:rPr>
            </w:pPr>
            <w:r w:rsidRPr="00C96118">
              <w:rPr>
                <w:bCs/>
              </w:rPr>
              <w:t>5.</w:t>
            </w:r>
          </w:p>
        </w:tc>
        <w:tc>
          <w:tcPr>
            <w:tcW w:w="3457" w:type="dxa"/>
          </w:tcPr>
          <w:p w:rsidR="00416589" w:rsidRPr="00C96118" w:rsidRDefault="00416589" w:rsidP="006A2BA1">
            <w:pPr>
              <w:pStyle w:val="naiskr"/>
              <w:spacing w:before="0" w:after="0"/>
              <w:ind w:left="57" w:right="57"/>
            </w:pPr>
            <w:r w:rsidRPr="00C96118">
              <w:t>Cita informācija</w:t>
            </w:r>
          </w:p>
        </w:tc>
        <w:tc>
          <w:tcPr>
            <w:tcW w:w="5442" w:type="dxa"/>
          </w:tcPr>
          <w:p w:rsidR="00416589" w:rsidRPr="00570870" w:rsidRDefault="00416589" w:rsidP="006A2BA1">
            <w:pPr>
              <w:spacing w:before="100" w:beforeAutospacing="1" w:after="100" w:afterAutospacing="1"/>
              <w:jc w:val="both"/>
              <w:rPr>
                <w:color w:val="000000"/>
              </w:rPr>
            </w:pPr>
            <w:r>
              <w:t>Nav</w:t>
            </w:r>
          </w:p>
        </w:tc>
      </w:tr>
    </w:tbl>
    <w:p w:rsidR="00416589" w:rsidRDefault="00416589" w:rsidP="004B28A8">
      <w:pPr>
        <w:rPr>
          <w:i/>
        </w:rPr>
      </w:pPr>
    </w:p>
    <w:tbl>
      <w:tblPr>
        <w:tblW w:w="9751"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1"/>
        <w:gridCol w:w="3748"/>
        <w:gridCol w:w="5442"/>
      </w:tblGrid>
      <w:tr w:rsidR="00416589" w:rsidRPr="00C96118" w:rsidTr="006A2BA1">
        <w:trPr>
          <w:jc w:val="center"/>
        </w:trPr>
        <w:tc>
          <w:tcPr>
            <w:tcW w:w="9751" w:type="dxa"/>
            <w:gridSpan w:val="3"/>
          </w:tcPr>
          <w:p w:rsidR="00416589" w:rsidRPr="00C96118" w:rsidRDefault="00416589" w:rsidP="006A2BA1">
            <w:pPr>
              <w:pStyle w:val="naisnod"/>
              <w:spacing w:before="0" w:after="0"/>
              <w:ind w:left="57" w:right="57"/>
              <w:jc w:val="center"/>
              <w:rPr>
                <w:b/>
              </w:rPr>
            </w:pPr>
            <w:r w:rsidRPr="00C96118">
              <w:rPr>
                <w:b/>
              </w:rPr>
              <w:t>VII. Tiesību akta projekta izpildes nodrošināšana un tās ietekme uz institūcijām</w:t>
            </w:r>
          </w:p>
        </w:tc>
      </w:tr>
      <w:tr w:rsidR="00416589" w:rsidRPr="00C96118" w:rsidTr="00EC3C51">
        <w:trPr>
          <w:trHeight w:val="427"/>
          <w:jc w:val="center"/>
        </w:trPr>
        <w:tc>
          <w:tcPr>
            <w:tcW w:w="561" w:type="dxa"/>
          </w:tcPr>
          <w:p w:rsidR="00416589" w:rsidRPr="00C96118" w:rsidRDefault="00416589" w:rsidP="006A2BA1">
            <w:pPr>
              <w:pStyle w:val="naisnod"/>
              <w:spacing w:before="0" w:after="0"/>
              <w:ind w:left="57" w:right="57"/>
            </w:pPr>
            <w:r w:rsidRPr="00C96118">
              <w:t>1.</w:t>
            </w:r>
          </w:p>
        </w:tc>
        <w:tc>
          <w:tcPr>
            <w:tcW w:w="3748" w:type="dxa"/>
          </w:tcPr>
          <w:p w:rsidR="00416589" w:rsidRPr="00C96118" w:rsidRDefault="00416589" w:rsidP="006A2BA1">
            <w:pPr>
              <w:pStyle w:val="naisf"/>
              <w:spacing w:before="0" w:after="0"/>
              <w:ind w:left="57" w:right="57"/>
            </w:pPr>
            <w:r w:rsidRPr="00C96118">
              <w:t xml:space="preserve">Projekta izpildē iesaistītās institūcijas </w:t>
            </w:r>
          </w:p>
        </w:tc>
        <w:tc>
          <w:tcPr>
            <w:tcW w:w="5442" w:type="dxa"/>
          </w:tcPr>
          <w:p w:rsidR="00416589" w:rsidRPr="00C96118" w:rsidRDefault="00416589" w:rsidP="006A2BA1">
            <w:pPr>
              <w:pStyle w:val="naisnod"/>
              <w:spacing w:before="0" w:after="0"/>
              <w:ind w:right="57"/>
              <w:jc w:val="both"/>
            </w:pPr>
            <w:r>
              <w:rPr>
                <w:color w:val="000000"/>
              </w:rPr>
              <w:t xml:space="preserve">Pārtikas un veterināras dienests un </w:t>
            </w:r>
            <w:r w:rsidRPr="00C811E8">
              <w:rPr>
                <w:color w:val="000000"/>
              </w:rPr>
              <w:t>valsts</w:t>
            </w:r>
            <w:r>
              <w:rPr>
                <w:color w:val="000000"/>
              </w:rPr>
              <w:t xml:space="preserve"> aģentūra „Lauksaimniecības datu centrs”.</w:t>
            </w:r>
          </w:p>
        </w:tc>
      </w:tr>
      <w:tr w:rsidR="00416589" w:rsidRPr="00BA320B" w:rsidTr="00EC3C51">
        <w:trPr>
          <w:trHeight w:val="463"/>
          <w:jc w:val="center"/>
        </w:trPr>
        <w:tc>
          <w:tcPr>
            <w:tcW w:w="561" w:type="dxa"/>
          </w:tcPr>
          <w:p w:rsidR="00416589" w:rsidRPr="00C96118" w:rsidRDefault="00416589" w:rsidP="006A2BA1">
            <w:pPr>
              <w:pStyle w:val="naisnod"/>
              <w:spacing w:before="0" w:after="0"/>
              <w:ind w:left="57" w:right="57"/>
            </w:pPr>
            <w:r w:rsidRPr="00C96118">
              <w:t>2.</w:t>
            </w:r>
          </w:p>
        </w:tc>
        <w:tc>
          <w:tcPr>
            <w:tcW w:w="3748" w:type="dxa"/>
          </w:tcPr>
          <w:p w:rsidR="00416589" w:rsidRPr="00C96118" w:rsidRDefault="00416589" w:rsidP="006A2BA1">
            <w:pPr>
              <w:pStyle w:val="ParastaisWeb"/>
              <w:spacing w:before="0" w:after="0"/>
              <w:ind w:left="57" w:right="57"/>
            </w:pPr>
            <w:r w:rsidRPr="00C96118">
              <w:t xml:space="preserve">Projekta izpildes ietekme uz pārvaldes funkcijām </w:t>
            </w:r>
          </w:p>
        </w:tc>
        <w:tc>
          <w:tcPr>
            <w:tcW w:w="5442" w:type="dxa"/>
          </w:tcPr>
          <w:p w:rsidR="00416589" w:rsidRPr="00BA320B" w:rsidRDefault="00416589" w:rsidP="006A2BA1">
            <w:pPr>
              <w:spacing w:before="100" w:beforeAutospacing="1" w:after="100" w:afterAutospacing="1"/>
              <w:jc w:val="both"/>
              <w:rPr>
                <w:color w:val="000000"/>
              </w:rPr>
            </w:pPr>
            <w:r>
              <w:t>Noteikumu projekts</w:t>
            </w:r>
            <w:r w:rsidRPr="00474756">
              <w:t xml:space="preserve"> nep</w:t>
            </w:r>
            <w:r>
              <w:t xml:space="preserve">aredz pārvaldes </w:t>
            </w:r>
            <w:r w:rsidRPr="00474756">
              <w:t xml:space="preserve">funkciju </w:t>
            </w:r>
            <w:r>
              <w:t>p</w:t>
            </w:r>
            <w:r w:rsidRPr="00474756">
              <w:t>aplašināšanu</w:t>
            </w:r>
            <w:r w:rsidRPr="00BA320B">
              <w:t>.</w:t>
            </w:r>
          </w:p>
        </w:tc>
      </w:tr>
      <w:tr w:rsidR="00416589" w:rsidRPr="008C43F9" w:rsidTr="00EC3C51">
        <w:trPr>
          <w:trHeight w:val="725"/>
          <w:jc w:val="center"/>
        </w:trPr>
        <w:tc>
          <w:tcPr>
            <w:tcW w:w="561" w:type="dxa"/>
          </w:tcPr>
          <w:p w:rsidR="00416589" w:rsidRPr="00C96118" w:rsidRDefault="00416589" w:rsidP="006A2BA1">
            <w:pPr>
              <w:pStyle w:val="naisnod"/>
              <w:spacing w:before="0" w:after="0"/>
              <w:ind w:left="57" w:right="57"/>
            </w:pPr>
            <w:r w:rsidRPr="00C96118">
              <w:t>3.</w:t>
            </w:r>
          </w:p>
        </w:tc>
        <w:tc>
          <w:tcPr>
            <w:tcW w:w="3748" w:type="dxa"/>
          </w:tcPr>
          <w:p w:rsidR="00416589" w:rsidRPr="00C96118" w:rsidRDefault="00416589" w:rsidP="006A2BA1">
            <w:pPr>
              <w:pStyle w:val="ParastaisWeb"/>
              <w:spacing w:before="0" w:after="0"/>
              <w:ind w:left="57" w:right="57"/>
            </w:pPr>
            <w:r w:rsidRPr="00C96118">
              <w:t>Projekta izpildes ietekme uz pārvaldes institucionālo struktūru.</w:t>
            </w:r>
            <w:r>
              <w:t xml:space="preserve"> </w:t>
            </w:r>
            <w:r w:rsidRPr="00C96118">
              <w:t>Jaunu institūciju izveide</w:t>
            </w:r>
          </w:p>
        </w:tc>
        <w:tc>
          <w:tcPr>
            <w:tcW w:w="5442" w:type="dxa"/>
          </w:tcPr>
          <w:p w:rsidR="00416589" w:rsidRPr="008C43F9" w:rsidRDefault="00416589" w:rsidP="006A2BA1">
            <w:pPr>
              <w:pStyle w:val="naisnod"/>
              <w:spacing w:before="0" w:after="0"/>
              <w:ind w:left="57" w:right="57"/>
              <w:jc w:val="both"/>
            </w:pPr>
            <w:r w:rsidRPr="008C43F9">
              <w:t>Noteikumu projekta izpildei nav nepieciešams izveidot jaunas institūcijas.</w:t>
            </w:r>
          </w:p>
        </w:tc>
      </w:tr>
      <w:tr w:rsidR="00416589" w:rsidRPr="008C43F9" w:rsidTr="00EC3C51">
        <w:trPr>
          <w:trHeight w:val="780"/>
          <w:jc w:val="center"/>
        </w:trPr>
        <w:tc>
          <w:tcPr>
            <w:tcW w:w="561" w:type="dxa"/>
          </w:tcPr>
          <w:p w:rsidR="00416589" w:rsidRPr="00C96118" w:rsidRDefault="00416589" w:rsidP="006A2BA1">
            <w:pPr>
              <w:pStyle w:val="naisnod"/>
              <w:spacing w:before="0" w:after="0"/>
              <w:ind w:left="57" w:right="57"/>
            </w:pPr>
            <w:r w:rsidRPr="00C96118">
              <w:t>4.</w:t>
            </w:r>
          </w:p>
        </w:tc>
        <w:tc>
          <w:tcPr>
            <w:tcW w:w="3748" w:type="dxa"/>
          </w:tcPr>
          <w:p w:rsidR="00416589" w:rsidRDefault="00416589" w:rsidP="006A2BA1">
            <w:pPr>
              <w:pStyle w:val="ParastaisWeb"/>
              <w:spacing w:before="0" w:beforeAutospacing="0" w:after="0" w:afterAutospacing="0"/>
              <w:ind w:left="57" w:right="57"/>
            </w:pPr>
            <w:r w:rsidRPr="00C96118">
              <w:t>Projekta izpildes ietekme uz pārvaldes institucionālo struktūru.</w:t>
            </w:r>
          </w:p>
          <w:p w:rsidR="00416589" w:rsidRPr="00C96118" w:rsidRDefault="00416589" w:rsidP="006A2BA1">
            <w:pPr>
              <w:pStyle w:val="ParastaisWeb"/>
              <w:spacing w:before="0" w:beforeAutospacing="0" w:after="0" w:afterAutospacing="0"/>
              <w:ind w:left="57" w:right="57"/>
            </w:pPr>
            <w:r w:rsidRPr="00C96118">
              <w:t>Esošu institūciju likvidācija</w:t>
            </w:r>
          </w:p>
        </w:tc>
        <w:tc>
          <w:tcPr>
            <w:tcW w:w="5442" w:type="dxa"/>
          </w:tcPr>
          <w:p w:rsidR="00416589" w:rsidRPr="008C43F9" w:rsidRDefault="00416589" w:rsidP="006A2BA1">
            <w:pPr>
              <w:pStyle w:val="naisc"/>
              <w:spacing w:before="0" w:after="0"/>
              <w:ind w:left="57" w:right="57"/>
              <w:jc w:val="both"/>
            </w:pPr>
            <w:r w:rsidRPr="008C43F9">
              <w:t>Noteikumu projekta izpildei nav plānots likvidēt esošas institūcijas.</w:t>
            </w:r>
          </w:p>
        </w:tc>
      </w:tr>
      <w:tr w:rsidR="00416589" w:rsidRPr="008C43F9" w:rsidTr="00EC3C51">
        <w:trPr>
          <w:trHeight w:val="240"/>
          <w:jc w:val="center"/>
        </w:trPr>
        <w:tc>
          <w:tcPr>
            <w:tcW w:w="561" w:type="dxa"/>
          </w:tcPr>
          <w:p w:rsidR="00416589" w:rsidRPr="00C96118" w:rsidRDefault="00416589" w:rsidP="006A2BA1">
            <w:pPr>
              <w:pStyle w:val="naisnod"/>
              <w:spacing w:before="0" w:after="0"/>
              <w:ind w:left="57" w:right="57"/>
            </w:pPr>
            <w:r w:rsidRPr="00C96118">
              <w:t>5.</w:t>
            </w:r>
          </w:p>
        </w:tc>
        <w:tc>
          <w:tcPr>
            <w:tcW w:w="3748" w:type="dxa"/>
          </w:tcPr>
          <w:p w:rsidR="00416589" w:rsidRPr="00C96118" w:rsidRDefault="00416589" w:rsidP="006A2BA1">
            <w:pPr>
              <w:pStyle w:val="ParastaisWeb"/>
              <w:spacing w:before="0" w:beforeAutospacing="0" w:after="0" w:afterAutospacing="0"/>
              <w:ind w:left="57" w:right="57"/>
            </w:pPr>
            <w:r w:rsidRPr="00C96118">
              <w:t>Projekta izpildes ietekme uz pārvaldes institucionālo struktūru.</w:t>
            </w:r>
          </w:p>
          <w:p w:rsidR="00416589" w:rsidRPr="00C96118" w:rsidRDefault="00416589" w:rsidP="006A2BA1">
            <w:pPr>
              <w:pStyle w:val="ParastaisWeb"/>
              <w:spacing w:before="0" w:beforeAutospacing="0" w:after="0" w:afterAutospacing="0"/>
              <w:ind w:left="57" w:right="57"/>
            </w:pPr>
            <w:r w:rsidRPr="00C96118">
              <w:t>Esošu institūciju reorganizācija</w:t>
            </w:r>
          </w:p>
        </w:tc>
        <w:tc>
          <w:tcPr>
            <w:tcW w:w="5442" w:type="dxa"/>
          </w:tcPr>
          <w:p w:rsidR="00416589" w:rsidRPr="008C43F9" w:rsidRDefault="00416589" w:rsidP="006A2BA1">
            <w:pPr>
              <w:pStyle w:val="naisc"/>
              <w:spacing w:before="0" w:after="0"/>
              <w:ind w:left="57" w:right="57"/>
              <w:jc w:val="both"/>
            </w:pPr>
            <w:r w:rsidRPr="008C43F9">
              <w:t>Noteikumu projekta izpildei nav plānota esošu institūciju reorganizācija vai apvienošana.</w:t>
            </w:r>
          </w:p>
        </w:tc>
      </w:tr>
      <w:tr w:rsidR="00416589" w:rsidRPr="00570870" w:rsidTr="00EC3C51">
        <w:trPr>
          <w:trHeight w:val="276"/>
          <w:jc w:val="center"/>
        </w:trPr>
        <w:tc>
          <w:tcPr>
            <w:tcW w:w="561" w:type="dxa"/>
          </w:tcPr>
          <w:p w:rsidR="00416589" w:rsidRPr="00C96118" w:rsidRDefault="00416589" w:rsidP="006A2BA1">
            <w:pPr>
              <w:pStyle w:val="naiskr"/>
              <w:spacing w:before="0" w:after="0"/>
              <w:ind w:left="57" w:right="57"/>
            </w:pPr>
            <w:r w:rsidRPr="00C96118">
              <w:t>6.</w:t>
            </w:r>
          </w:p>
        </w:tc>
        <w:tc>
          <w:tcPr>
            <w:tcW w:w="3748" w:type="dxa"/>
          </w:tcPr>
          <w:p w:rsidR="00416589" w:rsidRPr="00C96118" w:rsidRDefault="00416589" w:rsidP="006A2BA1">
            <w:pPr>
              <w:pStyle w:val="naiskr"/>
              <w:spacing w:before="0" w:after="0"/>
              <w:ind w:left="57" w:right="57"/>
            </w:pPr>
            <w:r w:rsidRPr="00C96118">
              <w:t>Cita informācija</w:t>
            </w:r>
          </w:p>
        </w:tc>
        <w:tc>
          <w:tcPr>
            <w:tcW w:w="5442" w:type="dxa"/>
          </w:tcPr>
          <w:p w:rsidR="00416589" w:rsidRPr="00570870" w:rsidRDefault="00416589" w:rsidP="006A2BA1">
            <w:pPr>
              <w:spacing w:before="100" w:beforeAutospacing="1" w:after="100" w:afterAutospacing="1"/>
              <w:jc w:val="both"/>
              <w:rPr>
                <w:color w:val="000000"/>
              </w:rPr>
            </w:pPr>
            <w:r w:rsidRPr="00570870">
              <w:rPr>
                <w:color w:val="000000"/>
              </w:rPr>
              <w:t>Nav</w:t>
            </w:r>
          </w:p>
        </w:tc>
      </w:tr>
    </w:tbl>
    <w:p w:rsidR="00416589" w:rsidRDefault="00416589" w:rsidP="004B28A8">
      <w:pPr>
        <w:rPr>
          <w:i/>
        </w:rPr>
      </w:pPr>
    </w:p>
    <w:p w:rsidR="00416589" w:rsidRDefault="00416589" w:rsidP="00EC3C51">
      <w:pPr>
        <w:pStyle w:val="naisf"/>
        <w:spacing w:before="0" w:beforeAutospacing="0" w:after="0" w:afterAutospacing="0"/>
        <w:rPr>
          <w:sz w:val="28"/>
          <w:szCs w:val="28"/>
        </w:rPr>
      </w:pPr>
    </w:p>
    <w:p w:rsidR="00416589" w:rsidRDefault="00416589" w:rsidP="00F37F7E">
      <w:pPr>
        <w:pStyle w:val="naisf"/>
        <w:spacing w:before="0" w:beforeAutospacing="0" w:after="0" w:afterAutospacing="0"/>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sidRPr="00CA4937">
        <w:rPr>
          <w:sz w:val="28"/>
          <w:szCs w:val="28"/>
        </w:rPr>
        <w:tab/>
      </w:r>
      <w:r w:rsidRPr="00CA4937">
        <w:rPr>
          <w:sz w:val="28"/>
          <w:szCs w:val="28"/>
        </w:rPr>
        <w:tab/>
      </w:r>
      <w:proofErr w:type="spellStart"/>
      <w:r w:rsidRPr="00CA4937">
        <w:rPr>
          <w:sz w:val="28"/>
          <w:szCs w:val="28"/>
        </w:rPr>
        <w:t>J.Dūklavs</w:t>
      </w:r>
      <w:proofErr w:type="spellEnd"/>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Default="00416589" w:rsidP="00F37F7E">
      <w:pPr>
        <w:pStyle w:val="naisf"/>
        <w:spacing w:before="0" w:beforeAutospacing="0" w:after="0" w:afterAutospacing="0"/>
        <w:ind w:firstLine="720"/>
        <w:rPr>
          <w:sz w:val="28"/>
          <w:szCs w:val="28"/>
        </w:rPr>
      </w:pPr>
    </w:p>
    <w:p w:rsidR="00416589" w:rsidRPr="00CA4937" w:rsidRDefault="00416589" w:rsidP="00F37F7E">
      <w:pPr>
        <w:pStyle w:val="naisf"/>
        <w:spacing w:before="0" w:beforeAutospacing="0" w:after="0" w:afterAutospacing="0"/>
        <w:ind w:firstLine="720"/>
        <w:rPr>
          <w:sz w:val="28"/>
          <w:szCs w:val="28"/>
        </w:rPr>
      </w:pPr>
    </w:p>
    <w:p w:rsidR="008F6958" w:rsidRPr="008F6958" w:rsidRDefault="008F6958" w:rsidP="0002029A">
      <w:pPr>
        <w:jc w:val="both"/>
        <w:rPr>
          <w:sz w:val="20"/>
          <w:szCs w:val="20"/>
        </w:rPr>
      </w:pPr>
      <w:r w:rsidRPr="008F6958">
        <w:rPr>
          <w:sz w:val="20"/>
          <w:szCs w:val="20"/>
        </w:rPr>
        <w:t>2011.08.11. 12:14</w:t>
      </w:r>
    </w:p>
    <w:p w:rsidR="008F6958" w:rsidRPr="008F6958" w:rsidRDefault="008F6958" w:rsidP="0002029A">
      <w:pPr>
        <w:jc w:val="both"/>
        <w:rPr>
          <w:sz w:val="20"/>
          <w:szCs w:val="20"/>
        </w:rPr>
      </w:pPr>
      <w:fldSimple w:instr=" NUMWORDS   \* MERGEFORMAT ">
        <w:r w:rsidRPr="008F6958">
          <w:rPr>
            <w:noProof/>
            <w:sz w:val="20"/>
            <w:szCs w:val="20"/>
          </w:rPr>
          <w:t>1022</w:t>
        </w:r>
      </w:fldSimple>
    </w:p>
    <w:p w:rsidR="00416589" w:rsidRPr="008F6958" w:rsidRDefault="00416589" w:rsidP="0002029A">
      <w:pPr>
        <w:jc w:val="both"/>
        <w:rPr>
          <w:color w:val="000000"/>
          <w:sz w:val="20"/>
          <w:szCs w:val="20"/>
        </w:rPr>
      </w:pPr>
      <w:proofErr w:type="spellStart"/>
      <w:r w:rsidRPr="008F6958">
        <w:rPr>
          <w:color w:val="000000"/>
          <w:sz w:val="20"/>
          <w:szCs w:val="20"/>
        </w:rPr>
        <w:t>I.Lavrinoviča</w:t>
      </w:r>
      <w:proofErr w:type="spellEnd"/>
      <w:r w:rsidRPr="008F6958">
        <w:rPr>
          <w:color w:val="000000"/>
          <w:sz w:val="20"/>
          <w:szCs w:val="20"/>
        </w:rPr>
        <w:t xml:space="preserve"> </w:t>
      </w:r>
    </w:p>
    <w:p w:rsidR="00416589" w:rsidRPr="008F6958" w:rsidRDefault="00416589" w:rsidP="0002029A">
      <w:pPr>
        <w:jc w:val="both"/>
        <w:rPr>
          <w:color w:val="000000"/>
          <w:sz w:val="20"/>
          <w:szCs w:val="20"/>
        </w:rPr>
      </w:pPr>
      <w:r w:rsidRPr="008F6958">
        <w:rPr>
          <w:color w:val="000000"/>
          <w:sz w:val="20"/>
          <w:szCs w:val="20"/>
        </w:rPr>
        <w:t>67027528, Ineta.Lavrinovica@zm.gov.lv</w:t>
      </w:r>
    </w:p>
    <w:sectPr w:rsidR="00416589" w:rsidRPr="008F6958" w:rsidSect="00B83D43">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A1" w:rsidRDefault="000854A1" w:rsidP="00F37F7E">
      <w:pPr>
        <w:pStyle w:val="naiskr"/>
      </w:pPr>
      <w:r>
        <w:separator/>
      </w:r>
    </w:p>
  </w:endnote>
  <w:endnote w:type="continuationSeparator" w:id="0">
    <w:p w:rsidR="000854A1" w:rsidRDefault="000854A1"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9" w:rsidRPr="0002029A" w:rsidRDefault="00416589" w:rsidP="0002029A">
    <w:pPr>
      <w:pStyle w:val="Kjene"/>
      <w:jc w:val="both"/>
      <w:rPr>
        <w:sz w:val="20"/>
        <w:szCs w:val="20"/>
      </w:rPr>
    </w:pPr>
    <w:smartTag w:uri="urn:schemas-microsoft-com:office:smarttags" w:element="PersonName">
      <w:r>
        <w:rPr>
          <w:sz w:val="20"/>
          <w:szCs w:val="20"/>
        </w:rPr>
        <w:t>ZM</w:t>
      </w:r>
    </w:smartTag>
    <w:r>
      <w:rPr>
        <w:sz w:val="20"/>
        <w:szCs w:val="20"/>
      </w:rPr>
      <w:t>Anot_100811_</w:t>
    </w:r>
    <w:r w:rsidRPr="007B6AA6">
      <w:rPr>
        <w:sz w:val="20"/>
        <w:szCs w:val="20"/>
      </w:rPr>
      <w:t xml:space="preserve"> </w:t>
    </w:r>
    <w:proofErr w:type="spellStart"/>
    <w:r>
      <w:rPr>
        <w:sz w:val="20"/>
        <w:szCs w:val="20"/>
      </w:rPr>
      <w:t>trušu_kažokzv_</w:t>
    </w:r>
    <w:r>
      <w:rPr>
        <w:sz w:val="20"/>
      </w:rPr>
      <w:t>parraudziba</w:t>
    </w:r>
    <w:proofErr w:type="spellEnd"/>
    <w:r w:rsidRPr="0002029A">
      <w:rPr>
        <w:sz w:val="20"/>
        <w:szCs w:val="20"/>
      </w:rPr>
      <w:t>; Anotācija Ministru kabineta noteikumu projektam</w:t>
    </w:r>
    <w:r>
      <w:rPr>
        <w:sz w:val="20"/>
      </w:rPr>
      <w:t xml:space="preserve"> „Trušu un kažokzvēru pārraudzības kārtība</w:t>
    </w:r>
    <w:r w:rsidRPr="0002029A">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9" w:rsidRPr="0002029A" w:rsidRDefault="00416589" w:rsidP="00F37F7E">
    <w:pPr>
      <w:pStyle w:val="Kjene"/>
      <w:jc w:val="both"/>
      <w:rPr>
        <w:sz w:val="20"/>
        <w:szCs w:val="20"/>
      </w:rPr>
    </w:pPr>
    <w:smartTag w:uri="urn:schemas-microsoft-com:office:smarttags" w:element="PersonName">
      <w:r>
        <w:rPr>
          <w:sz w:val="20"/>
          <w:szCs w:val="20"/>
        </w:rPr>
        <w:t>ZM</w:t>
      </w:r>
    </w:smartTag>
    <w:r>
      <w:rPr>
        <w:sz w:val="20"/>
        <w:szCs w:val="20"/>
      </w:rPr>
      <w:t>Anot_100811_trušu_kažokzv_</w:t>
    </w:r>
    <w:r>
      <w:rPr>
        <w:sz w:val="20"/>
      </w:rPr>
      <w:t>parraudziba</w:t>
    </w:r>
    <w:r w:rsidRPr="0002029A">
      <w:rPr>
        <w:sz w:val="20"/>
        <w:szCs w:val="20"/>
      </w:rPr>
      <w:t>; Anotācija Ministru kabineta noteikumu projektam</w:t>
    </w:r>
    <w:r>
      <w:rPr>
        <w:sz w:val="20"/>
      </w:rPr>
      <w:t xml:space="preserve"> „Trušu un kažokzvēru pārraudzības kārtība</w:t>
    </w:r>
    <w:r w:rsidRPr="0002029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A1" w:rsidRDefault="000854A1" w:rsidP="00F37F7E">
      <w:pPr>
        <w:pStyle w:val="naiskr"/>
      </w:pPr>
      <w:r>
        <w:separator/>
      </w:r>
    </w:p>
  </w:footnote>
  <w:footnote w:type="continuationSeparator" w:id="0">
    <w:p w:rsidR="000854A1" w:rsidRDefault="000854A1"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9" w:rsidRDefault="001A7915">
    <w:pPr>
      <w:pStyle w:val="Galvene"/>
      <w:framePr w:wrap="around" w:vAnchor="text" w:hAnchor="margin" w:xAlign="center" w:y="1"/>
      <w:rPr>
        <w:rStyle w:val="Lappusesnumurs"/>
      </w:rPr>
    </w:pPr>
    <w:r>
      <w:rPr>
        <w:rStyle w:val="Lappusesnumurs"/>
      </w:rPr>
      <w:fldChar w:fldCharType="begin"/>
    </w:r>
    <w:r w:rsidR="00416589">
      <w:rPr>
        <w:rStyle w:val="Lappusesnumurs"/>
      </w:rPr>
      <w:instrText xml:space="preserve">PAGE  </w:instrText>
    </w:r>
    <w:r>
      <w:rPr>
        <w:rStyle w:val="Lappusesnumurs"/>
      </w:rPr>
      <w:fldChar w:fldCharType="end"/>
    </w:r>
  </w:p>
  <w:p w:rsidR="00416589" w:rsidRDefault="0041658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89" w:rsidRDefault="001A7915">
    <w:pPr>
      <w:pStyle w:val="Galvene"/>
      <w:framePr w:wrap="around" w:vAnchor="text" w:hAnchor="margin" w:xAlign="center" w:y="1"/>
      <w:rPr>
        <w:rStyle w:val="Lappusesnumurs"/>
      </w:rPr>
    </w:pPr>
    <w:r>
      <w:rPr>
        <w:rStyle w:val="Lappusesnumurs"/>
      </w:rPr>
      <w:fldChar w:fldCharType="begin"/>
    </w:r>
    <w:r w:rsidR="00416589">
      <w:rPr>
        <w:rStyle w:val="Lappusesnumurs"/>
      </w:rPr>
      <w:instrText xml:space="preserve">PAGE  </w:instrText>
    </w:r>
    <w:r>
      <w:rPr>
        <w:rStyle w:val="Lappusesnumurs"/>
      </w:rPr>
      <w:fldChar w:fldCharType="separate"/>
    </w:r>
    <w:r w:rsidR="008F6958">
      <w:rPr>
        <w:rStyle w:val="Lappusesnumurs"/>
        <w:noProof/>
      </w:rPr>
      <w:t>4</w:t>
    </w:r>
    <w:r>
      <w:rPr>
        <w:rStyle w:val="Lappusesnumurs"/>
      </w:rPr>
      <w:fldChar w:fldCharType="end"/>
    </w:r>
  </w:p>
  <w:p w:rsidR="00416589" w:rsidRDefault="0041658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7F7E"/>
    <w:rsid w:val="00000859"/>
    <w:rsid w:val="000021DC"/>
    <w:rsid w:val="00004AC2"/>
    <w:rsid w:val="000123F9"/>
    <w:rsid w:val="00017851"/>
    <w:rsid w:val="0002029A"/>
    <w:rsid w:val="0002319C"/>
    <w:rsid w:val="000242CD"/>
    <w:rsid w:val="00025602"/>
    <w:rsid w:val="00035162"/>
    <w:rsid w:val="00036E5F"/>
    <w:rsid w:val="000378F3"/>
    <w:rsid w:val="00040793"/>
    <w:rsid w:val="00041376"/>
    <w:rsid w:val="000545F1"/>
    <w:rsid w:val="00056C13"/>
    <w:rsid w:val="00061D10"/>
    <w:rsid w:val="0006699B"/>
    <w:rsid w:val="00067330"/>
    <w:rsid w:val="00067A11"/>
    <w:rsid w:val="0007347C"/>
    <w:rsid w:val="000739D4"/>
    <w:rsid w:val="00074178"/>
    <w:rsid w:val="00084ADD"/>
    <w:rsid w:val="000854A1"/>
    <w:rsid w:val="00086D48"/>
    <w:rsid w:val="00090D77"/>
    <w:rsid w:val="00090EAC"/>
    <w:rsid w:val="000926D2"/>
    <w:rsid w:val="00094648"/>
    <w:rsid w:val="00094946"/>
    <w:rsid w:val="00096F1F"/>
    <w:rsid w:val="000A0D36"/>
    <w:rsid w:val="000A5437"/>
    <w:rsid w:val="000B4B7F"/>
    <w:rsid w:val="000B5C30"/>
    <w:rsid w:val="000C051C"/>
    <w:rsid w:val="000C1F1C"/>
    <w:rsid w:val="000C43FB"/>
    <w:rsid w:val="000C4826"/>
    <w:rsid w:val="000C6049"/>
    <w:rsid w:val="000C67FB"/>
    <w:rsid w:val="000D1A96"/>
    <w:rsid w:val="000D5D33"/>
    <w:rsid w:val="000D7729"/>
    <w:rsid w:val="000D77A8"/>
    <w:rsid w:val="000E6395"/>
    <w:rsid w:val="000F49F3"/>
    <w:rsid w:val="000F4B00"/>
    <w:rsid w:val="000F4ED4"/>
    <w:rsid w:val="00101199"/>
    <w:rsid w:val="00103AA0"/>
    <w:rsid w:val="00113C25"/>
    <w:rsid w:val="0011697F"/>
    <w:rsid w:val="001169AD"/>
    <w:rsid w:val="00116AF4"/>
    <w:rsid w:val="00120702"/>
    <w:rsid w:val="00130999"/>
    <w:rsid w:val="00131611"/>
    <w:rsid w:val="00135202"/>
    <w:rsid w:val="00135F2B"/>
    <w:rsid w:val="0013790E"/>
    <w:rsid w:val="00142D90"/>
    <w:rsid w:val="00152B50"/>
    <w:rsid w:val="00153834"/>
    <w:rsid w:val="00155DDA"/>
    <w:rsid w:val="001572AD"/>
    <w:rsid w:val="00160FB1"/>
    <w:rsid w:val="001621C6"/>
    <w:rsid w:val="001664A3"/>
    <w:rsid w:val="00171EB5"/>
    <w:rsid w:val="00173829"/>
    <w:rsid w:val="00181867"/>
    <w:rsid w:val="00182FA9"/>
    <w:rsid w:val="00183086"/>
    <w:rsid w:val="001904FD"/>
    <w:rsid w:val="00193365"/>
    <w:rsid w:val="001A23D2"/>
    <w:rsid w:val="001A284C"/>
    <w:rsid w:val="001A492D"/>
    <w:rsid w:val="001A7709"/>
    <w:rsid w:val="001A7915"/>
    <w:rsid w:val="001B043A"/>
    <w:rsid w:val="001B4C99"/>
    <w:rsid w:val="001B6383"/>
    <w:rsid w:val="001C167B"/>
    <w:rsid w:val="001C600D"/>
    <w:rsid w:val="001C6E95"/>
    <w:rsid w:val="001D5B89"/>
    <w:rsid w:val="001D6D6F"/>
    <w:rsid w:val="001E06B9"/>
    <w:rsid w:val="001E0876"/>
    <w:rsid w:val="001F1944"/>
    <w:rsid w:val="001F21EB"/>
    <w:rsid w:val="001F3723"/>
    <w:rsid w:val="001F6EB8"/>
    <w:rsid w:val="00202ECB"/>
    <w:rsid w:val="0020744C"/>
    <w:rsid w:val="00217D5B"/>
    <w:rsid w:val="00221B59"/>
    <w:rsid w:val="00222BA1"/>
    <w:rsid w:val="00223431"/>
    <w:rsid w:val="002413D0"/>
    <w:rsid w:val="00247A08"/>
    <w:rsid w:val="00250F70"/>
    <w:rsid w:val="002513DF"/>
    <w:rsid w:val="0025265A"/>
    <w:rsid w:val="002542BF"/>
    <w:rsid w:val="00254599"/>
    <w:rsid w:val="002605F4"/>
    <w:rsid w:val="002637FA"/>
    <w:rsid w:val="00264CFE"/>
    <w:rsid w:val="00265B74"/>
    <w:rsid w:val="00266247"/>
    <w:rsid w:val="00267CF6"/>
    <w:rsid w:val="00273E17"/>
    <w:rsid w:val="002963BF"/>
    <w:rsid w:val="00297892"/>
    <w:rsid w:val="002A7616"/>
    <w:rsid w:val="002B4C11"/>
    <w:rsid w:val="002C04F1"/>
    <w:rsid w:val="002C2930"/>
    <w:rsid w:val="002C78F0"/>
    <w:rsid w:val="002D0EFF"/>
    <w:rsid w:val="002D50B7"/>
    <w:rsid w:val="002F38DB"/>
    <w:rsid w:val="002F4ABD"/>
    <w:rsid w:val="002F719F"/>
    <w:rsid w:val="003102CE"/>
    <w:rsid w:val="00315E31"/>
    <w:rsid w:val="0032374A"/>
    <w:rsid w:val="0032400D"/>
    <w:rsid w:val="00325A33"/>
    <w:rsid w:val="0033354D"/>
    <w:rsid w:val="00334D62"/>
    <w:rsid w:val="00336230"/>
    <w:rsid w:val="003426B0"/>
    <w:rsid w:val="00347B64"/>
    <w:rsid w:val="00350004"/>
    <w:rsid w:val="00351991"/>
    <w:rsid w:val="00351CE7"/>
    <w:rsid w:val="0035641C"/>
    <w:rsid w:val="00360855"/>
    <w:rsid w:val="00363DF8"/>
    <w:rsid w:val="003640C2"/>
    <w:rsid w:val="00370A38"/>
    <w:rsid w:val="00372F10"/>
    <w:rsid w:val="003730A0"/>
    <w:rsid w:val="00374754"/>
    <w:rsid w:val="0039385F"/>
    <w:rsid w:val="0039523C"/>
    <w:rsid w:val="00396575"/>
    <w:rsid w:val="003A1BEA"/>
    <w:rsid w:val="003A1CAF"/>
    <w:rsid w:val="003A4096"/>
    <w:rsid w:val="003A599A"/>
    <w:rsid w:val="003A5E5D"/>
    <w:rsid w:val="003B2806"/>
    <w:rsid w:val="003B7A18"/>
    <w:rsid w:val="003C50FF"/>
    <w:rsid w:val="003D37E1"/>
    <w:rsid w:val="003D3A27"/>
    <w:rsid w:val="003E409B"/>
    <w:rsid w:val="003E413C"/>
    <w:rsid w:val="003F4081"/>
    <w:rsid w:val="003F745F"/>
    <w:rsid w:val="003F753E"/>
    <w:rsid w:val="00400503"/>
    <w:rsid w:val="00404064"/>
    <w:rsid w:val="00412954"/>
    <w:rsid w:val="00412F9C"/>
    <w:rsid w:val="00416589"/>
    <w:rsid w:val="00417A1B"/>
    <w:rsid w:val="00421391"/>
    <w:rsid w:val="0043328A"/>
    <w:rsid w:val="0044202A"/>
    <w:rsid w:val="004433CC"/>
    <w:rsid w:val="0044738A"/>
    <w:rsid w:val="004511D3"/>
    <w:rsid w:val="00451BE6"/>
    <w:rsid w:val="00452C43"/>
    <w:rsid w:val="00462078"/>
    <w:rsid w:val="004662B4"/>
    <w:rsid w:val="00466CF9"/>
    <w:rsid w:val="0047341E"/>
    <w:rsid w:val="00474756"/>
    <w:rsid w:val="0047491E"/>
    <w:rsid w:val="004750DC"/>
    <w:rsid w:val="00495A25"/>
    <w:rsid w:val="004966B8"/>
    <w:rsid w:val="004A5C6C"/>
    <w:rsid w:val="004A6C18"/>
    <w:rsid w:val="004A708B"/>
    <w:rsid w:val="004B0271"/>
    <w:rsid w:val="004B2311"/>
    <w:rsid w:val="004B28A8"/>
    <w:rsid w:val="004B6F7A"/>
    <w:rsid w:val="004C6367"/>
    <w:rsid w:val="004D64BE"/>
    <w:rsid w:val="004E1532"/>
    <w:rsid w:val="004E1DF2"/>
    <w:rsid w:val="004E3F6C"/>
    <w:rsid w:val="004E7368"/>
    <w:rsid w:val="004F0543"/>
    <w:rsid w:val="004F0638"/>
    <w:rsid w:val="004F3827"/>
    <w:rsid w:val="004F4E29"/>
    <w:rsid w:val="0050169B"/>
    <w:rsid w:val="0050616B"/>
    <w:rsid w:val="00513790"/>
    <w:rsid w:val="0051590D"/>
    <w:rsid w:val="005251F3"/>
    <w:rsid w:val="00534D17"/>
    <w:rsid w:val="005371BE"/>
    <w:rsid w:val="00547635"/>
    <w:rsid w:val="00550BFE"/>
    <w:rsid w:val="00555464"/>
    <w:rsid w:val="005626DF"/>
    <w:rsid w:val="00563479"/>
    <w:rsid w:val="005660EB"/>
    <w:rsid w:val="00566EEA"/>
    <w:rsid w:val="00570870"/>
    <w:rsid w:val="00572BCD"/>
    <w:rsid w:val="00572CA9"/>
    <w:rsid w:val="005764DC"/>
    <w:rsid w:val="0058105A"/>
    <w:rsid w:val="00581334"/>
    <w:rsid w:val="005827E6"/>
    <w:rsid w:val="00583239"/>
    <w:rsid w:val="00585ADA"/>
    <w:rsid w:val="00587A73"/>
    <w:rsid w:val="0059013B"/>
    <w:rsid w:val="00595851"/>
    <w:rsid w:val="005A0D76"/>
    <w:rsid w:val="005A771C"/>
    <w:rsid w:val="005B29AB"/>
    <w:rsid w:val="005D782F"/>
    <w:rsid w:val="005E05A3"/>
    <w:rsid w:val="005F49F6"/>
    <w:rsid w:val="00601219"/>
    <w:rsid w:val="006056ED"/>
    <w:rsid w:val="006132BE"/>
    <w:rsid w:val="0061359E"/>
    <w:rsid w:val="00613C04"/>
    <w:rsid w:val="0064071E"/>
    <w:rsid w:val="00642A85"/>
    <w:rsid w:val="00652105"/>
    <w:rsid w:val="006602BB"/>
    <w:rsid w:val="00667A13"/>
    <w:rsid w:val="006714C5"/>
    <w:rsid w:val="0067452D"/>
    <w:rsid w:val="00683442"/>
    <w:rsid w:val="00683765"/>
    <w:rsid w:val="00684F2B"/>
    <w:rsid w:val="00691455"/>
    <w:rsid w:val="00697184"/>
    <w:rsid w:val="00697AF8"/>
    <w:rsid w:val="006A18A2"/>
    <w:rsid w:val="006A2BA1"/>
    <w:rsid w:val="006A535F"/>
    <w:rsid w:val="006B33B5"/>
    <w:rsid w:val="006C17D2"/>
    <w:rsid w:val="006E67F6"/>
    <w:rsid w:val="006F39D4"/>
    <w:rsid w:val="006F68E0"/>
    <w:rsid w:val="007005C3"/>
    <w:rsid w:val="007018E2"/>
    <w:rsid w:val="00702355"/>
    <w:rsid w:val="00703E29"/>
    <w:rsid w:val="00704242"/>
    <w:rsid w:val="007069D7"/>
    <w:rsid w:val="0071167F"/>
    <w:rsid w:val="00714740"/>
    <w:rsid w:val="007154A0"/>
    <w:rsid w:val="00715C26"/>
    <w:rsid w:val="00717194"/>
    <w:rsid w:val="007172E9"/>
    <w:rsid w:val="00717C26"/>
    <w:rsid w:val="00717F6E"/>
    <w:rsid w:val="0073190B"/>
    <w:rsid w:val="007329A4"/>
    <w:rsid w:val="00737398"/>
    <w:rsid w:val="007440AA"/>
    <w:rsid w:val="00753382"/>
    <w:rsid w:val="007546F1"/>
    <w:rsid w:val="0075547D"/>
    <w:rsid w:val="00756BC2"/>
    <w:rsid w:val="00757876"/>
    <w:rsid w:val="00760085"/>
    <w:rsid w:val="0076185F"/>
    <w:rsid w:val="0076191D"/>
    <w:rsid w:val="00764B53"/>
    <w:rsid w:val="00765966"/>
    <w:rsid w:val="0077154C"/>
    <w:rsid w:val="00772248"/>
    <w:rsid w:val="00773DA1"/>
    <w:rsid w:val="00776A72"/>
    <w:rsid w:val="007776D9"/>
    <w:rsid w:val="00785573"/>
    <w:rsid w:val="00786DFE"/>
    <w:rsid w:val="00787D30"/>
    <w:rsid w:val="007926A0"/>
    <w:rsid w:val="00793143"/>
    <w:rsid w:val="00794510"/>
    <w:rsid w:val="007A0047"/>
    <w:rsid w:val="007A4DF1"/>
    <w:rsid w:val="007B213D"/>
    <w:rsid w:val="007B579E"/>
    <w:rsid w:val="007B6AA6"/>
    <w:rsid w:val="007B7B96"/>
    <w:rsid w:val="007C160D"/>
    <w:rsid w:val="007C4473"/>
    <w:rsid w:val="007C48A1"/>
    <w:rsid w:val="007C6466"/>
    <w:rsid w:val="007D09AC"/>
    <w:rsid w:val="007D44A6"/>
    <w:rsid w:val="007E6A76"/>
    <w:rsid w:val="007E7FB5"/>
    <w:rsid w:val="007F439A"/>
    <w:rsid w:val="007F57FD"/>
    <w:rsid w:val="00800841"/>
    <w:rsid w:val="00804599"/>
    <w:rsid w:val="00805D30"/>
    <w:rsid w:val="00817B22"/>
    <w:rsid w:val="00825D86"/>
    <w:rsid w:val="00827534"/>
    <w:rsid w:val="0083643F"/>
    <w:rsid w:val="00836CA8"/>
    <w:rsid w:val="00843915"/>
    <w:rsid w:val="00846769"/>
    <w:rsid w:val="00847A0B"/>
    <w:rsid w:val="00853192"/>
    <w:rsid w:val="008561EF"/>
    <w:rsid w:val="0085720C"/>
    <w:rsid w:val="008673FA"/>
    <w:rsid w:val="00875980"/>
    <w:rsid w:val="00880EF6"/>
    <w:rsid w:val="00884D55"/>
    <w:rsid w:val="008A5E04"/>
    <w:rsid w:val="008A652E"/>
    <w:rsid w:val="008B2D5E"/>
    <w:rsid w:val="008C3A50"/>
    <w:rsid w:val="008C43F9"/>
    <w:rsid w:val="008D0074"/>
    <w:rsid w:val="008D7255"/>
    <w:rsid w:val="008E33DE"/>
    <w:rsid w:val="008E4D95"/>
    <w:rsid w:val="008E6CDD"/>
    <w:rsid w:val="008F15B1"/>
    <w:rsid w:val="008F3476"/>
    <w:rsid w:val="008F6958"/>
    <w:rsid w:val="00900BC9"/>
    <w:rsid w:val="00903BE2"/>
    <w:rsid w:val="00906B31"/>
    <w:rsid w:val="00915231"/>
    <w:rsid w:val="00915FF3"/>
    <w:rsid w:val="00916CBE"/>
    <w:rsid w:val="00921DFE"/>
    <w:rsid w:val="00923C24"/>
    <w:rsid w:val="00930EA9"/>
    <w:rsid w:val="00941410"/>
    <w:rsid w:val="00945674"/>
    <w:rsid w:val="00946F3E"/>
    <w:rsid w:val="009507A3"/>
    <w:rsid w:val="00951AAB"/>
    <w:rsid w:val="00954537"/>
    <w:rsid w:val="00956C17"/>
    <w:rsid w:val="00962A4E"/>
    <w:rsid w:val="0097673C"/>
    <w:rsid w:val="00981A19"/>
    <w:rsid w:val="009851C8"/>
    <w:rsid w:val="0098635F"/>
    <w:rsid w:val="00990044"/>
    <w:rsid w:val="009A1FEA"/>
    <w:rsid w:val="009A3CE2"/>
    <w:rsid w:val="009A484A"/>
    <w:rsid w:val="009C7906"/>
    <w:rsid w:val="009D4048"/>
    <w:rsid w:val="009E05E4"/>
    <w:rsid w:val="009E12B6"/>
    <w:rsid w:val="009F505F"/>
    <w:rsid w:val="00A04D3E"/>
    <w:rsid w:val="00A1150D"/>
    <w:rsid w:val="00A118C6"/>
    <w:rsid w:val="00A21F1F"/>
    <w:rsid w:val="00A3435F"/>
    <w:rsid w:val="00A36659"/>
    <w:rsid w:val="00A36CCE"/>
    <w:rsid w:val="00A415F9"/>
    <w:rsid w:val="00A42FA4"/>
    <w:rsid w:val="00A46D48"/>
    <w:rsid w:val="00A50AAD"/>
    <w:rsid w:val="00A52300"/>
    <w:rsid w:val="00A54D57"/>
    <w:rsid w:val="00A551A1"/>
    <w:rsid w:val="00A6000F"/>
    <w:rsid w:val="00A63B9E"/>
    <w:rsid w:val="00A65C5A"/>
    <w:rsid w:val="00A81D52"/>
    <w:rsid w:val="00A8754B"/>
    <w:rsid w:val="00A90421"/>
    <w:rsid w:val="00A95957"/>
    <w:rsid w:val="00A95BC4"/>
    <w:rsid w:val="00AA38E0"/>
    <w:rsid w:val="00AA6478"/>
    <w:rsid w:val="00AA785A"/>
    <w:rsid w:val="00AB1530"/>
    <w:rsid w:val="00AB596F"/>
    <w:rsid w:val="00AC0717"/>
    <w:rsid w:val="00AC1BF7"/>
    <w:rsid w:val="00AD645F"/>
    <w:rsid w:val="00AF0810"/>
    <w:rsid w:val="00B07902"/>
    <w:rsid w:val="00B10EF1"/>
    <w:rsid w:val="00B14C7D"/>
    <w:rsid w:val="00B212F9"/>
    <w:rsid w:val="00B3058E"/>
    <w:rsid w:val="00B3458F"/>
    <w:rsid w:val="00B42FE7"/>
    <w:rsid w:val="00B45048"/>
    <w:rsid w:val="00B46B32"/>
    <w:rsid w:val="00B52182"/>
    <w:rsid w:val="00B53809"/>
    <w:rsid w:val="00B56189"/>
    <w:rsid w:val="00B76D1A"/>
    <w:rsid w:val="00B80690"/>
    <w:rsid w:val="00B811F6"/>
    <w:rsid w:val="00B83D43"/>
    <w:rsid w:val="00B84F1C"/>
    <w:rsid w:val="00B87CD9"/>
    <w:rsid w:val="00B94B31"/>
    <w:rsid w:val="00B95BDF"/>
    <w:rsid w:val="00B97126"/>
    <w:rsid w:val="00BA320B"/>
    <w:rsid w:val="00BA7BBE"/>
    <w:rsid w:val="00BB0A7F"/>
    <w:rsid w:val="00BB0BC4"/>
    <w:rsid w:val="00BD5389"/>
    <w:rsid w:val="00BD5D63"/>
    <w:rsid w:val="00BD66FB"/>
    <w:rsid w:val="00BD74DA"/>
    <w:rsid w:val="00BE2AA0"/>
    <w:rsid w:val="00BE2B47"/>
    <w:rsid w:val="00BE4880"/>
    <w:rsid w:val="00BE4FAD"/>
    <w:rsid w:val="00BE6367"/>
    <w:rsid w:val="00BF1362"/>
    <w:rsid w:val="00BF5773"/>
    <w:rsid w:val="00C038B5"/>
    <w:rsid w:val="00C040D9"/>
    <w:rsid w:val="00C1471C"/>
    <w:rsid w:val="00C149FB"/>
    <w:rsid w:val="00C16A6F"/>
    <w:rsid w:val="00C31017"/>
    <w:rsid w:val="00C43E01"/>
    <w:rsid w:val="00C5062D"/>
    <w:rsid w:val="00C518C1"/>
    <w:rsid w:val="00C55FAA"/>
    <w:rsid w:val="00C605E8"/>
    <w:rsid w:val="00C6203E"/>
    <w:rsid w:val="00C6229C"/>
    <w:rsid w:val="00C63B8E"/>
    <w:rsid w:val="00C66C1B"/>
    <w:rsid w:val="00C67A7A"/>
    <w:rsid w:val="00C71EFB"/>
    <w:rsid w:val="00C733E9"/>
    <w:rsid w:val="00C740D8"/>
    <w:rsid w:val="00C7549F"/>
    <w:rsid w:val="00C811E8"/>
    <w:rsid w:val="00C846EC"/>
    <w:rsid w:val="00C8603B"/>
    <w:rsid w:val="00C867CA"/>
    <w:rsid w:val="00C87E8B"/>
    <w:rsid w:val="00C96118"/>
    <w:rsid w:val="00CA2D36"/>
    <w:rsid w:val="00CA4937"/>
    <w:rsid w:val="00CA7A9F"/>
    <w:rsid w:val="00CC3443"/>
    <w:rsid w:val="00CC54B7"/>
    <w:rsid w:val="00CD192F"/>
    <w:rsid w:val="00CD1F03"/>
    <w:rsid w:val="00CD2CF8"/>
    <w:rsid w:val="00CE118C"/>
    <w:rsid w:val="00CE19EE"/>
    <w:rsid w:val="00CE701B"/>
    <w:rsid w:val="00CF326A"/>
    <w:rsid w:val="00CF608C"/>
    <w:rsid w:val="00D004D8"/>
    <w:rsid w:val="00D112F5"/>
    <w:rsid w:val="00D16077"/>
    <w:rsid w:val="00D17C53"/>
    <w:rsid w:val="00D21975"/>
    <w:rsid w:val="00D2322A"/>
    <w:rsid w:val="00D25A18"/>
    <w:rsid w:val="00D3472C"/>
    <w:rsid w:val="00D34EED"/>
    <w:rsid w:val="00D37964"/>
    <w:rsid w:val="00D42A68"/>
    <w:rsid w:val="00D53DDD"/>
    <w:rsid w:val="00D55F92"/>
    <w:rsid w:val="00D63687"/>
    <w:rsid w:val="00D643C3"/>
    <w:rsid w:val="00D64F63"/>
    <w:rsid w:val="00D71C4A"/>
    <w:rsid w:val="00D72DCE"/>
    <w:rsid w:val="00D743EB"/>
    <w:rsid w:val="00D81591"/>
    <w:rsid w:val="00D82F80"/>
    <w:rsid w:val="00D9111A"/>
    <w:rsid w:val="00D9476A"/>
    <w:rsid w:val="00D9756C"/>
    <w:rsid w:val="00DA5197"/>
    <w:rsid w:val="00DB6025"/>
    <w:rsid w:val="00DB748F"/>
    <w:rsid w:val="00DD3233"/>
    <w:rsid w:val="00DD4E2B"/>
    <w:rsid w:val="00DE1C7E"/>
    <w:rsid w:val="00DE46F6"/>
    <w:rsid w:val="00DE592D"/>
    <w:rsid w:val="00DE7444"/>
    <w:rsid w:val="00DF1527"/>
    <w:rsid w:val="00DF2343"/>
    <w:rsid w:val="00DF3721"/>
    <w:rsid w:val="00E0680A"/>
    <w:rsid w:val="00E06A76"/>
    <w:rsid w:val="00E10A4B"/>
    <w:rsid w:val="00E117AC"/>
    <w:rsid w:val="00E14B58"/>
    <w:rsid w:val="00E14CDF"/>
    <w:rsid w:val="00E32989"/>
    <w:rsid w:val="00E32D40"/>
    <w:rsid w:val="00E33416"/>
    <w:rsid w:val="00E43395"/>
    <w:rsid w:val="00E539EB"/>
    <w:rsid w:val="00E565C4"/>
    <w:rsid w:val="00E6628B"/>
    <w:rsid w:val="00E66D3F"/>
    <w:rsid w:val="00E72BFF"/>
    <w:rsid w:val="00E77889"/>
    <w:rsid w:val="00E80068"/>
    <w:rsid w:val="00E81A9F"/>
    <w:rsid w:val="00E822D1"/>
    <w:rsid w:val="00E84A85"/>
    <w:rsid w:val="00E96354"/>
    <w:rsid w:val="00EB08EA"/>
    <w:rsid w:val="00EB2899"/>
    <w:rsid w:val="00EB3F4C"/>
    <w:rsid w:val="00EB5337"/>
    <w:rsid w:val="00EC3A5E"/>
    <w:rsid w:val="00EC3C51"/>
    <w:rsid w:val="00ED3F12"/>
    <w:rsid w:val="00ED43A3"/>
    <w:rsid w:val="00EE1CA8"/>
    <w:rsid w:val="00EE20FD"/>
    <w:rsid w:val="00EE2F67"/>
    <w:rsid w:val="00EE443F"/>
    <w:rsid w:val="00EF2B01"/>
    <w:rsid w:val="00F1003D"/>
    <w:rsid w:val="00F10A8C"/>
    <w:rsid w:val="00F128DE"/>
    <w:rsid w:val="00F2641C"/>
    <w:rsid w:val="00F30161"/>
    <w:rsid w:val="00F33097"/>
    <w:rsid w:val="00F37F7E"/>
    <w:rsid w:val="00F42C6F"/>
    <w:rsid w:val="00F47A8E"/>
    <w:rsid w:val="00F644F8"/>
    <w:rsid w:val="00F64DC4"/>
    <w:rsid w:val="00F64E9A"/>
    <w:rsid w:val="00F75054"/>
    <w:rsid w:val="00F769EC"/>
    <w:rsid w:val="00F76DCD"/>
    <w:rsid w:val="00F8010C"/>
    <w:rsid w:val="00F80A06"/>
    <w:rsid w:val="00F903CD"/>
    <w:rsid w:val="00F92BA6"/>
    <w:rsid w:val="00F95456"/>
    <w:rsid w:val="00FA5B07"/>
    <w:rsid w:val="00FB5D10"/>
    <w:rsid w:val="00FC29A3"/>
    <w:rsid w:val="00FD07FF"/>
    <w:rsid w:val="00FD3450"/>
    <w:rsid w:val="00FF20BB"/>
    <w:rsid w:val="00FF43DA"/>
    <w:rsid w:val="00FF6A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F37F7E"/>
    <w:pPr>
      <w:spacing w:before="100" w:beforeAutospacing="1" w:after="100" w:afterAutospacing="1"/>
    </w:pPr>
  </w:style>
  <w:style w:type="paragraph" w:customStyle="1" w:styleId="naisnod">
    <w:name w:val="naisnod"/>
    <w:basedOn w:val="Parastais"/>
    <w:uiPriority w:val="99"/>
    <w:rsid w:val="00F37F7E"/>
    <w:pPr>
      <w:spacing w:before="100" w:beforeAutospacing="1" w:after="100" w:afterAutospacing="1"/>
    </w:pPr>
  </w:style>
  <w:style w:type="paragraph" w:customStyle="1" w:styleId="naiskr">
    <w:name w:val="naiskr"/>
    <w:basedOn w:val="Parastais"/>
    <w:uiPriority w:val="99"/>
    <w:rsid w:val="00F37F7E"/>
    <w:pPr>
      <w:spacing w:before="100" w:beforeAutospacing="1" w:after="100" w:afterAutospacing="1"/>
    </w:pPr>
  </w:style>
  <w:style w:type="paragraph" w:customStyle="1" w:styleId="naisf">
    <w:name w:val="naisf"/>
    <w:basedOn w:val="Parastais"/>
    <w:uiPriority w:val="99"/>
    <w:rsid w:val="00F37F7E"/>
    <w:pPr>
      <w:spacing w:before="100" w:beforeAutospacing="1" w:after="100" w:afterAutospacing="1"/>
    </w:pPr>
  </w:style>
  <w:style w:type="paragraph" w:styleId="Pamatteksts">
    <w:name w:val="Body Text"/>
    <w:basedOn w:val="Parastais"/>
    <w:link w:val="PamattekstsRakstz"/>
    <w:uiPriority w:val="99"/>
    <w:rsid w:val="00F37F7E"/>
    <w:pPr>
      <w:jc w:val="right"/>
    </w:pPr>
    <w:rPr>
      <w:b/>
      <w:sz w:val="28"/>
      <w:szCs w:val="20"/>
      <w:lang w:eastAsia="en-US"/>
    </w:rPr>
  </w:style>
  <w:style w:type="character" w:customStyle="1" w:styleId="PamattekstsRakstz">
    <w:name w:val="Pamatteksts Rakstz."/>
    <w:basedOn w:val="Noklusjumarindkopasfonts"/>
    <w:link w:val="Pamatteksts"/>
    <w:uiPriority w:val="99"/>
    <w:semiHidden/>
    <w:locked/>
    <w:rsid w:val="00F37F7E"/>
    <w:rPr>
      <w:rFonts w:cs="Times New Roman"/>
      <w:b/>
      <w:sz w:val="28"/>
      <w:lang w:val="lv-LV" w:eastAsia="en-US" w:bidi="ar-SA"/>
    </w:rPr>
  </w:style>
  <w:style w:type="paragraph" w:styleId="Galvene">
    <w:name w:val="header"/>
    <w:basedOn w:val="Parastai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semiHidden/>
    <w:locked/>
    <w:rsid w:val="00F37F7E"/>
    <w:rPr>
      <w:rFonts w:cs="Times New Roman"/>
      <w:sz w:val="24"/>
      <w:szCs w:val="24"/>
      <w:lang w:val="lv-LV" w:eastAsia="lv-LV" w:bidi="ar-SA"/>
    </w:rPr>
  </w:style>
  <w:style w:type="character" w:styleId="Lappusesnumurs">
    <w:name w:val="page number"/>
    <w:basedOn w:val="Noklusjumarindkopasfonts"/>
    <w:uiPriority w:val="99"/>
    <w:rsid w:val="00F37F7E"/>
    <w:rPr>
      <w:rFonts w:cs="Times New Roman"/>
    </w:rPr>
  </w:style>
  <w:style w:type="paragraph" w:styleId="Kjene">
    <w:name w:val="footer"/>
    <w:basedOn w:val="Parastai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semiHidden/>
    <w:locked/>
    <w:rsid w:val="00F37F7E"/>
    <w:rPr>
      <w:rFonts w:cs="Times New Roman"/>
      <w:sz w:val="24"/>
      <w:szCs w:val="24"/>
      <w:lang w:val="lv-LV" w:eastAsia="lv-LV" w:bidi="ar-SA"/>
    </w:rPr>
  </w:style>
  <w:style w:type="character" w:styleId="Hipersaite">
    <w:name w:val="Hyperlink"/>
    <w:basedOn w:val="Noklusjumarindkopasfonts"/>
    <w:uiPriority w:val="99"/>
    <w:rsid w:val="000D7729"/>
    <w:rPr>
      <w:rFonts w:cs="Times New Roman"/>
      <w:color w:val="0000FF"/>
      <w:u w:val="single"/>
    </w:rPr>
  </w:style>
  <w:style w:type="paragraph" w:styleId="Balonteksts">
    <w:name w:val="Balloon Text"/>
    <w:basedOn w:val="Parastais"/>
    <w:link w:val="BalontekstsRakstz"/>
    <w:uiPriority w:val="99"/>
    <w:rsid w:val="00A52300"/>
    <w:rPr>
      <w:rFonts w:ascii="Tahoma" w:hAnsi="Tahoma" w:cs="Tahoma"/>
      <w:sz w:val="16"/>
      <w:szCs w:val="16"/>
    </w:rPr>
  </w:style>
  <w:style w:type="character" w:customStyle="1" w:styleId="BalontekstsRakstz">
    <w:name w:val="Balonteksts Rakstz."/>
    <w:basedOn w:val="Noklusjumarindkopasfonts"/>
    <w:link w:val="Balonteksts"/>
    <w:uiPriority w:val="99"/>
    <w:locked/>
    <w:rsid w:val="00A52300"/>
    <w:rPr>
      <w:rFonts w:ascii="Tahoma" w:hAnsi="Tahoma" w:cs="Tahoma"/>
      <w:sz w:val="16"/>
      <w:szCs w:val="16"/>
    </w:rPr>
  </w:style>
  <w:style w:type="character" w:styleId="Komentraatsauce">
    <w:name w:val="annotation reference"/>
    <w:basedOn w:val="Noklusjumarindkopasfonts"/>
    <w:uiPriority w:val="99"/>
    <w:rsid w:val="005A771C"/>
    <w:rPr>
      <w:rFonts w:cs="Times New Roman"/>
      <w:sz w:val="16"/>
      <w:szCs w:val="16"/>
    </w:rPr>
  </w:style>
  <w:style w:type="paragraph" w:styleId="Komentrateksts">
    <w:name w:val="annotation text"/>
    <w:basedOn w:val="Parastai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locked/>
    <w:rsid w:val="005A771C"/>
    <w:rPr>
      <w:rFonts w:cs="Times New Roman"/>
    </w:rPr>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basedOn w:val="KomentratekstsRakstz"/>
    <w:link w:val="Komentratma"/>
    <w:uiPriority w:val="99"/>
    <w:locked/>
    <w:rsid w:val="005A771C"/>
    <w:rPr>
      <w:b/>
      <w:bCs/>
    </w:rPr>
  </w:style>
  <w:style w:type="paragraph" w:customStyle="1" w:styleId="naislab">
    <w:name w:val="naislab"/>
    <w:basedOn w:val="Parastais"/>
    <w:uiPriority w:val="99"/>
    <w:rsid w:val="0002029A"/>
    <w:pPr>
      <w:spacing w:before="75" w:after="75"/>
      <w:jc w:val="right"/>
    </w:pPr>
  </w:style>
  <w:style w:type="paragraph" w:customStyle="1" w:styleId="naispie">
    <w:name w:val="naispie"/>
    <w:basedOn w:val="Parastais"/>
    <w:uiPriority w:val="99"/>
    <w:rsid w:val="002513DF"/>
    <w:pPr>
      <w:spacing w:before="100" w:beforeAutospacing="1" w:after="100" w:afterAutospacing="1"/>
    </w:pPr>
  </w:style>
  <w:style w:type="paragraph" w:customStyle="1" w:styleId="Rakstz">
    <w:name w:val="Rakstz."/>
    <w:basedOn w:val="Parastais"/>
    <w:uiPriority w:val="99"/>
    <w:rsid w:val="00F42C6F"/>
    <w:pPr>
      <w:spacing w:before="40"/>
    </w:pPr>
    <w:rPr>
      <w:lang w:val="pl-PL" w:eastAsia="pl-PL"/>
    </w:rPr>
  </w:style>
  <w:style w:type="paragraph" w:styleId="ParastaisWeb">
    <w:name w:val="Normal (Web)"/>
    <w:basedOn w:val="Parastais"/>
    <w:uiPriority w:val="99"/>
    <w:rsid w:val="003500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5935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7397</Characters>
  <Application>Microsoft Office Word</Application>
  <DocSecurity>0</DocSecurity>
  <Lines>255</Lines>
  <Paragraphs>109</Paragraphs>
  <ScaleCrop>false</ScaleCrop>
  <Manager>Veterinārais un pārtikas pārstrādes departaments</Manager>
  <Company>Zemkopības ministrija</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Trušu un kažokzvēru pārraudzības kārtība</dc:title>
  <dc:subject>Anotācija</dc:subject>
  <dc:creator>Ineta Lavrinoviča</dc:creator>
  <cp:keywords/>
  <dc:description>Ineta.Lavrinovica@zm.gov.lv,67027528</dc:description>
  <cp:lastModifiedBy>Renārs Žagars</cp:lastModifiedBy>
  <cp:revision>5</cp:revision>
  <dcterms:created xsi:type="dcterms:W3CDTF">2011-08-11T07:59:00Z</dcterms:created>
  <dcterms:modified xsi:type="dcterms:W3CDTF">2011-08-11T09:16:00Z</dcterms:modified>
</cp:coreProperties>
</file>