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C17D16" w:rsidRDefault="00D12371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C17D16">
        <w:rPr>
          <w:b/>
          <w:sz w:val="28"/>
          <w:lang w:val="lv-LV"/>
        </w:rPr>
        <w:t>Ministru kabineta noteikumu projekta</w:t>
      </w:r>
    </w:p>
    <w:p w:rsidR="00D12371" w:rsidRPr="00C17D16" w:rsidRDefault="002669C3" w:rsidP="008665A4">
      <w:pPr>
        <w:jc w:val="center"/>
        <w:rPr>
          <w:sz w:val="28"/>
          <w:lang w:val="lv-LV"/>
        </w:rPr>
      </w:pPr>
      <w:r w:rsidRPr="00C17D16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="00152C6F" w:rsidRPr="00C17D16">
        <w:rPr>
          <w:b/>
          <w:bCs/>
          <w:sz w:val="28"/>
          <w:lang w:val="lv-LV"/>
        </w:rPr>
        <w:t>Grozījums</w:t>
      </w:r>
      <w:r w:rsidRPr="00C17D16">
        <w:rPr>
          <w:b/>
          <w:bCs/>
          <w:sz w:val="28"/>
          <w:lang w:val="lv-LV"/>
        </w:rPr>
        <w:t xml:space="preserve"> </w:t>
      </w:r>
      <w:r w:rsidR="008F6A4B" w:rsidRPr="008F6A4B">
        <w:rPr>
          <w:b/>
          <w:bCs/>
          <w:sz w:val="28"/>
          <w:lang w:val="lv-LV"/>
        </w:rPr>
        <w:t xml:space="preserve">Ministru kabineta 2013.gada </w:t>
      </w:r>
      <w:r w:rsidR="008F6A4B" w:rsidRPr="008F6A4B">
        <w:rPr>
          <w:b/>
          <w:sz w:val="28"/>
          <w:szCs w:val="28"/>
          <w:lang w:val="lv-LV"/>
        </w:rPr>
        <w:t>8.oktobra noteikumos Nr.1083</w:t>
      </w:r>
      <w:r w:rsidR="008F6A4B" w:rsidRPr="008F6A4B">
        <w:rPr>
          <w:b/>
          <w:bCs/>
          <w:sz w:val="28"/>
          <w:lang w:val="lv-LV"/>
        </w:rPr>
        <w:t xml:space="preserve"> „Kārtība, kādā veicama samaksa </w:t>
      </w:r>
      <w:r w:rsidR="008F6A4B" w:rsidRPr="008F6A4B">
        <w:rPr>
          <w:b/>
          <w:bCs/>
          <w:sz w:val="28"/>
          <w:szCs w:val="28"/>
          <w:lang w:val="lv-LV"/>
        </w:rPr>
        <w:t>par Pārtikas un veterinārā dienesta valsts uzraudzības un kontroles darbībām un maksas pakalpojumiem</w:t>
      </w:r>
      <w:r w:rsidR="008F6A4B" w:rsidRPr="008F6A4B">
        <w:rPr>
          <w:b/>
          <w:bCs/>
          <w:sz w:val="28"/>
          <w:lang w:val="lv-LV"/>
        </w:rPr>
        <w:t>”</w:t>
      </w:r>
      <w:r w:rsidRPr="00C17D16">
        <w:rPr>
          <w:b/>
          <w:bCs/>
          <w:sz w:val="28"/>
          <w:lang w:val="lv-LV"/>
        </w:rPr>
        <w:t>”</w:t>
      </w:r>
    </w:p>
    <w:p w:rsidR="00757B05" w:rsidRPr="00C17D16" w:rsidRDefault="00E61AD5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C17D16">
        <w:rPr>
          <w:b/>
          <w:sz w:val="28"/>
          <w:lang w:val="lv-LV"/>
        </w:rPr>
        <w:t xml:space="preserve">sākotnējās </w:t>
      </w:r>
      <w:r w:rsidR="00757B05" w:rsidRPr="00C17D16">
        <w:rPr>
          <w:b/>
          <w:sz w:val="28"/>
          <w:lang w:val="lv-LV"/>
        </w:rPr>
        <w:t>ietekmes novērtējuma ziņojums</w:t>
      </w:r>
      <w:r w:rsidR="00757B05" w:rsidRPr="00C17D16">
        <w:rPr>
          <w:b/>
          <w:bCs/>
          <w:sz w:val="28"/>
          <w:lang w:val="lv-LV"/>
        </w:rPr>
        <w:t xml:space="preserve"> (anotācija)</w:t>
      </w:r>
    </w:p>
    <w:p w:rsidR="00757B05" w:rsidRPr="00764A0F" w:rsidRDefault="00757B05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333"/>
        <w:gridCol w:w="6203"/>
      </w:tblGrid>
      <w:tr w:rsidR="00AB6A7A" w:rsidRPr="00427A40" w:rsidTr="00A81C53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C17D16" w:rsidRDefault="00A162FE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C17D16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AB6A7A" w:rsidRPr="00427A40" w:rsidTr="00D07EC4">
        <w:trPr>
          <w:jc w:val="center"/>
        </w:trPr>
        <w:tc>
          <w:tcPr>
            <w:tcW w:w="32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1.</w:t>
            </w:r>
          </w:p>
        </w:tc>
        <w:tc>
          <w:tcPr>
            <w:tcW w:w="127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Pamatojums</w:t>
            </w:r>
          </w:p>
        </w:tc>
        <w:tc>
          <w:tcPr>
            <w:tcW w:w="3395" w:type="pct"/>
          </w:tcPr>
          <w:p w:rsidR="00A162FE" w:rsidRPr="00427A40" w:rsidRDefault="00585BD7" w:rsidP="008665A4">
            <w:pPr>
              <w:jc w:val="both"/>
              <w:rPr>
                <w:lang w:val="lv-LV"/>
              </w:rPr>
            </w:pPr>
            <w:r w:rsidRPr="00427A40">
              <w:rPr>
                <w:lang w:val="lv-LV"/>
              </w:rPr>
              <w:t>Pārtikas aprites uzraudzības likuma 21.</w:t>
            </w:r>
            <w:r w:rsidRPr="00427A40">
              <w:rPr>
                <w:vertAlign w:val="superscript"/>
                <w:lang w:val="lv-LV"/>
              </w:rPr>
              <w:t xml:space="preserve">1 </w:t>
            </w:r>
            <w:r w:rsidRPr="00427A40">
              <w:rPr>
                <w:lang w:val="lv-LV"/>
              </w:rPr>
              <w:t xml:space="preserve">panta devītā daļa, Veterinārmedicīnas likuma 12.pants un </w:t>
            </w:r>
            <w:r w:rsidRPr="00427A40">
              <w:rPr>
                <w:iCs/>
                <w:lang w:val="lv-LV"/>
              </w:rPr>
              <w:t xml:space="preserve">53.panta pirmās daļas 5.punkts, </w:t>
            </w:r>
            <w:r w:rsidRPr="00427A40">
              <w:rPr>
                <w:lang w:val="lv-LV"/>
              </w:rPr>
              <w:t>Dzīvnieku barības aprites likuma 3.panta ceturtā daļa, Likuma par budžetu un finanšu vadību 5.panta devītā daļa un Farmācijas likuma 12.panta otrā daļa</w:t>
            </w:r>
            <w:r w:rsidR="000F2EB4" w:rsidRPr="00427A40">
              <w:rPr>
                <w:lang w:val="lv-LV"/>
              </w:rPr>
              <w:t>.</w:t>
            </w:r>
          </w:p>
          <w:p w:rsidR="00493C90" w:rsidRPr="00427A40" w:rsidRDefault="00493C90" w:rsidP="008665A4">
            <w:pPr>
              <w:jc w:val="both"/>
              <w:rPr>
                <w:lang w:val="fr-FR"/>
              </w:rPr>
            </w:pPr>
            <w:r w:rsidRPr="00427A40">
              <w:rPr>
                <w:szCs w:val="28"/>
                <w:lang w:val="fr-FR"/>
              </w:rPr>
              <w:t>Ministru kabineta 2013.gada 3.decembra sēdes protokola Nr.64 21.§ 2.punkts.</w:t>
            </w:r>
          </w:p>
        </w:tc>
      </w:tr>
      <w:tr w:rsidR="00AB6A7A" w:rsidRPr="001A51C0" w:rsidTr="00D07EC4">
        <w:trPr>
          <w:jc w:val="center"/>
        </w:trPr>
        <w:tc>
          <w:tcPr>
            <w:tcW w:w="32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2.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395" w:type="pct"/>
          </w:tcPr>
          <w:p w:rsidR="00C30D24" w:rsidRPr="00C17D16" w:rsidRDefault="00171315" w:rsidP="00370D24">
            <w:pPr>
              <w:pStyle w:val="naislab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 w:rsidRPr="00C17D16">
              <w:rPr>
                <w:lang w:val="lv-LV"/>
              </w:rPr>
              <w:t xml:space="preserve">Patlaban </w:t>
            </w:r>
            <w:r w:rsidR="00C30D24" w:rsidRPr="00C17D16">
              <w:rPr>
                <w:lang w:val="lv-LV"/>
              </w:rPr>
              <w:t xml:space="preserve">ir </w:t>
            </w:r>
            <w:r w:rsidR="00500563">
              <w:rPr>
                <w:lang w:val="lv-LV"/>
              </w:rPr>
              <w:t>pieņemti</w:t>
            </w:r>
            <w:r w:rsidR="00C30D24" w:rsidRPr="00C17D16">
              <w:rPr>
                <w:lang w:val="lv-LV"/>
              </w:rPr>
              <w:t xml:space="preserve"> Ministru </w:t>
            </w:r>
            <w:r w:rsidR="00C30D24" w:rsidRPr="00500563">
              <w:rPr>
                <w:lang w:val="lv-LV"/>
              </w:rPr>
              <w:t xml:space="preserve">kabineta </w:t>
            </w:r>
            <w:r w:rsidR="00500563" w:rsidRPr="00500563">
              <w:rPr>
                <w:bCs/>
                <w:lang w:val="lv-LV"/>
              </w:rPr>
              <w:t xml:space="preserve">2013.gada </w:t>
            </w:r>
            <w:r w:rsidR="00500563" w:rsidRPr="00500563">
              <w:rPr>
                <w:lang w:val="lv-LV"/>
              </w:rPr>
              <w:t>8.okto</w:t>
            </w:r>
            <w:r w:rsidR="00500563">
              <w:rPr>
                <w:lang w:val="lv-LV"/>
              </w:rPr>
              <w:t>bra noteikumi</w:t>
            </w:r>
            <w:r w:rsidR="00500563" w:rsidRPr="00500563">
              <w:rPr>
                <w:lang w:val="lv-LV"/>
              </w:rPr>
              <w:t xml:space="preserve"> Nr.1083</w:t>
            </w:r>
            <w:r w:rsidR="00500563" w:rsidRPr="00500563">
              <w:rPr>
                <w:bCs/>
                <w:lang w:val="lv-LV"/>
              </w:rPr>
              <w:t xml:space="preserve"> „Kārtība, kādā veicama samaksa par Pārtikas un veterinārā dienesta valsts uzraudzības un kontroles darbībām un maksas pakalpojumiem</w:t>
            </w:r>
            <w:r w:rsidR="00C30D24" w:rsidRPr="00500563">
              <w:rPr>
                <w:bCs/>
                <w:lang w:val="lv-LV"/>
              </w:rPr>
              <w:t>”</w:t>
            </w:r>
            <w:r w:rsidR="000828B5" w:rsidRPr="00500563">
              <w:rPr>
                <w:bCs/>
                <w:lang w:val="lv-LV"/>
              </w:rPr>
              <w:t xml:space="preserve"> (turpmāk</w:t>
            </w:r>
            <w:r w:rsidR="000828B5" w:rsidRPr="00C17D16">
              <w:rPr>
                <w:bCs/>
                <w:lang w:val="lv-LV"/>
              </w:rPr>
              <w:t xml:space="preserve"> – noteikumi Nr.</w:t>
            </w:r>
            <w:r w:rsidR="00500563">
              <w:rPr>
                <w:bCs/>
                <w:lang w:val="lv-LV"/>
              </w:rPr>
              <w:t>1083), kas stāsies spēkā 2014.gada 1.janvārī.</w:t>
            </w:r>
          </w:p>
          <w:p w:rsidR="00EE5238" w:rsidRPr="00C17D16" w:rsidRDefault="00EE5238" w:rsidP="00370D24">
            <w:pPr>
              <w:pStyle w:val="naislab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 w:rsidRPr="00C17D16">
              <w:rPr>
                <w:lang w:val="lv-LV"/>
              </w:rPr>
              <w:t>Saskaņā ar Eiropas Komisijas 2008.gada 8.decembra Regulas Nr.1235/2008, ar ko nosaka sīki izstrādātus īstenošanas noteikumus Padomes Regulai (EK) Nr.834/2007 par bioloģisko produktu importēšanas kārtību no trešām valstīm</w:t>
            </w:r>
            <w:r w:rsidR="00A04FDE">
              <w:rPr>
                <w:lang w:val="lv-LV"/>
              </w:rPr>
              <w:t xml:space="preserve"> (turpmāk – Regula Nr.1235/2008)</w:t>
            </w:r>
            <w:r w:rsidRPr="00C17D16">
              <w:rPr>
                <w:lang w:val="lv-LV"/>
              </w:rPr>
              <w:t>, 19.panta 4. un 5.punktu dalībvalsts kompetentā iestāde var izsniegt atļaujas</w:t>
            </w:r>
            <w:r w:rsidR="00F957E4">
              <w:rPr>
                <w:lang w:val="lv-LV"/>
              </w:rPr>
              <w:t xml:space="preserve"> produktu ievešanai</w:t>
            </w:r>
            <w:r w:rsidRPr="00C17D16">
              <w:rPr>
                <w:lang w:val="lv-LV"/>
              </w:rPr>
              <w:t xml:space="preserve"> līdz 2014.gada 1.jūlijam, ja importējamie produkti ir preces, kuru bioloģisko ražošanu trešajā valstī ir kontrolējusi kontroles institūcija, kas nav iekļauta saskaņā ar Regulas Nr.1235/2208 10.pantu izveidotajā sarakstā.</w:t>
            </w:r>
          </w:p>
          <w:p w:rsidR="00D27570" w:rsidRPr="00F152B9" w:rsidRDefault="00687200" w:rsidP="00DC02AD">
            <w:pPr>
              <w:pStyle w:val="naiskr"/>
              <w:spacing w:before="0" w:beforeAutospacing="0" w:after="0" w:afterAutospacing="0"/>
              <w:ind w:left="28"/>
              <w:jc w:val="both"/>
              <w:rPr>
                <w:bCs/>
              </w:rPr>
            </w:pPr>
            <w:r>
              <w:t xml:space="preserve">Ministru kabineta 2013.gada 3.decembra sēdē ir pieņemti </w:t>
            </w:r>
            <w:r w:rsidR="006E6815" w:rsidRPr="00C17D16">
              <w:rPr>
                <w:bCs/>
              </w:rPr>
              <w:t>Ministru kabinet</w:t>
            </w:r>
            <w:r>
              <w:rPr>
                <w:bCs/>
              </w:rPr>
              <w:t>a</w:t>
            </w:r>
            <w:r w:rsidR="006E6815" w:rsidRPr="00C17D16">
              <w:rPr>
                <w:bCs/>
              </w:rPr>
              <w:t xml:space="preserve"> noteikumu projekt</w:t>
            </w:r>
            <w:r>
              <w:rPr>
                <w:bCs/>
              </w:rPr>
              <w:t>i</w:t>
            </w:r>
            <w:r w:rsidR="006E6815" w:rsidRPr="00C17D16">
              <w:rPr>
                <w:bCs/>
              </w:rPr>
              <w:t xml:space="preserve"> </w:t>
            </w:r>
            <w:r w:rsidR="006E6815" w:rsidRPr="00C17D16">
              <w:t xml:space="preserve">„Grozījumi Ministru kabineta 2009.gada 26.maija noteikumos Nr.485 „Bioloģiskās lauksaimniecības uzraudzības un kontroles kārtība””, kas </w:t>
            </w:r>
            <w:r w:rsidR="006E6815" w:rsidRPr="00C17D16">
              <w:rPr>
                <w:iCs/>
              </w:rPr>
              <w:t>nosaka</w:t>
            </w:r>
            <w:r w:rsidR="00AD2968" w:rsidRPr="00C17D16">
              <w:rPr>
                <w:iCs/>
              </w:rPr>
              <w:t xml:space="preserve"> </w:t>
            </w:r>
            <w:r w:rsidR="00AD2968" w:rsidRPr="00C17D16">
              <w:t xml:space="preserve">kārtību, kādā </w:t>
            </w:r>
            <w:r w:rsidR="00B32C5E">
              <w:t xml:space="preserve">Pārtikas un veterinārais </w:t>
            </w:r>
            <w:r w:rsidR="00AD2968" w:rsidRPr="00C17D16">
              <w:t xml:space="preserve">dienests </w:t>
            </w:r>
            <w:r w:rsidR="001A20CC">
              <w:t xml:space="preserve">(turpmāk – dienests) </w:t>
            </w:r>
            <w:r w:rsidR="00AD2968" w:rsidRPr="00C17D16">
              <w:t>izsniedz atļauj</w:t>
            </w:r>
            <w:r w:rsidR="001928EE">
              <w:t>u</w:t>
            </w:r>
            <w:r w:rsidR="00AD2968" w:rsidRPr="00C17D16">
              <w:t xml:space="preserve"> bioloģiskās lauksaimniecības produkt</w:t>
            </w:r>
            <w:r w:rsidR="00DC02AD">
              <w:t>u importam no trešajām valstīm</w:t>
            </w:r>
            <w:r w:rsidR="00F44EE3">
              <w:t>,</w:t>
            </w:r>
            <w:r w:rsidR="00DC02AD">
              <w:t xml:space="preserve"> un </w:t>
            </w:r>
            <w:r w:rsidR="00DC02AD" w:rsidRPr="00C17D16">
              <w:rPr>
                <w:bCs/>
              </w:rPr>
              <w:t>„Grozījum</w:t>
            </w:r>
            <w:r w:rsidR="00DC02AD">
              <w:rPr>
                <w:bCs/>
              </w:rPr>
              <w:t>s</w:t>
            </w:r>
            <w:r w:rsidR="00DC02AD" w:rsidRPr="00C17D16">
              <w:rPr>
                <w:bCs/>
              </w:rPr>
              <w:t xml:space="preserve"> Ministru kabineta 2010.gada </w:t>
            </w:r>
            <w:r w:rsidR="00DC02AD" w:rsidRPr="00C17D16">
              <w:t>28.decembra noteikumos Nr.1231</w:t>
            </w:r>
            <w:r w:rsidR="00DC02AD" w:rsidRPr="00C17D16">
              <w:rPr>
                <w:bCs/>
              </w:rPr>
              <w:t xml:space="preserve"> „Noteikumi par Pārtikas un veterinārā dienesta veikto valsts uzraudzības un kontroles darbību un sniegto maksas </w:t>
            </w:r>
            <w:r w:rsidR="00DC02AD" w:rsidRPr="00F152B9">
              <w:rPr>
                <w:bCs/>
              </w:rPr>
              <w:t>pakalpojumu samaksu””</w:t>
            </w:r>
            <w:r w:rsidR="00F44EE3">
              <w:rPr>
                <w:bCs/>
              </w:rPr>
              <w:t xml:space="preserve"> (turpmāk – noteikumi Nr.1231)</w:t>
            </w:r>
            <w:r w:rsidR="00DC02AD" w:rsidRPr="00F152B9">
              <w:rPr>
                <w:bCs/>
              </w:rPr>
              <w:t>, kas nosaka</w:t>
            </w:r>
            <w:r w:rsidR="00AD2968" w:rsidRPr="00F152B9">
              <w:rPr>
                <w:bCs/>
              </w:rPr>
              <w:t xml:space="preserve"> maks</w:t>
            </w:r>
            <w:r w:rsidR="0009451A" w:rsidRPr="00F152B9">
              <w:rPr>
                <w:bCs/>
              </w:rPr>
              <w:t>as apmēru</w:t>
            </w:r>
            <w:r w:rsidR="00AD2968" w:rsidRPr="00F152B9">
              <w:rPr>
                <w:bCs/>
              </w:rPr>
              <w:t xml:space="preserve"> par minētās atļaujas sagatavošanu un izsniegšanu.</w:t>
            </w:r>
          </w:p>
          <w:p w:rsidR="00DC02AD" w:rsidRPr="00603C0B" w:rsidRDefault="0039201C" w:rsidP="00603C0B">
            <w:pPr>
              <w:pStyle w:val="naiskr"/>
              <w:spacing w:before="0" w:beforeAutospacing="0" w:after="0" w:afterAutospacing="0"/>
              <w:ind w:left="28"/>
              <w:jc w:val="both"/>
              <w:rPr>
                <w:bCs/>
              </w:rPr>
            </w:pPr>
            <w:r w:rsidRPr="00F152B9">
              <w:rPr>
                <w:bCs/>
              </w:rPr>
              <w:t>Noteikumi Nr.1231 ir spēkā līdz 2013.gada 31.decembrim. Ar 2014.gada 1.janvāri stājas spēkā noteikumi Nr.1083</w:t>
            </w:r>
            <w:r w:rsidR="00F44EE3">
              <w:rPr>
                <w:bCs/>
              </w:rPr>
              <w:t>,</w:t>
            </w:r>
            <w:r w:rsidRPr="00F152B9">
              <w:rPr>
                <w:bCs/>
              </w:rPr>
              <w:t xml:space="preserve"> </w:t>
            </w:r>
            <w:r w:rsidR="00F44EE3">
              <w:rPr>
                <w:bCs/>
              </w:rPr>
              <w:t>kurus</w:t>
            </w:r>
            <w:r w:rsidRPr="00F152B9">
              <w:rPr>
                <w:bCs/>
              </w:rPr>
              <w:t xml:space="preserve"> n</w:t>
            </w:r>
            <w:r w:rsidR="00DC02AD" w:rsidRPr="00F152B9">
              <w:rPr>
                <w:bCs/>
              </w:rPr>
              <w:t xml:space="preserve">epieciešams grozīt, lai </w:t>
            </w:r>
            <w:r w:rsidRPr="00F152B9">
              <w:rPr>
                <w:bCs/>
              </w:rPr>
              <w:t xml:space="preserve">saskaņotu normatīvos aktus un </w:t>
            </w:r>
            <w:r w:rsidR="00DC02AD" w:rsidRPr="00F152B9">
              <w:rPr>
                <w:bCs/>
              </w:rPr>
              <w:t xml:space="preserve">noteiktu maksas apmēru par atļaujas </w:t>
            </w:r>
            <w:r w:rsidR="00DC02AD" w:rsidRPr="00F152B9">
              <w:t xml:space="preserve">bioloģiskās lauksaimniecības produktu importam no trešajām valstīm </w:t>
            </w:r>
            <w:r w:rsidR="00DC02AD" w:rsidRPr="00F152B9">
              <w:rPr>
                <w:bCs/>
              </w:rPr>
              <w:t>sagatavošanu un izsniegšanu</w:t>
            </w:r>
            <w:r w:rsidRPr="00F152B9">
              <w:rPr>
                <w:bCs/>
              </w:rPr>
              <w:t xml:space="preserve">, kas būtu spēkā arī pēc </w:t>
            </w:r>
            <w:r w:rsidR="003920BA" w:rsidRPr="00F152B9">
              <w:rPr>
                <w:bCs/>
              </w:rPr>
              <w:t>tam, kad 2013.gada 31.decembrī noteikumi Nr.1231 zaudēs spēku.</w:t>
            </w:r>
          </w:p>
          <w:p w:rsidR="00603C0B" w:rsidRPr="008F225E" w:rsidRDefault="001C37DF" w:rsidP="00603C0B">
            <w:pPr>
              <w:jc w:val="both"/>
              <w:rPr>
                <w:lang w:val="lv-LV"/>
              </w:rPr>
            </w:pPr>
            <w:r w:rsidRPr="008F225E">
              <w:rPr>
                <w:lang w:val="lv-LV"/>
              </w:rPr>
              <w:lastRenderedPageBreak/>
              <w:t xml:space="preserve">Noteikumos Nr.1231 noteiktā pakalpojuma cena latos noteikumos Nr.1083 tiks aizstāta ar cenu </w:t>
            </w:r>
            <w:proofErr w:type="spellStart"/>
            <w:r w:rsidRPr="008F225E">
              <w:rPr>
                <w:i/>
                <w:iCs/>
                <w:lang w:val="lv-LV"/>
              </w:rPr>
              <w:t>euro</w:t>
            </w:r>
            <w:proofErr w:type="spellEnd"/>
            <w:r w:rsidRPr="008F225E">
              <w:rPr>
                <w:i/>
                <w:iCs/>
                <w:lang w:val="lv-LV"/>
              </w:rPr>
              <w:t xml:space="preserve"> </w:t>
            </w:r>
            <w:r w:rsidRPr="008F225E">
              <w:rPr>
                <w:lang w:val="lv-LV"/>
              </w:rPr>
              <w:t xml:space="preserve">atbilstoši </w:t>
            </w:r>
            <w:proofErr w:type="spellStart"/>
            <w:r w:rsidRPr="008F225E">
              <w:rPr>
                <w:i/>
                <w:iCs/>
                <w:lang w:val="lv-LV"/>
              </w:rPr>
              <w:t>Euro</w:t>
            </w:r>
            <w:proofErr w:type="spellEnd"/>
            <w:r w:rsidRPr="008F225E">
              <w:rPr>
                <w:i/>
                <w:iCs/>
                <w:lang w:val="lv-LV"/>
              </w:rPr>
              <w:t xml:space="preserve"> </w:t>
            </w:r>
            <w:r w:rsidRPr="008F225E">
              <w:rPr>
                <w:lang w:val="lv-LV"/>
              </w:rPr>
              <w:t>ieviešanas kārtības likuma 6.pantā paredzētajam principam, kas balstīts uz Eiropas Savienības Padomes noteikto valūtas maiņas kursu un matemā</w:t>
            </w:r>
            <w:r w:rsidR="00603C0B" w:rsidRPr="008F225E">
              <w:rPr>
                <w:lang w:val="lv-LV"/>
              </w:rPr>
              <w:t>tiskās noapaļošanas principiem.</w:t>
            </w:r>
          </w:p>
          <w:p w:rsidR="001C37DF" w:rsidRPr="00603C0B" w:rsidRDefault="00603C0B" w:rsidP="00603C0B">
            <w:pPr>
              <w:jc w:val="both"/>
              <w:rPr>
                <w:lang w:val="lv-LV"/>
              </w:rPr>
            </w:pPr>
            <w:r w:rsidRPr="008F225E">
              <w:rPr>
                <w:bCs/>
                <w:lang w:val="lv-LV"/>
              </w:rPr>
              <w:t xml:space="preserve">Ministru kabineta </w:t>
            </w:r>
            <w:r w:rsidRPr="008F225E">
              <w:rPr>
                <w:lang w:val="lv-LV"/>
              </w:rPr>
              <w:t xml:space="preserve">2013.gada 3.decembra </w:t>
            </w:r>
            <w:r w:rsidRPr="008F225E">
              <w:rPr>
                <w:bCs/>
                <w:lang w:val="lv-LV"/>
              </w:rPr>
              <w:t>noteikumu Nr.1381 „</w:t>
            </w:r>
            <w:r w:rsidRPr="008F225E">
              <w:rPr>
                <w:lang w:val="lv-LV"/>
              </w:rPr>
              <w:t>Grozījums Ministru kabineta 2010.gada 28.decembra noteikumos Nr.1231 „</w:t>
            </w:r>
            <w:hyperlink r:id="rId8" w:tgtFrame="_blank" w:history="1">
              <w:r w:rsidRPr="008F225E">
                <w:rPr>
                  <w:lang w:val="lv-LV"/>
                </w:rPr>
                <w:t>Noteikumi par Pārtikas un veterinārā dienesta veikto valsts uzraudzības un kontroles darbību un sniegto maksas pakalpojumu samaksu</w:t>
              </w:r>
            </w:hyperlink>
            <w:r w:rsidRPr="008F225E">
              <w:rPr>
                <w:lang w:val="lv-LV"/>
              </w:rPr>
              <w:t xml:space="preserve">” 2.punkts </w:t>
            </w:r>
            <w:r w:rsidR="00F44EE3" w:rsidRPr="008F225E">
              <w:rPr>
                <w:lang w:val="lv-LV"/>
              </w:rPr>
              <w:t>paredz</w:t>
            </w:r>
            <w:r w:rsidRPr="008F225E">
              <w:rPr>
                <w:lang w:val="lv-LV"/>
              </w:rPr>
              <w:t xml:space="preserve">, ka noteiktās maksas </w:t>
            </w:r>
            <w:r w:rsidRPr="008F225E">
              <w:rPr>
                <w:bCs/>
                <w:lang w:val="lv-LV"/>
              </w:rPr>
              <w:t xml:space="preserve">par atļaujas </w:t>
            </w:r>
            <w:r w:rsidRPr="008F225E">
              <w:rPr>
                <w:lang w:val="lv-LV"/>
              </w:rPr>
              <w:t xml:space="preserve">bioloģiskās lauksaimniecības produktu importam no trešajām valstīm </w:t>
            </w:r>
            <w:r w:rsidRPr="008F225E">
              <w:rPr>
                <w:bCs/>
                <w:lang w:val="lv-LV"/>
              </w:rPr>
              <w:t>sagatavošanu un izsniegšanu</w:t>
            </w:r>
            <w:r w:rsidRPr="008F225E">
              <w:rPr>
                <w:lang w:val="lv-LV"/>
              </w:rPr>
              <w:t xml:space="preserve"> summa latos (Ls 249,50) atbilst 355 </w:t>
            </w:r>
            <w:proofErr w:type="spellStart"/>
            <w:r w:rsidRPr="008F225E">
              <w:rPr>
                <w:i/>
                <w:iCs/>
                <w:lang w:val="lv-LV"/>
              </w:rPr>
              <w:t>euro</w:t>
            </w:r>
            <w:proofErr w:type="spellEnd"/>
            <w:r w:rsidRPr="008F225E">
              <w:rPr>
                <w:lang w:val="lv-LV"/>
              </w:rPr>
              <w:t>.</w:t>
            </w:r>
          </w:p>
        </w:tc>
      </w:tr>
      <w:tr w:rsidR="00AB6A7A" w:rsidRPr="00C17D16" w:rsidTr="00D07EC4">
        <w:trPr>
          <w:jc w:val="center"/>
        </w:trPr>
        <w:tc>
          <w:tcPr>
            <w:tcW w:w="32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395" w:type="pct"/>
          </w:tcPr>
          <w:p w:rsidR="00A162FE" w:rsidRPr="00C17D16" w:rsidRDefault="00384564" w:rsidP="008665A4">
            <w:pPr>
              <w:jc w:val="both"/>
              <w:rPr>
                <w:highlight w:val="yellow"/>
                <w:lang w:val="lv-LV" w:eastAsia="lv-LV"/>
              </w:rPr>
            </w:pPr>
            <w:r w:rsidRPr="00C17D16">
              <w:rPr>
                <w:iCs/>
                <w:lang w:val="lv-LV"/>
              </w:rPr>
              <w:t>Projekts šo jomu neskar</w:t>
            </w:r>
            <w:r w:rsidRPr="00C17D16">
              <w:rPr>
                <w:lang w:val="lv-LV"/>
              </w:rPr>
              <w:t>.</w:t>
            </w:r>
          </w:p>
        </w:tc>
      </w:tr>
      <w:tr w:rsidR="00AB6A7A" w:rsidRPr="00427A40" w:rsidTr="00D07EC4">
        <w:trPr>
          <w:jc w:val="center"/>
        </w:trPr>
        <w:tc>
          <w:tcPr>
            <w:tcW w:w="32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4.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395" w:type="pct"/>
          </w:tcPr>
          <w:p w:rsidR="00895210" w:rsidRDefault="007677EC" w:rsidP="008665A4">
            <w:pPr>
              <w:jc w:val="both"/>
              <w:rPr>
                <w:lang w:val="lv-LV"/>
              </w:rPr>
            </w:pPr>
            <w:r w:rsidRPr="00E13A80">
              <w:rPr>
                <w:lang w:val="lv-LV"/>
              </w:rPr>
              <w:t xml:space="preserve">Sagatavots Ministru kabineta noteikumu projekts </w:t>
            </w:r>
            <w:r w:rsidRPr="00E13A80">
              <w:rPr>
                <w:bCs/>
                <w:lang w:val="lv-LV"/>
              </w:rPr>
              <w:t>„</w:t>
            </w:r>
            <w:r w:rsidR="00E13A80" w:rsidRPr="00E13A80">
              <w:rPr>
                <w:bCs/>
                <w:lang w:val="lv-LV"/>
              </w:rPr>
              <w:t xml:space="preserve">Grozījums Ministru kabineta 2013.gada </w:t>
            </w:r>
            <w:r w:rsidR="00E13A80" w:rsidRPr="00E13A80">
              <w:rPr>
                <w:lang w:val="lv-LV"/>
              </w:rPr>
              <w:t>8.oktobra noteikumos Nr.1083</w:t>
            </w:r>
            <w:r w:rsidR="00E13A80" w:rsidRPr="00E13A80">
              <w:rPr>
                <w:bCs/>
                <w:lang w:val="lv-LV"/>
              </w:rPr>
              <w:t xml:space="preserve"> „Kārtība, kādā veicama samaksa par Pārtikas un veterinārā dienesta valsts uzraudzības un kontroles darbībām un maksas pakalpojumiem””</w:t>
            </w:r>
            <w:r w:rsidR="00FF3355" w:rsidRPr="00E13A80">
              <w:rPr>
                <w:bCs/>
                <w:lang w:val="lv-LV"/>
              </w:rPr>
              <w:t xml:space="preserve"> (turpmāk – noteikumu projekts)</w:t>
            </w:r>
            <w:r w:rsidR="0009451A" w:rsidRPr="00E13A80">
              <w:rPr>
                <w:bCs/>
                <w:lang w:val="lv-LV"/>
              </w:rPr>
              <w:t xml:space="preserve">, kas nosaka maksas apmēru </w:t>
            </w:r>
            <w:r w:rsidR="00017BED" w:rsidRPr="00E13A80">
              <w:rPr>
                <w:bCs/>
                <w:lang w:val="lv-LV"/>
              </w:rPr>
              <w:t>par</w:t>
            </w:r>
            <w:r w:rsidR="00017BED" w:rsidRPr="00E13A80">
              <w:rPr>
                <w:lang w:val="lv-LV"/>
              </w:rPr>
              <w:t xml:space="preserve"> atļaujas</w:t>
            </w:r>
            <w:r w:rsidR="00017BED" w:rsidRPr="00E13A80">
              <w:rPr>
                <w:bCs/>
                <w:lang w:val="lv-LV"/>
              </w:rPr>
              <w:t xml:space="preserve"> sagatavošanu un izsniegšanu</w:t>
            </w:r>
            <w:r w:rsidR="00017BED" w:rsidRPr="00E13A80">
              <w:rPr>
                <w:lang w:val="lv-LV"/>
              </w:rPr>
              <w:t xml:space="preserve"> bioloģiskās lauksaimniecības produktu importam no trešajām valstīm</w:t>
            </w:r>
            <w:r w:rsidR="006C4CEB">
              <w:rPr>
                <w:lang w:val="lv-LV"/>
              </w:rPr>
              <w:t xml:space="preserve"> </w:t>
            </w:r>
            <w:proofErr w:type="spellStart"/>
            <w:r w:rsidR="006C4CEB" w:rsidRPr="006C4CEB">
              <w:rPr>
                <w:i/>
                <w:lang w:val="lv-LV"/>
              </w:rPr>
              <w:t>euro</w:t>
            </w:r>
            <w:proofErr w:type="spellEnd"/>
            <w:r w:rsidR="006C4CEB">
              <w:rPr>
                <w:lang w:val="lv-LV"/>
              </w:rPr>
              <w:t xml:space="preserve"> valūtā.</w:t>
            </w:r>
          </w:p>
          <w:p w:rsidR="00A04FDE" w:rsidRPr="00E13A80" w:rsidRDefault="00A04FDE" w:rsidP="008665A4">
            <w:pPr>
              <w:jc w:val="both"/>
              <w:rPr>
                <w:lang w:val="lv-LV"/>
              </w:rPr>
            </w:pPr>
            <w:r w:rsidRPr="00E13A80">
              <w:rPr>
                <w:lang w:val="lv-LV"/>
              </w:rPr>
              <w:t>D</w:t>
            </w:r>
            <w:r w:rsidR="00CB49C9" w:rsidRPr="00E13A80">
              <w:rPr>
                <w:lang w:val="lv-LV"/>
              </w:rPr>
              <w:t xml:space="preserve">ienesta </w:t>
            </w:r>
            <w:r w:rsidRPr="00E13A80">
              <w:rPr>
                <w:lang w:val="lv-LV"/>
              </w:rPr>
              <w:t xml:space="preserve">sniegtajam </w:t>
            </w:r>
            <w:r w:rsidR="00CB49C9" w:rsidRPr="00E13A80">
              <w:rPr>
                <w:lang w:val="lv-LV"/>
              </w:rPr>
              <w:t>pakalpojum</w:t>
            </w:r>
            <w:r w:rsidRPr="00E13A80">
              <w:rPr>
                <w:lang w:val="lv-LV"/>
              </w:rPr>
              <w:t>a</w:t>
            </w:r>
            <w:r w:rsidR="00CB49C9" w:rsidRPr="00E13A80">
              <w:rPr>
                <w:lang w:val="lv-LV"/>
              </w:rPr>
              <w:t xml:space="preserve">m </w:t>
            </w:r>
            <w:r w:rsidRPr="00E13A80">
              <w:rPr>
                <w:lang w:val="lv-LV"/>
              </w:rPr>
              <w:t xml:space="preserve">– atļaujas izsniegšanai – </w:t>
            </w:r>
            <w:r w:rsidR="00CB49C9" w:rsidRPr="00E13A80">
              <w:rPr>
                <w:lang w:val="lv-LV"/>
              </w:rPr>
              <w:t>nepiemēro</w:t>
            </w:r>
            <w:r w:rsidRPr="00E13A80">
              <w:rPr>
                <w:lang w:val="lv-LV"/>
              </w:rPr>
              <w:t>s</w:t>
            </w:r>
            <w:r w:rsidR="00CB49C9" w:rsidRPr="00E13A80">
              <w:rPr>
                <w:lang w:val="lv-LV"/>
              </w:rPr>
              <w:t xml:space="preserve"> pievienotās vērtības nodokli saskaņā ar Pievienotās vērtības nodokļa likuma 3.panta astoto daļu, </w:t>
            </w:r>
            <w:r w:rsidRPr="00E13A80">
              <w:rPr>
                <w:lang w:val="lv-LV"/>
              </w:rPr>
              <w:t>jo pakalpojums tiek sniegts valsts pārvaldes uzdevumu ietvaros. Saskaņā ar Regulas Nr.1235/2008 19.panta 4. un 5.punktu atļaujas bioloģiskās lauksaimniecības produktu ievešanai var izsniegt dalībvalsts kompetentā iestāde.</w:t>
            </w:r>
            <w:r w:rsidR="00921A4E" w:rsidRPr="00E13A80">
              <w:rPr>
                <w:lang w:val="lv-LV"/>
              </w:rPr>
              <w:t xml:space="preserve"> Pārtikas aprites uzraudzības likums nosaka, ka Latvijā kompetentā iestāde ir dienests – likuma 21.panta otrās daļas 4.punkta „c” apakšpunkts nosaka, ka dienesta funkcija ir izsniegt atļauju bioloģiskās lauksaimniecības produktu importam no trešajām valstīm.</w:t>
            </w:r>
          </w:p>
          <w:p w:rsidR="00A162FE" w:rsidRPr="00C17D16" w:rsidRDefault="00714A46" w:rsidP="0020271B">
            <w:pPr>
              <w:jc w:val="both"/>
              <w:rPr>
                <w:highlight w:val="yellow"/>
                <w:lang w:val="lv-LV"/>
              </w:rPr>
            </w:pPr>
            <w:r w:rsidRPr="00E13A80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B6A7A" w:rsidRPr="00C17D16" w:rsidTr="00D07EC4">
        <w:trPr>
          <w:jc w:val="center"/>
        </w:trPr>
        <w:tc>
          <w:tcPr>
            <w:tcW w:w="32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5.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95" w:type="pct"/>
          </w:tcPr>
          <w:p w:rsidR="00A162FE" w:rsidRPr="00C17D16" w:rsidRDefault="00E94440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iCs/>
                <w:lang w:val="lv-LV"/>
              </w:rPr>
              <w:t>P</w:t>
            </w:r>
            <w:r w:rsidR="00846F1D" w:rsidRPr="00C17D16">
              <w:rPr>
                <w:iCs/>
                <w:lang w:val="lv-LV"/>
              </w:rPr>
              <w:t>ārtikas un veterinārais dienests</w:t>
            </w:r>
          </w:p>
        </w:tc>
      </w:tr>
      <w:tr w:rsidR="00AB6A7A" w:rsidRPr="001A51C0" w:rsidTr="00D07EC4">
        <w:trPr>
          <w:jc w:val="center"/>
        </w:trPr>
        <w:tc>
          <w:tcPr>
            <w:tcW w:w="32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6.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395" w:type="pct"/>
          </w:tcPr>
          <w:p w:rsidR="00A162FE" w:rsidRPr="00A629CB" w:rsidRDefault="00484F34" w:rsidP="00DD3B1F">
            <w:pPr>
              <w:jc w:val="both"/>
              <w:rPr>
                <w:lang w:val="lv-LV" w:eastAsia="lv-LV"/>
              </w:rPr>
            </w:pPr>
            <w:r w:rsidRPr="00484F34">
              <w:rPr>
                <w:lang w:val="lv-LV" w:eastAsia="lv-LV"/>
              </w:rPr>
              <w:t xml:space="preserve">Sabiedrības līdzdalība tika nodrošināta </w:t>
            </w:r>
            <w:r w:rsidRPr="00484F34">
              <w:rPr>
                <w:bCs/>
                <w:lang w:val="lv-LV"/>
              </w:rPr>
              <w:t xml:space="preserve">Ministru kabineta noteikumu projektu </w:t>
            </w:r>
            <w:r w:rsidRPr="00484F34">
              <w:rPr>
                <w:lang w:val="lv-LV"/>
              </w:rPr>
              <w:t xml:space="preserve">„Grozījumi Ministru kabineta 2009.gada 26.maija noteikumos Nr.485 „Bioloģiskās lauksaimniecības uzraudzības un kontroles kārtība”” (izsludināts Valsts sekretāru sanāksmē 2013.gada 22.augustā (VSS – 1658)) sagatavošanas </w:t>
            </w:r>
            <w:r w:rsidR="00AC7B78">
              <w:rPr>
                <w:lang w:val="lv-LV"/>
              </w:rPr>
              <w:t>gaitā</w:t>
            </w:r>
            <w:r w:rsidRPr="00484F34">
              <w:rPr>
                <w:lang w:val="lv-LV"/>
              </w:rPr>
              <w:t>.</w:t>
            </w:r>
            <w:r w:rsidR="009B1E2A">
              <w:rPr>
                <w:lang w:val="lv-LV"/>
              </w:rPr>
              <w:t xml:space="preserve"> </w:t>
            </w:r>
            <w:r w:rsidR="00DD3B1F">
              <w:rPr>
                <w:lang w:val="lv-LV"/>
              </w:rPr>
              <w:t xml:space="preserve">Minētā projekta anotācijā tika norādīts, ka maksa par </w:t>
            </w:r>
            <w:r w:rsidR="00DD3B1F" w:rsidRPr="00C17D16">
              <w:rPr>
                <w:lang w:val="lv-LV"/>
              </w:rPr>
              <w:t>atļaujas</w:t>
            </w:r>
            <w:r w:rsidR="00DD3B1F" w:rsidRPr="00C17D16">
              <w:rPr>
                <w:bCs/>
                <w:lang w:val="lv-LV"/>
              </w:rPr>
              <w:t xml:space="preserve"> sagatavošanu un izsniegšanu</w:t>
            </w:r>
            <w:r w:rsidR="00DD3B1F" w:rsidRPr="00C17D16">
              <w:rPr>
                <w:lang w:val="lv-LV"/>
              </w:rPr>
              <w:t xml:space="preserve"> bioloģiskās lauksaimniecības produktu importam no trešajām valstīm</w:t>
            </w:r>
            <w:r w:rsidR="00DD3B1F">
              <w:rPr>
                <w:lang w:val="lv-LV"/>
              </w:rPr>
              <w:t xml:space="preserve"> ir plānota Ls 250,00 apmērā. </w:t>
            </w:r>
            <w:r w:rsidR="007A0476">
              <w:rPr>
                <w:lang w:val="lv-LV"/>
              </w:rPr>
              <w:t xml:space="preserve">Šis projekts </w:t>
            </w:r>
            <w:r w:rsidR="00A629CB">
              <w:rPr>
                <w:lang w:val="lv-LV"/>
              </w:rPr>
              <w:t xml:space="preserve">tika saskaņots ar </w:t>
            </w:r>
            <w:r w:rsidR="00A629CB" w:rsidRPr="00A629CB">
              <w:rPr>
                <w:lang w:val="lv-LV"/>
              </w:rPr>
              <w:t>biedrīb</w:t>
            </w:r>
            <w:r w:rsidR="00A629CB">
              <w:rPr>
                <w:lang w:val="lv-LV"/>
              </w:rPr>
              <w:t>u</w:t>
            </w:r>
            <w:r w:rsidR="00A629CB" w:rsidRPr="00A629CB">
              <w:rPr>
                <w:lang w:val="lv-LV"/>
              </w:rPr>
              <w:t xml:space="preserve"> „</w:t>
            </w:r>
            <w:r w:rsidR="00A629CB" w:rsidRPr="00A629CB">
              <w:rPr>
                <w:noProof/>
                <w:lang w:val="lv-LV"/>
              </w:rPr>
              <w:t xml:space="preserve">Lauksaimnieku organizāciju sadarbības padome” un </w:t>
            </w:r>
            <w:r w:rsidR="00A629CB" w:rsidRPr="00A629CB">
              <w:rPr>
                <w:noProof/>
                <w:lang w:val="lv-LV"/>
              </w:rPr>
              <w:lastRenderedPageBreak/>
              <w:t>ievietots Zemkopības ministrijas tīmekļa vietnē.</w:t>
            </w:r>
          </w:p>
        </w:tc>
      </w:tr>
      <w:tr w:rsidR="00AB6A7A" w:rsidRPr="00C17D16" w:rsidTr="00D07EC4">
        <w:trPr>
          <w:jc w:val="center"/>
        </w:trPr>
        <w:tc>
          <w:tcPr>
            <w:tcW w:w="327" w:type="pct"/>
          </w:tcPr>
          <w:p w:rsidR="00A162FE" w:rsidRPr="00C17D16" w:rsidRDefault="00A162FE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lastRenderedPageBreak/>
              <w:t>7.</w:t>
            </w:r>
          </w:p>
        </w:tc>
        <w:tc>
          <w:tcPr>
            <w:tcW w:w="1277" w:type="pct"/>
          </w:tcPr>
          <w:p w:rsidR="00A162FE" w:rsidRPr="00C17D16" w:rsidRDefault="00A162FE" w:rsidP="004F4421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Cita informācija</w:t>
            </w:r>
          </w:p>
        </w:tc>
        <w:tc>
          <w:tcPr>
            <w:tcW w:w="3395" w:type="pct"/>
          </w:tcPr>
          <w:p w:rsidR="005E61B9" w:rsidRPr="00C17D16" w:rsidRDefault="00004E69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/>
              </w:rPr>
              <w:t>Nav</w:t>
            </w:r>
            <w:r w:rsidR="005E61B9" w:rsidRPr="00C17D16">
              <w:rPr>
                <w:rStyle w:val="Izteiksmgs"/>
                <w:b w:val="0"/>
                <w:lang w:val="lv-LV"/>
              </w:rPr>
              <w:t>.</w:t>
            </w:r>
          </w:p>
        </w:tc>
      </w:tr>
      <w:tr w:rsidR="00AB6A7A" w:rsidRPr="00C17D16" w:rsidTr="00C5559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C17D16" w:rsidRDefault="008F3459" w:rsidP="00490DB2">
            <w:pPr>
              <w:jc w:val="center"/>
              <w:rPr>
                <w:sz w:val="28"/>
                <w:lang w:val="lv-LV"/>
              </w:rPr>
            </w:pPr>
            <w:r w:rsidRPr="00C17D16">
              <w:rPr>
                <w:b/>
                <w:lang w:val="lv-LV"/>
              </w:rPr>
              <w:t>II. Tiesību akta projekta ietekme uz sabiedrību</w:t>
            </w:r>
          </w:p>
        </w:tc>
      </w:tr>
      <w:tr w:rsidR="00A02E05" w:rsidRPr="001A51C0" w:rsidTr="00C5559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E05" w:rsidRPr="00C17D16" w:rsidRDefault="00A02E05" w:rsidP="00B90944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1.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E05" w:rsidRPr="00C17D16" w:rsidRDefault="00A02E05" w:rsidP="00B90944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Sabiedrības mērķgrupa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2E05" w:rsidRPr="00C17D16" w:rsidRDefault="008A431F" w:rsidP="008A431F">
            <w:pPr>
              <w:jc w:val="both"/>
              <w:rPr>
                <w:lang w:val="lv-LV"/>
              </w:rPr>
            </w:pPr>
            <w:r w:rsidRPr="008A431F">
              <w:rPr>
                <w:lang w:val="lv-LV"/>
              </w:rPr>
              <w:t xml:space="preserve">Noteikumu projekts attiecas uz uzņēmējiem, kas vēlēsies ievest </w:t>
            </w:r>
            <w:r w:rsidR="00A02E05" w:rsidRPr="008A431F">
              <w:rPr>
                <w:lang w:val="lv-LV"/>
              </w:rPr>
              <w:t xml:space="preserve">bioloģiskās lauksaimniecības </w:t>
            </w:r>
            <w:r w:rsidRPr="008A431F">
              <w:rPr>
                <w:lang w:val="lv-LV"/>
              </w:rPr>
              <w:t>produktus no</w:t>
            </w:r>
            <w:r w:rsidR="00A02E05" w:rsidRPr="008A431F">
              <w:rPr>
                <w:lang w:val="lv-LV"/>
              </w:rPr>
              <w:t xml:space="preserve"> trešajā</w:t>
            </w:r>
            <w:r w:rsidRPr="008A431F">
              <w:rPr>
                <w:lang w:val="lv-LV"/>
              </w:rPr>
              <w:t>m</w:t>
            </w:r>
            <w:r w:rsidR="00A02E05" w:rsidRPr="008A431F">
              <w:rPr>
                <w:lang w:val="lv-LV"/>
              </w:rPr>
              <w:t xml:space="preserve"> valstī</w:t>
            </w:r>
            <w:r w:rsidRPr="008A431F">
              <w:rPr>
                <w:lang w:val="lv-LV"/>
              </w:rPr>
              <w:t>m.</w:t>
            </w:r>
          </w:p>
        </w:tc>
      </w:tr>
      <w:tr w:rsidR="00AB6A7A" w:rsidRPr="00C17D16" w:rsidTr="00C5559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C5559A">
            <w:pPr>
              <w:jc w:val="center"/>
              <w:rPr>
                <w:lang w:val="lv-LV"/>
              </w:rPr>
            </w:pPr>
            <w:r w:rsidRPr="00C17D16">
              <w:rPr>
                <w:lang w:val="lv-LV"/>
              </w:rPr>
              <w:t>2.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C5559A">
            <w:pPr>
              <w:widowControl w:val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C17D16" w:rsidRDefault="00384564" w:rsidP="00C5559A">
            <w:pPr>
              <w:widowControl w:val="0"/>
              <w:jc w:val="both"/>
              <w:rPr>
                <w:lang w:val="lv-LV"/>
              </w:rPr>
            </w:pPr>
            <w:r w:rsidRPr="00C17D16">
              <w:rPr>
                <w:iCs/>
                <w:lang w:val="lv-LV"/>
              </w:rPr>
              <w:t>Projekts šo jomu neskar</w:t>
            </w:r>
            <w:r w:rsidRPr="00C17D16">
              <w:rPr>
                <w:lang w:val="lv-LV"/>
              </w:rPr>
              <w:t>.</w:t>
            </w:r>
          </w:p>
        </w:tc>
      </w:tr>
      <w:tr w:rsidR="008164CF" w:rsidRPr="001A51C0" w:rsidTr="00C5559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C5559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3.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C5559A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Tiesiskā regulējuma finansiālā ietekme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64CF" w:rsidRDefault="008164CF" w:rsidP="00C5559A">
            <w:pPr>
              <w:pStyle w:val="naiskr"/>
              <w:spacing w:before="0" w:beforeAutospacing="0" w:after="0" w:afterAutospacing="0"/>
              <w:jc w:val="both"/>
            </w:pPr>
            <w:r w:rsidRPr="00867A05">
              <w:t>Operators pa</w:t>
            </w:r>
            <w:r w:rsidR="00AC7B78">
              <w:t>ts</w:t>
            </w:r>
            <w:r w:rsidRPr="00867A05">
              <w:t xml:space="preserve"> se</w:t>
            </w:r>
            <w:r w:rsidR="00DD34C4">
              <w:t>gs izmaksas, kas radīsies</w:t>
            </w:r>
            <w:r w:rsidR="00AC7B78">
              <w:t>,</w:t>
            </w:r>
            <w:r w:rsidR="00DD34C4">
              <w:t xml:space="preserve"> dienestam sagatavojot un izsniedzot atļauju</w:t>
            </w:r>
            <w:r w:rsidR="00DD34C4" w:rsidRPr="00867A05">
              <w:t xml:space="preserve"> izsniegšanu </w:t>
            </w:r>
            <w:r w:rsidR="00DD34C4" w:rsidRPr="00C17D16">
              <w:t>bioloģiskās lauksaimniecības produktu importam no trešajām valstīm</w:t>
            </w:r>
            <w:r w:rsidRPr="00867A05">
              <w:t>.</w:t>
            </w:r>
            <w:r w:rsidRPr="00371A42">
              <w:t xml:space="preserve"> </w:t>
            </w:r>
          </w:p>
          <w:p w:rsidR="008164CF" w:rsidRPr="00371A42" w:rsidRDefault="008164CF" w:rsidP="00C5559A">
            <w:pPr>
              <w:pStyle w:val="naiskr"/>
              <w:spacing w:before="0" w:beforeAutospacing="0" w:after="0" w:afterAutospacing="0"/>
              <w:jc w:val="both"/>
            </w:pPr>
            <w:r w:rsidRPr="00371A42">
              <w:t>P</w:t>
            </w:r>
            <w:r>
              <w:t>ar iesniegto dokumentu pārbaudi,</w:t>
            </w:r>
            <w:r w:rsidRPr="00371A42">
              <w:t xml:space="preserve"> </w:t>
            </w:r>
            <w:r>
              <w:t xml:space="preserve">atļaujas sagatavošanu un izsniegšanu operators </w:t>
            </w:r>
            <w:r w:rsidRPr="008C7541">
              <w:t>maksā</w:t>
            </w:r>
            <w:r w:rsidRPr="006441DA">
              <w:t xml:space="preserve">s </w:t>
            </w:r>
            <w:r w:rsidR="00BC5B52">
              <w:t xml:space="preserve">355,00 </w:t>
            </w:r>
            <w:r w:rsidR="00BC5B52" w:rsidRPr="00BC5B52">
              <w:rPr>
                <w:i/>
              </w:rPr>
              <w:t>euro</w:t>
            </w:r>
            <w:r w:rsidR="00BC5B52">
              <w:t xml:space="preserve"> (</w:t>
            </w:r>
            <w:r w:rsidR="00107495" w:rsidRPr="00C17D16">
              <w:rPr>
                <w:bCs/>
              </w:rPr>
              <w:t xml:space="preserve">Ministru kabineta 2010.gada </w:t>
            </w:r>
            <w:r w:rsidR="00107495" w:rsidRPr="00C17D16">
              <w:t>28.decembra noteikumos Nr.1231</w:t>
            </w:r>
            <w:r w:rsidR="00107495" w:rsidRPr="00C17D16">
              <w:rPr>
                <w:bCs/>
              </w:rPr>
              <w:t xml:space="preserve"> „Noteikumi par Pārtikas un veterinārā dienesta veikto valsts uzraudzības un kontroles darbību un sniegto maksas pakalpojumu samaksu””</w:t>
            </w:r>
            <w:r w:rsidR="00107495">
              <w:rPr>
                <w:bCs/>
              </w:rPr>
              <w:t xml:space="preserve"> noteiktā maksa ir </w:t>
            </w:r>
            <w:r w:rsidRPr="008C7541">
              <w:t>Ls 2</w:t>
            </w:r>
            <w:r w:rsidR="00BC5B52">
              <w:t>49,</w:t>
            </w:r>
            <w:r w:rsidRPr="008C7541">
              <w:t>50</w:t>
            </w:r>
            <w:r w:rsidR="00BC5B52">
              <w:t>)</w:t>
            </w:r>
            <w:r w:rsidRPr="008C7541">
              <w:t>.</w:t>
            </w:r>
          </w:p>
        </w:tc>
      </w:tr>
      <w:tr w:rsidR="008164CF" w:rsidRPr="00427A40" w:rsidTr="00C5559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C5559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4.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C5559A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Tiesiskā regulējuma nefinansiālā ietekme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64CF" w:rsidRPr="00371A42" w:rsidRDefault="008164CF" w:rsidP="00C5559A">
            <w:pPr>
              <w:pStyle w:val="naiskr"/>
              <w:spacing w:before="0" w:beforeAutospacing="0" w:after="0" w:afterAutospacing="0"/>
              <w:jc w:val="both"/>
            </w:pPr>
            <w:r w:rsidRPr="00371A42">
              <w:t xml:space="preserve">Noteikumu projekts paredz </w:t>
            </w:r>
            <w:r w:rsidRPr="00371A42">
              <w:rPr>
                <w:iCs/>
                <w:color w:val="000000"/>
              </w:rPr>
              <w:t>uzlabot bioloģiskās lauksaimniecības produktu importu no trešajām valstīm.</w:t>
            </w:r>
          </w:p>
        </w:tc>
      </w:tr>
      <w:tr w:rsidR="008164CF" w:rsidRPr="001A51C0" w:rsidTr="00C5559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C5559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5.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64CF" w:rsidRPr="00C17D16" w:rsidRDefault="008164CF" w:rsidP="00C5559A">
            <w:pPr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Administratīvās procedūras raksturojums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64CF" w:rsidRPr="00371A42" w:rsidRDefault="008164CF" w:rsidP="00C5559A">
            <w:pPr>
              <w:pStyle w:val="naiskr"/>
              <w:spacing w:before="0" w:beforeAutospacing="0" w:after="0" w:afterAutospacing="0"/>
              <w:jc w:val="both"/>
            </w:pPr>
            <w:r>
              <w:t>Operators</w:t>
            </w:r>
            <w:r w:rsidRPr="00371A42">
              <w:t>, k</w:t>
            </w:r>
            <w:r w:rsidR="00AC7B78">
              <w:t>as</w:t>
            </w:r>
            <w:r>
              <w:t xml:space="preserve"> </w:t>
            </w:r>
            <w:r w:rsidR="00AC7B78">
              <w:t xml:space="preserve">no trešajām valstīm </w:t>
            </w:r>
            <w:r w:rsidRPr="00371A42">
              <w:t xml:space="preserve">vēlas </w:t>
            </w:r>
            <w:r>
              <w:t>importēt bioloģiskās lauksaimniecības produktus Latvijā</w:t>
            </w:r>
            <w:r w:rsidRPr="00371A42">
              <w:t xml:space="preserve">, iesniedz dokumentus dienestam. Dienests </w:t>
            </w:r>
            <w:r>
              <w:t xml:space="preserve">pārbauda </w:t>
            </w:r>
            <w:r w:rsidRPr="00371A42">
              <w:t>dokumentu</w:t>
            </w:r>
            <w:r>
              <w:t>s</w:t>
            </w:r>
            <w:r w:rsidRPr="00371A42">
              <w:t xml:space="preserve">, </w:t>
            </w:r>
            <w:r>
              <w:t>izvērtē</w:t>
            </w:r>
            <w:r w:rsidRPr="00371A42">
              <w:t xml:space="preserve"> </w:t>
            </w:r>
            <w:r>
              <w:t>operatora iesniegto dokumentāciju, k</w:t>
            </w:r>
            <w:r w:rsidR="00AC7B78">
              <w:t>o</w:t>
            </w:r>
            <w:r>
              <w:t xml:space="preserve"> ir apstiprinājusi kontroles institūcija trešajā valstī</w:t>
            </w:r>
            <w:r w:rsidR="0012581C">
              <w:t xml:space="preserve">, </w:t>
            </w:r>
            <w:r w:rsidR="00AC7B78">
              <w:t xml:space="preserve">kā arī </w:t>
            </w:r>
            <w:r w:rsidR="0012581C">
              <w:t>sagatavo</w:t>
            </w:r>
            <w:r>
              <w:t xml:space="preserve"> </w:t>
            </w:r>
            <w:r w:rsidRPr="00371A42">
              <w:t xml:space="preserve">un </w:t>
            </w:r>
            <w:r>
              <w:t>izsniedz atļauju bioloģisk</w:t>
            </w:r>
            <w:r w:rsidR="007E1BDA">
              <w:t>ās lauksaimniecības</w:t>
            </w:r>
            <w:r>
              <w:t xml:space="preserve"> produktu importam no trešajām valstīm.</w:t>
            </w:r>
          </w:p>
        </w:tc>
      </w:tr>
      <w:tr w:rsidR="00AB6A7A" w:rsidRPr="00C17D16" w:rsidTr="00C5559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C5559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6.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C5559A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Administratīvo izmaksu monetārs novērtējums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384564" w:rsidP="00C5559A">
            <w:pPr>
              <w:widowControl w:val="0"/>
              <w:jc w:val="both"/>
              <w:rPr>
                <w:lang w:val="lv-LV"/>
              </w:rPr>
            </w:pPr>
            <w:r w:rsidRPr="00C17D16">
              <w:rPr>
                <w:iCs/>
                <w:lang w:val="lv-LV"/>
              </w:rPr>
              <w:t>Projekts šo jomu neskar</w:t>
            </w:r>
            <w:r w:rsidRPr="00C17D16">
              <w:rPr>
                <w:lang w:val="lv-LV"/>
              </w:rPr>
              <w:t>.</w:t>
            </w:r>
          </w:p>
        </w:tc>
      </w:tr>
      <w:tr w:rsidR="00AB6A7A" w:rsidRPr="00C17D16" w:rsidTr="00C5559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C5559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7.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C17D16" w:rsidRDefault="00BE26B5" w:rsidP="00C5559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C17D16">
              <w:rPr>
                <w:lang w:val="lv-LV"/>
              </w:rPr>
              <w:t>Cita informācija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4A0F" w:rsidRPr="00C17D16" w:rsidRDefault="008F7098" w:rsidP="00C5559A">
            <w:pPr>
              <w:widowControl w:val="0"/>
              <w:jc w:val="both"/>
              <w:rPr>
                <w:lang w:val="lv-LV"/>
              </w:rPr>
            </w:pPr>
            <w:r w:rsidRPr="00C17D16">
              <w:rPr>
                <w:lang w:val="lv-LV"/>
              </w:rPr>
              <w:t>Nav</w:t>
            </w:r>
            <w:r w:rsidR="00366E84" w:rsidRPr="00C17D16">
              <w:rPr>
                <w:lang w:val="lv-LV"/>
              </w:rPr>
              <w:t>.</w:t>
            </w:r>
          </w:p>
        </w:tc>
      </w:tr>
    </w:tbl>
    <w:p w:rsidR="008A0C1C" w:rsidRDefault="008A0C1C" w:rsidP="00C5559A"/>
    <w:p w:rsidR="008A0C1C" w:rsidRPr="00C17D16" w:rsidRDefault="008A0C1C" w:rsidP="00C5559A">
      <w:pPr>
        <w:jc w:val="both"/>
        <w:rPr>
          <w:i/>
          <w:lang w:val="lv-LV"/>
        </w:rPr>
      </w:pPr>
      <w:r w:rsidRPr="00C17D16">
        <w:rPr>
          <w:i/>
          <w:lang w:val="lv-LV" w:eastAsia="lv-LV"/>
        </w:rPr>
        <w:t xml:space="preserve">Anotācijas </w:t>
      </w:r>
      <w:r>
        <w:rPr>
          <w:i/>
          <w:lang w:val="lv-LV" w:eastAsia="lv-LV"/>
        </w:rPr>
        <w:t xml:space="preserve">III </w:t>
      </w:r>
      <w:r w:rsidRPr="00C17D16">
        <w:rPr>
          <w:i/>
          <w:lang w:val="lv-LV" w:eastAsia="lv-LV"/>
        </w:rPr>
        <w:t>sadaļa – p</w:t>
      </w:r>
      <w:r w:rsidRPr="00C17D16">
        <w:rPr>
          <w:i/>
          <w:iCs/>
          <w:lang w:val="lv-LV"/>
        </w:rPr>
        <w:t>rojekts š</w:t>
      </w:r>
      <w:r>
        <w:rPr>
          <w:i/>
          <w:iCs/>
          <w:lang w:val="lv-LV"/>
        </w:rPr>
        <w:t xml:space="preserve">o </w:t>
      </w:r>
      <w:r w:rsidRPr="00C17D16">
        <w:rPr>
          <w:i/>
          <w:iCs/>
          <w:lang w:val="lv-LV"/>
        </w:rPr>
        <w:t>jom</w:t>
      </w:r>
      <w:r>
        <w:rPr>
          <w:i/>
          <w:iCs/>
          <w:lang w:val="lv-LV"/>
        </w:rPr>
        <w:t>u</w:t>
      </w:r>
      <w:r w:rsidRPr="00C17D16">
        <w:rPr>
          <w:i/>
          <w:iCs/>
          <w:lang w:val="lv-LV"/>
        </w:rPr>
        <w:t xml:space="preserve"> neskar</w:t>
      </w:r>
      <w:r w:rsidRPr="00C17D16">
        <w:rPr>
          <w:i/>
          <w:lang w:val="lv-LV"/>
        </w:rPr>
        <w:t>.</w:t>
      </w:r>
    </w:p>
    <w:p w:rsidR="008A0C1C" w:rsidRDefault="008A0C1C" w:rsidP="00C5559A"/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2857"/>
        <w:gridCol w:w="5670"/>
      </w:tblGrid>
      <w:tr w:rsidR="00AD0312" w:rsidRPr="0006514D" w:rsidTr="00AD0312">
        <w:tc>
          <w:tcPr>
            <w:tcW w:w="9077" w:type="dxa"/>
            <w:gridSpan w:val="3"/>
            <w:vAlign w:val="center"/>
          </w:tcPr>
          <w:p w:rsidR="00AD0312" w:rsidRPr="00C17D16" w:rsidRDefault="00AD0312" w:rsidP="00C5559A">
            <w:pPr>
              <w:pStyle w:val="naisnod"/>
              <w:spacing w:before="0" w:after="0"/>
            </w:pPr>
            <w:r w:rsidRPr="00C17D16">
              <w:rPr>
                <w:bCs w:val="0"/>
                <w:sz w:val="28"/>
              </w:rPr>
              <w:t>IV. Tiesību akta projekta ietekme uz spēkā esošo tiesību normu sistēmu</w:t>
            </w:r>
          </w:p>
        </w:tc>
      </w:tr>
      <w:tr w:rsidR="00AD0312" w:rsidRPr="001A51C0" w:rsidTr="00AD0312">
        <w:trPr>
          <w:trHeight w:val="467"/>
        </w:trPr>
        <w:tc>
          <w:tcPr>
            <w:tcW w:w="550" w:type="dxa"/>
          </w:tcPr>
          <w:p w:rsidR="00AD0312" w:rsidRPr="00C17D16" w:rsidRDefault="00AD0312" w:rsidP="00C5559A">
            <w:pPr>
              <w:pStyle w:val="naiskr"/>
              <w:spacing w:before="0" w:beforeAutospacing="0" w:after="0" w:afterAutospacing="0"/>
            </w:pPr>
            <w:r w:rsidRPr="00C17D16">
              <w:t>1.</w:t>
            </w:r>
          </w:p>
        </w:tc>
        <w:tc>
          <w:tcPr>
            <w:tcW w:w="2857" w:type="dxa"/>
          </w:tcPr>
          <w:p w:rsidR="00AD0312" w:rsidRPr="00C17D16" w:rsidRDefault="00AD0312" w:rsidP="00C5559A">
            <w:pPr>
              <w:pStyle w:val="naiskr"/>
              <w:spacing w:before="0" w:beforeAutospacing="0" w:after="0" w:afterAutospacing="0"/>
            </w:pPr>
            <w:r w:rsidRPr="00C17D16">
              <w:t>Nepieciešamie saistītie tiesību aktu projekti</w:t>
            </w:r>
          </w:p>
        </w:tc>
        <w:tc>
          <w:tcPr>
            <w:tcW w:w="5670" w:type="dxa"/>
          </w:tcPr>
          <w:p w:rsidR="007113FD" w:rsidRDefault="0052687D" w:rsidP="00C5559A">
            <w:pPr>
              <w:pStyle w:val="naiskr"/>
              <w:spacing w:before="0" w:beforeAutospacing="0" w:after="0" w:afterAutospacing="0"/>
              <w:ind w:left="57"/>
              <w:jc w:val="both"/>
              <w:rPr>
                <w:bCs/>
              </w:rPr>
            </w:pPr>
            <w:r>
              <w:t>Ministru kabineta 2013.gada 3.decembra sēdē</w:t>
            </w:r>
            <w:r w:rsidRPr="00C17D16">
              <w:rPr>
                <w:bCs/>
              </w:rPr>
              <w:t xml:space="preserve"> </w:t>
            </w:r>
            <w:r>
              <w:rPr>
                <w:bCs/>
              </w:rPr>
              <w:t xml:space="preserve">pieņemti </w:t>
            </w:r>
            <w:r w:rsidR="008E732F" w:rsidRPr="00C17D16">
              <w:rPr>
                <w:bCs/>
              </w:rPr>
              <w:t>Zemkopības ministrija</w:t>
            </w:r>
            <w:r>
              <w:rPr>
                <w:bCs/>
              </w:rPr>
              <w:t>s</w:t>
            </w:r>
            <w:r w:rsidR="00AD0312" w:rsidRPr="00C17D16">
              <w:rPr>
                <w:bCs/>
              </w:rPr>
              <w:t xml:space="preserve"> sagatavo</w:t>
            </w:r>
            <w:r>
              <w:rPr>
                <w:bCs/>
              </w:rPr>
              <w:t>tie</w:t>
            </w:r>
            <w:r w:rsidR="00AD0312" w:rsidRPr="00C17D16">
              <w:rPr>
                <w:bCs/>
              </w:rPr>
              <w:t xml:space="preserve"> Ministru kabineta noteikumu projekt</w:t>
            </w:r>
            <w:r>
              <w:rPr>
                <w:bCs/>
              </w:rPr>
              <w:t>i</w:t>
            </w:r>
            <w:r w:rsidR="007113FD">
              <w:rPr>
                <w:bCs/>
              </w:rPr>
              <w:t>:</w:t>
            </w:r>
          </w:p>
          <w:p w:rsidR="007113FD" w:rsidRDefault="007113FD" w:rsidP="00C5559A">
            <w:pPr>
              <w:pStyle w:val="naiskr"/>
              <w:spacing w:before="0" w:beforeAutospacing="0" w:after="0" w:afterAutospacing="0"/>
              <w:ind w:left="57"/>
              <w:jc w:val="both"/>
            </w:pPr>
            <w:r>
              <w:rPr>
                <w:bCs/>
              </w:rPr>
              <w:t>1)</w:t>
            </w:r>
            <w:r w:rsidR="00AD0312" w:rsidRPr="00C17D16">
              <w:rPr>
                <w:bCs/>
              </w:rPr>
              <w:t xml:space="preserve"> </w:t>
            </w:r>
            <w:r w:rsidR="00AD0312" w:rsidRPr="00C17D16">
              <w:t xml:space="preserve">„Grozījumi Ministru kabineta 2009.gada 26.maija </w:t>
            </w:r>
            <w:r w:rsidR="00AD0312" w:rsidRPr="00C17D16">
              <w:lastRenderedPageBreak/>
              <w:t>noteikumos Nr.485 „Bioloģiskās lauksaimniecības uzraudzības un kontroles kārtība””</w:t>
            </w:r>
            <w:r>
              <w:t>, kas</w:t>
            </w:r>
            <w:r w:rsidR="005F208D" w:rsidRPr="00C17D16">
              <w:rPr>
                <w:iCs/>
              </w:rPr>
              <w:t xml:space="preserve"> nosaka</w:t>
            </w:r>
            <w:r w:rsidR="00EF0458" w:rsidRPr="00C17D16">
              <w:t xml:space="preserve"> kārtību, kādā dienests izsniedz atļaujas bioloģiskās lauksaimniecības produktu importam no trešajām valstīm</w:t>
            </w:r>
            <w:r>
              <w:t>;</w:t>
            </w:r>
          </w:p>
          <w:p w:rsidR="00AD0312" w:rsidRPr="006A4E11" w:rsidRDefault="007113FD" w:rsidP="0052687D">
            <w:pPr>
              <w:pStyle w:val="naiskr"/>
              <w:spacing w:before="0" w:beforeAutospacing="0" w:after="0" w:afterAutospacing="0"/>
              <w:ind w:left="28"/>
              <w:jc w:val="both"/>
              <w:rPr>
                <w:bCs/>
              </w:rPr>
            </w:pPr>
            <w:r>
              <w:t xml:space="preserve">2) </w:t>
            </w:r>
            <w:r>
              <w:rPr>
                <w:bCs/>
              </w:rPr>
              <w:t>„</w:t>
            </w:r>
            <w:r w:rsidRPr="00C17D16">
              <w:rPr>
                <w:bCs/>
              </w:rPr>
              <w:t>Grozījum</w:t>
            </w:r>
            <w:r>
              <w:rPr>
                <w:bCs/>
              </w:rPr>
              <w:t>s</w:t>
            </w:r>
            <w:r w:rsidRPr="00C17D16">
              <w:rPr>
                <w:bCs/>
              </w:rPr>
              <w:t xml:space="preserve"> Ministru kabineta 2010.gada </w:t>
            </w:r>
            <w:r w:rsidRPr="00C17D16">
              <w:t>28.decembra noteikumos Nr.1231</w:t>
            </w:r>
            <w:r w:rsidRPr="00C17D16">
              <w:rPr>
                <w:bCs/>
              </w:rPr>
              <w:t xml:space="preserve"> „Noteikumi par Pārtikas un veterinārā dienesta veikto valsts uzraudzības un kontroles darbību un sniegto maksas pakalpojumu samaksu””</w:t>
            </w:r>
            <w:r>
              <w:rPr>
                <w:bCs/>
              </w:rPr>
              <w:t>, kas nosaka</w:t>
            </w:r>
            <w:r w:rsidRPr="00C17D16">
              <w:rPr>
                <w:bCs/>
              </w:rPr>
              <w:t xml:space="preserve"> maksas apmēru par </w:t>
            </w:r>
            <w:r w:rsidR="006A4E11" w:rsidRPr="00C17D16">
              <w:t>atļaujas bioloģiskās lauksaimniecības produktu importam no trešajām valstīm</w:t>
            </w:r>
            <w:r w:rsidR="006A4E11" w:rsidRPr="00C17D16">
              <w:rPr>
                <w:bCs/>
              </w:rPr>
              <w:t xml:space="preserve"> </w:t>
            </w:r>
            <w:r w:rsidRPr="00C17D16">
              <w:rPr>
                <w:bCs/>
              </w:rPr>
              <w:t>sagatavošanu un izsniegšanu.</w:t>
            </w:r>
          </w:p>
        </w:tc>
      </w:tr>
      <w:tr w:rsidR="00AD0312" w:rsidRPr="00C17D16" w:rsidTr="00AD0312">
        <w:trPr>
          <w:trHeight w:val="315"/>
        </w:trPr>
        <w:tc>
          <w:tcPr>
            <w:tcW w:w="550" w:type="dxa"/>
          </w:tcPr>
          <w:p w:rsidR="00AD0312" w:rsidRPr="00C17D16" w:rsidRDefault="00AD0312" w:rsidP="001F6C37">
            <w:pPr>
              <w:pStyle w:val="naiskr"/>
              <w:spacing w:before="0" w:after="0"/>
            </w:pPr>
            <w:r w:rsidRPr="00C17D16">
              <w:lastRenderedPageBreak/>
              <w:t>2.</w:t>
            </w:r>
          </w:p>
        </w:tc>
        <w:tc>
          <w:tcPr>
            <w:tcW w:w="2857" w:type="dxa"/>
          </w:tcPr>
          <w:p w:rsidR="00AD0312" w:rsidRPr="00C17D16" w:rsidRDefault="00AD0312" w:rsidP="001F6C37">
            <w:pPr>
              <w:pStyle w:val="naiskr"/>
              <w:spacing w:before="0" w:after="0"/>
            </w:pPr>
            <w:r w:rsidRPr="00C17D16">
              <w:t>Cita informācija</w:t>
            </w:r>
          </w:p>
        </w:tc>
        <w:tc>
          <w:tcPr>
            <w:tcW w:w="5670" w:type="dxa"/>
          </w:tcPr>
          <w:p w:rsidR="00AD0312" w:rsidRPr="00C17D16" w:rsidRDefault="00AD0312" w:rsidP="001F6C37">
            <w:pPr>
              <w:pStyle w:val="naiskr"/>
              <w:spacing w:before="0" w:after="0"/>
            </w:pPr>
            <w:r w:rsidRPr="00C17D16">
              <w:t>Nav.</w:t>
            </w:r>
          </w:p>
        </w:tc>
      </w:tr>
    </w:tbl>
    <w:p w:rsidR="00E25DE9" w:rsidRPr="00C17D16" w:rsidRDefault="00E25DE9" w:rsidP="008665A4">
      <w:pPr>
        <w:jc w:val="both"/>
        <w:rPr>
          <w:lang w:val="lv-LV" w:eastAsia="lv-LV"/>
        </w:rPr>
      </w:pPr>
    </w:p>
    <w:p w:rsidR="00A162FE" w:rsidRPr="00C17D16" w:rsidRDefault="00BC1700" w:rsidP="008665A4">
      <w:pPr>
        <w:jc w:val="both"/>
        <w:rPr>
          <w:i/>
          <w:lang w:val="lv-LV"/>
        </w:rPr>
      </w:pPr>
      <w:r w:rsidRPr="00C17D16">
        <w:rPr>
          <w:i/>
          <w:lang w:val="lv-LV" w:eastAsia="lv-LV"/>
        </w:rPr>
        <w:t xml:space="preserve">Anotācijas </w:t>
      </w:r>
      <w:r w:rsidR="000E6933" w:rsidRPr="00C17D16">
        <w:rPr>
          <w:i/>
          <w:lang w:val="lv-LV" w:eastAsia="lv-LV"/>
        </w:rPr>
        <w:t xml:space="preserve">V </w:t>
      </w:r>
      <w:r w:rsidR="008E0F6E">
        <w:rPr>
          <w:i/>
          <w:lang w:val="lv-LV" w:eastAsia="lv-LV"/>
        </w:rPr>
        <w:t xml:space="preserve">un VI </w:t>
      </w:r>
      <w:r w:rsidR="001E7670" w:rsidRPr="00C17D16">
        <w:rPr>
          <w:i/>
          <w:lang w:val="lv-LV" w:eastAsia="lv-LV"/>
        </w:rPr>
        <w:t xml:space="preserve">sadaļa </w:t>
      </w:r>
      <w:r w:rsidRPr="00C17D16">
        <w:rPr>
          <w:i/>
          <w:lang w:val="lv-LV" w:eastAsia="lv-LV"/>
        </w:rPr>
        <w:t>–</w:t>
      </w:r>
      <w:r w:rsidR="001E7670" w:rsidRPr="00C17D16">
        <w:rPr>
          <w:i/>
          <w:lang w:val="lv-LV" w:eastAsia="lv-LV"/>
        </w:rPr>
        <w:t xml:space="preserve"> </w:t>
      </w:r>
      <w:r w:rsidR="00384564" w:rsidRPr="00C17D16">
        <w:rPr>
          <w:i/>
          <w:lang w:val="lv-LV" w:eastAsia="lv-LV"/>
        </w:rPr>
        <w:t>p</w:t>
      </w:r>
      <w:r w:rsidRPr="00C17D16">
        <w:rPr>
          <w:i/>
          <w:iCs/>
          <w:lang w:val="lv-LV"/>
        </w:rPr>
        <w:t>rojekts š</w:t>
      </w:r>
      <w:r w:rsidR="008E0F6E">
        <w:rPr>
          <w:i/>
          <w:iCs/>
          <w:lang w:val="lv-LV"/>
        </w:rPr>
        <w:t>īs</w:t>
      </w:r>
      <w:r w:rsidR="00384564" w:rsidRPr="00C17D16">
        <w:rPr>
          <w:i/>
          <w:iCs/>
          <w:lang w:val="lv-LV"/>
        </w:rPr>
        <w:t xml:space="preserve"> jom</w:t>
      </w:r>
      <w:r w:rsidR="008E0F6E">
        <w:rPr>
          <w:i/>
          <w:iCs/>
          <w:lang w:val="lv-LV"/>
        </w:rPr>
        <w:t>as</w:t>
      </w:r>
      <w:r w:rsidR="00384564" w:rsidRPr="00C17D16">
        <w:rPr>
          <w:i/>
          <w:iCs/>
          <w:lang w:val="lv-LV"/>
        </w:rPr>
        <w:t xml:space="preserve"> neskar</w:t>
      </w:r>
      <w:r w:rsidR="00384564" w:rsidRPr="00C17D16">
        <w:rPr>
          <w:i/>
          <w:lang w:val="lv-LV"/>
        </w:rPr>
        <w:t>.</w:t>
      </w:r>
    </w:p>
    <w:p w:rsidR="00A11B10" w:rsidRPr="00C17D16" w:rsidRDefault="00A11B10">
      <w:pPr>
        <w:rPr>
          <w:lang w:val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0"/>
        <w:gridCol w:w="4118"/>
        <w:gridCol w:w="4424"/>
      </w:tblGrid>
      <w:tr w:rsidR="00A162FE" w:rsidRPr="001A51C0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C17D16" w:rsidRDefault="00A162FE" w:rsidP="008665A4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C17D16">
              <w:rPr>
                <w:b/>
                <w:bCs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1.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C41D53" w:rsidP="008665A4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16">
              <w:rPr>
                <w:rFonts w:ascii="Times New Roman" w:hAnsi="Times New Roman"/>
                <w:sz w:val="24"/>
              </w:rPr>
              <w:t>Pārtikas un veterinārais dienests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2.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izpildes ietekme uz pārvaldes funkcijām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C17D16" w:rsidRDefault="00C41D53" w:rsidP="008665A4">
            <w:pPr>
              <w:pStyle w:val="naiskr"/>
              <w:spacing w:before="0" w:beforeAutospacing="0" w:after="0" w:afterAutospacing="0"/>
              <w:jc w:val="both"/>
            </w:pPr>
            <w:r w:rsidRPr="00C17D16">
              <w:rPr>
                <w:iCs/>
              </w:rPr>
              <w:t>Projekts šo jomu neskar</w:t>
            </w:r>
            <w:r w:rsidRPr="00C17D16">
              <w:t>.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3.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Jaunu institūciju izveide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384564" w:rsidP="008665A4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16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  <w:r w:rsidRPr="00C17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4.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Esošu institūciju likvidācija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384564" w:rsidP="008665A4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17D16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  <w:r w:rsidRPr="00C17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5.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Projekta izpildes ietekme uz pārvaldes institucionālo struktūru.</w:t>
            </w:r>
          </w:p>
          <w:p w:rsidR="002C46AC" w:rsidRPr="00C17D16" w:rsidRDefault="002C46AC" w:rsidP="008665A4">
            <w:pPr>
              <w:jc w:val="both"/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Esošu institūciju reorganizācija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384564" w:rsidP="008665A4">
            <w:pPr>
              <w:jc w:val="both"/>
              <w:rPr>
                <w:rFonts w:eastAsia="Arial Unicode MS"/>
                <w:lang w:val="lv-LV"/>
              </w:rPr>
            </w:pPr>
            <w:r w:rsidRPr="00C17D16">
              <w:rPr>
                <w:iCs/>
                <w:lang w:val="lv-LV"/>
              </w:rPr>
              <w:t>Projekts šo jomu neskar</w:t>
            </w:r>
            <w:r w:rsidRPr="00C17D16">
              <w:rPr>
                <w:lang w:val="lv-LV"/>
              </w:rPr>
              <w:t>.</w:t>
            </w:r>
          </w:p>
        </w:tc>
      </w:tr>
      <w:tr w:rsidR="002C46AC" w:rsidRPr="00C17D16" w:rsidTr="00CA1F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6.</w:t>
            </w:r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lang w:val="lv-LV" w:eastAsia="lv-LV"/>
              </w:rPr>
            </w:pPr>
            <w:r w:rsidRPr="00C17D16">
              <w:rPr>
                <w:lang w:val="lv-LV" w:eastAsia="lv-LV"/>
              </w:rPr>
              <w:t>Cita informācija</w:t>
            </w:r>
          </w:p>
        </w:tc>
        <w:tc>
          <w:tcPr>
            <w:tcW w:w="2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17D16" w:rsidRDefault="002C46AC" w:rsidP="008665A4">
            <w:pPr>
              <w:rPr>
                <w:rFonts w:eastAsia="Arial Unicode MS"/>
                <w:lang w:val="lv-LV"/>
              </w:rPr>
            </w:pPr>
            <w:r w:rsidRPr="00C17D16">
              <w:rPr>
                <w:lang w:val="lv-LV"/>
              </w:rPr>
              <w:t>Nav</w:t>
            </w:r>
            <w:r w:rsidR="00366E84" w:rsidRPr="00C17D16">
              <w:rPr>
                <w:lang w:val="lv-LV"/>
              </w:rPr>
              <w:t>.</w:t>
            </w:r>
          </w:p>
        </w:tc>
      </w:tr>
    </w:tbl>
    <w:p w:rsidR="00F83BA3" w:rsidRDefault="00F83BA3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C71A34" w:rsidRDefault="00C71A34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8E4EB3" w:rsidRPr="00C17D16" w:rsidRDefault="008E4EB3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C17D16" w:rsidRDefault="00096D79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C17D16">
        <w:rPr>
          <w:b w:val="0"/>
          <w:szCs w:val="28"/>
        </w:rPr>
        <w:t>Zemkopības ministre</w:t>
      </w:r>
      <w:r w:rsidR="00105AE2" w:rsidRPr="00C17D16">
        <w:rPr>
          <w:b w:val="0"/>
          <w:szCs w:val="28"/>
        </w:rPr>
        <w:tab/>
      </w:r>
      <w:r w:rsidR="00A22819" w:rsidRPr="00C17D16">
        <w:rPr>
          <w:b w:val="0"/>
          <w:szCs w:val="28"/>
        </w:rPr>
        <w:tab/>
      </w:r>
      <w:r w:rsidR="00A22819" w:rsidRPr="00C17D16">
        <w:rPr>
          <w:b w:val="0"/>
          <w:szCs w:val="28"/>
        </w:rPr>
        <w:tab/>
      </w:r>
      <w:r w:rsidR="00A22819" w:rsidRPr="00C17D16">
        <w:rPr>
          <w:b w:val="0"/>
          <w:szCs w:val="28"/>
        </w:rPr>
        <w:tab/>
      </w:r>
      <w:r w:rsidR="00A22819" w:rsidRPr="00C17D16">
        <w:rPr>
          <w:b w:val="0"/>
          <w:szCs w:val="28"/>
        </w:rPr>
        <w:tab/>
      </w:r>
      <w:r w:rsidR="00105AE2" w:rsidRPr="00C17D16">
        <w:rPr>
          <w:b w:val="0"/>
          <w:szCs w:val="28"/>
        </w:rPr>
        <w:tab/>
      </w:r>
      <w:r w:rsidRPr="00C17D16">
        <w:rPr>
          <w:b w:val="0"/>
          <w:szCs w:val="28"/>
        </w:rPr>
        <w:t>L.Straujuma</w:t>
      </w:r>
    </w:p>
    <w:p w:rsidR="00553DB8" w:rsidRPr="00C17D16" w:rsidRDefault="00553DB8" w:rsidP="008665A4">
      <w:pPr>
        <w:rPr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1815A6" w:rsidRDefault="001815A6" w:rsidP="008665A4">
      <w:pPr>
        <w:jc w:val="both"/>
        <w:rPr>
          <w:sz w:val="20"/>
          <w:szCs w:val="20"/>
          <w:lang w:val="lv-LV"/>
        </w:rPr>
      </w:pPr>
    </w:p>
    <w:p w:rsidR="009B2E5B" w:rsidRDefault="009B2E5B" w:rsidP="008665A4">
      <w:pPr>
        <w:jc w:val="both"/>
        <w:rPr>
          <w:sz w:val="20"/>
          <w:szCs w:val="20"/>
          <w:lang w:val="lv-LV"/>
        </w:rPr>
      </w:pPr>
    </w:p>
    <w:p w:rsidR="009B2E5B" w:rsidRDefault="009B2E5B" w:rsidP="008665A4">
      <w:pPr>
        <w:jc w:val="both"/>
        <w:rPr>
          <w:sz w:val="20"/>
          <w:szCs w:val="20"/>
          <w:lang w:val="lv-LV"/>
        </w:rPr>
      </w:pPr>
    </w:p>
    <w:p w:rsidR="000477DD" w:rsidRDefault="000477DD" w:rsidP="008665A4">
      <w:pPr>
        <w:jc w:val="both"/>
        <w:rPr>
          <w:sz w:val="20"/>
          <w:szCs w:val="20"/>
          <w:lang w:val="lv-LV"/>
        </w:rPr>
      </w:pPr>
    </w:p>
    <w:p w:rsidR="000477DD" w:rsidRDefault="000477DD" w:rsidP="008665A4">
      <w:pPr>
        <w:jc w:val="both"/>
        <w:rPr>
          <w:sz w:val="20"/>
          <w:szCs w:val="20"/>
          <w:lang w:val="lv-LV"/>
        </w:rPr>
      </w:pPr>
    </w:p>
    <w:p w:rsidR="000477DD" w:rsidRDefault="000477DD" w:rsidP="008665A4">
      <w:pPr>
        <w:jc w:val="both"/>
        <w:rPr>
          <w:sz w:val="20"/>
          <w:szCs w:val="20"/>
          <w:lang w:val="lv-LV"/>
        </w:rPr>
      </w:pPr>
    </w:p>
    <w:p w:rsidR="006072E4" w:rsidRDefault="006072E4" w:rsidP="008665A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2013.12.12. 16:00</w:t>
      </w:r>
    </w:p>
    <w:p w:rsidR="006072E4" w:rsidRDefault="006072E4" w:rsidP="008665A4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1048</w:t>
        </w:r>
      </w:fldSimple>
    </w:p>
    <w:p w:rsidR="00294063" w:rsidRPr="00C17D16" w:rsidRDefault="00294063" w:rsidP="008665A4">
      <w:pPr>
        <w:jc w:val="both"/>
        <w:rPr>
          <w:sz w:val="20"/>
          <w:szCs w:val="20"/>
          <w:lang w:val="lv-LV"/>
        </w:rPr>
      </w:pPr>
      <w:r w:rsidRPr="00C17D16">
        <w:rPr>
          <w:sz w:val="20"/>
          <w:szCs w:val="20"/>
          <w:lang w:val="lv-LV"/>
        </w:rPr>
        <w:t>L.Gurecka</w:t>
      </w:r>
    </w:p>
    <w:p w:rsidR="00C20792" w:rsidRPr="00C17D16" w:rsidRDefault="00294063" w:rsidP="008665A4">
      <w:pPr>
        <w:jc w:val="both"/>
        <w:rPr>
          <w:sz w:val="20"/>
          <w:szCs w:val="20"/>
          <w:lang w:val="lv-LV"/>
        </w:rPr>
      </w:pPr>
      <w:r w:rsidRPr="00C17D16">
        <w:rPr>
          <w:sz w:val="20"/>
          <w:szCs w:val="20"/>
          <w:lang w:val="lv-LV"/>
        </w:rPr>
        <w:t>67027063, Linda.Gurecka@zm.gov.lv</w:t>
      </w:r>
      <w:bookmarkStart w:id="2" w:name="_GoBack"/>
      <w:bookmarkEnd w:id="2"/>
    </w:p>
    <w:sectPr w:rsidR="00C20792" w:rsidRPr="00C17D16" w:rsidSect="001A51C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57C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9A" w:rsidRDefault="007B3B9A">
      <w:r>
        <w:separator/>
      </w:r>
    </w:p>
  </w:endnote>
  <w:endnote w:type="continuationSeparator" w:id="0">
    <w:p w:rsidR="007B3B9A" w:rsidRDefault="007B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C4" w:rsidRPr="00A17DD9" w:rsidRDefault="00DD34C4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974692">
      <w:rPr>
        <w:sz w:val="20"/>
        <w:szCs w:val="20"/>
        <w:lang w:val="lv-LV"/>
      </w:rPr>
      <w:t>a</w:t>
    </w:r>
    <w:r w:rsidRPr="00A17DD9">
      <w:rPr>
        <w:sz w:val="20"/>
        <w:szCs w:val="20"/>
        <w:lang w:val="lv-LV"/>
      </w:rPr>
      <w:t>not_</w:t>
    </w:r>
    <w:r w:rsidR="000103C5">
      <w:rPr>
        <w:sz w:val="20"/>
        <w:szCs w:val="20"/>
        <w:lang w:val="lv-LV"/>
      </w:rPr>
      <w:t>11</w:t>
    </w:r>
    <w:r w:rsidR="003F7B3A">
      <w:rPr>
        <w:sz w:val="20"/>
        <w:szCs w:val="20"/>
        <w:lang w:val="lv-LV"/>
      </w:rPr>
      <w:t>1</w:t>
    </w:r>
    <w:r w:rsidR="0006514D">
      <w:rPr>
        <w:sz w:val="20"/>
        <w:szCs w:val="20"/>
        <w:lang w:val="lv-LV"/>
      </w:rPr>
      <w:t>2</w:t>
    </w:r>
    <w:r>
      <w:rPr>
        <w:sz w:val="20"/>
        <w:szCs w:val="20"/>
      </w:rPr>
      <w:t>13</w:t>
    </w:r>
    <w:r w:rsidRPr="00A17DD9">
      <w:rPr>
        <w:sz w:val="20"/>
        <w:szCs w:val="20"/>
        <w:lang w:val="lv-LV"/>
      </w:rPr>
      <w:t>_</w:t>
    </w:r>
    <w:proofErr w:type="spellStart"/>
    <w:r w:rsidRPr="00A17DD9">
      <w:rPr>
        <w:sz w:val="20"/>
        <w:szCs w:val="20"/>
        <w:lang w:val="lv-LV"/>
      </w:rPr>
      <w:t>PVDcenradis</w:t>
    </w:r>
    <w:proofErr w:type="spellEnd"/>
    <w:r w:rsidRPr="00A17DD9">
      <w:rPr>
        <w:sz w:val="20"/>
        <w:szCs w:val="20"/>
        <w:lang w:val="lv-LV"/>
      </w:rPr>
      <w:t xml:space="preserve">; </w:t>
    </w:r>
    <w:r w:rsidRPr="00A17DD9">
      <w:rPr>
        <w:bCs/>
        <w:sz w:val="20"/>
        <w:szCs w:val="20"/>
        <w:lang w:val="lv-LV"/>
      </w:rPr>
      <w:t>Grozījum</w:t>
    </w:r>
    <w:r w:rsidR="00AC7B78">
      <w:rPr>
        <w:bCs/>
        <w:sz w:val="20"/>
        <w:szCs w:val="20"/>
        <w:lang w:val="lv-LV"/>
      </w:rPr>
      <w:t>s</w:t>
    </w:r>
    <w:r w:rsidRPr="00A17DD9">
      <w:rPr>
        <w:bCs/>
        <w:sz w:val="20"/>
        <w:szCs w:val="20"/>
        <w:lang w:val="lv-LV"/>
      </w:rPr>
      <w:t xml:space="preserve"> Ministru kabineta 2010.gada </w:t>
    </w:r>
    <w:r w:rsidRPr="00A17DD9">
      <w:rPr>
        <w:sz w:val="20"/>
        <w:szCs w:val="20"/>
        <w:lang w:val="lv-LV"/>
      </w:rPr>
      <w:t>28.decembra noteikumos Nr.1231</w:t>
    </w:r>
    <w:r w:rsidRPr="00A17DD9">
      <w:rPr>
        <w:bCs/>
        <w:sz w:val="20"/>
        <w:szCs w:val="20"/>
        <w:lang w:val="lv-LV"/>
      </w:rPr>
      <w:t xml:space="preserve"> „Noteikumi par Pārtikas un veterinārā dienesta veikto valsts uzraudzības un kontroles darbību un sniegto maksas pakalpojumu samaksu</w:t>
    </w:r>
    <w:r w:rsidRPr="00A17DD9">
      <w:rPr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C4" w:rsidRPr="00962D0E" w:rsidRDefault="00DD34C4" w:rsidP="00962D0E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 w:rsidR="00974692">
      <w:rPr>
        <w:sz w:val="20"/>
        <w:szCs w:val="20"/>
      </w:rPr>
      <w:t>a</w:t>
    </w:r>
    <w:r>
      <w:rPr>
        <w:sz w:val="20"/>
        <w:szCs w:val="20"/>
      </w:rPr>
      <w:t>not</w:t>
    </w:r>
    <w:r w:rsidRPr="00D76116">
      <w:rPr>
        <w:sz w:val="20"/>
        <w:szCs w:val="20"/>
      </w:rPr>
      <w:t>_</w:t>
    </w:r>
    <w:r w:rsidR="000103C5">
      <w:rPr>
        <w:sz w:val="20"/>
        <w:szCs w:val="20"/>
      </w:rPr>
      <w:t>11</w:t>
    </w:r>
    <w:r w:rsidR="003F7B3A">
      <w:rPr>
        <w:sz w:val="20"/>
        <w:szCs w:val="20"/>
      </w:rPr>
      <w:t>1</w:t>
    </w:r>
    <w:r w:rsidR="0006514D">
      <w:rPr>
        <w:sz w:val="20"/>
        <w:szCs w:val="20"/>
      </w:rPr>
      <w:t>2</w:t>
    </w:r>
    <w:r>
      <w:rPr>
        <w:sz w:val="20"/>
        <w:szCs w:val="20"/>
      </w:rPr>
      <w:t>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  <w:lang w:val="lv-LV"/>
      </w:rPr>
      <w:t>Grozījum</w:t>
    </w:r>
    <w:r w:rsidR="00AC7B78">
      <w:rPr>
        <w:bCs/>
        <w:sz w:val="20"/>
        <w:szCs w:val="20"/>
        <w:lang w:val="lv-LV"/>
      </w:rPr>
      <w:t>s</w:t>
    </w:r>
    <w:r w:rsidRPr="00D76116">
      <w:rPr>
        <w:bCs/>
        <w:sz w:val="20"/>
        <w:szCs w:val="20"/>
        <w:lang w:val="lv-LV"/>
      </w:rPr>
      <w:t xml:space="preserve"> Ministru kabineta 2010.gada </w:t>
    </w:r>
    <w:r w:rsidRPr="00892F79">
      <w:rPr>
        <w:sz w:val="20"/>
        <w:szCs w:val="20"/>
        <w:lang w:val="lv-LV"/>
      </w:rPr>
      <w:t>28.decembra noteikumos Nr.1231</w:t>
    </w:r>
    <w:r w:rsidRPr="00892F79">
      <w:rPr>
        <w:bCs/>
        <w:sz w:val="20"/>
        <w:szCs w:val="20"/>
        <w:lang w:val="lv-LV"/>
      </w:rPr>
      <w:t xml:space="preserve"> „Noteikumi par Pārtikas un veterinārā dienesta veikto valsts uzraudzības un kontroles darbību un sniegto</w:t>
    </w:r>
    <w:r w:rsidRPr="00D76116">
      <w:rPr>
        <w:bCs/>
        <w:sz w:val="20"/>
        <w:szCs w:val="20"/>
        <w:lang w:val="lv-LV"/>
      </w:rPr>
      <w:t xml:space="preserve"> maksas pakalpojumu samaksu</w:t>
    </w:r>
    <w:r w:rsidRPr="00D76116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9A" w:rsidRDefault="007B3B9A">
      <w:r>
        <w:separator/>
      </w:r>
    </w:p>
  </w:footnote>
  <w:footnote w:type="continuationSeparator" w:id="0">
    <w:p w:rsidR="007B3B9A" w:rsidRDefault="007B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C4" w:rsidRDefault="00767EC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D34C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D34C4" w:rsidRDefault="00DD34C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C4" w:rsidRDefault="00767EC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D34C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072E4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DD34C4" w:rsidRDefault="00DD34C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ija Stirna">
    <w15:presenceInfo w15:providerId="AD" w15:userId="S-1-5-21-1078081533-1682526488-1202660629-15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103C5"/>
    <w:rsid w:val="0001101A"/>
    <w:rsid w:val="00011500"/>
    <w:rsid w:val="00011D65"/>
    <w:rsid w:val="0001274B"/>
    <w:rsid w:val="00012DB7"/>
    <w:rsid w:val="00013772"/>
    <w:rsid w:val="000138F9"/>
    <w:rsid w:val="00016850"/>
    <w:rsid w:val="000168B7"/>
    <w:rsid w:val="00017BED"/>
    <w:rsid w:val="000225AA"/>
    <w:rsid w:val="0002330F"/>
    <w:rsid w:val="0002456C"/>
    <w:rsid w:val="00026D31"/>
    <w:rsid w:val="0002711D"/>
    <w:rsid w:val="00027698"/>
    <w:rsid w:val="0003130D"/>
    <w:rsid w:val="000323C9"/>
    <w:rsid w:val="00032DD1"/>
    <w:rsid w:val="0003319B"/>
    <w:rsid w:val="00033CE4"/>
    <w:rsid w:val="00034F8D"/>
    <w:rsid w:val="00035AEC"/>
    <w:rsid w:val="00036178"/>
    <w:rsid w:val="00037C03"/>
    <w:rsid w:val="00040105"/>
    <w:rsid w:val="00042DEB"/>
    <w:rsid w:val="00043915"/>
    <w:rsid w:val="000463AC"/>
    <w:rsid w:val="000477DD"/>
    <w:rsid w:val="00054536"/>
    <w:rsid w:val="000551F2"/>
    <w:rsid w:val="00056991"/>
    <w:rsid w:val="00056D34"/>
    <w:rsid w:val="00057FBC"/>
    <w:rsid w:val="000600E2"/>
    <w:rsid w:val="0006514D"/>
    <w:rsid w:val="00065153"/>
    <w:rsid w:val="000656AA"/>
    <w:rsid w:val="00065DC4"/>
    <w:rsid w:val="00066953"/>
    <w:rsid w:val="0006703B"/>
    <w:rsid w:val="0006719B"/>
    <w:rsid w:val="00070E01"/>
    <w:rsid w:val="00071BDB"/>
    <w:rsid w:val="0007252E"/>
    <w:rsid w:val="0007255F"/>
    <w:rsid w:val="00072622"/>
    <w:rsid w:val="00074423"/>
    <w:rsid w:val="00074D2A"/>
    <w:rsid w:val="00074EF8"/>
    <w:rsid w:val="00075186"/>
    <w:rsid w:val="0007562F"/>
    <w:rsid w:val="00075C44"/>
    <w:rsid w:val="00075C9A"/>
    <w:rsid w:val="0007746D"/>
    <w:rsid w:val="00077EC5"/>
    <w:rsid w:val="00081283"/>
    <w:rsid w:val="000817A3"/>
    <w:rsid w:val="000828B5"/>
    <w:rsid w:val="0008293B"/>
    <w:rsid w:val="00082B53"/>
    <w:rsid w:val="00083281"/>
    <w:rsid w:val="00083CAC"/>
    <w:rsid w:val="0008664A"/>
    <w:rsid w:val="000902B6"/>
    <w:rsid w:val="0009142B"/>
    <w:rsid w:val="000919A8"/>
    <w:rsid w:val="00092943"/>
    <w:rsid w:val="00093E3F"/>
    <w:rsid w:val="0009451A"/>
    <w:rsid w:val="000953E4"/>
    <w:rsid w:val="00095D8C"/>
    <w:rsid w:val="00096D79"/>
    <w:rsid w:val="000A0DA0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1B3"/>
    <w:rsid w:val="000B5EAD"/>
    <w:rsid w:val="000B77B7"/>
    <w:rsid w:val="000B7AB8"/>
    <w:rsid w:val="000C0FA7"/>
    <w:rsid w:val="000C1E85"/>
    <w:rsid w:val="000C283A"/>
    <w:rsid w:val="000C2D62"/>
    <w:rsid w:val="000C47B6"/>
    <w:rsid w:val="000C5065"/>
    <w:rsid w:val="000C5D0D"/>
    <w:rsid w:val="000C6A0A"/>
    <w:rsid w:val="000C70C3"/>
    <w:rsid w:val="000D0329"/>
    <w:rsid w:val="000D0616"/>
    <w:rsid w:val="000D3B4D"/>
    <w:rsid w:val="000D51C7"/>
    <w:rsid w:val="000D57DA"/>
    <w:rsid w:val="000D626C"/>
    <w:rsid w:val="000E3DB2"/>
    <w:rsid w:val="000E4067"/>
    <w:rsid w:val="000E447E"/>
    <w:rsid w:val="000E47D5"/>
    <w:rsid w:val="000E5F80"/>
    <w:rsid w:val="000E6933"/>
    <w:rsid w:val="000E75D1"/>
    <w:rsid w:val="000E7FF7"/>
    <w:rsid w:val="000F01FC"/>
    <w:rsid w:val="000F0966"/>
    <w:rsid w:val="000F2EB4"/>
    <w:rsid w:val="000F30B8"/>
    <w:rsid w:val="000F32C8"/>
    <w:rsid w:val="000F4C3B"/>
    <w:rsid w:val="000F4DC9"/>
    <w:rsid w:val="000F736E"/>
    <w:rsid w:val="000F7B78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06ED3"/>
    <w:rsid w:val="00107495"/>
    <w:rsid w:val="00107F95"/>
    <w:rsid w:val="0011008F"/>
    <w:rsid w:val="00110465"/>
    <w:rsid w:val="001125BA"/>
    <w:rsid w:val="0011310D"/>
    <w:rsid w:val="00113AEA"/>
    <w:rsid w:val="00116784"/>
    <w:rsid w:val="001177FE"/>
    <w:rsid w:val="001178E3"/>
    <w:rsid w:val="00117DAE"/>
    <w:rsid w:val="001202BF"/>
    <w:rsid w:val="00120A82"/>
    <w:rsid w:val="00122C23"/>
    <w:rsid w:val="001243BD"/>
    <w:rsid w:val="00124E31"/>
    <w:rsid w:val="0012581C"/>
    <w:rsid w:val="001304F1"/>
    <w:rsid w:val="0013088C"/>
    <w:rsid w:val="001311E7"/>
    <w:rsid w:val="0013150E"/>
    <w:rsid w:val="00131D05"/>
    <w:rsid w:val="00132004"/>
    <w:rsid w:val="001324A4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2C6F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034"/>
    <w:rsid w:val="001739AD"/>
    <w:rsid w:val="00174251"/>
    <w:rsid w:val="001748BA"/>
    <w:rsid w:val="001751F5"/>
    <w:rsid w:val="00176E50"/>
    <w:rsid w:val="00181049"/>
    <w:rsid w:val="0018154E"/>
    <w:rsid w:val="001815A6"/>
    <w:rsid w:val="00182C1E"/>
    <w:rsid w:val="00190774"/>
    <w:rsid w:val="001919A5"/>
    <w:rsid w:val="001928EE"/>
    <w:rsid w:val="00192957"/>
    <w:rsid w:val="00193E31"/>
    <w:rsid w:val="001942B7"/>
    <w:rsid w:val="00195533"/>
    <w:rsid w:val="00196514"/>
    <w:rsid w:val="00196F0B"/>
    <w:rsid w:val="0019798B"/>
    <w:rsid w:val="001A10EA"/>
    <w:rsid w:val="001A20CC"/>
    <w:rsid w:val="001A3B92"/>
    <w:rsid w:val="001A3FFF"/>
    <w:rsid w:val="001A51C0"/>
    <w:rsid w:val="001A6148"/>
    <w:rsid w:val="001A69FD"/>
    <w:rsid w:val="001A6A03"/>
    <w:rsid w:val="001A7C43"/>
    <w:rsid w:val="001B2F73"/>
    <w:rsid w:val="001B3B95"/>
    <w:rsid w:val="001B4882"/>
    <w:rsid w:val="001C0533"/>
    <w:rsid w:val="001C0E70"/>
    <w:rsid w:val="001C1534"/>
    <w:rsid w:val="001C2A17"/>
    <w:rsid w:val="001C37DF"/>
    <w:rsid w:val="001C4904"/>
    <w:rsid w:val="001C4AB5"/>
    <w:rsid w:val="001C5010"/>
    <w:rsid w:val="001C5F46"/>
    <w:rsid w:val="001C7CA2"/>
    <w:rsid w:val="001D06A3"/>
    <w:rsid w:val="001D149C"/>
    <w:rsid w:val="001D180D"/>
    <w:rsid w:val="001D1A75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11EF"/>
    <w:rsid w:val="0020271B"/>
    <w:rsid w:val="002027AF"/>
    <w:rsid w:val="002029FD"/>
    <w:rsid w:val="00202DE2"/>
    <w:rsid w:val="00203134"/>
    <w:rsid w:val="002043DB"/>
    <w:rsid w:val="00205C1E"/>
    <w:rsid w:val="0020639A"/>
    <w:rsid w:val="002066E7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27427"/>
    <w:rsid w:val="00230D6B"/>
    <w:rsid w:val="00231601"/>
    <w:rsid w:val="00231888"/>
    <w:rsid w:val="00232132"/>
    <w:rsid w:val="0023257C"/>
    <w:rsid w:val="0023286B"/>
    <w:rsid w:val="0023303C"/>
    <w:rsid w:val="00234884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7B1"/>
    <w:rsid w:val="002509B6"/>
    <w:rsid w:val="002511FF"/>
    <w:rsid w:val="002528C7"/>
    <w:rsid w:val="00252CBC"/>
    <w:rsid w:val="0025723C"/>
    <w:rsid w:val="00260328"/>
    <w:rsid w:val="002606D3"/>
    <w:rsid w:val="00260B58"/>
    <w:rsid w:val="00262617"/>
    <w:rsid w:val="00264E6E"/>
    <w:rsid w:val="002669C3"/>
    <w:rsid w:val="00267A04"/>
    <w:rsid w:val="00270E29"/>
    <w:rsid w:val="00272A93"/>
    <w:rsid w:val="002740B7"/>
    <w:rsid w:val="00274350"/>
    <w:rsid w:val="00274907"/>
    <w:rsid w:val="00275D95"/>
    <w:rsid w:val="00276032"/>
    <w:rsid w:val="00276098"/>
    <w:rsid w:val="002766EE"/>
    <w:rsid w:val="00281011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09DE"/>
    <w:rsid w:val="002A16EB"/>
    <w:rsid w:val="002A227F"/>
    <w:rsid w:val="002A46BA"/>
    <w:rsid w:val="002A64A2"/>
    <w:rsid w:val="002A7CB6"/>
    <w:rsid w:val="002B07D7"/>
    <w:rsid w:val="002B24A9"/>
    <w:rsid w:val="002B3D70"/>
    <w:rsid w:val="002B4856"/>
    <w:rsid w:val="002B4F76"/>
    <w:rsid w:val="002B7F1D"/>
    <w:rsid w:val="002C0839"/>
    <w:rsid w:val="002C0A62"/>
    <w:rsid w:val="002C11B3"/>
    <w:rsid w:val="002C2235"/>
    <w:rsid w:val="002C45E2"/>
    <w:rsid w:val="002C46AC"/>
    <w:rsid w:val="002C4D71"/>
    <w:rsid w:val="002C5736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962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3AFD"/>
    <w:rsid w:val="002F4716"/>
    <w:rsid w:val="002F48D2"/>
    <w:rsid w:val="002F5119"/>
    <w:rsid w:val="002F5F34"/>
    <w:rsid w:val="002F77F1"/>
    <w:rsid w:val="0030032B"/>
    <w:rsid w:val="00301426"/>
    <w:rsid w:val="00302576"/>
    <w:rsid w:val="003025C8"/>
    <w:rsid w:val="00302C93"/>
    <w:rsid w:val="00303267"/>
    <w:rsid w:val="00303999"/>
    <w:rsid w:val="003078B5"/>
    <w:rsid w:val="003078BF"/>
    <w:rsid w:val="00307EFB"/>
    <w:rsid w:val="00310E25"/>
    <w:rsid w:val="003122BE"/>
    <w:rsid w:val="00312474"/>
    <w:rsid w:val="003124EE"/>
    <w:rsid w:val="00313453"/>
    <w:rsid w:val="0031499A"/>
    <w:rsid w:val="00315C3F"/>
    <w:rsid w:val="0031720E"/>
    <w:rsid w:val="00320704"/>
    <w:rsid w:val="003213C7"/>
    <w:rsid w:val="0032141D"/>
    <w:rsid w:val="00321A7E"/>
    <w:rsid w:val="00321E14"/>
    <w:rsid w:val="003228B8"/>
    <w:rsid w:val="00323438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0A2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57CA9"/>
    <w:rsid w:val="00360149"/>
    <w:rsid w:val="0036198C"/>
    <w:rsid w:val="00362C5F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50BF"/>
    <w:rsid w:val="003763AB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87A0D"/>
    <w:rsid w:val="00390386"/>
    <w:rsid w:val="00390C21"/>
    <w:rsid w:val="0039201C"/>
    <w:rsid w:val="003920BA"/>
    <w:rsid w:val="003925F5"/>
    <w:rsid w:val="00394F91"/>
    <w:rsid w:val="00395174"/>
    <w:rsid w:val="00396612"/>
    <w:rsid w:val="00396735"/>
    <w:rsid w:val="00397851"/>
    <w:rsid w:val="003A06B4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48E4"/>
    <w:rsid w:val="003B6C47"/>
    <w:rsid w:val="003C22A9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58C"/>
    <w:rsid w:val="003D1F11"/>
    <w:rsid w:val="003D3819"/>
    <w:rsid w:val="003D40E7"/>
    <w:rsid w:val="003D58B7"/>
    <w:rsid w:val="003D62B2"/>
    <w:rsid w:val="003D676D"/>
    <w:rsid w:val="003D6B5F"/>
    <w:rsid w:val="003E12A5"/>
    <w:rsid w:val="003E18A7"/>
    <w:rsid w:val="003E1930"/>
    <w:rsid w:val="003E1A05"/>
    <w:rsid w:val="003E36E3"/>
    <w:rsid w:val="003E3F13"/>
    <w:rsid w:val="003E584D"/>
    <w:rsid w:val="003E7379"/>
    <w:rsid w:val="003F02D7"/>
    <w:rsid w:val="003F0616"/>
    <w:rsid w:val="003F1155"/>
    <w:rsid w:val="003F1B23"/>
    <w:rsid w:val="003F2510"/>
    <w:rsid w:val="003F29A1"/>
    <w:rsid w:val="003F2F3C"/>
    <w:rsid w:val="003F3FBE"/>
    <w:rsid w:val="003F5883"/>
    <w:rsid w:val="003F59CD"/>
    <w:rsid w:val="003F7B3A"/>
    <w:rsid w:val="004002D2"/>
    <w:rsid w:val="00401D9B"/>
    <w:rsid w:val="00401F5E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0DC4"/>
    <w:rsid w:val="00412458"/>
    <w:rsid w:val="00412756"/>
    <w:rsid w:val="00413A82"/>
    <w:rsid w:val="00414016"/>
    <w:rsid w:val="00415200"/>
    <w:rsid w:val="00415584"/>
    <w:rsid w:val="00415FD1"/>
    <w:rsid w:val="00416F55"/>
    <w:rsid w:val="0041773E"/>
    <w:rsid w:val="004208C4"/>
    <w:rsid w:val="00420E9F"/>
    <w:rsid w:val="00421F53"/>
    <w:rsid w:val="004249A6"/>
    <w:rsid w:val="004249D9"/>
    <w:rsid w:val="00424AE1"/>
    <w:rsid w:val="0042741C"/>
    <w:rsid w:val="00427A40"/>
    <w:rsid w:val="00427DB7"/>
    <w:rsid w:val="00430719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58AD"/>
    <w:rsid w:val="004465D0"/>
    <w:rsid w:val="00446E62"/>
    <w:rsid w:val="004477F4"/>
    <w:rsid w:val="00447F16"/>
    <w:rsid w:val="0045105A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0E0D"/>
    <w:rsid w:val="00471885"/>
    <w:rsid w:val="0047209A"/>
    <w:rsid w:val="0047244D"/>
    <w:rsid w:val="004727CF"/>
    <w:rsid w:val="004728CD"/>
    <w:rsid w:val="00473AB2"/>
    <w:rsid w:val="00473BFF"/>
    <w:rsid w:val="00473DBB"/>
    <w:rsid w:val="00474A28"/>
    <w:rsid w:val="00480136"/>
    <w:rsid w:val="0048030D"/>
    <w:rsid w:val="00480D9E"/>
    <w:rsid w:val="004813EF"/>
    <w:rsid w:val="00482AD7"/>
    <w:rsid w:val="00484517"/>
    <w:rsid w:val="00484F34"/>
    <w:rsid w:val="0048533B"/>
    <w:rsid w:val="0048641E"/>
    <w:rsid w:val="00486E98"/>
    <w:rsid w:val="00486F47"/>
    <w:rsid w:val="004878C7"/>
    <w:rsid w:val="00487CE5"/>
    <w:rsid w:val="00490239"/>
    <w:rsid w:val="00490A06"/>
    <w:rsid w:val="00490DB2"/>
    <w:rsid w:val="0049221B"/>
    <w:rsid w:val="00493C90"/>
    <w:rsid w:val="00493D34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2635"/>
    <w:rsid w:val="004B3171"/>
    <w:rsid w:val="004B546A"/>
    <w:rsid w:val="004B582F"/>
    <w:rsid w:val="004B63F0"/>
    <w:rsid w:val="004B6F89"/>
    <w:rsid w:val="004B7338"/>
    <w:rsid w:val="004C07F8"/>
    <w:rsid w:val="004C121F"/>
    <w:rsid w:val="004C1820"/>
    <w:rsid w:val="004C277C"/>
    <w:rsid w:val="004C36AD"/>
    <w:rsid w:val="004C4BAD"/>
    <w:rsid w:val="004C5C71"/>
    <w:rsid w:val="004D0202"/>
    <w:rsid w:val="004D120C"/>
    <w:rsid w:val="004D283F"/>
    <w:rsid w:val="004D29AD"/>
    <w:rsid w:val="004D2FD5"/>
    <w:rsid w:val="004D373C"/>
    <w:rsid w:val="004D414B"/>
    <w:rsid w:val="004D4CAB"/>
    <w:rsid w:val="004D6263"/>
    <w:rsid w:val="004D6C26"/>
    <w:rsid w:val="004D7188"/>
    <w:rsid w:val="004E0F9E"/>
    <w:rsid w:val="004E1782"/>
    <w:rsid w:val="004E1E5F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785"/>
    <w:rsid w:val="004F5F75"/>
    <w:rsid w:val="004F667E"/>
    <w:rsid w:val="00500563"/>
    <w:rsid w:val="005008BC"/>
    <w:rsid w:val="005011BE"/>
    <w:rsid w:val="00501960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0BED"/>
    <w:rsid w:val="00511DD2"/>
    <w:rsid w:val="00512A7E"/>
    <w:rsid w:val="00514AF7"/>
    <w:rsid w:val="0051661B"/>
    <w:rsid w:val="00517314"/>
    <w:rsid w:val="005206CF"/>
    <w:rsid w:val="005214F6"/>
    <w:rsid w:val="00521C50"/>
    <w:rsid w:val="005225CD"/>
    <w:rsid w:val="0052687D"/>
    <w:rsid w:val="00526F5F"/>
    <w:rsid w:val="005279BC"/>
    <w:rsid w:val="00527A6D"/>
    <w:rsid w:val="00530EFF"/>
    <w:rsid w:val="005311BA"/>
    <w:rsid w:val="0053632D"/>
    <w:rsid w:val="0053651B"/>
    <w:rsid w:val="00537316"/>
    <w:rsid w:val="005402D9"/>
    <w:rsid w:val="005403CF"/>
    <w:rsid w:val="00541ED4"/>
    <w:rsid w:val="005433EB"/>
    <w:rsid w:val="005434A2"/>
    <w:rsid w:val="0054423C"/>
    <w:rsid w:val="005448AB"/>
    <w:rsid w:val="00544DA0"/>
    <w:rsid w:val="00546F6C"/>
    <w:rsid w:val="0054760A"/>
    <w:rsid w:val="00550CD0"/>
    <w:rsid w:val="00551488"/>
    <w:rsid w:val="00551DD5"/>
    <w:rsid w:val="005528A5"/>
    <w:rsid w:val="00552C28"/>
    <w:rsid w:val="00553DB8"/>
    <w:rsid w:val="00556FB2"/>
    <w:rsid w:val="005601FE"/>
    <w:rsid w:val="00563687"/>
    <w:rsid w:val="00566CCD"/>
    <w:rsid w:val="00567B70"/>
    <w:rsid w:val="00570B11"/>
    <w:rsid w:val="00571E48"/>
    <w:rsid w:val="0057217F"/>
    <w:rsid w:val="00572BC9"/>
    <w:rsid w:val="005741FC"/>
    <w:rsid w:val="0057449E"/>
    <w:rsid w:val="00575B15"/>
    <w:rsid w:val="00577D5E"/>
    <w:rsid w:val="00580A2C"/>
    <w:rsid w:val="00580A44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69F"/>
    <w:rsid w:val="005A0978"/>
    <w:rsid w:val="005A3B29"/>
    <w:rsid w:val="005A5AF9"/>
    <w:rsid w:val="005A622B"/>
    <w:rsid w:val="005A6AF8"/>
    <w:rsid w:val="005A71C2"/>
    <w:rsid w:val="005A7D0E"/>
    <w:rsid w:val="005B0543"/>
    <w:rsid w:val="005B1B7C"/>
    <w:rsid w:val="005B2693"/>
    <w:rsid w:val="005B345D"/>
    <w:rsid w:val="005B34A4"/>
    <w:rsid w:val="005B4287"/>
    <w:rsid w:val="005B58E9"/>
    <w:rsid w:val="005B6F87"/>
    <w:rsid w:val="005B7245"/>
    <w:rsid w:val="005B772E"/>
    <w:rsid w:val="005C0054"/>
    <w:rsid w:val="005C085E"/>
    <w:rsid w:val="005C2039"/>
    <w:rsid w:val="005C3E0C"/>
    <w:rsid w:val="005C7AAB"/>
    <w:rsid w:val="005D0699"/>
    <w:rsid w:val="005D0D2A"/>
    <w:rsid w:val="005D2108"/>
    <w:rsid w:val="005D29F6"/>
    <w:rsid w:val="005D419C"/>
    <w:rsid w:val="005D41D3"/>
    <w:rsid w:val="005D5327"/>
    <w:rsid w:val="005D5C71"/>
    <w:rsid w:val="005E0155"/>
    <w:rsid w:val="005E14A7"/>
    <w:rsid w:val="005E18E2"/>
    <w:rsid w:val="005E2038"/>
    <w:rsid w:val="005E3C44"/>
    <w:rsid w:val="005E5056"/>
    <w:rsid w:val="005E53F4"/>
    <w:rsid w:val="005E5FB6"/>
    <w:rsid w:val="005E61B9"/>
    <w:rsid w:val="005F164F"/>
    <w:rsid w:val="005F1986"/>
    <w:rsid w:val="005F208D"/>
    <w:rsid w:val="005F4DB2"/>
    <w:rsid w:val="005F4DBB"/>
    <w:rsid w:val="005F548A"/>
    <w:rsid w:val="00602628"/>
    <w:rsid w:val="006037F1"/>
    <w:rsid w:val="00603C0B"/>
    <w:rsid w:val="006041BA"/>
    <w:rsid w:val="006044EC"/>
    <w:rsid w:val="00604DA3"/>
    <w:rsid w:val="006072E4"/>
    <w:rsid w:val="006079B7"/>
    <w:rsid w:val="00607E42"/>
    <w:rsid w:val="00612624"/>
    <w:rsid w:val="00612E34"/>
    <w:rsid w:val="00613168"/>
    <w:rsid w:val="00613EAD"/>
    <w:rsid w:val="00616204"/>
    <w:rsid w:val="00616FA0"/>
    <w:rsid w:val="00617292"/>
    <w:rsid w:val="00620830"/>
    <w:rsid w:val="006208EC"/>
    <w:rsid w:val="00620FF4"/>
    <w:rsid w:val="00621E8E"/>
    <w:rsid w:val="0062204D"/>
    <w:rsid w:val="006221E0"/>
    <w:rsid w:val="0062238B"/>
    <w:rsid w:val="00622C49"/>
    <w:rsid w:val="00624CFE"/>
    <w:rsid w:val="00624E81"/>
    <w:rsid w:val="00626114"/>
    <w:rsid w:val="0062798B"/>
    <w:rsid w:val="006310BB"/>
    <w:rsid w:val="00631891"/>
    <w:rsid w:val="006327B5"/>
    <w:rsid w:val="00633993"/>
    <w:rsid w:val="00633C24"/>
    <w:rsid w:val="00634084"/>
    <w:rsid w:val="006342C4"/>
    <w:rsid w:val="00634701"/>
    <w:rsid w:val="00636A92"/>
    <w:rsid w:val="00636B04"/>
    <w:rsid w:val="00637747"/>
    <w:rsid w:val="006409CE"/>
    <w:rsid w:val="00643C2E"/>
    <w:rsid w:val="0064439D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18DD"/>
    <w:rsid w:val="006638B3"/>
    <w:rsid w:val="0066452D"/>
    <w:rsid w:val="00665925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ACF"/>
    <w:rsid w:val="00684DF8"/>
    <w:rsid w:val="00687200"/>
    <w:rsid w:val="0069043D"/>
    <w:rsid w:val="00691CB0"/>
    <w:rsid w:val="00695FD7"/>
    <w:rsid w:val="0069612C"/>
    <w:rsid w:val="00696270"/>
    <w:rsid w:val="00696562"/>
    <w:rsid w:val="00696E0F"/>
    <w:rsid w:val="006A1117"/>
    <w:rsid w:val="006A1EF1"/>
    <w:rsid w:val="006A1F3F"/>
    <w:rsid w:val="006A288A"/>
    <w:rsid w:val="006A3A09"/>
    <w:rsid w:val="006A3CD4"/>
    <w:rsid w:val="006A4674"/>
    <w:rsid w:val="006A4E11"/>
    <w:rsid w:val="006A51AD"/>
    <w:rsid w:val="006A6762"/>
    <w:rsid w:val="006A699B"/>
    <w:rsid w:val="006A729F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265F"/>
    <w:rsid w:val="006C3DE7"/>
    <w:rsid w:val="006C4CEB"/>
    <w:rsid w:val="006C4FA8"/>
    <w:rsid w:val="006C5CF5"/>
    <w:rsid w:val="006C6551"/>
    <w:rsid w:val="006D0C17"/>
    <w:rsid w:val="006D39B3"/>
    <w:rsid w:val="006D42DC"/>
    <w:rsid w:val="006D49DC"/>
    <w:rsid w:val="006D4AD9"/>
    <w:rsid w:val="006D5174"/>
    <w:rsid w:val="006E0585"/>
    <w:rsid w:val="006E218E"/>
    <w:rsid w:val="006E3915"/>
    <w:rsid w:val="006E4A20"/>
    <w:rsid w:val="006E4D1A"/>
    <w:rsid w:val="006E63AB"/>
    <w:rsid w:val="006E6815"/>
    <w:rsid w:val="006E6F98"/>
    <w:rsid w:val="006E784F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3FD"/>
    <w:rsid w:val="007119A1"/>
    <w:rsid w:val="00711B91"/>
    <w:rsid w:val="00711FA0"/>
    <w:rsid w:val="00712168"/>
    <w:rsid w:val="00712324"/>
    <w:rsid w:val="00712B0E"/>
    <w:rsid w:val="00712E90"/>
    <w:rsid w:val="007136BC"/>
    <w:rsid w:val="007136FA"/>
    <w:rsid w:val="00713D3B"/>
    <w:rsid w:val="007144EE"/>
    <w:rsid w:val="00714A46"/>
    <w:rsid w:val="00717241"/>
    <w:rsid w:val="007202A7"/>
    <w:rsid w:val="00720B96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1910"/>
    <w:rsid w:val="007331EA"/>
    <w:rsid w:val="00733FEB"/>
    <w:rsid w:val="00735F3A"/>
    <w:rsid w:val="007360E6"/>
    <w:rsid w:val="007410CE"/>
    <w:rsid w:val="00741C8B"/>
    <w:rsid w:val="0074240F"/>
    <w:rsid w:val="007443E2"/>
    <w:rsid w:val="00744CBE"/>
    <w:rsid w:val="00744E91"/>
    <w:rsid w:val="00747291"/>
    <w:rsid w:val="007473F9"/>
    <w:rsid w:val="00747682"/>
    <w:rsid w:val="00747C12"/>
    <w:rsid w:val="00747DBC"/>
    <w:rsid w:val="00750AF4"/>
    <w:rsid w:val="00751995"/>
    <w:rsid w:val="00751C2C"/>
    <w:rsid w:val="00752674"/>
    <w:rsid w:val="007528E1"/>
    <w:rsid w:val="007565EA"/>
    <w:rsid w:val="00756FAE"/>
    <w:rsid w:val="00757B05"/>
    <w:rsid w:val="00760677"/>
    <w:rsid w:val="0076221A"/>
    <w:rsid w:val="00764A0F"/>
    <w:rsid w:val="00765D50"/>
    <w:rsid w:val="007671F2"/>
    <w:rsid w:val="0076750E"/>
    <w:rsid w:val="00767796"/>
    <w:rsid w:val="007677EC"/>
    <w:rsid w:val="00767EC0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8C1"/>
    <w:rsid w:val="00782D80"/>
    <w:rsid w:val="00782F41"/>
    <w:rsid w:val="00784E48"/>
    <w:rsid w:val="00785231"/>
    <w:rsid w:val="00790148"/>
    <w:rsid w:val="00794955"/>
    <w:rsid w:val="007A0476"/>
    <w:rsid w:val="007A0796"/>
    <w:rsid w:val="007A1125"/>
    <w:rsid w:val="007A2810"/>
    <w:rsid w:val="007A3791"/>
    <w:rsid w:val="007A3B9F"/>
    <w:rsid w:val="007A514C"/>
    <w:rsid w:val="007A5B59"/>
    <w:rsid w:val="007A6C35"/>
    <w:rsid w:val="007A6FA0"/>
    <w:rsid w:val="007B05A5"/>
    <w:rsid w:val="007B2CAB"/>
    <w:rsid w:val="007B3B9A"/>
    <w:rsid w:val="007B406F"/>
    <w:rsid w:val="007B4D27"/>
    <w:rsid w:val="007B665B"/>
    <w:rsid w:val="007B758A"/>
    <w:rsid w:val="007B7C17"/>
    <w:rsid w:val="007C15D5"/>
    <w:rsid w:val="007C162E"/>
    <w:rsid w:val="007C1935"/>
    <w:rsid w:val="007C3E31"/>
    <w:rsid w:val="007C40B3"/>
    <w:rsid w:val="007C486A"/>
    <w:rsid w:val="007C4B74"/>
    <w:rsid w:val="007C6E47"/>
    <w:rsid w:val="007C77C6"/>
    <w:rsid w:val="007C7879"/>
    <w:rsid w:val="007D0212"/>
    <w:rsid w:val="007D0664"/>
    <w:rsid w:val="007D074B"/>
    <w:rsid w:val="007D1D4C"/>
    <w:rsid w:val="007D4BDE"/>
    <w:rsid w:val="007D62BD"/>
    <w:rsid w:val="007D677C"/>
    <w:rsid w:val="007D6FDC"/>
    <w:rsid w:val="007D7C06"/>
    <w:rsid w:val="007E1BDA"/>
    <w:rsid w:val="007E234A"/>
    <w:rsid w:val="007E2DCF"/>
    <w:rsid w:val="007E2F36"/>
    <w:rsid w:val="007E312B"/>
    <w:rsid w:val="007E515D"/>
    <w:rsid w:val="007E54E7"/>
    <w:rsid w:val="007E6A41"/>
    <w:rsid w:val="007E6C81"/>
    <w:rsid w:val="007E6FC7"/>
    <w:rsid w:val="007E7C5E"/>
    <w:rsid w:val="007F11E2"/>
    <w:rsid w:val="007F332B"/>
    <w:rsid w:val="007F5AC8"/>
    <w:rsid w:val="007F76B4"/>
    <w:rsid w:val="007F7D05"/>
    <w:rsid w:val="008002A3"/>
    <w:rsid w:val="00801836"/>
    <w:rsid w:val="00805453"/>
    <w:rsid w:val="00806E42"/>
    <w:rsid w:val="00807460"/>
    <w:rsid w:val="00807A48"/>
    <w:rsid w:val="00810D6E"/>
    <w:rsid w:val="00811084"/>
    <w:rsid w:val="0081203D"/>
    <w:rsid w:val="008135E1"/>
    <w:rsid w:val="00813764"/>
    <w:rsid w:val="008138DB"/>
    <w:rsid w:val="00813C57"/>
    <w:rsid w:val="00813D28"/>
    <w:rsid w:val="008143C4"/>
    <w:rsid w:val="008150C7"/>
    <w:rsid w:val="008164CF"/>
    <w:rsid w:val="008173F0"/>
    <w:rsid w:val="008208D0"/>
    <w:rsid w:val="00821C4D"/>
    <w:rsid w:val="008220EA"/>
    <w:rsid w:val="0082265D"/>
    <w:rsid w:val="00822F01"/>
    <w:rsid w:val="008231FE"/>
    <w:rsid w:val="00824283"/>
    <w:rsid w:val="008256CF"/>
    <w:rsid w:val="00833431"/>
    <w:rsid w:val="00835193"/>
    <w:rsid w:val="008351E8"/>
    <w:rsid w:val="00835CFA"/>
    <w:rsid w:val="00836F29"/>
    <w:rsid w:val="00843128"/>
    <w:rsid w:val="00843DF3"/>
    <w:rsid w:val="0084563D"/>
    <w:rsid w:val="00846711"/>
    <w:rsid w:val="00846F1D"/>
    <w:rsid w:val="00854598"/>
    <w:rsid w:val="00856738"/>
    <w:rsid w:val="00856763"/>
    <w:rsid w:val="00856DA5"/>
    <w:rsid w:val="00860B22"/>
    <w:rsid w:val="00863961"/>
    <w:rsid w:val="00864747"/>
    <w:rsid w:val="00864C73"/>
    <w:rsid w:val="00864D22"/>
    <w:rsid w:val="0086556F"/>
    <w:rsid w:val="00866225"/>
    <w:rsid w:val="008665A4"/>
    <w:rsid w:val="00866B1C"/>
    <w:rsid w:val="0086732B"/>
    <w:rsid w:val="008678C6"/>
    <w:rsid w:val="00867B2D"/>
    <w:rsid w:val="008714A5"/>
    <w:rsid w:val="00871729"/>
    <w:rsid w:val="00872599"/>
    <w:rsid w:val="00872E8D"/>
    <w:rsid w:val="00875E5C"/>
    <w:rsid w:val="008762A7"/>
    <w:rsid w:val="00876A2E"/>
    <w:rsid w:val="00876B0D"/>
    <w:rsid w:val="00876CFF"/>
    <w:rsid w:val="00877AFB"/>
    <w:rsid w:val="00880407"/>
    <w:rsid w:val="00881F41"/>
    <w:rsid w:val="00881F47"/>
    <w:rsid w:val="008828B3"/>
    <w:rsid w:val="00883A11"/>
    <w:rsid w:val="00883BFB"/>
    <w:rsid w:val="00884266"/>
    <w:rsid w:val="0088436F"/>
    <w:rsid w:val="008849BC"/>
    <w:rsid w:val="00885197"/>
    <w:rsid w:val="0088733F"/>
    <w:rsid w:val="00887C72"/>
    <w:rsid w:val="00892DFD"/>
    <w:rsid w:val="00892F79"/>
    <w:rsid w:val="008930BB"/>
    <w:rsid w:val="008940B2"/>
    <w:rsid w:val="00895210"/>
    <w:rsid w:val="0089539C"/>
    <w:rsid w:val="008957BF"/>
    <w:rsid w:val="0089656E"/>
    <w:rsid w:val="008A0C1C"/>
    <w:rsid w:val="008A1380"/>
    <w:rsid w:val="008A431F"/>
    <w:rsid w:val="008A4B6E"/>
    <w:rsid w:val="008A4C84"/>
    <w:rsid w:val="008A54A5"/>
    <w:rsid w:val="008A5EE9"/>
    <w:rsid w:val="008A6EF1"/>
    <w:rsid w:val="008B0F1E"/>
    <w:rsid w:val="008B248C"/>
    <w:rsid w:val="008B44BC"/>
    <w:rsid w:val="008B4BF0"/>
    <w:rsid w:val="008B7D2F"/>
    <w:rsid w:val="008C33A0"/>
    <w:rsid w:val="008C36EE"/>
    <w:rsid w:val="008C40B8"/>
    <w:rsid w:val="008C425B"/>
    <w:rsid w:val="008C67F8"/>
    <w:rsid w:val="008C6F66"/>
    <w:rsid w:val="008D05D4"/>
    <w:rsid w:val="008D2489"/>
    <w:rsid w:val="008D28CB"/>
    <w:rsid w:val="008D336F"/>
    <w:rsid w:val="008D3438"/>
    <w:rsid w:val="008D5DC0"/>
    <w:rsid w:val="008D7832"/>
    <w:rsid w:val="008D7C17"/>
    <w:rsid w:val="008D7CB8"/>
    <w:rsid w:val="008E0C51"/>
    <w:rsid w:val="008E0F6E"/>
    <w:rsid w:val="008E1329"/>
    <w:rsid w:val="008E2584"/>
    <w:rsid w:val="008E27FF"/>
    <w:rsid w:val="008E2866"/>
    <w:rsid w:val="008E28DC"/>
    <w:rsid w:val="008E384F"/>
    <w:rsid w:val="008E4991"/>
    <w:rsid w:val="008E4D21"/>
    <w:rsid w:val="008E4EB3"/>
    <w:rsid w:val="008E51A1"/>
    <w:rsid w:val="008E6967"/>
    <w:rsid w:val="008E732F"/>
    <w:rsid w:val="008E76CE"/>
    <w:rsid w:val="008E7C94"/>
    <w:rsid w:val="008F0DDD"/>
    <w:rsid w:val="008F225E"/>
    <w:rsid w:val="008F239E"/>
    <w:rsid w:val="008F27E8"/>
    <w:rsid w:val="008F2C3C"/>
    <w:rsid w:val="008F3459"/>
    <w:rsid w:val="008F3942"/>
    <w:rsid w:val="008F5A26"/>
    <w:rsid w:val="008F5C5F"/>
    <w:rsid w:val="008F6A07"/>
    <w:rsid w:val="008F6A4B"/>
    <w:rsid w:val="008F7098"/>
    <w:rsid w:val="008F73D3"/>
    <w:rsid w:val="008F77BD"/>
    <w:rsid w:val="009003B8"/>
    <w:rsid w:val="00902205"/>
    <w:rsid w:val="00903CAD"/>
    <w:rsid w:val="009044B5"/>
    <w:rsid w:val="00904AE3"/>
    <w:rsid w:val="009065E8"/>
    <w:rsid w:val="00907FE0"/>
    <w:rsid w:val="00910741"/>
    <w:rsid w:val="0091356D"/>
    <w:rsid w:val="00914D26"/>
    <w:rsid w:val="0091545F"/>
    <w:rsid w:val="00915777"/>
    <w:rsid w:val="00921A4E"/>
    <w:rsid w:val="00922501"/>
    <w:rsid w:val="00922732"/>
    <w:rsid w:val="00922CC9"/>
    <w:rsid w:val="0092335B"/>
    <w:rsid w:val="00923733"/>
    <w:rsid w:val="00926891"/>
    <w:rsid w:val="009278E8"/>
    <w:rsid w:val="00930777"/>
    <w:rsid w:val="00933742"/>
    <w:rsid w:val="009340A8"/>
    <w:rsid w:val="00936843"/>
    <w:rsid w:val="00936D70"/>
    <w:rsid w:val="009372C3"/>
    <w:rsid w:val="009402E4"/>
    <w:rsid w:val="0094060D"/>
    <w:rsid w:val="00941474"/>
    <w:rsid w:val="00942028"/>
    <w:rsid w:val="00942F8A"/>
    <w:rsid w:val="009448FE"/>
    <w:rsid w:val="009456AA"/>
    <w:rsid w:val="009456E2"/>
    <w:rsid w:val="0094583B"/>
    <w:rsid w:val="0094588E"/>
    <w:rsid w:val="00945AD3"/>
    <w:rsid w:val="00945CD3"/>
    <w:rsid w:val="0095029E"/>
    <w:rsid w:val="00951A15"/>
    <w:rsid w:val="009527EC"/>
    <w:rsid w:val="00952E78"/>
    <w:rsid w:val="00953D50"/>
    <w:rsid w:val="009548A6"/>
    <w:rsid w:val="00954D49"/>
    <w:rsid w:val="009574A4"/>
    <w:rsid w:val="0096030D"/>
    <w:rsid w:val="009605B2"/>
    <w:rsid w:val="00962C9D"/>
    <w:rsid w:val="00962D0E"/>
    <w:rsid w:val="00962D51"/>
    <w:rsid w:val="00962D79"/>
    <w:rsid w:val="00965105"/>
    <w:rsid w:val="00965F99"/>
    <w:rsid w:val="00966022"/>
    <w:rsid w:val="00967B46"/>
    <w:rsid w:val="00967CD4"/>
    <w:rsid w:val="00970157"/>
    <w:rsid w:val="00970789"/>
    <w:rsid w:val="0097195C"/>
    <w:rsid w:val="00974692"/>
    <w:rsid w:val="00975D4C"/>
    <w:rsid w:val="00976CFE"/>
    <w:rsid w:val="009816F5"/>
    <w:rsid w:val="0098399E"/>
    <w:rsid w:val="00984A00"/>
    <w:rsid w:val="00984F62"/>
    <w:rsid w:val="009850E4"/>
    <w:rsid w:val="0099066A"/>
    <w:rsid w:val="00990834"/>
    <w:rsid w:val="0099092D"/>
    <w:rsid w:val="00991E93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01E2"/>
    <w:rsid w:val="009B1A99"/>
    <w:rsid w:val="009B1E2A"/>
    <w:rsid w:val="009B2629"/>
    <w:rsid w:val="009B2E5B"/>
    <w:rsid w:val="009B3704"/>
    <w:rsid w:val="009B3D43"/>
    <w:rsid w:val="009B4F7D"/>
    <w:rsid w:val="009B5D76"/>
    <w:rsid w:val="009B7FF9"/>
    <w:rsid w:val="009C1566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3BB1"/>
    <w:rsid w:val="009E55DC"/>
    <w:rsid w:val="009E76E9"/>
    <w:rsid w:val="009F3750"/>
    <w:rsid w:val="009F3D1F"/>
    <w:rsid w:val="009F4C7E"/>
    <w:rsid w:val="009F5B68"/>
    <w:rsid w:val="009F6C26"/>
    <w:rsid w:val="009F7BCA"/>
    <w:rsid w:val="009F7CE3"/>
    <w:rsid w:val="00A0028C"/>
    <w:rsid w:val="00A01405"/>
    <w:rsid w:val="00A02244"/>
    <w:rsid w:val="00A02E05"/>
    <w:rsid w:val="00A03234"/>
    <w:rsid w:val="00A04FDE"/>
    <w:rsid w:val="00A06C99"/>
    <w:rsid w:val="00A0709D"/>
    <w:rsid w:val="00A07DDC"/>
    <w:rsid w:val="00A109A0"/>
    <w:rsid w:val="00A113CA"/>
    <w:rsid w:val="00A119ED"/>
    <w:rsid w:val="00A11B10"/>
    <w:rsid w:val="00A122C9"/>
    <w:rsid w:val="00A12BE1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611"/>
    <w:rsid w:val="00A2395A"/>
    <w:rsid w:val="00A262F2"/>
    <w:rsid w:val="00A269B2"/>
    <w:rsid w:val="00A26A95"/>
    <w:rsid w:val="00A26D42"/>
    <w:rsid w:val="00A31193"/>
    <w:rsid w:val="00A31BD4"/>
    <w:rsid w:val="00A32110"/>
    <w:rsid w:val="00A3317E"/>
    <w:rsid w:val="00A33672"/>
    <w:rsid w:val="00A37939"/>
    <w:rsid w:val="00A40717"/>
    <w:rsid w:val="00A41894"/>
    <w:rsid w:val="00A426FC"/>
    <w:rsid w:val="00A431A8"/>
    <w:rsid w:val="00A44272"/>
    <w:rsid w:val="00A44457"/>
    <w:rsid w:val="00A44EA9"/>
    <w:rsid w:val="00A47C0F"/>
    <w:rsid w:val="00A51F28"/>
    <w:rsid w:val="00A604F2"/>
    <w:rsid w:val="00A610CB"/>
    <w:rsid w:val="00A618F6"/>
    <w:rsid w:val="00A629CB"/>
    <w:rsid w:val="00A6353D"/>
    <w:rsid w:val="00A6550C"/>
    <w:rsid w:val="00A70814"/>
    <w:rsid w:val="00A742FB"/>
    <w:rsid w:val="00A7445D"/>
    <w:rsid w:val="00A74DE3"/>
    <w:rsid w:val="00A7681E"/>
    <w:rsid w:val="00A8008A"/>
    <w:rsid w:val="00A816C2"/>
    <w:rsid w:val="00A81C53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90B4D"/>
    <w:rsid w:val="00A92893"/>
    <w:rsid w:val="00A92A68"/>
    <w:rsid w:val="00A92FD6"/>
    <w:rsid w:val="00A93768"/>
    <w:rsid w:val="00A94576"/>
    <w:rsid w:val="00A95A1F"/>
    <w:rsid w:val="00A95BDF"/>
    <w:rsid w:val="00A97C2F"/>
    <w:rsid w:val="00AA0865"/>
    <w:rsid w:val="00AA0E7C"/>
    <w:rsid w:val="00AA1496"/>
    <w:rsid w:val="00AA4615"/>
    <w:rsid w:val="00AA50DE"/>
    <w:rsid w:val="00AA5FBC"/>
    <w:rsid w:val="00AA6C1D"/>
    <w:rsid w:val="00AB2FCE"/>
    <w:rsid w:val="00AB3027"/>
    <w:rsid w:val="00AB3AF8"/>
    <w:rsid w:val="00AB5A60"/>
    <w:rsid w:val="00AB6A7A"/>
    <w:rsid w:val="00AC2439"/>
    <w:rsid w:val="00AC27FB"/>
    <w:rsid w:val="00AC35AB"/>
    <w:rsid w:val="00AC7264"/>
    <w:rsid w:val="00AC7B78"/>
    <w:rsid w:val="00AD0312"/>
    <w:rsid w:val="00AD04C7"/>
    <w:rsid w:val="00AD21F6"/>
    <w:rsid w:val="00AD2968"/>
    <w:rsid w:val="00AD39D3"/>
    <w:rsid w:val="00AD3AF0"/>
    <w:rsid w:val="00AD3D49"/>
    <w:rsid w:val="00AD3FDA"/>
    <w:rsid w:val="00AE02A3"/>
    <w:rsid w:val="00AE3ECB"/>
    <w:rsid w:val="00AE480E"/>
    <w:rsid w:val="00AE500B"/>
    <w:rsid w:val="00AE55CE"/>
    <w:rsid w:val="00AE5CEA"/>
    <w:rsid w:val="00AF1735"/>
    <w:rsid w:val="00AF2D67"/>
    <w:rsid w:val="00AF41B6"/>
    <w:rsid w:val="00AF66A5"/>
    <w:rsid w:val="00B00617"/>
    <w:rsid w:val="00B00ADB"/>
    <w:rsid w:val="00B01566"/>
    <w:rsid w:val="00B024E8"/>
    <w:rsid w:val="00B02802"/>
    <w:rsid w:val="00B03835"/>
    <w:rsid w:val="00B04412"/>
    <w:rsid w:val="00B05949"/>
    <w:rsid w:val="00B11405"/>
    <w:rsid w:val="00B14407"/>
    <w:rsid w:val="00B14D75"/>
    <w:rsid w:val="00B158D4"/>
    <w:rsid w:val="00B16894"/>
    <w:rsid w:val="00B208F0"/>
    <w:rsid w:val="00B226E6"/>
    <w:rsid w:val="00B2516E"/>
    <w:rsid w:val="00B254C1"/>
    <w:rsid w:val="00B2574B"/>
    <w:rsid w:val="00B25C20"/>
    <w:rsid w:val="00B304F1"/>
    <w:rsid w:val="00B311BD"/>
    <w:rsid w:val="00B3133E"/>
    <w:rsid w:val="00B32C5E"/>
    <w:rsid w:val="00B3698C"/>
    <w:rsid w:val="00B36DAD"/>
    <w:rsid w:val="00B40B98"/>
    <w:rsid w:val="00B42144"/>
    <w:rsid w:val="00B426A1"/>
    <w:rsid w:val="00B43EB3"/>
    <w:rsid w:val="00B4553E"/>
    <w:rsid w:val="00B47275"/>
    <w:rsid w:val="00B47678"/>
    <w:rsid w:val="00B47B5C"/>
    <w:rsid w:val="00B47CAD"/>
    <w:rsid w:val="00B50388"/>
    <w:rsid w:val="00B51624"/>
    <w:rsid w:val="00B536F8"/>
    <w:rsid w:val="00B54AFE"/>
    <w:rsid w:val="00B54C3F"/>
    <w:rsid w:val="00B55679"/>
    <w:rsid w:val="00B55A70"/>
    <w:rsid w:val="00B55B6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61AA"/>
    <w:rsid w:val="00B764FE"/>
    <w:rsid w:val="00B77BE8"/>
    <w:rsid w:val="00B80D6E"/>
    <w:rsid w:val="00B82F71"/>
    <w:rsid w:val="00B8430C"/>
    <w:rsid w:val="00B84E28"/>
    <w:rsid w:val="00B85613"/>
    <w:rsid w:val="00B85F3C"/>
    <w:rsid w:val="00B86B6F"/>
    <w:rsid w:val="00B87389"/>
    <w:rsid w:val="00B9019F"/>
    <w:rsid w:val="00B90944"/>
    <w:rsid w:val="00B90FB8"/>
    <w:rsid w:val="00B91540"/>
    <w:rsid w:val="00B9449B"/>
    <w:rsid w:val="00B95882"/>
    <w:rsid w:val="00B960B9"/>
    <w:rsid w:val="00B96774"/>
    <w:rsid w:val="00BA16E7"/>
    <w:rsid w:val="00BA17E5"/>
    <w:rsid w:val="00BA2698"/>
    <w:rsid w:val="00BA299F"/>
    <w:rsid w:val="00BA2FEA"/>
    <w:rsid w:val="00BA3C5D"/>
    <w:rsid w:val="00BA41FC"/>
    <w:rsid w:val="00BA4306"/>
    <w:rsid w:val="00BA45A4"/>
    <w:rsid w:val="00BA6631"/>
    <w:rsid w:val="00BA7758"/>
    <w:rsid w:val="00BB1974"/>
    <w:rsid w:val="00BB2CA5"/>
    <w:rsid w:val="00BB4D9B"/>
    <w:rsid w:val="00BB5197"/>
    <w:rsid w:val="00BB7046"/>
    <w:rsid w:val="00BC0D6B"/>
    <w:rsid w:val="00BC1019"/>
    <w:rsid w:val="00BC15F0"/>
    <w:rsid w:val="00BC1700"/>
    <w:rsid w:val="00BC17F6"/>
    <w:rsid w:val="00BC1884"/>
    <w:rsid w:val="00BC33D0"/>
    <w:rsid w:val="00BC5B52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6FBF"/>
    <w:rsid w:val="00BD7395"/>
    <w:rsid w:val="00BE26B5"/>
    <w:rsid w:val="00BE2EDE"/>
    <w:rsid w:val="00BE335F"/>
    <w:rsid w:val="00BE3987"/>
    <w:rsid w:val="00BE4408"/>
    <w:rsid w:val="00BE594B"/>
    <w:rsid w:val="00BE5A48"/>
    <w:rsid w:val="00BE7E71"/>
    <w:rsid w:val="00BE7EDB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7D16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33FFB"/>
    <w:rsid w:val="00C35CA9"/>
    <w:rsid w:val="00C37D0D"/>
    <w:rsid w:val="00C41D53"/>
    <w:rsid w:val="00C4356E"/>
    <w:rsid w:val="00C445FD"/>
    <w:rsid w:val="00C44D1B"/>
    <w:rsid w:val="00C47F77"/>
    <w:rsid w:val="00C50C7E"/>
    <w:rsid w:val="00C53289"/>
    <w:rsid w:val="00C535AB"/>
    <w:rsid w:val="00C5388E"/>
    <w:rsid w:val="00C55582"/>
    <w:rsid w:val="00C5559A"/>
    <w:rsid w:val="00C56475"/>
    <w:rsid w:val="00C60365"/>
    <w:rsid w:val="00C612E8"/>
    <w:rsid w:val="00C61A54"/>
    <w:rsid w:val="00C63C55"/>
    <w:rsid w:val="00C67D4D"/>
    <w:rsid w:val="00C700E7"/>
    <w:rsid w:val="00C710FA"/>
    <w:rsid w:val="00C71547"/>
    <w:rsid w:val="00C715FC"/>
    <w:rsid w:val="00C7191B"/>
    <w:rsid w:val="00C71A34"/>
    <w:rsid w:val="00C727B6"/>
    <w:rsid w:val="00C729A4"/>
    <w:rsid w:val="00C72D0B"/>
    <w:rsid w:val="00C73082"/>
    <w:rsid w:val="00C7415B"/>
    <w:rsid w:val="00C74319"/>
    <w:rsid w:val="00C76CD0"/>
    <w:rsid w:val="00C81D63"/>
    <w:rsid w:val="00C83ED2"/>
    <w:rsid w:val="00C85F04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467B"/>
    <w:rsid w:val="00C9647E"/>
    <w:rsid w:val="00C96A52"/>
    <w:rsid w:val="00CA1422"/>
    <w:rsid w:val="00CA1961"/>
    <w:rsid w:val="00CA1F22"/>
    <w:rsid w:val="00CA2352"/>
    <w:rsid w:val="00CA2BB8"/>
    <w:rsid w:val="00CB0289"/>
    <w:rsid w:val="00CB1453"/>
    <w:rsid w:val="00CB2125"/>
    <w:rsid w:val="00CB3495"/>
    <w:rsid w:val="00CB3F77"/>
    <w:rsid w:val="00CB4237"/>
    <w:rsid w:val="00CB49C9"/>
    <w:rsid w:val="00CB575A"/>
    <w:rsid w:val="00CB6F1D"/>
    <w:rsid w:val="00CB7B61"/>
    <w:rsid w:val="00CB7E66"/>
    <w:rsid w:val="00CC005F"/>
    <w:rsid w:val="00CC0F51"/>
    <w:rsid w:val="00CC23DD"/>
    <w:rsid w:val="00CC26BC"/>
    <w:rsid w:val="00CC55EC"/>
    <w:rsid w:val="00CC5819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38C"/>
    <w:rsid w:val="00CD74BA"/>
    <w:rsid w:val="00CE10F7"/>
    <w:rsid w:val="00CE1C82"/>
    <w:rsid w:val="00CE2A89"/>
    <w:rsid w:val="00CE3027"/>
    <w:rsid w:val="00CE3DBA"/>
    <w:rsid w:val="00CE6072"/>
    <w:rsid w:val="00CE6F05"/>
    <w:rsid w:val="00CF0BA8"/>
    <w:rsid w:val="00CF1642"/>
    <w:rsid w:val="00CF2337"/>
    <w:rsid w:val="00CF3058"/>
    <w:rsid w:val="00CF3142"/>
    <w:rsid w:val="00CF32C2"/>
    <w:rsid w:val="00CF7F75"/>
    <w:rsid w:val="00D005C1"/>
    <w:rsid w:val="00D0116A"/>
    <w:rsid w:val="00D0142D"/>
    <w:rsid w:val="00D02029"/>
    <w:rsid w:val="00D03D95"/>
    <w:rsid w:val="00D042D0"/>
    <w:rsid w:val="00D07EC4"/>
    <w:rsid w:val="00D1050C"/>
    <w:rsid w:val="00D12371"/>
    <w:rsid w:val="00D133F1"/>
    <w:rsid w:val="00D13AC6"/>
    <w:rsid w:val="00D14A45"/>
    <w:rsid w:val="00D14C88"/>
    <w:rsid w:val="00D16049"/>
    <w:rsid w:val="00D17E16"/>
    <w:rsid w:val="00D17F4D"/>
    <w:rsid w:val="00D20510"/>
    <w:rsid w:val="00D20539"/>
    <w:rsid w:val="00D21018"/>
    <w:rsid w:val="00D216D8"/>
    <w:rsid w:val="00D225D8"/>
    <w:rsid w:val="00D2546F"/>
    <w:rsid w:val="00D25A3E"/>
    <w:rsid w:val="00D25D5F"/>
    <w:rsid w:val="00D26DE6"/>
    <w:rsid w:val="00D27570"/>
    <w:rsid w:val="00D27E52"/>
    <w:rsid w:val="00D31091"/>
    <w:rsid w:val="00D31E5B"/>
    <w:rsid w:val="00D34862"/>
    <w:rsid w:val="00D41070"/>
    <w:rsid w:val="00D41E94"/>
    <w:rsid w:val="00D43DF8"/>
    <w:rsid w:val="00D45515"/>
    <w:rsid w:val="00D47A2C"/>
    <w:rsid w:val="00D509B4"/>
    <w:rsid w:val="00D512C1"/>
    <w:rsid w:val="00D51CC0"/>
    <w:rsid w:val="00D52BBF"/>
    <w:rsid w:val="00D53507"/>
    <w:rsid w:val="00D54624"/>
    <w:rsid w:val="00D54AA4"/>
    <w:rsid w:val="00D57613"/>
    <w:rsid w:val="00D60B64"/>
    <w:rsid w:val="00D60BAA"/>
    <w:rsid w:val="00D60EE9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598B"/>
    <w:rsid w:val="00D76273"/>
    <w:rsid w:val="00D76ED2"/>
    <w:rsid w:val="00D778DF"/>
    <w:rsid w:val="00D77FAF"/>
    <w:rsid w:val="00D811A0"/>
    <w:rsid w:val="00D83171"/>
    <w:rsid w:val="00D832DE"/>
    <w:rsid w:val="00D850E8"/>
    <w:rsid w:val="00D85F84"/>
    <w:rsid w:val="00D85FA1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2AD"/>
    <w:rsid w:val="00DC086B"/>
    <w:rsid w:val="00DC1E01"/>
    <w:rsid w:val="00DC1FAF"/>
    <w:rsid w:val="00DC3509"/>
    <w:rsid w:val="00DC5600"/>
    <w:rsid w:val="00DC5DA0"/>
    <w:rsid w:val="00DC5E91"/>
    <w:rsid w:val="00DC635E"/>
    <w:rsid w:val="00DD1D3A"/>
    <w:rsid w:val="00DD34C4"/>
    <w:rsid w:val="00DD3B1F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38F3"/>
    <w:rsid w:val="00DE5976"/>
    <w:rsid w:val="00DE5FE6"/>
    <w:rsid w:val="00DE6046"/>
    <w:rsid w:val="00DE66F8"/>
    <w:rsid w:val="00DE74D3"/>
    <w:rsid w:val="00DF06E7"/>
    <w:rsid w:val="00DF0F7D"/>
    <w:rsid w:val="00DF1481"/>
    <w:rsid w:val="00DF162F"/>
    <w:rsid w:val="00DF2CB4"/>
    <w:rsid w:val="00DF2D0D"/>
    <w:rsid w:val="00DF330D"/>
    <w:rsid w:val="00DF34C1"/>
    <w:rsid w:val="00DF3C7F"/>
    <w:rsid w:val="00DF4D99"/>
    <w:rsid w:val="00DF71D3"/>
    <w:rsid w:val="00DF7713"/>
    <w:rsid w:val="00DF7C16"/>
    <w:rsid w:val="00E01082"/>
    <w:rsid w:val="00E01B29"/>
    <w:rsid w:val="00E02806"/>
    <w:rsid w:val="00E029E7"/>
    <w:rsid w:val="00E06F9B"/>
    <w:rsid w:val="00E13A80"/>
    <w:rsid w:val="00E14CDF"/>
    <w:rsid w:val="00E2125C"/>
    <w:rsid w:val="00E221D6"/>
    <w:rsid w:val="00E222D0"/>
    <w:rsid w:val="00E2273F"/>
    <w:rsid w:val="00E22EFF"/>
    <w:rsid w:val="00E25042"/>
    <w:rsid w:val="00E25DE9"/>
    <w:rsid w:val="00E26CE7"/>
    <w:rsid w:val="00E2798F"/>
    <w:rsid w:val="00E341D4"/>
    <w:rsid w:val="00E34C56"/>
    <w:rsid w:val="00E34D2F"/>
    <w:rsid w:val="00E34F56"/>
    <w:rsid w:val="00E351EE"/>
    <w:rsid w:val="00E35982"/>
    <w:rsid w:val="00E365E2"/>
    <w:rsid w:val="00E36952"/>
    <w:rsid w:val="00E37FE3"/>
    <w:rsid w:val="00E40BD9"/>
    <w:rsid w:val="00E41110"/>
    <w:rsid w:val="00E46A87"/>
    <w:rsid w:val="00E4715A"/>
    <w:rsid w:val="00E473FE"/>
    <w:rsid w:val="00E55353"/>
    <w:rsid w:val="00E565E7"/>
    <w:rsid w:val="00E56B01"/>
    <w:rsid w:val="00E57F7B"/>
    <w:rsid w:val="00E609F0"/>
    <w:rsid w:val="00E61540"/>
    <w:rsid w:val="00E61AD5"/>
    <w:rsid w:val="00E6255D"/>
    <w:rsid w:val="00E63114"/>
    <w:rsid w:val="00E664C7"/>
    <w:rsid w:val="00E67F5F"/>
    <w:rsid w:val="00E72878"/>
    <w:rsid w:val="00E73750"/>
    <w:rsid w:val="00E75770"/>
    <w:rsid w:val="00E800E6"/>
    <w:rsid w:val="00E81221"/>
    <w:rsid w:val="00E82751"/>
    <w:rsid w:val="00E82D25"/>
    <w:rsid w:val="00E83BCF"/>
    <w:rsid w:val="00E84921"/>
    <w:rsid w:val="00E850A5"/>
    <w:rsid w:val="00E85136"/>
    <w:rsid w:val="00E8584F"/>
    <w:rsid w:val="00E90845"/>
    <w:rsid w:val="00E94440"/>
    <w:rsid w:val="00E94E94"/>
    <w:rsid w:val="00E952E0"/>
    <w:rsid w:val="00E95850"/>
    <w:rsid w:val="00E96623"/>
    <w:rsid w:val="00E96929"/>
    <w:rsid w:val="00E975A7"/>
    <w:rsid w:val="00EA0947"/>
    <w:rsid w:val="00EA1D31"/>
    <w:rsid w:val="00EA20FC"/>
    <w:rsid w:val="00EA2490"/>
    <w:rsid w:val="00EA2C74"/>
    <w:rsid w:val="00EA4AD5"/>
    <w:rsid w:val="00EA61A1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D7859"/>
    <w:rsid w:val="00ED7FFE"/>
    <w:rsid w:val="00EE0E6E"/>
    <w:rsid w:val="00EE2D65"/>
    <w:rsid w:val="00EE34B2"/>
    <w:rsid w:val="00EE5238"/>
    <w:rsid w:val="00EE5A45"/>
    <w:rsid w:val="00EE5B1D"/>
    <w:rsid w:val="00EE666B"/>
    <w:rsid w:val="00EE6AA3"/>
    <w:rsid w:val="00EF0458"/>
    <w:rsid w:val="00EF22FA"/>
    <w:rsid w:val="00EF3C41"/>
    <w:rsid w:val="00F00B39"/>
    <w:rsid w:val="00F01AFC"/>
    <w:rsid w:val="00F040F5"/>
    <w:rsid w:val="00F0456E"/>
    <w:rsid w:val="00F05283"/>
    <w:rsid w:val="00F10386"/>
    <w:rsid w:val="00F107C1"/>
    <w:rsid w:val="00F10CA9"/>
    <w:rsid w:val="00F13546"/>
    <w:rsid w:val="00F152B9"/>
    <w:rsid w:val="00F15953"/>
    <w:rsid w:val="00F15B4A"/>
    <w:rsid w:val="00F20FEC"/>
    <w:rsid w:val="00F21D44"/>
    <w:rsid w:val="00F22537"/>
    <w:rsid w:val="00F238D5"/>
    <w:rsid w:val="00F24714"/>
    <w:rsid w:val="00F2517F"/>
    <w:rsid w:val="00F27286"/>
    <w:rsid w:val="00F2763C"/>
    <w:rsid w:val="00F30C10"/>
    <w:rsid w:val="00F31BD0"/>
    <w:rsid w:val="00F32374"/>
    <w:rsid w:val="00F32B1E"/>
    <w:rsid w:val="00F3329C"/>
    <w:rsid w:val="00F34814"/>
    <w:rsid w:val="00F34B64"/>
    <w:rsid w:val="00F363E9"/>
    <w:rsid w:val="00F36E0F"/>
    <w:rsid w:val="00F40860"/>
    <w:rsid w:val="00F40B07"/>
    <w:rsid w:val="00F41EB7"/>
    <w:rsid w:val="00F42EBB"/>
    <w:rsid w:val="00F43267"/>
    <w:rsid w:val="00F44EE3"/>
    <w:rsid w:val="00F46B33"/>
    <w:rsid w:val="00F517A7"/>
    <w:rsid w:val="00F5314C"/>
    <w:rsid w:val="00F53357"/>
    <w:rsid w:val="00F53ADF"/>
    <w:rsid w:val="00F56E2E"/>
    <w:rsid w:val="00F57AC9"/>
    <w:rsid w:val="00F57B84"/>
    <w:rsid w:val="00F629B9"/>
    <w:rsid w:val="00F6312D"/>
    <w:rsid w:val="00F639BB"/>
    <w:rsid w:val="00F64072"/>
    <w:rsid w:val="00F64372"/>
    <w:rsid w:val="00F64F2F"/>
    <w:rsid w:val="00F67876"/>
    <w:rsid w:val="00F67FA1"/>
    <w:rsid w:val="00F71FAF"/>
    <w:rsid w:val="00F72274"/>
    <w:rsid w:val="00F776DA"/>
    <w:rsid w:val="00F8078B"/>
    <w:rsid w:val="00F80D92"/>
    <w:rsid w:val="00F83AAD"/>
    <w:rsid w:val="00F83BA3"/>
    <w:rsid w:val="00F8482C"/>
    <w:rsid w:val="00F8738D"/>
    <w:rsid w:val="00F902F6"/>
    <w:rsid w:val="00F9180B"/>
    <w:rsid w:val="00F924E2"/>
    <w:rsid w:val="00F9319A"/>
    <w:rsid w:val="00F9556A"/>
    <w:rsid w:val="00F957E4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B45"/>
    <w:rsid w:val="00FB6264"/>
    <w:rsid w:val="00FB6B3F"/>
    <w:rsid w:val="00FB789F"/>
    <w:rsid w:val="00FC1248"/>
    <w:rsid w:val="00FC13D5"/>
    <w:rsid w:val="00FC1AAF"/>
    <w:rsid w:val="00FC25E0"/>
    <w:rsid w:val="00FC27F1"/>
    <w:rsid w:val="00FC4BA2"/>
    <w:rsid w:val="00FC4D1D"/>
    <w:rsid w:val="00FC58EA"/>
    <w:rsid w:val="00FC60B6"/>
    <w:rsid w:val="00FC674E"/>
    <w:rsid w:val="00FC73F6"/>
    <w:rsid w:val="00FD0941"/>
    <w:rsid w:val="00FD1137"/>
    <w:rsid w:val="00FD1AE2"/>
    <w:rsid w:val="00FD1C9F"/>
    <w:rsid w:val="00FD1D47"/>
    <w:rsid w:val="00FD247B"/>
    <w:rsid w:val="00FD27DC"/>
    <w:rsid w:val="00FD3CB9"/>
    <w:rsid w:val="00FD4AAD"/>
    <w:rsid w:val="00FD51CF"/>
    <w:rsid w:val="00FD5309"/>
    <w:rsid w:val="00FD61A0"/>
    <w:rsid w:val="00FE13C3"/>
    <w:rsid w:val="00FE3BBD"/>
    <w:rsid w:val="00FE46CA"/>
    <w:rsid w:val="00FE6117"/>
    <w:rsid w:val="00FE6202"/>
    <w:rsid w:val="00FE72BC"/>
    <w:rsid w:val="00FF087E"/>
    <w:rsid w:val="00FF185B"/>
    <w:rsid w:val="00FF1ED7"/>
    <w:rsid w:val="00FF2716"/>
    <w:rsid w:val="00FF3355"/>
    <w:rsid w:val="00FF5063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Pamattekstaatkpe2">
    <w:name w:val="Body Text Indent 2"/>
    <w:basedOn w:val="Parastais"/>
    <w:link w:val="Pamattekstaatkpe2Rakstz"/>
    <w:rsid w:val="00CA2BB8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A2BB8"/>
    <w:rPr>
      <w:sz w:val="24"/>
      <w:szCs w:val="24"/>
      <w:lang w:val="en-GB" w:eastAsia="en-US"/>
    </w:rPr>
  </w:style>
  <w:style w:type="paragraph" w:customStyle="1" w:styleId="tv2133">
    <w:name w:val="tv2133"/>
    <w:basedOn w:val="Parastais"/>
    <w:rsid w:val="00CA2BB8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Default">
    <w:name w:val="Default"/>
    <w:rsid w:val="000110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CA2BB8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A2BB8"/>
    <w:rPr>
      <w:sz w:val="24"/>
      <w:szCs w:val="24"/>
      <w:lang w:val="en-GB" w:eastAsia="en-US"/>
    </w:rPr>
  </w:style>
  <w:style w:type="paragraph" w:customStyle="1" w:styleId="tv2133">
    <w:name w:val="tv2133"/>
    <w:basedOn w:val="Parasts"/>
    <w:rsid w:val="00CA2BB8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Default">
    <w:name w:val="Default"/>
    <w:rsid w:val="000110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3619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A6FB-C2C3-405A-98AB-202EA2AD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7793</Characters>
  <Application>Microsoft Office Word</Application>
  <DocSecurity>0</DocSecurity>
  <Lines>243</Lines>
  <Paragraphs>106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2013.gada 8.oktobra noteikumos Nr.1083 „Kārtība, kādā veicama samaksa par Pārtikas un veterinārā dienesta valsts uzraudzības un kontroles darbībām un maksas pakalpojumiem”</vt:lpstr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8.oktobra noteikumos Nr.1083 „Kārtība, kādā veicama samaksa par Pārtikas un veterinārā dienesta valsts uzraudzības un kontroles darbībām un maksas pakalpojumiem”</dc:title>
  <dc:subject>MK noteikumu projekta anotācija</dc:subject>
  <dc:creator>Linda Gurecka</dc:creator>
  <dc:description>Linda.Gurecka@zm.gov.lv
67027063</dc:description>
  <cp:lastModifiedBy>Renārs Žagars</cp:lastModifiedBy>
  <cp:revision>12</cp:revision>
  <cp:lastPrinted>2013-07-10T13:11:00Z</cp:lastPrinted>
  <dcterms:created xsi:type="dcterms:W3CDTF">2013-12-12T12:31:00Z</dcterms:created>
  <dcterms:modified xsi:type="dcterms:W3CDTF">2013-12-12T14:00:00Z</dcterms:modified>
</cp:coreProperties>
</file>