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D" w:rsidRPr="00197C6B" w:rsidRDefault="00A160CC" w:rsidP="00F1436D">
      <w:pPr>
        <w:jc w:val="center"/>
        <w:rPr>
          <w:b/>
          <w:sz w:val="28"/>
        </w:rPr>
      </w:pPr>
      <w:r w:rsidRPr="00197C6B">
        <w:rPr>
          <w:b/>
          <w:sz w:val="28"/>
        </w:rPr>
        <w:t xml:space="preserve">Ministru kabineta noteikumu projekta </w:t>
      </w:r>
      <w:r w:rsidRPr="00197C6B">
        <w:rPr>
          <w:b/>
          <w:bCs/>
          <w:sz w:val="28"/>
        </w:rPr>
        <w:t>„</w:t>
      </w:r>
      <w:r w:rsidR="00F1436D" w:rsidRPr="00197C6B">
        <w:rPr>
          <w:b/>
          <w:sz w:val="28"/>
        </w:rPr>
        <w:t>Grozījum</w:t>
      </w:r>
      <w:r w:rsidR="00B119F0">
        <w:rPr>
          <w:b/>
          <w:sz w:val="28"/>
        </w:rPr>
        <w:t>s</w:t>
      </w:r>
      <w:r w:rsidR="00F1436D" w:rsidRPr="00197C6B">
        <w:rPr>
          <w:b/>
          <w:sz w:val="28"/>
        </w:rPr>
        <w:t xml:space="preserve"> Ministru kabineta 2007.gada 19.jūnija noteikumos Nr.405</w:t>
      </w:r>
    </w:p>
    <w:p w:rsidR="00A160CC" w:rsidRPr="00197C6B" w:rsidRDefault="00F1436D" w:rsidP="00F1436D">
      <w:pPr>
        <w:jc w:val="center"/>
        <w:rPr>
          <w:b/>
          <w:sz w:val="28"/>
        </w:rPr>
      </w:pPr>
      <w:r w:rsidRPr="00197C6B">
        <w:rPr>
          <w:b/>
          <w:sz w:val="28"/>
        </w:rPr>
        <w:t>„</w:t>
      </w:r>
      <w:r w:rsidRPr="00197C6B">
        <w:rPr>
          <w:b/>
          <w:bCs/>
          <w:sz w:val="28"/>
        </w:rPr>
        <w:t>Putnu gripas uzliesmojuma likvidēšanas un draudu novēršanas kārtība</w:t>
      </w:r>
      <w:r w:rsidRPr="00197C6B">
        <w:rPr>
          <w:b/>
          <w:sz w:val="28"/>
        </w:rPr>
        <w:t>”</w:t>
      </w:r>
      <w:r w:rsidR="00A160CC" w:rsidRPr="00197C6B">
        <w:rPr>
          <w:b/>
          <w:bCs/>
          <w:sz w:val="28"/>
        </w:rPr>
        <w:t>”</w:t>
      </w:r>
    </w:p>
    <w:p w:rsidR="00C61DFA" w:rsidRDefault="00A160CC" w:rsidP="00A160CC">
      <w:pPr>
        <w:pStyle w:val="naisc"/>
        <w:widowControl w:val="0"/>
        <w:spacing w:before="0" w:beforeAutospacing="0" w:after="0" w:afterAutospacing="0"/>
        <w:jc w:val="center"/>
        <w:rPr>
          <w:b/>
          <w:bCs/>
          <w:sz w:val="28"/>
        </w:rPr>
      </w:pPr>
      <w:r w:rsidRPr="00197C6B">
        <w:rPr>
          <w:b/>
          <w:bCs/>
          <w:sz w:val="28"/>
        </w:rPr>
        <w:t>sākotnējās ietekmes novērtējuma ziņojums (anotācija)</w:t>
      </w:r>
    </w:p>
    <w:p w:rsidR="00106B51" w:rsidRPr="00106B51" w:rsidRDefault="00106B51" w:rsidP="00A160CC">
      <w:pPr>
        <w:pStyle w:val="naisc"/>
        <w:widowControl w:val="0"/>
        <w:spacing w:before="0" w:beforeAutospacing="0" w:after="0" w:afterAutospacing="0"/>
        <w:jc w:val="center"/>
        <w:rPr>
          <w:b/>
          <w:bCs/>
        </w:rPr>
      </w:pPr>
    </w:p>
    <w:tbl>
      <w:tblPr>
        <w:tblW w:w="5397" w:type="pct"/>
        <w:jc w:val="center"/>
        <w:tblInd w:w="-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3843"/>
        <w:gridCol w:w="5523"/>
      </w:tblGrid>
      <w:tr w:rsidR="000C678C" w:rsidRPr="000C678C" w:rsidTr="00637AB2">
        <w:trPr>
          <w:jc w:val="center"/>
        </w:trPr>
        <w:tc>
          <w:tcPr>
            <w:tcW w:w="5000" w:type="pct"/>
            <w:gridSpan w:val="3"/>
          </w:tcPr>
          <w:p w:rsidR="000C678C" w:rsidRPr="000C678C" w:rsidRDefault="000C678C" w:rsidP="000C678C">
            <w:pPr>
              <w:jc w:val="center"/>
            </w:pPr>
            <w:r w:rsidRPr="000C678C">
              <w:rPr>
                <w:b/>
                <w:bCs/>
              </w:rPr>
              <w:t>I. Tiesību akta projekta izstrādes nepieciešamība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tabs>
                <w:tab w:val="left" w:pos="3044"/>
              </w:tabs>
              <w:jc w:val="both"/>
            </w:pPr>
            <w:r w:rsidRPr="000C678C">
              <w:t xml:space="preserve">1.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tabs>
                <w:tab w:val="left" w:pos="3044"/>
              </w:tabs>
              <w:jc w:val="both"/>
            </w:pPr>
            <w:r w:rsidRPr="000C678C">
              <w:rPr>
                <w:color w:val="000000"/>
              </w:rPr>
              <w:t>Pamatojums</w:t>
            </w:r>
          </w:p>
        </w:tc>
        <w:tc>
          <w:tcPr>
            <w:tcW w:w="2755" w:type="pct"/>
          </w:tcPr>
          <w:p w:rsidR="000C678C" w:rsidRPr="000C678C" w:rsidRDefault="000C678C" w:rsidP="000C678C">
            <w:pPr>
              <w:jc w:val="both"/>
            </w:pPr>
            <w:r w:rsidRPr="000C678C">
              <w:t>Veterinārmedicīnas likuma 26.panta pirmā daļa un 27.panta trešā daļa.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widowControl w:val="0"/>
              <w:jc w:val="both"/>
              <w:rPr>
                <w:lang w:eastAsia="en-US"/>
              </w:rPr>
            </w:pPr>
            <w:r w:rsidRPr="000C678C">
              <w:rPr>
                <w:lang w:eastAsia="en-US"/>
              </w:rPr>
              <w:t xml:space="preserve">2.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widowControl w:val="0"/>
              <w:jc w:val="both"/>
              <w:rPr>
                <w:lang w:eastAsia="en-US"/>
              </w:rPr>
            </w:pPr>
            <w:r w:rsidRPr="000C678C">
              <w:rPr>
                <w:color w:val="000000"/>
                <w:lang w:eastAsia="en-US"/>
              </w:rPr>
              <w:t>Pašreizējā situācija un problēmas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F34F8B" w:rsidRPr="00F01642" w:rsidRDefault="000C678C" w:rsidP="00F01642">
            <w:pPr>
              <w:jc w:val="both"/>
              <w:rPr>
                <w:bCs/>
              </w:rPr>
            </w:pPr>
            <w:r w:rsidRPr="00F01642">
              <w:t>Ministru kabineta 2007.gada 19.jūnija</w:t>
            </w:r>
            <w:r w:rsidR="00CE6B90" w:rsidRPr="00F01642">
              <w:t xml:space="preserve"> noteikumu</w:t>
            </w:r>
            <w:r w:rsidRPr="00F01642">
              <w:t xml:space="preserve"> Nr.405 „</w:t>
            </w:r>
            <w:r w:rsidRPr="00F01642">
              <w:rPr>
                <w:bCs/>
              </w:rPr>
              <w:t>Putnu gripas uzliesmojuma likvidēšanas un draudu novēršanas kārtība</w:t>
            </w:r>
            <w:r w:rsidRPr="00F01642">
              <w:t>” (turpmāk – noteikumi Nr.405)</w:t>
            </w:r>
            <w:r w:rsidR="00CE6B90" w:rsidRPr="00F01642">
              <w:t xml:space="preserve"> </w:t>
            </w:r>
            <w:r w:rsidR="007C59FE" w:rsidRPr="00F01642">
              <w:rPr>
                <w:bCs/>
              </w:rPr>
              <w:t>XVIII.</w:t>
            </w:r>
            <w:r w:rsidR="007C59FE" w:rsidRPr="00F01642">
              <w:rPr>
                <w:bCs/>
                <w:vertAlign w:val="superscript"/>
              </w:rPr>
              <w:t>2</w:t>
            </w:r>
            <w:r w:rsidR="007C59FE" w:rsidRPr="00F01642">
              <w:rPr>
                <w:bCs/>
              </w:rPr>
              <w:t xml:space="preserve"> nodaļa, kas nosaka bioloģiskās drošības pasākumus, lai mazinātu augsti patogēno slimības ierosinātāju pārnešanas risku no savvaļas putniem uz mājputniem un citiem nebrīvē turētiem putniem</w:t>
            </w:r>
            <w:r w:rsidRPr="00F01642">
              <w:t>,</w:t>
            </w:r>
            <w:r w:rsidR="007C59FE" w:rsidRPr="00F01642">
              <w:t xml:space="preserve"> ir spēkā līdz 2013.gada 31.decembrim. N</w:t>
            </w:r>
            <w:r w:rsidR="00F01642" w:rsidRPr="00F01642">
              <w:t>o</w:t>
            </w:r>
            <w:r w:rsidR="007C59FE" w:rsidRPr="00F01642">
              <w:t xml:space="preserve">teikumu Nr.405 </w:t>
            </w:r>
            <w:r w:rsidR="007C59FE" w:rsidRPr="00F01642">
              <w:rPr>
                <w:bCs/>
              </w:rPr>
              <w:t>XVIII.</w:t>
            </w:r>
            <w:r w:rsidR="007C59FE" w:rsidRPr="00F01642">
              <w:rPr>
                <w:bCs/>
                <w:vertAlign w:val="superscript"/>
              </w:rPr>
              <w:t>2</w:t>
            </w:r>
            <w:r w:rsidR="007C59FE" w:rsidRPr="00F01642">
              <w:rPr>
                <w:bCs/>
              </w:rPr>
              <w:t xml:space="preserve"> nodaļa pārņem</w:t>
            </w:r>
            <w:r w:rsidR="00C84BE5" w:rsidRPr="00C84BE5">
              <w:rPr>
                <w:bCs/>
              </w:rPr>
              <w:t xml:space="preserve"> Komisijas </w:t>
            </w:r>
            <w:r w:rsidR="00C84BE5">
              <w:rPr>
                <w:bCs/>
              </w:rPr>
              <w:t>2005.gada 19.oktobra</w:t>
            </w:r>
            <w:r w:rsidR="00C84BE5" w:rsidRPr="00C84BE5">
              <w:rPr>
                <w:bCs/>
              </w:rPr>
              <w:t xml:space="preserve"> </w:t>
            </w:r>
            <w:r w:rsidR="00997A7F">
              <w:rPr>
                <w:bCs/>
              </w:rPr>
              <w:t>Lēmumu</w:t>
            </w:r>
            <w:r w:rsidR="00C84BE5" w:rsidRPr="00C84BE5">
              <w:rPr>
                <w:bCs/>
              </w:rPr>
              <w:t xml:space="preserve"> 2005/734/EK, ar ko nosaka </w:t>
            </w:r>
            <w:proofErr w:type="spellStart"/>
            <w:r w:rsidR="00C84BE5" w:rsidRPr="00C84BE5">
              <w:rPr>
                <w:bCs/>
              </w:rPr>
              <w:t>biodrošības</w:t>
            </w:r>
            <w:proofErr w:type="spellEnd"/>
            <w:r w:rsidR="00C84BE5" w:rsidRPr="00C84BE5">
              <w:rPr>
                <w:bCs/>
              </w:rPr>
              <w:t xml:space="preserve"> pasākumus, lai mazinātu risku, ka ļoti patogēno putnu gripu, ko izraisa A tipa H5N1 </w:t>
            </w:r>
            <w:proofErr w:type="spellStart"/>
            <w:r w:rsidR="00C84BE5" w:rsidRPr="00C84BE5">
              <w:rPr>
                <w:bCs/>
              </w:rPr>
              <w:t>apakštipa</w:t>
            </w:r>
            <w:proofErr w:type="spellEnd"/>
            <w:r w:rsidR="00C84BE5" w:rsidRPr="00C84BE5">
              <w:rPr>
                <w:bCs/>
              </w:rPr>
              <w:t xml:space="preserve"> gripas vīruss, no savvaļas putniem varētu pārnest uz mājputniem un citiem nebrīvē turētiem putniem, un ar ko paredz agrīnas konstatācijas sistēmu īpaši apdraudētos apgabalos</w:t>
            </w:r>
            <w:r w:rsidR="00C84BE5">
              <w:rPr>
                <w:bCs/>
              </w:rPr>
              <w:t>.</w:t>
            </w:r>
          </w:p>
          <w:p w:rsidR="000C678C" w:rsidRPr="00F01642" w:rsidRDefault="00CE6B90" w:rsidP="00B119F0">
            <w:pPr>
              <w:jc w:val="both"/>
              <w:rPr>
                <w:bCs/>
              </w:rPr>
            </w:pPr>
            <w:r w:rsidRPr="00F01642">
              <w:rPr>
                <w:bCs/>
              </w:rPr>
              <w:t xml:space="preserve">Ir stājies spēkā Komisijas 2013.gada 31.oktobra Īstenošanas lēmums </w:t>
            </w:r>
            <w:r w:rsidR="00C84BE5" w:rsidRPr="00C84BE5">
              <w:rPr>
                <w:bCs/>
              </w:rPr>
              <w:t xml:space="preserve">2013/635/ES </w:t>
            </w:r>
            <w:r w:rsidRPr="00F01642">
              <w:rPr>
                <w:bCs/>
              </w:rPr>
              <w:t xml:space="preserve">ar ko groza Lēmumus 2005/734/EK, 2006/415/EK un 2007/25/EK attiecībā uz to piemērošanas periodu. </w:t>
            </w:r>
            <w:r w:rsidR="007C59FE" w:rsidRPr="00F01642">
              <w:rPr>
                <w:bCs/>
              </w:rPr>
              <w:t>Līdz ar to noteikumu Nr.405 XVIII.</w:t>
            </w:r>
            <w:r w:rsidR="007C59FE" w:rsidRPr="00F01642">
              <w:rPr>
                <w:bCs/>
                <w:vertAlign w:val="superscript"/>
              </w:rPr>
              <w:t>2</w:t>
            </w:r>
            <w:r w:rsidR="007C59FE" w:rsidRPr="00F01642">
              <w:rPr>
                <w:bCs/>
              </w:rPr>
              <w:t xml:space="preserve"> nodaļā noteikto prasību piemērošan</w:t>
            </w:r>
            <w:r w:rsidR="00B119F0">
              <w:rPr>
                <w:bCs/>
              </w:rPr>
              <w:t>a</w:t>
            </w:r>
            <w:r w:rsidR="007C59FE" w:rsidRPr="00F01642">
              <w:rPr>
                <w:bCs/>
              </w:rPr>
              <w:t xml:space="preserve"> jāpagarina </w:t>
            </w:r>
            <w:r w:rsidR="00B119F0" w:rsidRPr="00F01642">
              <w:rPr>
                <w:bCs/>
              </w:rPr>
              <w:t xml:space="preserve">attiecīgi </w:t>
            </w:r>
            <w:r w:rsidR="007C59FE" w:rsidRPr="00F01642">
              <w:rPr>
                <w:bCs/>
              </w:rPr>
              <w:t>līdz 2015.gada 31.decembrim.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widowControl w:val="0"/>
              <w:jc w:val="both"/>
              <w:rPr>
                <w:lang w:eastAsia="en-US"/>
              </w:rPr>
            </w:pPr>
            <w:r w:rsidRPr="000C678C">
              <w:rPr>
                <w:lang w:eastAsia="en-US"/>
              </w:rPr>
              <w:t>3.</w:t>
            </w:r>
            <w:r w:rsidRPr="000C678C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widowControl w:val="0"/>
              <w:jc w:val="both"/>
              <w:rPr>
                <w:lang w:eastAsia="en-US"/>
              </w:rPr>
            </w:pPr>
            <w:r w:rsidRPr="000C678C">
              <w:rPr>
                <w:color w:val="000000"/>
                <w:lang w:eastAsia="en-US"/>
              </w:rPr>
              <w:t>Saistītie politikas ietekmes novērtējumi un pētījumi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 xml:space="preserve">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rPr>
                <w:color w:val="000000"/>
              </w:rPr>
              <w:t>Tiesiskā regulējuma mērķis un būtība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  <w:rPr>
                <w:b/>
              </w:rPr>
            </w:pPr>
            <w:r w:rsidRPr="000C678C">
              <w:t xml:space="preserve">Ir sagatavots Ministru kabineta noteikumu projekts </w:t>
            </w:r>
            <w:r w:rsidRPr="000C678C">
              <w:rPr>
                <w:bCs/>
              </w:rPr>
              <w:t>„</w:t>
            </w:r>
            <w:r w:rsidRPr="000C678C">
              <w:t>Grozījum</w:t>
            </w:r>
            <w:r w:rsidR="00226F98">
              <w:t>s</w:t>
            </w:r>
            <w:r w:rsidRPr="000C678C">
              <w:t xml:space="preserve"> Ministru kabineta 2007.gada 19.jūnija noteikumos Nr.405 „</w:t>
            </w:r>
            <w:r w:rsidRPr="000C678C">
              <w:rPr>
                <w:bCs/>
              </w:rPr>
              <w:t>Putnu gripas uzliesmojuma likvidēšanas un draudu novēršanas kārtība</w:t>
            </w:r>
            <w:r w:rsidRPr="000C678C">
              <w:t>”</w:t>
            </w:r>
            <w:r w:rsidRPr="000C678C">
              <w:rPr>
                <w:bCs/>
              </w:rPr>
              <w:t xml:space="preserve">” (turpmāk – </w:t>
            </w:r>
            <w:r w:rsidR="00CE6B90">
              <w:rPr>
                <w:bCs/>
              </w:rPr>
              <w:t xml:space="preserve">noteikumu projekts), kas paredz </w:t>
            </w:r>
            <w:r w:rsidR="00226F98">
              <w:rPr>
                <w:bCs/>
              </w:rPr>
              <w:t xml:space="preserve">noteikumu Nr.405 </w:t>
            </w:r>
            <w:r w:rsidR="00F01642" w:rsidRPr="00F01642">
              <w:rPr>
                <w:bCs/>
              </w:rPr>
              <w:t>XVIII.</w:t>
            </w:r>
            <w:r w:rsidR="00F01642" w:rsidRPr="00F01642">
              <w:rPr>
                <w:bCs/>
                <w:vertAlign w:val="superscript"/>
              </w:rPr>
              <w:t>2</w:t>
            </w:r>
            <w:r w:rsidR="00F01642" w:rsidRPr="00F01642">
              <w:rPr>
                <w:bCs/>
              </w:rPr>
              <w:t xml:space="preserve"> </w:t>
            </w:r>
            <w:r w:rsidR="00F01642">
              <w:rPr>
                <w:bCs/>
              </w:rPr>
              <w:t>nodaļā noteikto</w:t>
            </w:r>
            <w:r w:rsidR="00F01642" w:rsidRPr="00F01642">
              <w:rPr>
                <w:bCs/>
              </w:rPr>
              <w:t xml:space="preserve"> </w:t>
            </w:r>
            <w:r w:rsidR="00226F98">
              <w:rPr>
                <w:bCs/>
              </w:rPr>
              <w:t xml:space="preserve">pasākumu </w:t>
            </w:r>
            <w:r w:rsidR="005968DE">
              <w:rPr>
                <w:bCs/>
              </w:rPr>
              <w:t xml:space="preserve">īstenošanu </w:t>
            </w:r>
            <w:r w:rsidR="00CE6B90">
              <w:rPr>
                <w:bCs/>
              </w:rPr>
              <w:t>aizsardzība</w:t>
            </w:r>
            <w:r w:rsidR="00226F98">
              <w:rPr>
                <w:bCs/>
              </w:rPr>
              <w:t>i</w:t>
            </w:r>
            <w:r w:rsidR="00CE6B90">
              <w:rPr>
                <w:bCs/>
              </w:rPr>
              <w:t xml:space="preserve"> pret putnu gripu pagarināt līdz 2015.gada 31.decembrim.</w:t>
            </w:r>
          </w:p>
          <w:p w:rsidR="000C678C" w:rsidRPr="000C678C" w:rsidRDefault="000C678C" w:rsidP="000C678C">
            <w:pPr>
              <w:jc w:val="both"/>
            </w:pPr>
            <w:r w:rsidRPr="000C678C">
              <w:t>Šīs anotācijas I sadaļas 2.punktā minētās problēmas noteikumu projekts atrisinās pilnībā.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 xml:space="preserve">5.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rPr>
                <w:color w:val="000000"/>
              </w:rPr>
              <w:t>Projekta izstrādē iesaistītās institūcijas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0C678C" w:rsidP="000C678C">
            <w:pPr>
              <w:spacing w:before="100" w:beforeAutospacing="1" w:after="100" w:afterAutospacing="1"/>
              <w:rPr>
                <w:color w:val="000000"/>
              </w:rPr>
            </w:pPr>
            <w:r w:rsidRPr="000C678C">
              <w:t>Pārtikas un veterinārais dienests</w:t>
            </w:r>
            <w:r w:rsidR="00226F98">
              <w:t>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rPr>
                <w:color w:val="000000"/>
              </w:rPr>
              <w:t xml:space="preserve">6.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C84BE5" w:rsidP="000C678C">
            <w:pPr>
              <w:jc w:val="both"/>
            </w:pPr>
            <w:r>
              <w:t>Projekts šo jomu neskar</w:t>
            </w:r>
            <w:r w:rsidR="000C678C" w:rsidRPr="000C678C">
              <w:t>.</w:t>
            </w:r>
          </w:p>
        </w:tc>
      </w:tr>
      <w:tr w:rsidR="000C678C" w:rsidRPr="000C678C" w:rsidTr="00637AB2">
        <w:trPr>
          <w:trHeight w:val="232"/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jc w:val="both"/>
            </w:pPr>
            <w:r w:rsidRPr="000C678C">
              <w:t xml:space="preserve">7.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jc w:val="both"/>
            </w:pPr>
            <w:r w:rsidRPr="000C678C"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Nav</w:t>
            </w:r>
          </w:p>
        </w:tc>
      </w:tr>
      <w:tr w:rsidR="000C678C" w:rsidRPr="000C678C" w:rsidTr="00637AB2">
        <w:trPr>
          <w:jc w:val="center"/>
        </w:trPr>
        <w:tc>
          <w:tcPr>
            <w:tcW w:w="5000" w:type="pct"/>
            <w:gridSpan w:val="3"/>
          </w:tcPr>
          <w:p w:rsidR="000C678C" w:rsidRPr="000C678C" w:rsidRDefault="000C678C" w:rsidP="000C678C">
            <w:pPr>
              <w:jc w:val="center"/>
            </w:pPr>
            <w:r w:rsidRPr="000C678C">
              <w:rPr>
                <w:b/>
                <w:bCs/>
              </w:rPr>
              <w:t>II. Tiesību akta projekta ietekme uz sabiedrību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tabs>
                <w:tab w:val="left" w:pos="3044"/>
              </w:tabs>
              <w:jc w:val="both"/>
            </w:pPr>
            <w:r w:rsidRPr="000C678C">
              <w:t xml:space="preserve">1.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tabs>
                <w:tab w:val="left" w:pos="3044"/>
              </w:tabs>
              <w:jc w:val="both"/>
            </w:pPr>
            <w:r w:rsidRPr="000C678C">
              <w:rPr>
                <w:color w:val="000000"/>
              </w:rPr>
              <w:t xml:space="preserve">Sabiedrības </w:t>
            </w:r>
            <w:proofErr w:type="spellStart"/>
            <w:r w:rsidRPr="000C678C">
              <w:rPr>
                <w:color w:val="000000"/>
              </w:rPr>
              <w:t>mērķgrupa</w:t>
            </w:r>
            <w:proofErr w:type="spellEnd"/>
          </w:p>
        </w:tc>
        <w:tc>
          <w:tcPr>
            <w:tcW w:w="2755" w:type="pct"/>
          </w:tcPr>
          <w:p w:rsidR="000C678C" w:rsidRPr="000C678C" w:rsidRDefault="000C678C" w:rsidP="000C678C">
            <w:pPr>
              <w:jc w:val="both"/>
            </w:pPr>
            <w:r w:rsidRPr="000C678C">
              <w:t xml:space="preserve">Noteikumu projekta tiesiskais regulējums attiecas uz </w:t>
            </w:r>
            <w:r w:rsidRPr="000C678C">
              <w:lastRenderedPageBreak/>
              <w:t>lauksaimniecības dzīvnieku īpašniekiem, kas audzē un tur mājputnus un nebrīvē turētus putnus.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jc w:val="both"/>
            </w:pPr>
            <w:r w:rsidRPr="000C678C">
              <w:lastRenderedPageBreak/>
              <w:t xml:space="preserve"> 2.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jc w:val="both"/>
            </w:pPr>
            <w:r w:rsidRPr="000C678C">
              <w:t xml:space="preserve">Citas sabiedrības grupas (bez </w:t>
            </w:r>
            <w:proofErr w:type="spellStart"/>
            <w:r w:rsidRPr="000C678C">
              <w:t>mērķgrupas</w:t>
            </w:r>
            <w:proofErr w:type="spellEnd"/>
            <w:r w:rsidRPr="000C678C">
              <w:t>), kuras tiesiskais regulējums arī ietekmē vai varētu ietekmēt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jc w:val="both"/>
            </w:pPr>
            <w:r w:rsidRPr="000C678C">
              <w:t xml:space="preserve"> 3. 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jc w:val="both"/>
            </w:pPr>
            <w:r w:rsidRPr="000C678C">
              <w:t>Tiesiskā regulējuma finansiālā ietekme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 xml:space="preserve"> 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Tiesiskā regulējuma nefinansiālā ietekme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 5.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Administratīvās procedūras raksturojums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Noteikumu projekta tiesiskais regulējums nemaina līdzšinējo administratīvo procedūru, kas jāpiemēro  dzīvnieku apritē iesaistītajām personām.</w:t>
            </w:r>
          </w:p>
        </w:tc>
      </w:tr>
      <w:tr w:rsidR="000C678C" w:rsidRPr="000C678C" w:rsidTr="00637AB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6.  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Administratīvo izmaksu monetārs novērtējums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trHeight w:val="232"/>
          <w:jc w:val="center"/>
        </w:trPr>
        <w:tc>
          <w:tcPr>
            <w:tcW w:w="328" w:type="pct"/>
          </w:tcPr>
          <w:p w:rsidR="000C678C" w:rsidRPr="000C678C" w:rsidRDefault="000C678C" w:rsidP="000C678C">
            <w:pPr>
              <w:jc w:val="both"/>
            </w:pPr>
            <w:r w:rsidRPr="000C678C">
              <w:t>7.  </w:t>
            </w:r>
          </w:p>
        </w:tc>
        <w:tc>
          <w:tcPr>
            <w:tcW w:w="1917" w:type="pct"/>
          </w:tcPr>
          <w:p w:rsidR="000C678C" w:rsidRPr="000C678C" w:rsidRDefault="000C678C" w:rsidP="000C678C">
            <w:pPr>
              <w:jc w:val="both"/>
            </w:pPr>
            <w:r w:rsidRPr="000C678C"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0C678C" w:rsidRPr="000C678C" w:rsidRDefault="000C678C" w:rsidP="000C678C">
            <w:pPr>
              <w:jc w:val="both"/>
            </w:pPr>
            <w:r w:rsidRPr="000C678C">
              <w:t>Nav</w:t>
            </w:r>
          </w:p>
        </w:tc>
      </w:tr>
    </w:tbl>
    <w:p w:rsidR="000C678C" w:rsidRPr="000C678C" w:rsidRDefault="000C678C" w:rsidP="000C678C">
      <w:pPr>
        <w:rPr>
          <w:i/>
        </w:rPr>
      </w:pPr>
    </w:p>
    <w:p w:rsidR="000C678C" w:rsidRPr="000C678C" w:rsidRDefault="000C678C" w:rsidP="000C678C">
      <w:pPr>
        <w:rPr>
          <w:i/>
        </w:rPr>
      </w:pPr>
      <w:r w:rsidRPr="000C678C">
        <w:rPr>
          <w:i/>
        </w:rPr>
        <w:t>Anotācijas III un IV sadaļa – projekts šīs jomas neskar.</w:t>
      </w:r>
    </w:p>
    <w:p w:rsidR="000C678C" w:rsidRPr="000C678C" w:rsidRDefault="000C678C" w:rsidP="000C678C">
      <w:pPr>
        <w:rPr>
          <w:i/>
        </w:rPr>
      </w:pPr>
    </w:p>
    <w:tbl>
      <w:tblPr>
        <w:tblW w:w="54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234"/>
        <w:gridCol w:w="1611"/>
        <w:gridCol w:w="52"/>
        <w:gridCol w:w="405"/>
        <w:gridCol w:w="2131"/>
        <w:gridCol w:w="2927"/>
      </w:tblGrid>
      <w:tr w:rsidR="000C678C" w:rsidRPr="000C678C" w:rsidTr="00637AB2">
        <w:tc>
          <w:tcPr>
            <w:tcW w:w="5000" w:type="pct"/>
            <w:gridSpan w:val="7"/>
          </w:tcPr>
          <w:p w:rsidR="000C678C" w:rsidRPr="000C678C" w:rsidRDefault="000C678C" w:rsidP="000C678C">
            <w:pPr>
              <w:spacing w:before="100" w:beforeAutospacing="1" w:after="100" w:afterAutospacing="1"/>
              <w:rPr>
                <w:rFonts w:eastAsia="Arial Unicode MS"/>
                <w:b/>
                <w:bCs/>
                <w:lang w:eastAsia="en-US"/>
              </w:rPr>
            </w:pPr>
            <w:r w:rsidRPr="000C678C">
              <w:rPr>
                <w:rFonts w:eastAsia="Arial Unicode MS"/>
                <w:b/>
                <w:bCs/>
                <w:lang w:eastAsia="en-US"/>
              </w:rPr>
              <w:t> V. Tiesību akta projekta atbilstība Latvijas Republikas starptautiskajām saistībām</w:t>
            </w:r>
          </w:p>
        </w:tc>
      </w:tr>
      <w:tr w:rsidR="000C678C" w:rsidRPr="000C678C" w:rsidTr="00637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1.</w:t>
            </w:r>
          </w:p>
        </w:tc>
        <w:tc>
          <w:tcPr>
            <w:tcW w:w="19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Saistības pret Eiropas Savienību</w:t>
            </w:r>
          </w:p>
        </w:tc>
        <w:tc>
          <w:tcPr>
            <w:tcW w:w="27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678C" w:rsidRPr="000C678C" w:rsidRDefault="00F01642" w:rsidP="00F01642">
            <w:pPr>
              <w:jc w:val="both"/>
            </w:pPr>
            <w:r>
              <w:rPr>
                <w:bCs/>
              </w:rPr>
              <w:t xml:space="preserve">Noteikumu projekts pārņem </w:t>
            </w:r>
            <w:r w:rsidRPr="00F01642">
              <w:rPr>
                <w:bCs/>
              </w:rPr>
              <w:t xml:space="preserve">Komisijas 2013.gada 31.oktobra </w:t>
            </w:r>
            <w:r>
              <w:rPr>
                <w:bCs/>
              </w:rPr>
              <w:t>Īstenošanas lēmumā</w:t>
            </w:r>
            <w:r w:rsidRPr="00F01642">
              <w:rPr>
                <w:bCs/>
              </w:rPr>
              <w:t xml:space="preserve"> ar ko groza Lēmumus 2005/734/EK, 2006/415/EK un 2007/25/EK attiecībā uz to piemērošanas periodu</w:t>
            </w:r>
            <w:r>
              <w:rPr>
                <w:bCs/>
              </w:rPr>
              <w:t xml:space="preserve"> noteiktās prasības</w:t>
            </w:r>
            <w:r w:rsidRPr="00F01642">
              <w:rPr>
                <w:bCs/>
              </w:rPr>
              <w:t>.</w:t>
            </w:r>
          </w:p>
        </w:tc>
      </w:tr>
      <w:tr w:rsidR="000C678C" w:rsidRPr="000C678C" w:rsidTr="00637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7"/>
        </w:trPr>
        <w:tc>
          <w:tcPr>
            <w:tcW w:w="3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2.</w:t>
            </w:r>
          </w:p>
        </w:tc>
        <w:tc>
          <w:tcPr>
            <w:tcW w:w="19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Citas starptautiskās saistības</w:t>
            </w:r>
          </w:p>
        </w:tc>
        <w:tc>
          <w:tcPr>
            <w:tcW w:w="27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678C" w:rsidRPr="000C678C" w:rsidRDefault="000C678C" w:rsidP="000C678C">
            <w:r w:rsidRPr="000C678C">
              <w:t>Projekts šo jomu neskar.</w:t>
            </w:r>
          </w:p>
        </w:tc>
      </w:tr>
      <w:tr w:rsidR="000C678C" w:rsidRPr="000C678C" w:rsidTr="00637A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3.</w:t>
            </w:r>
          </w:p>
        </w:tc>
        <w:tc>
          <w:tcPr>
            <w:tcW w:w="19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8C" w:rsidRPr="000C678C" w:rsidRDefault="000C678C" w:rsidP="000C678C">
            <w:r w:rsidRPr="000C678C">
              <w:t>Cita informācija</w:t>
            </w:r>
          </w:p>
        </w:tc>
        <w:tc>
          <w:tcPr>
            <w:tcW w:w="27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678C" w:rsidRPr="000C678C" w:rsidRDefault="000C678C" w:rsidP="000C678C">
            <w:r w:rsidRPr="000C678C">
              <w:t>Nav</w:t>
            </w:r>
          </w:p>
        </w:tc>
      </w:tr>
      <w:tr w:rsidR="000C678C" w:rsidRPr="000C678C" w:rsidTr="00637AB2">
        <w:tc>
          <w:tcPr>
            <w:tcW w:w="5000" w:type="pct"/>
            <w:gridSpan w:val="7"/>
          </w:tcPr>
          <w:p w:rsidR="000C678C" w:rsidRPr="000C678C" w:rsidRDefault="000C678C" w:rsidP="000C678C">
            <w:pPr>
              <w:jc w:val="center"/>
              <w:rPr>
                <w:b/>
              </w:rPr>
            </w:pPr>
            <w:r w:rsidRPr="000C678C">
              <w:rPr>
                <w:b/>
              </w:rPr>
              <w:t xml:space="preserve">1.tabula </w:t>
            </w:r>
          </w:p>
          <w:p w:rsidR="000C678C" w:rsidRPr="000C678C" w:rsidRDefault="000C678C" w:rsidP="000C678C">
            <w:pPr>
              <w:jc w:val="center"/>
            </w:pPr>
            <w:r w:rsidRPr="000C678C">
              <w:rPr>
                <w:b/>
              </w:rPr>
              <w:t>Tiesību akta projekta atbilstība ES tiesību aktiem</w:t>
            </w:r>
          </w:p>
        </w:tc>
      </w:tr>
      <w:tr w:rsidR="000C678C" w:rsidRPr="000C678C" w:rsidTr="00637AB2">
        <w:tc>
          <w:tcPr>
            <w:tcW w:w="2264" w:type="pct"/>
            <w:gridSpan w:val="3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Attiecīgā Eiropas Savienības tiesību akta datums, numurs un nosaukums</w:t>
            </w:r>
          </w:p>
        </w:tc>
        <w:tc>
          <w:tcPr>
            <w:tcW w:w="2736" w:type="pct"/>
            <w:gridSpan w:val="4"/>
          </w:tcPr>
          <w:p w:rsidR="000C678C" w:rsidRPr="000C678C" w:rsidRDefault="00F01642" w:rsidP="000C678C">
            <w:pPr>
              <w:jc w:val="both"/>
            </w:pPr>
            <w:r w:rsidRPr="00F01642">
              <w:rPr>
                <w:bCs/>
              </w:rPr>
              <w:t>Komisijas 2013.gada 31.oktobra Īstenošanas lēmums</w:t>
            </w:r>
            <w:r w:rsidR="00C84BE5">
              <w:rPr>
                <w:bCs/>
              </w:rPr>
              <w:t xml:space="preserve"> </w:t>
            </w:r>
            <w:r w:rsidR="00C84BE5" w:rsidRPr="00C84BE5">
              <w:rPr>
                <w:bCs/>
              </w:rPr>
              <w:t>2013/635/ES</w:t>
            </w:r>
            <w:r w:rsidRPr="00F01642">
              <w:rPr>
                <w:bCs/>
              </w:rPr>
              <w:t xml:space="preserve"> ar ko groza Lēmumus 2005/734/EK, 2006/415/EK un 2007/25/EK attiecībā uz to piemērošanas periodu</w:t>
            </w:r>
            <w:r>
              <w:rPr>
                <w:bCs/>
              </w:rPr>
              <w:t xml:space="preserve"> (turpmāk – Īstenošanas lēmums)</w:t>
            </w:r>
            <w:r w:rsidRPr="00F01642">
              <w:rPr>
                <w:bCs/>
              </w:rPr>
              <w:t>.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0C678C" w:rsidP="000C678C">
            <w:pPr>
              <w:spacing w:beforeAutospacing="1" w:afterAutospacing="1"/>
            </w:pPr>
            <w:r w:rsidRPr="000C678C">
              <w:t>A</w:t>
            </w:r>
          </w:p>
        </w:tc>
        <w:tc>
          <w:tcPr>
            <w:tcW w:w="1026" w:type="pct"/>
            <w:gridSpan w:val="3"/>
          </w:tcPr>
          <w:p w:rsidR="000C678C" w:rsidRPr="000C678C" w:rsidRDefault="000C678C" w:rsidP="000C678C">
            <w:pPr>
              <w:spacing w:beforeAutospacing="1" w:afterAutospacing="1"/>
            </w:pPr>
            <w:r w:rsidRPr="000C678C">
              <w:t>B</w:t>
            </w:r>
          </w:p>
        </w:tc>
        <w:tc>
          <w:tcPr>
            <w:tcW w:w="1057" w:type="pct"/>
          </w:tcPr>
          <w:p w:rsidR="000C678C" w:rsidRPr="000C678C" w:rsidRDefault="000C678C" w:rsidP="000C678C">
            <w:pPr>
              <w:spacing w:beforeAutospacing="1" w:afterAutospacing="1"/>
            </w:pPr>
            <w:r w:rsidRPr="000C678C">
              <w:t>C</w:t>
            </w:r>
          </w:p>
        </w:tc>
        <w:tc>
          <w:tcPr>
            <w:tcW w:w="1452" w:type="pct"/>
          </w:tcPr>
          <w:p w:rsidR="000C678C" w:rsidRPr="000C678C" w:rsidRDefault="000C678C" w:rsidP="000C678C">
            <w:pPr>
              <w:spacing w:beforeAutospacing="1" w:afterAutospacing="1"/>
            </w:pPr>
            <w:r w:rsidRPr="000C678C">
              <w:t>D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Attiecīgā ES tiesību akta panta numurs (uzskaitot katru tiesību akta vienību - pantu, daļu, punktu, apakšpunktu)</w:t>
            </w:r>
          </w:p>
        </w:tc>
        <w:tc>
          <w:tcPr>
            <w:tcW w:w="1026" w:type="pct"/>
            <w:gridSpan w:val="3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Projekta vienība, kas pārņem vai ievieš katru šī tabulas A ailē minēto ES tiesību akta vienību</w:t>
            </w:r>
          </w:p>
        </w:tc>
        <w:tc>
          <w:tcPr>
            <w:tcW w:w="1057" w:type="pct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 xml:space="preserve">Informācija par to, vai šīs tabulas A ailē minētās ES tiesību akta vienības tiek pārņemtas vai ieviestas pilnībā vai daļēji. Ja attiecīgā ES tiesību akta vienība tiek pārņemta vai ieviesta daļēji, - sniedz attiecīgu skaidrojumu, kā arī </w:t>
            </w:r>
            <w:r w:rsidRPr="000C678C">
              <w:lastRenderedPageBreak/>
              <w:t>precīzi norāda, kad un kādā veidā ES tiesību akta vienība tiks pārņemta vai ieviesta pilnībā.</w:t>
            </w:r>
          </w:p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Norāda institūciju, kas ir atbildīga par šo saistību izpildi pilnībā</w:t>
            </w:r>
          </w:p>
        </w:tc>
        <w:tc>
          <w:tcPr>
            <w:tcW w:w="1452" w:type="pct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lastRenderedPageBreak/>
              <w:t xml:space="preserve">Informācija par to, vai šīs tabulas B ailē minētās projekta vienības paredz stingrākas prasības nekā šīs tabulas A ailē minētās ES tiesību akta vienības. 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0C678C">
                <w:t>akts</w:t>
              </w:r>
            </w:smartTag>
            <w:r w:rsidRPr="000C678C">
              <w:t>,- norāda pamatojumu un samērīgumu.</w:t>
            </w:r>
          </w:p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 xml:space="preserve">Norāda iespējamās alternatīvas (t.sk. </w:t>
            </w:r>
            <w:r w:rsidRPr="000C678C">
              <w:lastRenderedPageBreak/>
              <w:t>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F01642" w:rsidP="000C678C">
            <w:pPr>
              <w:spacing w:beforeAutospacing="1" w:afterAutospacing="1"/>
              <w:jc w:val="both"/>
            </w:pPr>
            <w:r>
              <w:lastRenderedPageBreak/>
              <w:t>Īstenošanas lēmuma 1.pants</w:t>
            </w:r>
          </w:p>
        </w:tc>
        <w:tc>
          <w:tcPr>
            <w:tcW w:w="1026" w:type="pct"/>
            <w:gridSpan w:val="3"/>
          </w:tcPr>
          <w:p w:rsidR="000C678C" w:rsidRPr="000C678C" w:rsidRDefault="00F01642" w:rsidP="005968DE">
            <w:pPr>
              <w:spacing w:beforeAutospacing="1" w:afterAutospacing="1"/>
              <w:jc w:val="both"/>
            </w:pPr>
            <w:r>
              <w:t>noteikumu projekt</w:t>
            </w:r>
            <w:r w:rsidR="005968DE">
              <w:t>s</w:t>
            </w:r>
          </w:p>
        </w:tc>
        <w:tc>
          <w:tcPr>
            <w:tcW w:w="1057" w:type="pct"/>
          </w:tcPr>
          <w:p w:rsidR="000C678C" w:rsidRPr="000C678C" w:rsidRDefault="00542442" w:rsidP="000C678C">
            <w:pPr>
              <w:spacing w:beforeAutospacing="1" w:afterAutospacing="1"/>
              <w:jc w:val="both"/>
            </w:pPr>
            <w:r w:rsidRPr="00542442">
              <w:t>ES tiesību akta vienība tiek ieviesta pilnībā.</w:t>
            </w:r>
          </w:p>
        </w:tc>
        <w:tc>
          <w:tcPr>
            <w:tcW w:w="1452" w:type="pct"/>
          </w:tcPr>
          <w:p w:rsidR="000C678C" w:rsidRPr="000C678C" w:rsidRDefault="00542442" w:rsidP="000C678C">
            <w:pPr>
              <w:spacing w:beforeAutospacing="1" w:afterAutospacing="1"/>
              <w:jc w:val="both"/>
            </w:pPr>
            <w:r w:rsidRPr="00542442">
              <w:t>Attiecīgais noteikumu projekta punkts neparedz stingrākas prasības kā ES tiesību aktā.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535" w:type="pct"/>
            <w:gridSpan w:val="5"/>
          </w:tcPr>
          <w:p w:rsidR="000C678C" w:rsidRPr="000C678C" w:rsidRDefault="00F34F8B" w:rsidP="00F34F8B">
            <w:pPr>
              <w:jc w:val="both"/>
            </w:pPr>
            <w:r>
              <w:t>Lēmumā</w:t>
            </w:r>
            <w:r w:rsidR="000C678C" w:rsidRPr="000C678C">
              <w:t xml:space="preserve"> nav paredzēta rīcības brīvība dalībvalstij ieviest tiesību normas. 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Saistības sniegt paziņojumu ES institūcijām un ES dalībvalstīm atbilstoši normatīvajiem aktiem, kas regulē informācijas sniegšanu par tehnisko noteikumu, valsts atbalsts piešķiršanas un finanšu noteikumus (attiecībā uz monetāro politiku)</w:t>
            </w:r>
          </w:p>
        </w:tc>
        <w:tc>
          <w:tcPr>
            <w:tcW w:w="3535" w:type="pct"/>
            <w:gridSpan w:val="5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c>
          <w:tcPr>
            <w:tcW w:w="1465" w:type="pct"/>
            <w:gridSpan w:val="2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Cita informācija</w:t>
            </w:r>
          </w:p>
        </w:tc>
        <w:tc>
          <w:tcPr>
            <w:tcW w:w="3535" w:type="pct"/>
            <w:gridSpan w:val="5"/>
          </w:tcPr>
          <w:p w:rsidR="000C678C" w:rsidRPr="000C678C" w:rsidRDefault="000C678C" w:rsidP="000C678C">
            <w:pPr>
              <w:spacing w:beforeAutospacing="1" w:afterAutospacing="1"/>
              <w:jc w:val="both"/>
            </w:pPr>
            <w:r w:rsidRPr="000C678C">
              <w:t>Nav.</w:t>
            </w:r>
          </w:p>
        </w:tc>
      </w:tr>
    </w:tbl>
    <w:p w:rsidR="004C6965" w:rsidRDefault="004C6965"/>
    <w:p w:rsidR="004C6965" w:rsidRPr="004C6965" w:rsidRDefault="004C6965">
      <w:pPr>
        <w:rPr>
          <w:i/>
        </w:rPr>
      </w:pPr>
      <w:r w:rsidRPr="004C6965">
        <w:rPr>
          <w:i/>
        </w:rPr>
        <w:t>Anotācijas V sadaļas 2.ta</w:t>
      </w:r>
      <w:r w:rsidR="004A087C">
        <w:rPr>
          <w:i/>
        </w:rPr>
        <w:t>bula – projekts šo jomu</w:t>
      </w:r>
      <w:r w:rsidRPr="004C6965">
        <w:rPr>
          <w:i/>
        </w:rPr>
        <w:t xml:space="preserve"> neskar.</w:t>
      </w:r>
    </w:p>
    <w:p w:rsidR="004C6965" w:rsidRDefault="004C6965"/>
    <w:tbl>
      <w:tblPr>
        <w:tblW w:w="54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4201"/>
      </w:tblGrid>
      <w:tr w:rsidR="004A087C" w:rsidRPr="00BF20B2" w:rsidTr="004A08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C" w:rsidRPr="00BF20B2" w:rsidRDefault="004A087C" w:rsidP="00C578F2">
            <w:pPr>
              <w:jc w:val="center"/>
              <w:rPr>
                <w:b/>
                <w:bCs/>
              </w:rPr>
            </w:pPr>
            <w:r w:rsidRPr="00BF20B2">
              <w:rPr>
                <w:b/>
                <w:bCs/>
              </w:rPr>
              <w:t>VI. Sabiedrības līdzdalība un šīs līdzdalības rezultāti</w:t>
            </w:r>
          </w:p>
        </w:tc>
      </w:tr>
      <w:tr w:rsidR="004A087C" w:rsidRPr="00BF20B2" w:rsidTr="00C578F2">
        <w:tc>
          <w:tcPr>
            <w:tcW w:w="2916" w:type="pct"/>
          </w:tcPr>
          <w:p w:rsidR="004A087C" w:rsidRPr="00BF20B2" w:rsidRDefault="004A087C" w:rsidP="00C578F2">
            <w:pPr>
              <w:spacing w:before="100" w:beforeAutospacing="1" w:after="100" w:afterAutospacing="1"/>
            </w:pPr>
            <w:r w:rsidRPr="00BF20B2">
              <w:t>1. Sabiedrības informēšana par projekta izstrādes uzsākšanu</w:t>
            </w:r>
          </w:p>
        </w:tc>
        <w:tc>
          <w:tcPr>
            <w:tcW w:w="2084" w:type="pct"/>
          </w:tcPr>
          <w:p w:rsidR="004A087C" w:rsidRPr="00BF20B2" w:rsidRDefault="004A087C" w:rsidP="004A087C">
            <w:pPr>
              <w:jc w:val="both"/>
            </w:pPr>
            <w:r w:rsidRPr="004A087C">
              <w:t>Sabiedrības pārstāvji (</w:t>
            </w:r>
            <w:r>
              <w:t>biedrības „</w:t>
            </w:r>
            <w:r w:rsidRPr="004A087C">
              <w:t>Lauksaimnieku organizāciju sadarbības padome</w:t>
            </w:r>
            <w:r>
              <w:t>”, „</w:t>
            </w:r>
            <w:r w:rsidRPr="004A087C">
              <w:t>Zemnieku saeima</w:t>
            </w:r>
            <w:r>
              <w:t>” un „Latvijas Lauksaimniecības kooperatīvu asociācija”</w:t>
            </w:r>
            <w:r w:rsidRPr="004A087C">
              <w:t xml:space="preserve">) </w:t>
            </w:r>
            <w:r>
              <w:t>š.g. 7</w:t>
            </w:r>
            <w:r w:rsidRPr="004A087C">
              <w:t>.</w:t>
            </w:r>
            <w:r>
              <w:t>novembrī</w:t>
            </w:r>
            <w:r w:rsidRPr="004A087C">
              <w:t xml:space="preserve"> tika elektroniski informēti par noteikumu projektu.</w:t>
            </w:r>
          </w:p>
        </w:tc>
      </w:tr>
      <w:tr w:rsidR="004A087C" w:rsidRPr="00BF20B2" w:rsidTr="00C578F2">
        <w:tc>
          <w:tcPr>
            <w:tcW w:w="2916" w:type="pct"/>
          </w:tcPr>
          <w:p w:rsidR="004A087C" w:rsidRPr="00BF20B2" w:rsidRDefault="004A087C" w:rsidP="00C578F2">
            <w:pPr>
              <w:spacing w:before="100" w:beforeAutospacing="1" w:after="100" w:afterAutospacing="1"/>
            </w:pPr>
            <w:r w:rsidRPr="00BF20B2">
              <w:t>2. Sabiedrības līdzdalība projekta izstrādē</w:t>
            </w:r>
          </w:p>
        </w:tc>
        <w:tc>
          <w:tcPr>
            <w:tcW w:w="2084" w:type="pct"/>
          </w:tcPr>
          <w:p w:rsidR="004A087C" w:rsidRPr="00BF20B2" w:rsidRDefault="004A087C" w:rsidP="004A087C">
            <w:pPr>
              <w:jc w:val="both"/>
              <w:rPr>
                <w:rFonts w:eastAsia="Arial Unicode MS"/>
              </w:rPr>
            </w:pPr>
          </w:p>
        </w:tc>
      </w:tr>
      <w:tr w:rsidR="004A087C" w:rsidRPr="00BF20B2" w:rsidTr="00C578F2">
        <w:tc>
          <w:tcPr>
            <w:tcW w:w="2916" w:type="pct"/>
          </w:tcPr>
          <w:p w:rsidR="004A087C" w:rsidRPr="00BF20B2" w:rsidRDefault="004A087C" w:rsidP="00C578F2">
            <w:pPr>
              <w:spacing w:before="100" w:beforeAutospacing="1" w:after="100" w:afterAutospacing="1"/>
            </w:pPr>
            <w:r w:rsidRPr="00BF20B2">
              <w:t>3. Sabiedrības līdzdalības rezultāti</w:t>
            </w:r>
          </w:p>
        </w:tc>
        <w:tc>
          <w:tcPr>
            <w:tcW w:w="2084" w:type="pct"/>
          </w:tcPr>
          <w:p w:rsidR="004A087C" w:rsidRPr="00BF20B2" w:rsidRDefault="004A087C" w:rsidP="00C578F2">
            <w:pPr>
              <w:jc w:val="both"/>
              <w:rPr>
                <w:rFonts w:eastAsia="Arial Unicode MS"/>
              </w:rPr>
            </w:pPr>
            <w:r w:rsidRPr="004A087C">
              <w:rPr>
                <w:rFonts w:eastAsia="Arial Unicode MS"/>
              </w:rPr>
              <w:t>Biedrības „Lauksaimnieku organizāciju sadarbības padome”, „Zemnieku saeima” un „Latvijas Lauksaimniecības kooperatīvu asociācija”</w:t>
            </w:r>
          </w:p>
        </w:tc>
      </w:tr>
      <w:tr w:rsidR="004A087C" w:rsidRPr="00BF20B2" w:rsidTr="00C578F2">
        <w:tc>
          <w:tcPr>
            <w:tcW w:w="2916" w:type="pct"/>
          </w:tcPr>
          <w:p w:rsidR="004A087C" w:rsidRPr="00BF20B2" w:rsidRDefault="004A087C" w:rsidP="00C578F2">
            <w:pPr>
              <w:spacing w:before="100" w:beforeAutospacing="1" w:after="100" w:afterAutospacing="1"/>
            </w:pPr>
            <w:r w:rsidRPr="00BF20B2">
              <w:t>4. Saeimas un ekspertu līdzdalība</w:t>
            </w:r>
          </w:p>
        </w:tc>
        <w:tc>
          <w:tcPr>
            <w:tcW w:w="2084" w:type="pct"/>
          </w:tcPr>
          <w:p w:rsidR="004A087C" w:rsidRPr="00BF20B2" w:rsidRDefault="004A087C" w:rsidP="00C578F2">
            <w:r w:rsidRPr="00BF20B2">
              <w:t>Konsultācijas nav notikušas.</w:t>
            </w:r>
          </w:p>
        </w:tc>
      </w:tr>
      <w:tr w:rsidR="004A087C" w:rsidRPr="00BF20B2" w:rsidTr="00C578F2">
        <w:tc>
          <w:tcPr>
            <w:tcW w:w="2916" w:type="pct"/>
          </w:tcPr>
          <w:p w:rsidR="004A087C" w:rsidRPr="00BF20B2" w:rsidRDefault="004A087C" w:rsidP="00C578F2">
            <w:pPr>
              <w:spacing w:before="100" w:beforeAutospacing="1" w:after="100" w:afterAutospacing="1"/>
            </w:pPr>
            <w:r w:rsidRPr="00BF20B2">
              <w:t>5. Cita informācija</w:t>
            </w:r>
          </w:p>
        </w:tc>
        <w:tc>
          <w:tcPr>
            <w:tcW w:w="2084" w:type="pct"/>
          </w:tcPr>
          <w:p w:rsidR="004A087C" w:rsidRPr="00BF20B2" w:rsidRDefault="004A087C" w:rsidP="00C578F2">
            <w:r w:rsidRPr="00BF20B2">
              <w:t>Nav</w:t>
            </w:r>
          </w:p>
        </w:tc>
      </w:tr>
      <w:tr w:rsidR="000C678C" w:rsidRPr="000C678C" w:rsidTr="00637AB2">
        <w:tc>
          <w:tcPr>
            <w:tcW w:w="5000" w:type="pct"/>
            <w:gridSpan w:val="2"/>
          </w:tcPr>
          <w:p w:rsidR="000C678C" w:rsidRPr="000C678C" w:rsidRDefault="000C678C" w:rsidP="000C678C">
            <w:pPr>
              <w:jc w:val="center"/>
              <w:rPr>
                <w:b/>
                <w:bCs/>
              </w:rPr>
            </w:pPr>
            <w:r w:rsidRPr="000C678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C678C" w:rsidRPr="000C678C" w:rsidTr="00637AB2"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t>1. Projekta izpildē iesaistītās institūcijas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ind w:right="-108"/>
              <w:jc w:val="both"/>
            </w:pPr>
            <w:r w:rsidRPr="000C678C">
              <w:t>Pārtikas un veterinārais dienests</w:t>
            </w:r>
            <w:r w:rsidR="00542442">
              <w:t>.</w:t>
            </w:r>
          </w:p>
        </w:tc>
      </w:tr>
      <w:tr w:rsidR="000C678C" w:rsidRPr="000C678C" w:rsidTr="00637AB2"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t>2. Projekta izpildes ietekme uz pārvaldes funkcijām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ind w:right="-108"/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lastRenderedPageBreak/>
              <w:t>3. Projekta izpildes ietekme uz pārvaldes institucionālo struktūru. Jaunu institūciju izveide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ind w:right="-108"/>
              <w:jc w:val="both"/>
            </w:pPr>
            <w:r w:rsidRPr="000C678C">
              <w:t>Projekts šo jomu neskar.</w:t>
            </w:r>
          </w:p>
        </w:tc>
      </w:tr>
      <w:tr w:rsidR="000C678C" w:rsidRPr="000C678C" w:rsidTr="00637AB2"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t>4. Projekta izpildes ietekme uz pārvaldes institucionālo struktūru. Esošu institūciju likvidācija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</w:rPr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trHeight w:val="554"/>
        </w:trPr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t>5. Projekta izpildes ietekme uz pārvaldes institucionālo struktūru. Esošu institūciju reorganizācija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</w:rPr>
            </w:pPr>
            <w:r w:rsidRPr="000C678C">
              <w:t>Projekts šo jomu neskar.</w:t>
            </w:r>
          </w:p>
        </w:tc>
      </w:tr>
      <w:tr w:rsidR="000C678C" w:rsidRPr="000C678C" w:rsidTr="00637AB2">
        <w:trPr>
          <w:trHeight w:val="70"/>
        </w:trPr>
        <w:tc>
          <w:tcPr>
            <w:tcW w:w="2916" w:type="pct"/>
          </w:tcPr>
          <w:p w:rsidR="000C678C" w:rsidRPr="000C678C" w:rsidRDefault="000C678C" w:rsidP="000C678C">
            <w:pPr>
              <w:jc w:val="both"/>
              <w:rPr>
                <w:rFonts w:eastAsia="Arial Unicode MS"/>
                <w:lang w:eastAsia="en-US"/>
              </w:rPr>
            </w:pPr>
            <w:r w:rsidRPr="000C678C">
              <w:rPr>
                <w:rFonts w:eastAsia="Arial Unicode MS"/>
                <w:lang w:eastAsia="en-US"/>
              </w:rPr>
              <w:t>6. Cita informācija</w:t>
            </w:r>
          </w:p>
        </w:tc>
        <w:tc>
          <w:tcPr>
            <w:tcW w:w="2084" w:type="pct"/>
          </w:tcPr>
          <w:p w:rsidR="000C678C" w:rsidRPr="000C678C" w:rsidRDefault="000C678C" w:rsidP="000C678C">
            <w:pPr>
              <w:rPr>
                <w:rFonts w:eastAsia="Arial Unicode MS"/>
              </w:rPr>
            </w:pPr>
            <w:r w:rsidRPr="000C678C">
              <w:t>Nav</w:t>
            </w:r>
          </w:p>
        </w:tc>
      </w:tr>
    </w:tbl>
    <w:p w:rsidR="00A160CC" w:rsidRPr="00AE3CEC" w:rsidRDefault="002E7FA0" w:rsidP="00B33B42">
      <w:pPr>
        <w:pStyle w:val="naisf"/>
        <w:spacing w:before="0" w:beforeAutospacing="0" w:after="0" w:afterAutospacing="0"/>
        <w:rPr>
          <w:sz w:val="28"/>
          <w:szCs w:val="28"/>
        </w:rPr>
      </w:pPr>
      <w:r>
        <w:tab/>
      </w:r>
    </w:p>
    <w:p w:rsidR="00542442" w:rsidRDefault="00542442" w:rsidP="00B33B4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E3CEC" w:rsidRDefault="00AE3CEC" w:rsidP="00B33B4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E3CEC" w:rsidRPr="00AE3CEC" w:rsidRDefault="00AE3CEC" w:rsidP="00B33B4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F37F7E" w:rsidRPr="00AE3CEC" w:rsidRDefault="002E7FA0" w:rsidP="00B33B42">
      <w:pPr>
        <w:pStyle w:val="naisf"/>
        <w:spacing w:before="0" w:beforeAutospacing="0" w:after="0" w:afterAutospacing="0"/>
        <w:rPr>
          <w:sz w:val="28"/>
          <w:szCs w:val="28"/>
        </w:rPr>
      </w:pPr>
      <w:r w:rsidRPr="00AE3CEC">
        <w:rPr>
          <w:sz w:val="28"/>
          <w:szCs w:val="28"/>
        </w:rPr>
        <w:tab/>
      </w:r>
      <w:r w:rsidR="00A96815" w:rsidRPr="00AE3CEC">
        <w:rPr>
          <w:sz w:val="28"/>
          <w:szCs w:val="28"/>
        </w:rPr>
        <w:t>Zemkopības ministre</w:t>
      </w:r>
      <w:r w:rsidR="00F37F7E" w:rsidRPr="00AE3CEC">
        <w:rPr>
          <w:sz w:val="28"/>
          <w:szCs w:val="28"/>
        </w:rPr>
        <w:tab/>
      </w:r>
      <w:r w:rsidR="00F37F7E" w:rsidRPr="00AE3CEC">
        <w:rPr>
          <w:sz w:val="28"/>
          <w:szCs w:val="28"/>
        </w:rPr>
        <w:tab/>
      </w:r>
      <w:r w:rsidR="00F37F7E" w:rsidRPr="00AE3CEC">
        <w:rPr>
          <w:sz w:val="28"/>
          <w:szCs w:val="28"/>
        </w:rPr>
        <w:tab/>
      </w:r>
      <w:r w:rsidR="00F37F7E" w:rsidRPr="00AE3CEC">
        <w:rPr>
          <w:sz w:val="28"/>
          <w:szCs w:val="28"/>
        </w:rPr>
        <w:tab/>
      </w:r>
      <w:r w:rsidR="00F37F7E" w:rsidRPr="00AE3CEC">
        <w:rPr>
          <w:sz w:val="28"/>
          <w:szCs w:val="28"/>
        </w:rPr>
        <w:tab/>
      </w:r>
      <w:r w:rsidR="00F37F7E" w:rsidRPr="00AE3CEC">
        <w:rPr>
          <w:sz w:val="28"/>
          <w:szCs w:val="28"/>
        </w:rPr>
        <w:tab/>
      </w:r>
      <w:r w:rsidR="00A07FB0" w:rsidRPr="00AE3CEC">
        <w:rPr>
          <w:sz w:val="28"/>
          <w:szCs w:val="28"/>
        </w:rPr>
        <w:t>L</w:t>
      </w:r>
      <w:r w:rsidR="00A96815" w:rsidRPr="00AE3CEC">
        <w:rPr>
          <w:sz w:val="28"/>
          <w:szCs w:val="28"/>
        </w:rPr>
        <w:t>.Straujuma</w:t>
      </w:r>
    </w:p>
    <w:p w:rsidR="00B33B42" w:rsidRPr="00AE3CEC" w:rsidRDefault="00B33B42" w:rsidP="0056482D">
      <w:pPr>
        <w:rPr>
          <w:sz w:val="28"/>
          <w:szCs w:val="28"/>
        </w:rPr>
      </w:pPr>
    </w:p>
    <w:p w:rsidR="00A160CC" w:rsidRPr="00AE3CEC" w:rsidRDefault="00A160CC" w:rsidP="0056482D">
      <w:pPr>
        <w:rPr>
          <w:sz w:val="28"/>
          <w:szCs w:val="28"/>
        </w:rPr>
      </w:pPr>
    </w:p>
    <w:p w:rsidR="00AE3CEC" w:rsidRPr="00AE3CEC" w:rsidRDefault="00AE3CEC" w:rsidP="0056482D">
      <w:pPr>
        <w:rPr>
          <w:sz w:val="28"/>
          <w:szCs w:val="28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</w:p>
    <w:p w:rsidR="00542442" w:rsidRDefault="00542442" w:rsidP="0056482D">
      <w:pPr>
        <w:rPr>
          <w:sz w:val="20"/>
          <w:szCs w:val="20"/>
        </w:rPr>
      </w:pPr>
    </w:p>
    <w:p w:rsidR="00542442" w:rsidRDefault="00542442" w:rsidP="0056482D">
      <w:pPr>
        <w:rPr>
          <w:sz w:val="20"/>
          <w:szCs w:val="20"/>
        </w:rPr>
      </w:pPr>
    </w:p>
    <w:p w:rsidR="00542442" w:rsidRDefault="00542442" w:rsidP="0056482D">
      <w:pPr>
        <w:rPr>
          <w:sz w:val="20"/>
          <w:szCs w:val="20"/>
        </w:rPr>
      </w:pPr>
    </w:p>
    <w:p w:rsidR="00AE3CEC" w:rsidRDefault="00AE3CEC" w:rsidP="0056482D">
      <w:pPr>
        <w:rPr>
          <w:sz w:val="20"/>
          <w:szCs w:val="20"/>
        </w:rPr>
      </w:pPr>
      <w:r>
        <w:rPr>
          <w:sz w:val="20"/>
          <w:szCs w:val="20"/>
        </w:rPr>
        <w:t>2013.12.13. 15:52</w:t>
      </w:r>
    </w:p>
    <w:bookmarkStart w:id="0" w:name="_GoBack"/>
    <w:bookmarkEnd w:id="0"/>
    <w:p w:rsidR="00AE3CEC" w:rsidRDefault="00AE3CEC" w:rsidP="0056482D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880</w:t>
      </w:r>
      <w:r>
        <w:rPr>
          <w:sz w:val="20"/>
          <w:szCs w:val="20"/>
        </w:rPr>
        <w:fldChar w:fldCharType="end"/>
      </w:r>
    </w:p>
    <w:p w:rsidR="0056482D" w:rsidRPr="00596B72" w:rsidRDefault="0056482D" w:rsidP="0056482D">
      <w:pPr>
        <w:rPr>
          <w:sz w:val="20"/>
          <w:szCs w:val="20"/>
        </w:rPr>
      </w:pPr>
      <w:r w:rsidRPr="00596B72">
        <w:rPr>
          <w:sz w:val="20"/>
          <w:szCs w:val="20"/>
        </w:rPr>
        <w:t>O.Vecuma-Veco</w:t>
      </w:r>
    </w:p>
    <w:p w:rsidR="0056482D" w:rsidRPr="00596B72" w:rsidRDefault="0056482D" w:rsidP="0056482D">
      <w:pPr>
        <w:rPr>
          <w:sz w:val="20"/>
          <w:szCs w:val="20"/>
        </w:rPr>
      </w:pPr>
      <w:r w:rsidRPr="00596B72">
        <w:rPr>
          <w:sz w:val="20"/>
          <w:szCs w:val="20"/>
        </w:rPr>
        <w:t xml:space="preserve">67027551, </w:t>
      </w:r>
      <w:r w:rsidRPr="00AE3CEC">
        <w:rPr>
          <w:sz w:val="20"/>
          <w:szCs w:val="20"/>
        </w:rPr>
        <w:t>Olita.Vecuma-Veco@zm.gov.lv</w:t>
      </w:r>
    </w:p>
    <w:sectPr w:rsidR="0056482D" w:rsidRPr="00596B72" w:rsidSect="00AE3CE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63" w:rsidRDefault="00690063" w:rsidP="00F37F7E">
      <w:pPr>
        <w:pStyle w:val="naiskr"/>
      </w:pPr>
      <w:r>
        <w:separator/>
      </w:r>
    </w:p>
  </w:endnote>
  <w:endnote w:type="continuationSeparator" w:id="0">
    <w:p w:rsidR="00690063" w:rsidRDefault="00690063" w:rsidP="00F37F7E">
      <w:pPr>
        <w:pStyle w:val="naisk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D" w:rsidRPr="00F1436D" w:rsidRDefault="00D6536E" w:rsidP="00F1436D">
    <w:pPr>
      <w:jc w:val="both"/>
      <w:rPr>
        <w:sz w:val="20"/>
        <w:szCs w:val="20"/>
      </w:rPr>
    </w:pPr>
    <w:r w:rsidRPr="00A160CC">
      <w:rPr>
        <w:sz w:val="20"/>
        <w:szCs w:val="20"/>
      </w:rPr>
      <w:t>ZM</w:t>
    </w:r>
    <w:r w:rsidR="00560A3F">
      <w:rPr>
        <w:sz w:val="20"/>
        <w:szCs w:val="20"/>
      </w:rPr>
      <w:t>Anot_1312</w:t>
    </w:r>
    <w:r w:rsidR="00F1436D">
      <w:rPr>
        <w:sz w:val="20"/>
        <w:szCs w:val="20"/>
      </w:rPr>
      <w:t>13_putnugripa</w:t>
    </w:r>
    <w:r w:rsidRPr="00A160CC">
      <w:rPr>
        <w:sz w:val="20"/>
        <w:szCs w:val="20"/>
      </w:rPr>
      <w:t xml:space="preserve">; </w:t>
    </w:r>
    <w:r w:rsidR="00F1436D" w:rsidRPr="00F1436D">
      <w:rPr>
        <w:sz w:val="20"/>
        <w:szCs w:val="20"/>
      </w:rPr>
      <w:t>Grozījum</w:t>
    </w:r>
    <w:r w:rsidR="008269A9">
      <w:rPr>
        <w:sz w:val="20"/>
        <w:szCs w:val="20"/>
      </w:rPr>
      <w:t>s</w:t>
    </w:r>
    <w:r w:rsidR="00F1436D" w:rsidRPr="00F1436D">
      <w:rPr>
        <w:sz w:val="20"/>
        <w:szCs w:val="20"/>
      </w:rPr>
      <w:t xml:space="preserve"> Ministru kabineta 2007.gada 19.jūnija noteikumos Nr.405</w:t>
    </w:r>
  </w:p>
  <w:p w:rsidR="00D6536E" w:rsidRPr="00F1436D" w:rsidRDefault="00F1436D" w:rsidP="00F1436D">
    <w:pPr>
      <w:jc w:val="both"/>
      <w:rPr>
        <w:sz w:val="20"/>
        <w:szCs w:val="20"/>
        <w:lang w:val="fi-FI"/>
      </w:rPr>
    </w:pPr>
    <w:r w:rsidRPr="00F1436D">
      <w:rPr>
        <w:sz w:val="20"/>
        <w:szCs w:val="20"/>
      </w:rPr>
      <w:t>„</w:t>
    </w:r>
    <w:r w:rsidRPr="00F1436D">
      <w:rPr>
        <w:bCs/>
        <w:sz w:val="20"/>
        <w:szCs w:val="20"/>
      </w:rPr>
      <w:t>Putnu gripas uzliesmojuma likvidēšanas un draudu novēršanas kārtība</w:t>
    </w:r>
    <w:r w:rsidRPr="00F1436D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D" w:rsidRPr="00F1436D" w:rsidRDefault="00A96815" w:rsidP="00F1436D">
    <w:pPr>
      <w:jc w:val="both"/>
      <w:rPr>
        <w:sz w:val="20"/>
        <w:szCs w:val="20"/>
      </w:rPr>
    </w:pPr>
    <w:r w:rsidRPr="00A96815">
      <w:rPr>
        <w:sz w:val="20"/>
        <w:szCs w:val="20"/>
      </w:rPr>
      <w:t>ZM</w:t>
    </w:r>
    <w:r w:rsidR="00560A3F">
      <w:rPr>
        <w:sz w:val="20"/>
        <w:szCs w:val="20"/>
      </w:rPr>
      <w:t>Anot_1312</w:t>
    </w:r>
    <w:r w:rsidRPr="00A96815">
      <w:rPr>
        <w:sz w:val="20"/>
        <w:szCs w:val="20"/>
      </w:rPr>
      <w:t>13_</w:t>
    </w:r>
    <w:r w:rsidR="00F1436D">
      <w:rPr>
        <w:sz w:val="20"/>
        <w:szCs w:val="20"/>
      </w:rPr>
      <w:t>putnugripa</w:t>
    </w:r>
    <w:r w:rsidRPr="00F1436D">
      <w:rPr>
        <w:sz w:val="20"/>
        <w:szCs w:val="20"/>
      </w:rPr>
      <w:t xml:space="preserve">; </w:t>
    </w:r>
    <w:r w:rsidR="00F1436D" w:rsidRPr="00F1436D">
      <w:rPr>
        <w:sz w:val="20"/>
        <w:szCs w:val="20"/>
      </w:rPr>
      <w:t>Grozījum</w:t>
    </w:r>
    <w:r w:rsidR="008269A9">
      <w:rPr>
        <w:sz w:val="20"/>
        <w:szCs w:val="20"/>
      </w:rPr>
      <w:t>s</w:t>
    </w:r>
    <w:r w:rsidR="00F1436D" w:rsidRPr="00F1436D">
      <w:rPr>
        <w:sz w:val="20"/>
        <w:szCs w:val="20"/>
      </w:rPr>
      <w:t xml:space="preserve"> Ministru kabineta 2007.gada 19.jūnija noteikumos Nr.405</w:t>
    </w:r>
  </w:p>
  <w:p w:rsidR="00D6536E" w:rsidRPr="00F1436D" w:rsidRDefault="00F1436D" w:rsidP="00F1436D">
    <w:pPr>
      <w:jc w:val="both"/>
      <w:rPr>
        <w:sz w:val="20"/>
        <w:szCs w:val="20"/>
      </w:rPr>
    </w:pPr>
    <w:r w:rsidRPr="00F1436D">
      <w:rPr>
        <w:sz w:val="20"/>
        <w:szCs w:val="20"/>
      </w:rPr>
      <w:t>„</w:t>
    </w:r>
    <w:r w:rsidRPr="00F1436D">
      <w:rPr>
        <w:bCs/>
        <w:sz w:val="20"/>
        <w:szCs w:val="20"/>
      </w:rPr>
      <w:t>Putnu gripas uzliesmojuma likvidēšanas un draudu novēršanas kārtība</w:t>
    </w:r>
    <w:r w:rsidRPr="00F1436D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63" w:rsidRDefault="00690063" w:rsidP="00F37F7E">
      <w:pPr>
        <w:pStyle w:val="naiskr"/>
      </w:pPr>
      <w:r>
        <w:separator/>
      </w:r>
    </w:p>
  </w:footnote>
  <w:footnote w:type="continuationSeparator" w:id="0">
    <w:p w:rsidR="00690063" w:rsidRDefault="00690063" w:rsidP="00F37F7E">
      <w:pPr>
        <w:pStyle w:val="naisk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6E" w:rsidRDefault="00E33CD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6536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6536E" w:rsidRDefault="00D6536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6E" w:rsidRDefault="00E33CD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6536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E3CEC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D6536E" w:rsidRDefault="00D6536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7432"/>
    <w:multiLevelType w:val="hybridMultilevel"/>
    <w:tmpl w:val="CC0C8A38"/>
    <w:lvl w:ilvl="0" w:tplc="067888C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F7E"/>
    <w:rsid w:val="00005479"/>
    <w:rsid w:val="000242CD"/>
    <w:rsid w:val="00051F44"/>
    <w:rsid w:val="00092FA6"/>
    <w:rsid w:val="000B5D3D"/>
    <w:rsid w:val="000C4826"/>
    <w:rsid w:val="000C678C"/>
    <w:rsid w:val="000D7729"/>
    <w:rsid w:val="000D7F32"/>
    <w:rsid w:val="00106B51"/>
    <w:rsid w:val="00153387"/>
    <w:rsid w:val="00197C6B"/>
    <w:rsid w:val="001A284C"/>
    <w:rsid w:val="001B1897"/>
    <w:rsid w:val="001B6383"/>
    <w:rsid w:val="001D3E33"/>
    <w:rsid w:val="001F7358"/>
    <w:rsid w:val="0020130D"/>
    <w:rsid w:val="00226F98"/>
    <w:rsid w:val="00263598"/>
    <w:rsid w:val="002D50B7"/>
    <w:rsid w:val="002E7FA0"/>
    <w:rsid w:val="00324F41"/>
    <w:rsid w:val="0035013A"/>
    <w:rsid w:val="00355777"/>
    <w:rsid w:val="00363DF8"/>
    <w:rsid w:val="0038262E"/>
    <w:rsid w:val="00391D60"/>
    <w:rsid w:val="003B02BB"/>
    <w:rsid w:val="003B2A22"/>
    <w:rsid w:val="003D633D"/>
    <w:rsid w:val="003F753E"/>
    <w:rsid w:val="00414FA3"/>
    <w:rsid w:val="00421391"/>
    <w:rsid w:val="00452ABC"/>
    <w:rsid w:val="004561C3"/>
    <w:rsid w:val="0047491E"/>
    <w:rsid w:val="004966B8"/>
    <w:rsid w:val="004A087C"/>
    <w:rsid w:val="004B28A8"/>
    <w:rsid w:val="004C3FBC"/>
    <w:rsid w:val="004C6965"/>
    <w:rsid w:val="004D3EDC"/>
    <w:rsid w:val="004D64BE"/>
    <w:rsid w:val="00513790"/>
    <w:rsid w:val="005141D6"/>
    <w:rsid w:val="005251F3"/>
    <w:rsid w:val="0054035C"/>
    <w:rsid w:val="00540D69"/>
    <w:rsid w:val="00542442"/>
    <w:rsid w:val="00543589"/>
    <w:rsid w:val="00560A3F"/>
    <w:rsid w:val="00560C94"/>
    <w:rsid w:val="0056482D"/>
    <w:rsid w:val="005660EB"/>
    <w:rsid w:val="0057338F"/>
    <w:rsid w:val="00585F12"/>
    <w:rsid w:val="005968DE"/>
    <w:rsid w:val="005A577A"/>
    <w:rsid w:val="006056ED"/>
    <w:rsid w:val="00616941"/>
    <w:rsid w:val="00637FEF"/>
    <w:rsid w:val="00655945"/>
    <w:rsid w:val="006600EC"/>
    <w:rsid w:val="006602BB"/>
    <w:rsid w:val="00676EE0"/>
    <w:rsid w:val="00690063"/>
    <w:rsid w:val="0069255A"/>
    <w:rsid w:val="006B203B"/>
    <w:rsid w:val="006C4D09"/>
    <w:rsid w:val="006E3A23"/>
    <w:rsid w:val="006E5195"/>
    <w:rsid w:val="006E7289"/>
    <w:rsid w:val="00702355"/>
    <w:rsid w:val="0071167F"/>
    <w:rsid w:val="0071371E"/>
    <w:rsid w:val="007152AE"/>
    <w:rsid w:val="00735DB7"/>
    <w:rsid w:val="00773252"/>
    <w:rsid w:val="00780771"/>
    <w:rsid w:val="007827D5"/>
    <w:rsid w:val="0078349C"/>
    <w:rsid w:val="007C59FE"/>
    <w:rsid w:val="007E2609"/>
    <w:rsid w:val="008138CF"/>
    <w:rsid w:val="008269A9"/>
    <w:rsid w:val="00845677"/>
    <w:rsid w:val="008561EF"/>
    <w:rsid w:val="00883B44"/>
    <w:rsid w:val="0089348F"/>
    <w:rsid w:val="008A5E04"/>
    <w:rsid w:val="008B3DE2"/>
    <w:rsid w:val="008C1B9E"/>
    <w:rsid w:val="008C4045"/>
    <w:rsid w:val="00903603"/>
    <w:rsid w:val="009078B5"/>
    <w:rsid w:val="00915FF3"/>
    <w:rsid w:val="00930EA9"/>
    <w:rsid w:val="00976649"/>
    <w:rsid w:val="0098291C"/>
    <w:rsid w:val="00997A7F"/>
    <w:rsid w:val="009E1695"/>
    <w:rsid w:val="00A06AFA"/>
    <w:rsid w:val="00A07FB0"/>
    <w:rsid w:val="00A160CC"/>
    <w:rsid w:val="00A3274F"/>
    <w:rsid w:val="00A544FB"/>
    <w:rsid w:val="00A96815"/>
    <w:rsid w:val="00AB2EBB"/>
    <w:rsid w:val="00AD32D7"/>
    <w:rsid w:val="00AE3CEC"/>
    <w:rsid w:val="00B03744"/>
    <w:rsid w:val="00B119F0"/>
    <w:rsid w:val="00B121F2"/>
    <w:rsid w:val="00B1392F"/>
    <w:rsid w:val="00B14609"/>
    <w:rsid w:val="00B20A1E"/>
    <w:rsid w:val="00B32EAE"/>
    <w:rsid w:val="00B33B42"/>
    <w:rsid w:val="00B42FE7"/>
    <w:rsid w:val="00B431D6"/>
    <w:rsid w:val="00B46B32"/>
    <w:rsid w:val="00B46F39"/>
    <w:rsid w:val="00B84709"/>
    <w:rsid w:val="00B94189"/>
    <w:rsid w:val="00BA4109"/>
    <w:rsid w:val="00BD23A7"/>
    <w:rsid w:val="00BE6367"/>
    <w:rsid w:val="00C06301"/>
    <w:rsid w:val="00C25246"/>
    <w:rsid w:val="00C61DFA"/>
    <w:rsid w:val="00C84692"/>
    <w:rsid w:val="00C84BE5"/>
    <w:rsid w:val="00C869FD"/>
    <w:rsid w:val="00CA6309"/>
    <w:rsid w:val="00CC7A70"/>
    <w:rsid w:val="00CE6B90"/>
    <w:rsid w:val="00D112F5"/>
    <w:rsid w:val="00D23392"/>
    <w:rsid w:val="00D43246"/>
    <w:rsid w:val="00D44EAD"/>
    <w:rsid w:val="00D6536E"/>
    <w:rsid w:val="00DA41B1"/>
    <w:rsid w:val="00DA4541"/>
    <w:rsid w:val="00DE46F6"/>
    <w:rsid w:val="00DF4CAC"/>
    <w:rsid w:val="00DF523B"/>
    <w:rsid w:val="00E25AC6"/>
    <w:rsid w:val="00E33CD4"/>
    <w:rsid w:val="00E51CAB"/>
    <w:rsid w:val="00EC0A5A"/>
    <w:rsid w:val="00ED26CC"/>
    <w:rsid w:val="00ED3F12"/>
    <w:rsid w:val="00ED6909"/>
    <w:rsid w:val="00EE2F67"/>
    <w:rsid w:val="00F01642"/>
    <w:rsid w:val="00F1135A"/>
    <w:rsid w:val="00F1436D"/>
    <w:rsid w:val="00F27ED0"/>
    <w:rsid w:val="00F34F8B"/>
    <w:rsid w:val="00F37F7E"/>
    <w:rsid w:val="00F479E8"/>
    <w:rsid w:val="00F85A6A"/>
    <w:rsid w:val="00FC7974"/>
    <w:rsid w:val="00FD7C2A"/>
    <w:rsid w:val="00FE5CCF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ais"/>
    <w:next w:val="Parastais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ai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ais"/>
    <w:link w:val="GalveneRakstz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ai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customStyle="1" w:styleId="naislab">
    <w:name w:val="naislab"/>
    <w:basedOn w:val="Parastais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aisWeb">
    <w:name w:val="Normal (Web)"/>
    <w:basedOn w:val="Parastais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basedOn w:val="Noklusjumarindkopasfonts"/>
    <w:rsid w:val="008C1B9E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8C1B9E"/>
    <w:rPr>
      <w:sz w:val="20"/>
      <w:szCs w:val="20"/>
    </w:rPr>
  </w:style>
  <w:style w:type="paragraph" w:styleId="Balonteksts">
    <w:name w:val="Balloon Text"/>
    <w:basedOn w:val="Parastais"/>
    <w:semiHidden/>
    <w:rsid w:val="008C1B9E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qFormat/>
    <w:rsid w:val="00B33B42"/>
    <w:rPr>
      <w:b/>
      <w:bCs/>
    </w:rPr>
  </w:style>
  <w:style w:type="paragraph" w:styleId="Sarakstarindkopa">
    <w:name w:val="List Paragraph"/>
    <w:basedOn w:val="Parastais"/>
    <w:uiPriority w:val="34"/>
    <w:qFormat/>
    <w:rsid w:val="001D3E3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rsid w:val="004C3FBC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4C3FBC"/>
  </w:style>
  <w:style w:type="character" w:customStyle="1" w:styleId="KomentratmaRakstz">
    <w:name w:val="Komentāra tēma Rakstz."/>
    <w:basedOn w:val="KomentratekstsRakstz"/>
    <w:link w:val="Komentratma"/>
    <w:rsid w:val="004C3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37F7E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56482D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qFormat/>
    <w:rsid w:val="0056482D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customStyle="1" w:styleId="naislab">
    <w:name w:val="naislab"/>
    <w:basedOn w:val="Parasts"/>
    <w:rsid w:val="00D23392"/>
    <w:pPr>
      <w:spacing w:before="100" w:beforeAutospacing="1" w:after="100" w:afterAutospacing="1"/>
    </w:pPr>
    <w:rPr>
      <w:lang w:val="en-GB" w:eastAsia="en-US"/>
    </w:rPr>
  </w:style>
  <w:style w:type="paragraph" w:styleId="Paraststmeklis">
    <w:name w:val="Normal (Web)"/>
    <w:basedOn w:val="Parasts"/>
    <w:rsid w:val="0056482D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basedOn w:val="Noklusjumarindkopasfonts"/>
    <w:rsid w:val="008C1B9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1B9E"/>
    <w:rPr>
      <w:sz w:val="20"/>
      <w:szCs w:val="20"/>
    </w:rPr>
  </w:style>
  <w:style w:type="paragraph" w:styleId="Balonteksts">
    <w:name w:val="Balloon Text"/>
    <w:basedOn w:val="Parasts"/>
    <w:semiHidden/>
    <w:rsid w:val="008C1B9E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qFormat/>
    <w:rsid w:val="00B33B42"/>
    <w:rPr>
      <w:b/>
      <w:bCs/>
    </w:rPr>
  </w:style>
  <w:style w:type="paragraph" w:styleId="Sarakstarindkopa">
    <w:name w:val="List Paragraph"/>
    <w:basedOn w:val="Parasts"/>
    <w:uiPriority w:val="34"/>
    <w:qFormat/>
    <w:rsid w:val="001D3E3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rsid w:val="004C3FBC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4C3FBC"/>
  </w:style>
  <w:style w:type="character" w:customStyle="1" w:styleId="KomentratmaRakstz">
    <w:name w:val="Komentāra tēma Rakstz."/>
    <w:basedOn w:val="KomentratekstsRakstz"/>
    <w:link w:val="Komentratma"/>
    <w:rsid w:val="004C3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5465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80416465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899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753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573006536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730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358">
          <w:marLeft w:val="3"/>
          <w:marRight w:val="3"/>
          <w:marTop w:val="0"/>
          <w:marBottom w:val="0"/>
          <w:divBdr>
            <w:top w:val="single" w:sz="8" w:space="0" w:color="112449"/>
            <w:left w:val="single" w:sz="8" w:space="0" w:color="112449"/>
            <w:bottom w:val="single" w:sz="8" w:space="0" w:color="112449"/>
            <w:right w:val="single" w:sz="8" w:space="0" w:color="112449"/>
          </w:divBdr>
          <w:divsChild>
            <w:div w:id="1352414739">
              <w:marLeft w:val="3"/>
              <w:marRight w:val="3"/>
              <w:marTop w:val="0"/>
              <w:marBottom w:val="0"/>
              <w:divBdr>
                <w:top w:val="single" w:sz="8" w:space="0" w:color="112449"/>
                <w:left w:val="single" w:sz="8" w:space="0" w:color="112449"/>
                <w:bottom w:val="single" w:sz="8" w:space="0" w:color="112449"/>
                <w:right w:val="single" w:sz="8" w:space="0" w:color="112449"/>
              </w:divBdr>
              <w:divsChild>
                <w:div w:id="1549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6211</Characters>
  <Application>Microsoft Office Word</Application>
  <DocSecurity>0</DocSecurity>
  <Lines>310</Lines>
  <Paragraphs>129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15.marta noteikumos Nr.177 "Kārtība, kādā piešķir un dzīvnieku īpašnieks saņem kompensāciju par zaudējumiem, kas radušies valsts uzraudzībā esošās dzīvnieku infekcijas slimības vai epizootijas uzliesmojuma laikā"</vt:lpstr>
    </vt:vector>
  </TitlesOfParts>
  <Manager/>
  <Company>Zemkopības ministrija</Company>
  <LinksUpToDate>false</LinksUpToDate>
  <CharactersWithSpaces>6982</CharactersWithSpaces>
  <SharedDoc>false</SharedDoc>
  <HLinks>
    <vt:vector size="18" baseType="variant">
      <vt:variant>
        <vt:i4>3735624</vt:i4>
      </vt:variant>
      <vt:variant>
        <vt:i4>9</vt:i4>
      </vt:variant>
      <vt:variant>
        <vt:i4>0</vt:i4>
      </vt:variant>
      <vt:variant>
        <vt:i4>5</vt:i4>
      </vt:variant>
      <vt:variant>
        <vt:lpwstr>mailto:Olita.Vecuma-Veco@zm.gov.lv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http://pro.nais.lv/naiser/text.cfm?Ref=0101032005031500177&amp;Req=0101032005031500177&amp;Key=0103012001042632772&amp;Hash=2</vt:lpwstr>
      </vt:variant>
      <vt:variant>
        <vt:lpwstr>2</vt:lpwstr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http://pro.nais.lv/naiser/text.cfm?Ref=0101032005031500177&amp;Req=0101032005031500177&amp;Key=0103012001042632772&amp;Hash=1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15.marta noteikumos Nr.177 "Kārtība, kādā piešķir un dzīvnieku īpašnieks saņem kompensāciju par zaudējumiem, kas radušies valsts uzraudzībā esošās dzīvnieku infekcijas slimības vai epizootijas uzliesmojuma laikā"</dc:title>
  <dc:subject>Anotācija</dc:subject>
  <dc:creator>Olita Vecuma-Veco</dc:creator>
  <cp:keywords/>
  <dc:description>Olita.Vecuma-Veco@zm.gov.lv, 67027551</dc:description>
  <cp:lastModifiedBy>Renārs Žagars</cp:lastModifiedBy>
  <cp:revision>6</cp:revision>
  <dcterms:created xsi:type="dcterms:W3CDTF">2013-11-07T09:42:00Z</dcterms:created>
  <dcterms:modified xsi:type="dcterms:W3CDTF">2013-12-13T13:52:00Z</dcterms:modified>
</cp:coreProperties>
</file>