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93" w:rsidRPr="006976AC" w:rsidRDefault="00DD7F93" w:rsidP="006976AC">
      <w:pPr>
        <w:pStyle w:val="naislab"/>
        <w:spacing w:before="0" w:after="0"/>
        <w:jc w:val="center"/>
        <w:outlineLvl w:val="0"/>
        <w:rPr>
          <w:b/>
          <w:sz w:val="28"/>
          <w:szCs w:val="28"/>
        </w:rPr>
      </w:pPr>
      <w:r>
        <w:rPr>
          <w:b/>
          <w:sz w:val="28"/>
          <w:szCs w:val="28"/>
        </w:rPr>
        <w:t>Ministru kabineta noteikumu projekta „</w:t>
      </w:r>
      <w:r w:rsidRPr="006976AC">
        <w:rPr>
          <w:b/>
          <w:sz w:val="28"/>
          <w:szCs w:val="28"/>
        </w:rPr>
        <w:t>Grozījumi Ministru kabineta</w:t>
      </w:r>
      <w:r>
        <w:rPr>
          <w:b/>
          <w:sz w:val="28"/>
          <w:szCs w:val="28"/>
        </w:rPr>
        <w:t xml:space="preserve"> </w:t>
      </w:r>
      <w:r w:rsidRPr="006976AC">
        <w:rPr>
          <w:b/>
          <w:sz w:val="28"/>
          <w:szCs w:val="28"/>
        </w:rPr>
        <w:t>2010.gada 28.decembra noteikumos Nr.1230</w:t>
      </w:r>
    </w:p>
    <w:p w:rsidR="00DD7F93" w:rsidRDefault="00DD7F93" w:rsidP="006976AC">
      <w:pPr>
        <w:pStyle w:val="naislab"/>
        <w:spacing w:before="0" w:after="0"/>
        <w:jc w:val="center"/>
        <w:outlineLvl w:val="0"/>
        <w:rPr>
          <w:b/>
          <w:sz w:val="28"/>
          <w:szCs w:val="28"/>
        </w:rPr>
      </w:pPr>
      <w:r w:rsidRPr="006976AC">
        <w:rPr>
          <w:b/>
          <w:sz w:val="28"/>
          <w:szCs w:val="28"/>
        </w:rPr>
        <w:t>„Noteikumi par informācijas apkopošanu un statistikas veidošanu veterināro zāļu aprites jomā”</w:t>
      </w:r>
      <w:r>
        <w:rPr>
          <w:b/>
          <w:sz w:val="28"/>
          <w:szCs w:val="28"/>
        </w:rPr>
        <w:t xml:space="preserve">” </w:t>
      </w:r>
      <w:r w:rsidRPr="007C0F2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p w:rsidR="00DD7F93" w:rsidRPr="007C0F2C" w:rsidRDefault="00DD7F93" w:rsidP="006976AC">
      <w:pPr>
        <w:pStyle w:val="naislab"/>
        <w:spacing w:before="0" w:after="0"/>
        <w:jc w:val="center"/>
        <w:outlineLvl w:val="0"/>
        <w:rPr>
          <w:b/>
          <w:sz w:val="28"/>
          <w:szCs w:val="28"/>
        </w:rPr>
      </w:pPr>
    </w:p>
    <w:tbl>
      <w:tblPr>
        <w:tblpPr w:leftFromText="180" w:rightFromText="180" w:vertAnchor="text" w:horzAnchor="margin" w:tblpXSpec="center" w:tblpY="149"/>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980"/>
      </w:tblGrid>
      <w:tr w:rsidR="00DD7F93" w:rsidRPr="007C0F2C" w:rsidTr="00F32A4C">
        <w:tc>
          <w:tcPr>
            <w:tcW w:w="9845" w:type="dxa"/>
            <w:gridSpan w:val="3"/>
            <w:vAlign w:val="center"/>
          </w:tcPr>
          <w:p w:rsidR="00DD7F93" w:rsidRPr="007C0F2C" w:rsidRDefault="00DD7F93" w:rsidP="006C4607">
            <w:pPr>
              <w:pStyle w:val="naisnod"/>
              <w:spacing w:before="0" w:after="0"/>
            </w:pPr>
            <w:r w:rsidRPr="007C0F2C">
              <w:t>I. Tiesību akta projekta izstrādes nepieciešamība</w:t>
            </w:r>
          </w:p>
        </w:tc>
      </w:tr>
      <w:tr w:rsidR="00DD7F93" w:rsidRPr="00C9605A" w:rsidTr="00F32A4C">
        <w:trPr>
          <w:trHeight w:val="418"/>
        </w:trPr>
        <w:tc>
          <w:tcPr>
            <w:tcW w:w="550" w:type="dxa"/>
          </w:tcPr>
          <w:p w:rsidR="00DD7F93" w:rsidRPr="00C9605A" w:rsidRDefault="00DD7F93" w:rsidP="006C4607">
            <w:pPr>
              <w:pStyle w:val="naiskr"/>
              <w:spacing w:before="0" w:after="0"/>
            </w:pPr>
            <w:r w:rsidRPr="00C9605A">
              <w:t>1.</w:t>
            </w:r>
          </w:p>
        </w:tc>
        <w:tc>
          <w:tcPr>
            <w:tcW w:w="4315" w:type="dxa"/>
          </w:tcPr>
          <w:p w:rsidR="00DD7F93" w:rsidRPr="00C9605A" w:rsidRDefault="00DD7F93" w:rsidP="006C4607">
            <w:pPr>
              <w:pStyle w:val="naiskr"/>
              <w:spacing w:before="0" w:after="0"/>
              <w:ind w:hanging="10"/>
            </w:pPr>
            <w:r w:rsidRPr="00C9605A">
              <w:t>Pamatojums</w:t>
            </w:r>
          </w:p>
        </w:tc>
        <w:tc>
          <w:tcPr>
            <w:tcW w:w="4980" w:type="dxa"/>
          </w:tcPr>
          <w:p w:rsidR="00DD7F93" w:rsidRPr="00C9605A" w:rsidRDefault="00DD7F93" w:rsidP="006976AC">
            <w:pPr>
              <w:pStyle w:val="naiskr"/>
              <w:spacing w:before="0" w:after="0"/>
              <w:ind w:left="-6"/>
              <w:jc w:val="both"/>
            </w:pPr>
            <w:r w:rsidRPr="00C9605A">
              <w:t>Farmācijas likuma 5.panta 21.punkts.</w:t>
            </w:r>
          </w:p>
        </w:tc>
      </w:tr>
      <w:tr w:rsidR="00DD7F93" w:rsidRPr="00C9605A" w:rsidTr="00F32A4C">
        <w:trPr>
          <w:trHeight w:val="472"/>
        </w:trPr>
        <w:tc>
          <w:tcPr>
            <w:tcW w:w="550" w:type="dxa"/>
          </w:tcPr>
          <w:p w:rsidR="00DD7F93" w:rsidRPr="00C9605A" w:rsidRDefault="00DD7F93" w:rsidP="006C4607">
            <w:pPr>
              <w:pStyle w:val="naiskr"/>
              <w:spacing w:before="0" w:after="0"/>
            </w:pPr>
            <w:r w:rsidRPr="00C9605A">
              <w:t>2.</w:t>
            </w:r>
          </w:p>
        </w:tc>
        <w:tc>
          <w:tcPr>
            <w:tcW w:w="4315" w:type="dxa"/>
          </w:tcPr>
          <w:p w:rsidR="00DD7F93" w:rsidRPr="00C9605A" w:rsidRDefault="00DD7F93" w:rsidP="006C4607">
            <w:pPr>
              <w:pStyle w:val="naiskr"/>
              <w:tabs>
                <w:tab w:val="left" w:pos="170"/>
              </w:tabs>
              <w:spacing w:before="0" w:after="0"/>
            </w:pPr>
            <w:r w:rsidRPr="00C9605A">
              <w:t>Pašreizējā situācija un problēmas</w:t>
            </w:r>
          </w:p>
        </w:tc>
        <w:tc>
          <w:tcPr>
            <w:tcW w:w="4980" w:type="dxa"/>
          </w:tcPr>
          <w:p w:rsidR="00DD7F93" w:rsidRPr="00C9605A" w:rsidRDefault="00DD7F93" w:rsidP="004D1965">
            <w:pPr>
              <w:pStyle w:val="naiskr"/>
              <w:spacing w:before="0" w:after="0"/>
              <w:jc w:val="both"/>
            </w:pPr>
            <w:r w:rsidRPr="00C9605A">
              <w:t>1. Ministru kabineta 2010.gada 28.decembra noteikumu Nr.1230 „Noteikumi par informācijas apkopošanu un statistikas veidošanu veterināro zāļu aprites jomā” (turpmāk – noteikumi Nr.1230) 1.pielikumā:</w:t>
            </w:r>
          </w:p>
          <w:p w:rsidR="00DD7F93" w:rsidRPr="00C9605A" w:rsidRDefault="00DD7F93" w:rsidP="004D1965">
            <w:pPr>
              <w:pStyle w:val="naiskr"/>
              <w:spacing w:before="0" w:after="0"/>
              <w:jc w:val="both"/>
            </w:pPr>
            <w:r w:rsidRPr="00C9605A">
              <w:t xml:space="preserve">1) noteikts, ka personas, kas nodarbojas ar veterināro zāļu izplatīšanu vairumtirdzniecībā, (turpmāk – izplatītāji) divas reizes gadā sniedz Pārtikas un veterinārajam dienestam (turpmāk – dienests) ziņas par konkrētu veterināro zāļu izplatīšanas apjomu. </w:t>
            </w:r>
          </w:p>
          <w:p w:rsidR="00DD7F93" w:rsidRPr="00C9605A" w:rsidRDefault="00DD7F93" w:rsidP="004D1965">
            <w:pPr>
              <w:pStyle w:val="naiskr"/>
              <w:spacing w:before="0" w:after="0"/>
              <w:jc w:val="both"/>
              <w:rPr>
                <w:b/>
              </w:rPr>
            </w:pPr>
            <w:r w:rsidRPr="00C9605A">
              <w:rPr>
                <w:b/>
              </w:rPr>
              <w:t>Līdz 2011.gada 1.janvārim veterināro zāļu i</w:t>
            </w:r>
            <w:r>
              <w:rPr>
                <w:b/>
              </w:rPr>
              <w:t>zplatītāji ziņas par izplatītajām veterinārajā</w:t>
            </w:r>
            <w:r w:rsidRPr="00C9605A">
              <w:rPr>
                <w:b/>
              </w:rPr>
              <w:t>m zālēm sniedza Zāļu valsts aģentūrai četras reizes gadā</w:t>
            </w:r>
            <w:r w:rsidRPr="00C9605A">
              <w:t xml:space="preserve">. </w:t>
            </w:r>
            <w:r w:rsidRPr="00C9605A">
              <w:rPr>
                <w:b/>
              </w:rPr>
              <w:t xml:space="preserve">No 2011.gada 1.janvāra dienests </w:t>
            </w:r>
            <w:r w:rsidR="00351DE8" w:rsidRPr="00C9605A">
              <w:rPr>
                <w:b/>
              </w:rPr>
              <w:t xml:space="preserve"> nodrošina veterināro zāļu aprites uzraudzību, tostarp izplatīšanas statistikas datu apkopošanu</w:t>
            </w:r>
            <w:r w:rsidR="00351DE8">
              <w:rPr>
                <w:b/>
              </w:rPr>
              <w:t xml:space="preserve">, </w:t>
            </w:r>
            <w:r w:rsidR="00351DE8" w:rsidRPr="00C9605A">
              <w:rPr>
                <w:b/>
              </w:rPr>
              <w:t xml:space="preserve"> </w:t>
            </w:r>
            <w:r w:rsidRPr="00C9605A">
              <w:rPr>
                <w:b/>
              </w:rPr>
              <w:t>saskaņā ar</w:t>
            </w:r>
            <w:r w:rsidRPr="00C9605A">
              <w:t xml:space="preserve"> </w:t>
            </w:r>
            <w:r w:rsidRPr="00C9605A">
              <w:rPr>
                <w:b/>
              </w:rPr>
              <w:t xml:space="preserve">Ministru kabineta 2010.gada 12.jūlija rīkojumu Nr.388 ”Par koncepciju „Vienota valsts uzraudzība veterināro zāļu apritē””. </w:t>
            </w:r>
            <w:r>
              <w:rPr>
                <w:b/>
              </w:rPr>
              <w:t>Gatavo</w:t>
            </w:r>
            <w:r w:rsidRPr="00C9605A">
              <w:rPr>
                <w:b/>
              </w:rPr>
              <w:t xml:space="preserve">jot noteikumus Nr.1230, </w:t>
            </w:r>
            <w:r>
              <w:rPr>
                <w:b/>
              </w:rPr>
              <w:t>Zemkopības ministrija un</w:t>
            </w:r>
            <w:r w:rsidRPr="00C9605A">
              <w:rPr>
                <w:b/>
              </w:rPr>
              <w:t xml:space="preserve"> sociāl</w:t>
            </w:r>
            <w:r>
              <w:rPr>
                <w:b/>
              </w:rPr>
              <w:t>ie</w:t>
            </w:r>
            <w:r w:rsidRPr="00C9605A">
              <w:rPr>
                <w:b/>
              </w:rPr>
              <w:t xml:space="preserve"> partneri vieno</w:t>
            </w:r>
            <w:r>
              <w:rPr>
                <w:b/>
              </w:rPr>
              <w:t>j</w:t>
            </w:r>
            <w:r w:rsidRPr="00C9605A">
              <w:rPr>
                <w:b/>
              </w:rPr>
              <w:t xml:space="preserve">ās, ka </w:t>
            </w:r>
            <w:r>
              <w:rPr>
                <w:b/>
              </w:rPr>
              <w:t>datu iesniegšanas biežums</w:t>
            </w:r>
            <w:r w:rsidRPr="00C9605A">
              <w:rPr>
                <w:b/>
              </w:rPr>
              <w:t xml:space="preserve"> </w:t>
            </w:r>
            <w:r>
              <w:rPr>
                <w:b/>
              </w:rPr>
              <w:t xml:space="preserve">tiks </w:t>
            </w:r>
            <w:r w:rsidRPr="00C9605A">
              <w:rPr>
                <w:b/>
              </w:rPr>
              <w:t>samazinā</w:t>
            </w:r>
            <w:r>
              <w:rPr>
                <w:b/>
              </w:rPr>
              <w:t>t</w:t>
            </w:r>
            <w:r w:rsidRPr="00C9605A">
              <w:rPr>
                <w:b/>
              </w:rPr>
              <w:t>s no četrām reizēm uz divām reizēm</w:t>
            </w:r>
            <w:r w:rsidR="00351DE8">
              <w:rPr>
                <w:b/>
              </w:rPr>
              <w:t xml:space="preserve"> gadā</w:t>
            </w:r>
            <w:r>
              <w:rPr>
                <w:b/>
              </w:rPr>
              <w:t>,</w:t>
            </w:r>
            <w:r w:rsidR="00351DE8">
              <w:rPr>
                <w:b/>
              </w:rPr>
              <w:t xml:space="preserve"> šo samazinājumu nosakot kā pārejas periodu, pārņemot no Zāļu valsts aģentūras veterināro zāļu izplatīšanas datu apkopošanas funkcijas (lai neradītu situāciju, ka izplatītājs iesniedz datus, bet dienests pārejas periodā tehnisku iemeslu dēļ savlaicīgi nespēj nodrošināt statistikas datu apkopošanu)</w:t>
            </w:r>
            <w:r>
              <w:rPr>
                <w:b/>
              </w:rPr>
              <w:t>.</w:t>
            </w:r>
            <w:r w:rsidRPr="00C9605A">
              <w:rPr>
                <w:b/>
              </w:rPr>
              <w:t xml:space="preserve"> </w:t>
            </w:r>
            <w:r w:rsidR="00351DE8">
              <w:rPr>
                <w:b/>
              </w:rPr>
              <w:t xml:space="preserve">Dienests </w:t>
            </w:r>
            <w:r w:rsidR="00351DE8" w:rsidRPr="00C9605A">
              <w:rPr>
                <w:b/>
              </w:rPr>
              <w:t xml:space="preserve"> iesniegtos veterināro zāļu izplatīšanas datus par 2011.gadu</w:t>
            </w:r>
            <w:r w:rsidR="00351DE8">
              <w:rPr>
                <w:b/>
              </w:rPr>
              <w:t xml:space="preserve"> savlaicīgi </w:t>
            </w:r>
            <w:r w:rsidR="00351DE8" w:rsidRPr="00C9605A">
              <w:rPr>
                <w:b/>
              </w:rPr>
              <w:t>apkopoj</w:t>
            </w:r>
            <w:r w:rsidR="00351DE8">
              <w:rPr>
                <w:b/>
              </w:rPr>
              <w:t>a</w:t>
            </w:r>
            <w:r w:rsidR="00351DE8" w:rsidRPr="00C9605A">
              <w:rPr>
                <w:b/>
              </w:rPr>
              <w:t xml:space="preserve"> un analizēj</w:t>
            </w:r>
            <w:r w:rsidR="00351DE8">
              <w:rPr>
                <w:b/>
              </w:rPr>
              <w:t>a</w:t>
            </w:r>
            <w:r w:rsidRPr="00C9605A">
              <w:rPr>
                <w:b/>
              </w:rPr>
              <w:t>,</w:t>
            </w:r>
            <w:r w:rsidR="00351DE8">
              <w:rPr>
                <w:b/>
              </w:rPr>
              <w:t xml:space="preserve"> kā arī</w:t>
            </w:r>
            <w:r w:rsidRPr="00C9605A">
              <w:rPr>
                <w:b/>
              </w:rPr>
              <w:t xml:space="preserve"> konstatēja, ka datu </w:t>
            </w:r>
            <w:r>
              <w:rPr>
                <w:b/>
              </w:rPr>
              <w:t>apkopošana divas reizes gadā</w:t>
            </w:r>
            <w:r w:rsidRPr="00C9605A">
              <w:rPr>
                <w:b/>
              </w:rPr>
              <w:t xml:space="preserve"> </w:t>
            </w:r>
            <w:r>
              <w:rPr>
                <w:b/>
              </w:rPr>
              <w:t>nav pietiekama, jo trūkst</w:t>
            </w:r>
            <w:r w:rsidRPr="00C9605A">
              <w:rPr>
                <w:b/>
              </w:rPr>
              <w:t xml:space="preserve"> aktuālu </w:t>
            </w:r>
            <w:r>
              <w:rPr>
                <w:b/>
              </w:rPr>
              <w:t>datu</w:t>
            </w:r>
            <w:r w:rsidRPr="00C9605A">
              <w:rPr>
                <w:b/>
              </w:rPr>
              <w:t xml:space="preserve"> par izplatītajām veterinārajām zālēm</w:t>
            </w:r>
            <w:r w:rsidR="00351DE8">
              <w:t>.</w:t>
            </w:r>
            <w:r w:rsidRPr="00C9605A">
              <w:t xml:space="preserve"> </w:t>
            </w:r>
            <w:r w:rsidR="00351DE8">
              <w:rPr>
                <w:b/>
              </w:rPr>
              <w:t>T</w:t>
            </w:r>
            <w:r>
              <w:rPr>
                <w:b/>
              </w:rPr>
              <w:t>āpēc</w:t>
            </w:r>
            <w:r w:rsidRPr="00C9605A">
              <w:rPr>
                <w:b/>
              </w:rPr>
              <w:t xml:space="preserve"> dienestam ir apgrūtināta uz riska izvērtējumu pamatota veterināro zāļu aprites uzraudzības plānošana un </w:t>
            </w:r>
            <w:r>
              <w:rPr>
                <w:b/>
              </w:rPr>
              <w:t>īstenošana</w:t>
            </w:r>
            <w:r w:rsidRPr="00C9605A">
              <w:rPr>
                <w:b/>
              </w:rPr>
              <w:t xml:space="preserve">, </w:t>
            </w:r>
            <w:r>
              <w:rPr>
                <w:b/>
              </w:rPr>
              <w:t>savukārt</w:t>
            </w:r>
            <w:r w:rsidRPr="00C9605A">
              <w:rPr>
                <w:b/>
              </w:rPr>
              <w:t xml:space="preserve"> veterināro zāļu izplatītāji nesaņem aktuālu informāciju par izplatītajām veterinārajām zālēm</w:t>
            </w:r>
            <w:r>
              <w:rPr>
                <w:b/>
              </w:rPr>
              <w:t xml:space="preserve"> un to </w:t>
            </w:r>
            <w:r>
              <w:rPr>
                <w:b/>
              </w:rPr>
              <w:lastRenderedPageBreak/>
              <w:t>izplatīšanas apjomu</w:t>
            </w:r>
            <w:r w:rsidRPr="00C9605A">
              <w:rPr>
                <w:b/>
              </w:rPr>
              <w:t xml:space="preserve"> (ir apgrūtināta veterināro zāļu tirgus sezonālo svārstību analīze un izplatīšanas darbību plānošana).</w:t>
            </w:r>
          </w:p>
          <w:p w:rsidR="00DD7F93" w:rsidRPr="00C9605A" w:rsidRDefault="00DD7F93" w:rsidP="004D1965">
            <w:pPr>
              <w:pStyle w:val="naiskr"/>
              <w:spacing w:before="0" w:after="0"/>
              <w:jc w:val="both"/>
              <w:rPr>
                <w:b/>
              </w:rPr>
            </w:pPr>
            <w:r w:rsidRPr="00C9605A">
              <w:rPr>
                <w:b/>
              </w:rPr>
              <w:t>Pasaules Veselības organizācija un citas starptautiskas organizācijas ir atzinušas, ka pieaugošā mikrobu rezistence pret antibiotikām (turpmāk – AMR) rada nopietnus draudus cilvēku un dzīvnieku veselībai. Eiropas Komisija 2011.gada 24.novembrī ir sagatavojusi Komisijas paziņojumu Eiropas Parlamentam un Padomei „Rīcības plāns pret pieaugošajiem draudiem, ko rada mikrobu rezistence”. Šī plāna 10.darbībā ir paredzēts stiprināt AMR un antibakteriālo līdzekļu patēriņa pārraudzības sistēmas veterinārijā. Dalībvalstīm ir pienākums Eiropas veterināro antibakteriālo līdzekļu patēriņa pārraudzības sistēmā (</w:t>
            </w:r>
            <w:r w:rsidRPr="005E65ED">
              <w:rPr>
                <w:b/>
                <w:i/>
              </w:rPr>
              <w:t>ESVAC</w:t>
            </w:r>
            <w:r w:rsidRPr="00C9605A">
              <w:rPr>
                <w:b/>
              </w:rPr>
              <w:t xml:space="preserve">) iesniegt statistikas datus par antibiotiku izplatīšanu veterinārmedicīnā. Latvija 2011.gadā ir iesaistījusies šajā projektā. Dienests, pamatojoties uz saņemtajiem veterināro zāļu izplatīšanas statistikas datiem, iesniedz </w:t>
            </w:r>
            <w:r w:rsidRPr="005E65ED">
              <w:rPr>
                <w:b/>
                <w:i/>
              </w:rPr>
              <w:t>ESVAC</w:t>
            </w:r>
            <w:r w:rsidRPr="00C9605A">
              <w:rPr>
                <w:b/>
              </w:rPr>
              <w:t xml:space="preserve"> ziņas par izplatītajām antibiotikām, kā arī attiecīgos datus izmanto </w:t>
            </w:r>
            <w:proofErr w:type="spellStart"/>
            <w:r w:rsidRPr="00C9605A">
              <w:rPr>
                <w:b/>
              </w:rPr>
              <w:t>zoonozes</w:t>
            </w:r>
            <w:proofErr w:type="spellEnd"/>
            <w:r w:rsidRPr="00C9605A">
              <w:rPr>
                <w:b/>
              </w:rPr>
              <w:t xml:space="preserve"> izraisošo mikroorganismu AMR attīstības riska izvērtēšanā un</w:t>
            </w:r>
            <w:r>
              <w:rPr>
                <w:b/>
              </w:rPr>
              <w:t xml:space="preserve"> </w:t>
            </w:r>
            <w:r w:rsidRPr="00C9605A">
              <w:rPr>
                <w:b/>
              </w:rPr>
              <w:t>dzīvnieku veselības uzraudzības darbību plānošanā. Lai nodrošinātu uzraudzības darbību efektivitāti, ir būtiski zināt aktuāl</w:t>
            </w:r>
            <w:r>
              <w:rPr>
                <w:b/>
              </w:rPr>
              <w:t>o</w:t>
            </w:r>
            <w:r w:rsidRPr="00C9605A">
              <w:rPr>
                <w:b/>
              </w:rPr>
              <w:t>s datus par izplat</w:t>
            </w:r>
            <w:r>
              <w:rPr>
                <w:b/>
              </w:rPr>
              <w:t>ītajā</w:t>
            </w:r>
            <w:r w:rsidRPr="00C9605A">
              <w:rPr>
                <w:b/>
              </w:rPr>
              <w:t>m antibiotikām un to izplatīšanas apjom</w:t>
            </w:r>
            <w:r>
              <w:rPr>
                <w:b/>
              </w:rPr>
              <w:t>u</w:t>
            </w:r>
            <w:r w:rsidRPr="00C9605A">
              <w:rPr>
                <w:b/>
              </w:rPr>
              <w:t xml:space="preserve"> pa saņēmēju grupām</w:t>
            </w:r>
            <w:r>
              <w:rPr>
                <w:b/>
              </w:rPr>
              <w:t>.</w:t>
            </w:r>
          </w:p>
          <w:p w:rsidR="00DD7F93" w:rsidRPr="00C9605A" w:rsidRDefault="00DD7F93" w:rsidP="004D1965">
            <w:pPr>
              <w:pStyle w:val="naiskr"/>
              <w:spacing w:before="0" w:after="0"/>
              <w:jc w:val="both"/>
              <w:rPr>
                <w:b/>
              </w:rPr>
            </w:pPr>
            <w:r>
              <w:rPr>
                <w:b/>
              </w:rPr>
              <w:t>Dienests</w:t>
            </w:r>
            <w:r w:rsidRPr="00C9605A">
              <w:rPr>
                <w:b/>
              </w:rPr>
              <w:t xml:space="preserve"> izstrādā un </w:t>
            </w:r>
            <w:r>
              <w:rPr>
                <w:b/>
              </w:rPr>
              <w:t>pilda</w:t>
            </w:r>
            <w:r w:rsidRPr="00C9605A">
              <w:rPr>
                <w:b/>
              </w:rPr>
              <w:t xml:space="preserve"> veterināro zāļu</w:t>
            </w:r>
            <w:r>
              <w:rPr>
                <w:b/>
              </w:rPr>
              <w:t xml:space="preserve"> atliekvielu </w:t>
            </w:r>
            <w:r w:rsidRPr="00C9605A">
              <w:rPr>
                <w:b/>
              </w:rPr>
              <w:t xml:space="preserve">ikgadējo valsts uzraudzības plānu, plāna izstrādē izmantojot arī statistikas datus par valstī izplatītajām veterinārajām zālēm. Plānojot paraugu ņemšanas stratēģiju atliekvielu kontrolei, </w:t>
            </w:r>
            <w:r>
              <w:rPr>
                <w:b/>
              </w:rPr>
              <w:t>dienestam būtu jā</w:t>
            </w:r>
            <w:r w:rsidRPr="00C9605A">
              <w:rPr>
                <w:b/>
              </w:rPr>
              <w:t>ņem vērā arī veterināro zāļu izplatīšanas apjom</w:t>
            </w:r>
            <w:r>
              <w:rPr>
                <w:b/>
              </w:rPr>
              <w:t>a</w:t>
            </w:r>
            <w:r w:rsidRPr="00C9605A">
              <w:rPr>
                <w:b/>
              </w:rPr>
              <w:t xml:space="preserve"> sezonālās svārstības. </w:t>
            </w:r>
          </w:p>
          <w:p w:rsidR="00DD7F93" w:rsidRPr="00C9605A" w:rsidRDefault="00DD7F93" w:rsidP="004D1965">
            <w:pPr>
              <w:pStyle w:val="naiskr"/>
              <w:spacing w:before="0" w:after="0"/>
              <w:jc w:val="both"/>
              <w:rPr>
                <w:b/>
              </w:rPr>
            </w:pPr>
            <w:r w:rsidRPr="00C9605A">
              <w:rPr>
                <w:b/>
              </w:rPr>
              <w:t xml:space="preserve">Ņemot vērā iepriekšminēto, </w:t>
            </w:r>
            <w:r>
              <w:rPr>
                <w:b/>
              </w:rPr>
              <w:t>jā</w:t>
            </w:r>
            <w:r w:rsidRPr="00C9605A">
              <w:rPr>
                <w:b/>
              </w:rPr>
              <w:t>nodrošin</w:t>
            </w:r>
            <w:r>
              <w:rPr>
                <w:b/>
              </w:rPr>
              <w:t>a</w:t>
            </w:r>
            <w:r w:rsidRPr="00C9605A">
              <w:rPr>
                <w:b/>
              </w:rPr>
              <w:t xml:space="preserve">, ka </w:t>
            </w:r>
            <w:r>
              <w:rPr>
                <w:b/>
              </w:rPr>
              <w:t>dienests</w:t>
            </w:r>
            <w:r w:rsidRPr="00C9605A">
              <w:rPr>
                <w:b/>
              </w:rPr>
              <w:t xml:space="preserve"> informāciju par izplatītajām veterinārajām zālēm var apkopot ne retāk kā vienu reizi ceturksnī</w:t>
            </w:r>
            <w:r w:rsidRPr="00C9605A">
              <w:t>;</w:t>
            </w:r>
          </w:p>
          <w:p w:rsidR="00DD7F93" w:rsidRPr="00C9605A" w:rsidRDefault="00DD7F93" w:rsidP="004D1965">
            <w:pPr>
              <w:pStyle w:val="naiskr"/>
              <w:spacing w:before="0" w:after="0"/>
              <w:jc w:val="both"/>
            </w:pPr>
            <w:r w:rsidRPr="00C9605A">
              <w:t>2) noteikts, ka izplatītāji pārskatā sniedz ziņas par veterinārajam zālēm, kas izplatītas praktizējošiem veterinārārstiem un veterinārmedicīniskās aprūpes iestādēm kopā. Šādi dati nesniedz pilnvērtīgu informāciju par zāļu saņēmēju grupām, tādēļ dienests nevar apkopot pilnvērtīgus statistikas datus par izplatītajām zālēm;</w:t>
            </w:r>
          </w:p>
          <w:p w:rsidR="00DD7F93" w:rsidRDefault="00DD7F93" w:rsidP="004D1965">
            <w:pPr>
              <w:pStyle w:val="naiskr"/>
              <w:spacing w:before="0" w:after="0"/>
              <w:jc w:val="both"/>
            </w:pPr>
            <w:r w:rsidRPr="00C9605A">
              <w:t xml:space="preserve">3) nav noteikts, kādā formā izplatītāji iesniedz pārskatu par izplatītajam zālēm. Nepieciešams </w:t>
            </w:r>
            <w:r w:rsidRPr="00C9605A">
              <w:lastRenderedPageBreak/>
              <w:t xml:space="preserve">noteikt, ka pārskati jāiesniedz vienotā formā elektroniski, lai </w:t>
            </w:r>
            <w:r>
              <w:t>dienests</w:t>
            </w:r>
            <w:r w:rsidRPr="00C9605A">
              <w:t xml:space="preserve"> var sekmīgi apstādāt visus iesniegtos datus</w:t>
            </w:r>
            <w:r w:rsidR="008B100B">
              <w:t>;</w:t>
            </w:r>
          </w:p>
          <w:p w:rsidR="008B100B" w:rsidRPr="00961AE4" w:rsidRDefault="008B100B" w:rsidP="004D1965">
            <w:pPr>
              <w:pStyle w:val="naiskr"/>
              <w:spacing w:before="0" w:after="0"/>
              <w:jc w:val="both"/>
              <w:rPr>
                <w:b/>
              </w:rPr>
            </w:pPr>
            <w:r>
              <w:t>4</w:t>
            </w:r>
            <w:r w:rsidRPr="00961AE4">
              <w:rPr>
                <w:b/>
              </w:rPr>
              <w:t>) noteikts, ka lieltirgotavas drīkst izsniegt veterinārās zāles atļauju saņēmējiem. Veterināro zāļu izplatītāji saskaņā ar Farmācijas likuma 48.pantu un Ministru kabineta 2007.gada 19.jūnija noteikumiem Nr.407 „Veterināro zāļu marķēšanas, izplatīšanas un kontroles noteikumi”</w:t>
            </w:r>
            <w:r w:rsidR="00961AE4" w:rsidRPr="00961AE4">
              <w:rPr>
                <w:b/>
              </w:rPr>
              <w:t xml:space="preserve"> (turpmāk – noteikumi Nr.407) var</w:t>
            </w:r>
            <w:r w:rsidRPr="00961AE4">
              <w:rPr>
                <w:b/>
              </w:rPr>
              <w:t xml:space="preserve"> izsniegt vet</w:t>
            </w:r>
            <w:r w:rsidR="00961AE4" w:rsidRPr="00961AE4">
              <w:rPr>
                <w:b/>
              </w:rPr>
              <w:t>erinārās z</w:t>
            </w:r>
            <w:r w:rsidR="00961AE4">
              <w:rPr>
                <w:b/>
              </w:rPr>
              <w:t>āles</w:t>
            </w:r>
            <w:r w:rsidR="00961AE4" w:rsidRPr="00961AE4">
              <w:rPr>
                <w:b/>
              </w:rPr>
              <w:t xml:space="preserve"> dzīvnieku īpašniekiem pret</w:t>
            </w:r>
            <w:r w:rsidRPr="00961AE4">
              <w:rPr>
                <w:b/>
              </w:rPr>
              <w:t xml:space="preserve"> praktizējoša veterinārārsta pieprasījumu, ja dzīvnieku īpašnieki ir iekļauti dienesta sarakstā „</w:t>
            </w:r>
            <w:r w:rsidR="00961AE4" w:rsidRPr="00961AE4">
              <w:rPr>
                <w:b/>
              </w:rPr>
              <w:t xml:space="preserve">PVD apstiprinātās personas, kuras nenodarbojas ar veterinārmedicīnisko praksi, bet iegādājas veterinārās zāles tieši no lieltirgotavas savas darbības nodrošināšanai”. Saskaņā ar noteikumiem Nr.407, atļaujas saņēmēji ir </w:t>
            </w:r>
            <w:r w:rsidR="00961AE4">
              <w:rPr>
                <w:b/>
              </w:rPr>
              <w:t xml:space="preserve">iepriekšminētajā </w:t>
            </w:r>
            <w:r w:rsidR="00961AE4" w:rsidRPr="00961AE4">
              <w:rPr>
                <w:b/>
              </w:rPr>
              <w:t xml:space="preserve">dienesta sarakstā iekļautās personas, bet noteikumos Nr.1230 </w:t>
            </w:r>
            <w:r w:rsidR="00961AE4">
              <w:rPr>
                <w:b/>
              </w:rPr>
              <w:t xml:space="preserve">līdz </w:t>
            </w:r>
            <w:bookmarkStart w:id="0" w:name="_GoBack"/>
            <w:bookmarkEnd w:id="0"/>
            <w:r w:rsidR="00961AE4">
              <w:rPr>
                <w:b/>
              </w:rPr>
              <w:t xml:space="preserve">šim </w:t>
            </w:r>
            <w:r w:rsidR="00961AE4" w:rsidRPr="00961AE4">
              <w:rPr>
                <w:b/>
              </w:rPr>
              <w:t>nav skaidrots, kas ir atļaujas saņēmējs. Tāpēc nepieciešams redakcionāli precizēt noteikumu Nr.1230 tekstu, lai tiesību norma būtu skaidra un nepārprotama.</w:t>
            </w:r>
          </w:p>
          <w:p w:rsidR="00DD7F93" w:rsidRPr="00C9605A" w:rsidRDefault="00DD7F93" w:rsidP="004D1965">
            <w:pPr>
              <w:pStyle w:val="naiskr"/>
              <w:spacing w:before="0" w:after="0"/>
              <w:jc w:val="both"/>
            </w:pPr>
            <w:r w:rsidRPr="00C9605A">
              <w:t xml:space="preserve">2. Noteikumu Nr.1230 2.pielikumā noteikts, ka izplatītāji par izplatīto veterināro zāļu daudzumu sniedz ziņas, norādot izplatīto zāļu daudzumu gan latos ar PVN, gan latos bez PVN. Tā kā dienests analizē izplatīto veterināro zāļu daudzumu latos, nav nepieciešams norādīt izplatīto veterināro zāļu daudzumu latos ar PVN. </w:t>
            </w:r>
            <w:r>
              <w:t>Tā kā tiek apkopoti dati tikai par veterināro zāļu izplatīšanu, pārskatā nav jānorāda kopējais preču izplatīšanas apjoms.</w:t>
            </w:r>
          </w:p>
          <w:p w:rsidR="00DD7F93" w:rsidRPr="00C9605A" w:rsidRDefault="00DD7F93" w:rsidP="004D1965">
            <w:pPr>
              <w:pStyle w:val="naiskr"/>
              <w:spacing w:before="0" w:after="0"/>
              <w:jc w:val="both"/>
            </w:pPr>
            <w:r w:rsidRPr="00C9605A">
              <w:t>3. Noteikumu Nr.1230 1.pielikumā ir noteikti patērētāju grupu kodi, kas atšķiras no 2.pielikumā minētajiem kodiem, un tas apgrūtina datu apkopošanu.</w:t>
            </w:r>
          </w:p>
          <w:p w:rsidR="00DD7F93" w:rsidRPr="00C9605A" w:rsidRDefault="00DD7F93" w:rsidP="004D1965">
            <w:pPr>
              <w:pStyle w:val="naiskr"/>
              <w:spacing w:before="0" w:after="0"/>
              <w:jc w:val="both"/>
            </w:pPr>
            <w:r w:rsidRPr="00C9605A">
              <w:t>Ir nepieciešams saskaņot noteikumu Nr.1230 1.pielikumā norādītos veterināro zāļu saņēmēju kodus ar 2.pielikumā norādītajiem veterināro zāļu saņēmēju kodiem.</w:t>
            </w:r>
          </w:p>
        </w:tc>
      </w:tr>
      <w:tr w:rsidR="00DD7F93" w:rsidRPr="00C9605A" w:rsidTr="00F32A4C">
        <w:trPr>
          <w:trHeight w:val="488"/>
        </w:trPr>
        <w:tc>
          <w:tcPr>
            <w:tcW w:w="550" w:type="dxa"/>
          </w:tcPr>
          <w:p w:rsidR="00DD7F93" w:rsidRPr="00C9605A" w:rsidRDefault="00DD7F93" w:rsidP="006C4607">
            <w:pPr>
              <w:pStyle w:val="naiskr"/>
              <w:spacing w:before="0" w:after="0"/>
            </w:pPr>
            <w:r w:rsidRPr="00C9605A">
              <w:lastRenderedPageBreak/>
              <w:t>3.</w:t>
            </w:r>
          </w:p>
        </w:tc>
        <w:tc>
          <w:tcPr>
            <w:tcW w:w="4315" w:type="dxa"/>
          </w:tcPr>
          <w:p w:rsidR="00DD7F93" w:rsidRPr="00C9605A" w:rsidRDefault="00DD7F93" w:rsidP="006C4607">
            <w:pPr>
              <w:pStyle w:val="naiskr"/>
              <w:spacing w:before="0" w:after="0"/>
            </w:pPr>
            <w:r w:rsidRPr="00C9605A">
              <w:t>Saistītie politikas ietekmes novērtējumi un pētījumi</w:t>
            </w:r>
          </w:p>
        </w:tc>
        <w:tc>
          <w:tcPr>
            <w:tcW w:w="4980" w:type="dxa"/>
          </w:tcPr>
          <w:p w:rsidR="00DD7F93" w:rsidRPr="00C9605A" w:rsidRDefault="00DD7F93" w:rsidP="006C4607">
            <w:pPr>
              <w:pStyle w:val="Vresteksts"/>
              <w:rPr>
                <w:sz w:val="24"/>
                <w:szCs w:val="24"/>
              </w:rPr>
            </w:pPr>
            <w:r w:rsidRPr="00C9605A">
              <w:rPr>
                <w:sz w:val="24"/>
                <w:szCs w:val="24"/>
              </w:rPr>
              <w:t>Projekts šo jomu neskar.</w:t>
            </w:r>
          </w:p>
        </w:tc>
      </w:tr>
      <w:tr w:rsidR="00DD7F93" w:rsidRPr="00C9605A" w:rsidTr="00F32A4C">
        <w:trPr>
          <w:trHeight w:val="384"/>
        </w:trPr>
        <w:tc>
          <w:tcPr>
            <w:tcW w:w="550" w:type="dxa"/>
          </w:tcPr>
          <w:p w:rsidR="00DD7F93" w:rsidRPr="00C9605A" w:rsidRDefault="00DD7F93" w:rsidP="006C4607">
            <w:pPr>
              <w:pStyle w:val="naiskr"/>
              <w:spacing w:before="0" w:after="0"/>
            </w:pPr>
            <w:r w:rsidRPr="00C9605A">
              <w:t>4.</w:t>
            </w:r>
          </w:p>
        </w:tc>
        <w:tc>
          <w:tcPr>
            <w:tcW w:w="4315" w:type="dxa"/>
          </w:tcPr>
          <w:p w:rsidR="00DD7F93" w:rsidRPr="00C9605A" w:rsidRDefault="00DD7F93" w:rsidP="006C4607">
            <w:pPr>
              <w:pStyle w:val="naiskr"/>
              <w:spacing w:before="0" w:after="0"/>
            </w:pPr>
            <w:r w:rsidRPr="00C9605A">
              <w:t>Tiesiskā regulējuma mērķis un būtība</w:t>
            </w:r>
          </w:p>
        </w:tc>
        <w:tc>
          <w:tcPr>
            <w:tcW w:w="4980" w:type="dxa"/>
          </w:tcPr>
          <w:p w:rsidR="00DD7F93" w:rsidRPr="00C9605A" w:rsidRDefault="00DD7F93" w:rsidP="00EC2D6E">
            <w:pPr>
              <w:pStyle w:val="naiskr"/>
              <w:spacing w:before="0" w:after="0"/>
              <w:jc w:val="both"/>
              <w:rPr>
                <w:iCs/>
              </w:rPr>
            </w:pPr>
            <w:r w:rsidRPr="00C9605A">
              <w:rPr>
                <w:iCs/>
              </w:rPr>
              <w:t>Ir sagatavots Ministru kabineta noteikumu projekts „Grozījumi Ministru kabineta 2010.gada 28.decembra noteikumos Nr.1230 „Noteikumi par informācijas apkopošanu un statistikas veidošanu veterināro zāļu aprites jomā”” (turpmāk – noteikumu projekts), kurā:</w:t>
            </w:r>
          </w:p>
          <w:p w:rsidR="00DD7F93" w:rsidRPr="00C9605A" w:rsidRDefault="00DD7F93" w:rsidP="0041697B">
            <w:pPr>
              <w:pStyle w:val="naiskr"/>
              <w:spacing w:before="0" w:after="0"/>
              <w:jc w:val="both"/>
              <w:rPr>
                <w:iCs/>
              </w:rPr>
            </w:pPr>
            <w:r w:rsidRPr="00C9605A">
              <w:rPr>
                <w:iCs/>
              </w:rPr>
              <w:t xml:space="preserve">1) noteikts, ka izplatītāji pārskatus par izplatītajam </w:t>
            </w:r>
            <w:r w:rsidRPr="00C9605A">
              <w:rPr>
                <w:iCs/>
              </w:rPr>
              <w:lastRenderedPageBreak/>
              <w:t>veterinārajam zālēm (1.pielikums) dienestā iesniedz četras reizes gadā</w:t>
            </w:r>
            <w:r>
              <w:rPr>
                <w:iCs/>
              </w:rPr>
              <w:t>;</w:t>
            </w:r>
            <w:r w:rsidRPr="00C9605A">
              <w:rPr>
                <w:iCs/>
              </w:rPr>
              <w:t xml:space="preserve"> </w:t>
            </w:r>
          </w:p>
          <w:p w:rsidR="00DD7F93" w:rsidRPr="00C9605A" w:rsidRDefault="00DD7F93" w:rsidP="0041697B">
            <w:pPr>
              <w:pStyle w:val="naiskr"/>
              <w:spacing w:before="0" w:after="0"/>
              <w:jc w:val="both"/>
              <w:rPr>
                <w:iCs/>
              </w:rPr>
            </w:pPr>
            <w:r w:rsidRPr="00C9605A">
              <w:t xml:space="preserve">2) </w:t>
            </w:r>
            <w:r w:rsidRPr="00C9605A">
              <w:rPr>
                <w:iCs/>
              </w:rPr>
              <w:t xml:space="preserve">pārskatus iesniedz elektroniskā formātā, ko var apstrādāt ar elektronisko tabulu redaktoru, izmantojot </w:t>
            </w:r>
            <w:r w:rsidRPr="00C9605A">
              <w:rPr>
                <w:i/>
                <w:iCs/>
              </w:rPr>
              <w:t xml:space="preserve">XLS </w:t>
            </w:r>
            <w:r w:rsidRPr="00C9605A">
              <w:rPr>
                <w:iCs/>
              </w:rPr>
              <w:t>datnes formātu</w:t>
            </w:r>
            <w:r>
              <w:rPr>
                <w:iCs/>
              </w:rPr>
              <w:t>, neprasot pārskatu apstiprināt ar parakstu</w:t>
            </w:r>
            <w:r w:rsidRPr="00C9605A">
              <w:rPr>
                <w:iCs/>
              </w:rPr>
              <w:t>;</w:t>
            </w:r>
          </w:p>
          <w:p w:rsidR="00DD7F93" w:rsidRPr="00C9605A" w:rsidRDefault="00DD7F93" w:rsidP="00EC2D6E">
            <w:pPr>
              <w:pStyle w:val="naiskr"/>
              <w:spacing w:before="0" w:after="0"/>
              <w:jc w:val="both"/>
            </w:pPr>
            <w:r w:rsidRPr="00C9605A">
              <w:t>3) izplatītāji pārskatā atsevišķi norāda datus par veterinārajam zālēm, kas izsniegtas praktizējošiem veterinārārstiem, un atsevišķi – veterinārmedicīniskās aprūpes iestādēm;</w:t>
            </w:r>
          </w:p>
          <w:p w:rsidR="00DD7F93" w:rsidRPr="00C9605A" w:rsidRDefault="00DD7F93" w:rsidP="00EC2D6E">
            <w:pPr>
              <w:pStyle w:val="naiskr"/>
              <w:spacing w:before="0" w:after="0"/>
              <w:jc w:val="both"/>
              <w:rPr>
                <w:b/>
              </w:rPr>
            </w:pPr>
            <w:r w:rsidRPr="00C9605A">
              <w:t>4) vienkāršots 2.pielikums, saskaņojot zāļu saņēmēju kodus ar 1.pielikumā norādītajiem un svītrojot prasību iesniegt ziņas par zāļu izplatīšanas daudzumiem latos ar PVN</w:t>
            </w:r>
            <w:r>
              <w:t xml:space="preserve">, </w:t>
            </w:r>
            <w:r w:rsidRPr="00C9605A">
              <w:rPr>
                <w:b/>
              </w:rPr>
              <w:t xml:space="preserve">kā arī </w:t>
            </w:r>
            <w:r>
              <w:rPr>
                <w:b/>
              </w:rPr>
              <w:t xml:space="preserve">svītrojot </w:t>
            </w:r>
            <w:r w:rsidRPr="00C9605A">
              <w:rPr>
                <w:b/>
              </w:rPr>
              <w:t>prasību norādīt visu izplatīto preču daudzumu latos.</w:t>
            </w:r>
            <w:r w:rsidRPr="00C9605A">
              <w:t xml:space="preserve"> </w:t>
            </w:r>
            <w:r w:rsidRPr="00C9605A">
              <w:rPr>
                <w:b/>
              </w:rPr>
              <w:t xml:space="preserve">Nemainās 2.pielikumā noteiktā pārskata iesniegšanas biežums </w:t>
            </w:r>
            <w:r>
              <w:rPr>
                <w:b/>
              </w:rPr>
              <w:t>–</w:t>
            </w:r>
            <w:r w:rsidRPr="00C9605A">
              <w:rPr>
                <w:b/>
              </w:rPr>
              <w:t xml:space="preserve"> divas reizes gadā;</w:t>
            </w:r>
          </w:p>
          <w:p w:rsidR="00DD7F93" w:rsidRPr="00C9605A" w:rsidRDefault="00DD7F93" w:rsidP="00EC2D6E">
            <w:pPr>
              <w:pStyle w:val="naiskr"/>
              <w:spacing w:before="0" w:after="0"/>
              <w:jc w:val="both"/>
            </w:pPr>
            <w:r w:rsidRPr="00C9605A">
              <w:t>5) izdarīti redakcionāli precizējumi.</w:t>
            </w:r>
          </w:p>
          <w:p w:rsidR="00DD7F93" w:rsidRPr="00C9605A" w:rsidRDefault="00DD7F93" w:rsidP="00EC2D6E">
            <w:pPr>
              <w:pStyle w:val="naiskr"/>
              <w:spacing w:before="0" w:after="0"/>
              <w:jc w:val="both"/>
            </w:pPr>
          </w:p>
          <w:p w:rsidR="00DD7F93" w:rsidRPr="00C9605A" w:rsidRDefault="00DD7F93" w:rsidP="00EC2D6E">
            <w:pPr>
              <w:pStyle w:val="naiskr"/>
              <w:spacing w:before="0" w:after="0"/>
              <w:jc w:val="both"/>
            </w:pPr>
            <w:r w:rsidRPr="00C9605A">
              <w:t>Šīs anotācijas I sadaļas 2.punktā minētās problēmas noteikumu projekts atrisinās pilnībā.</w:t>
            </w:r>
          </w:p>
        </w:tc>
      </w:tr>
      <w:tr w:rsidR="00DD7F93" w:rsidRPr="00C9605A" w:rsidTr="00F32A4C">
        <w:trPr>
          <w:trHeight w:val="476"/>
        </w:trPr>
        <w:tc>
          <w:tcPr>
            <w:tcW w:w="550" w:type="dxa"/>
          </w:tcPr>
          <w:p w:rsidR="00DD7F93" w:rsidRPr="00C9605A" w:rsidRDefault="00DD7F93" w:rsidP="006C4607">
            <w:pPr>
              <w:pStyle w:val="naiskr"/>
              <w:spacing w:before="0" w:after="0"/>
            </w:pPr>
            <w:r w:rsidRPr="00C9605A">
              <w:lastRenderedPageBreak/>
              <w:t>5.</w:t>
            </w:r>
          </w:p>
        </w:tc>
        <w:tc>
          <w:tcPr>
            <w:tcW w:w="4315" w:type="dxa"/>
          </w:tcPr>
          <w:p w:rsidR="00DD7F93" w:rsidRPr="00C9605A" w:rsidRDefault="00DD7F93" w:rsidP="006C4607">
            <w:pPr>
              <w:pStyle w:val="naiskr"/>
              <w:spacing w:before="0" w:after="0"/>
            </w:pPr>
            <w:r w:rsidRPr="00C9605A">
              <w:t>Projekta izstrādē iesaistītās institūcijas</w:t>
            </w:r>
          </w:p>
        </w:tc>
        <w:tc>
          <w:tcPr>
            <w:tcW w:w="4980" w:type="dxa"/>
          </w:tcPr>
          <w:p w:rsidR="00DD7F93" w:rsidRPr="00C9605A" w:rsidRDefault="00DD7F93" w:rsidP="006C4607">
            <w:pPr>
              <w:pStyle w:val="naiskr"/>
              <w:spacing w:before="0" w:after="0"/>
            </w:pPr>
            <w:r w:rsidRPr="00C9605A">
              <w:rPr>
                <w:iCs/>
              </w:rPr>
              <w:t>Pārtikas un veterinārais dienests.</w:t>
            </w:r>
          </w:p>
        </w:tc>
      </w:tr>
      <w:tr w:rsidR="00DD7F93" w:rsidRPr="00C9605A" w:rsidTr="00F32A4C">
        <w:trPr>
          <w:trHeight w:val="545"/>
        </w:trPr>
        <w:tc>
          <w:tcPr>
            <w:tcW w:w="550" w:type="dxa"/>
          </w:tcPr>
          <w:p w:rsidR="00DD7F93" w:rsidRPr="00C9605A" w:rsidRDefault="00DD7F93" w:rsidP="006C4607">
            <w:pPr>
              <w:pStyle w:val="naiskr"/>
              <w:spacing w:before="0" w:after="0"/>
            </w:pPr>
            <w:r w:rsidRPr="00C9605A">
              <w:t>6.</w:t>
            </w:r>
          </w:p>
        </w:tc>
        <w:tc>
          <w:tcPr>
            <w:tcW w:w="4315" w:type="dxa"/>
          </w:tcPr>
          <w:p w:rsidR="00DD7F93" w:rsidRPr="00C9605A" w:rsidRDefault="00DD7F93" w:rsidP="006C4607">
            <w:pPr>
              <w:pStyle w:val="naiskr"/>
              <w:spacing w:before="0" w:after="0"/>
              <w:rPr>
                <w:i/>
                <w:highlight w:val="yellow"/>
              </w:rPr>
            </w:pPr>
            <w:r w:rsidRPr="00C9605A">
              <w:t>Iemesli, kādēļ netika nodrošināta sabiedrības līdzdalība</w:t>
            </w:r>
          </w:p>
        </w:tc>
        <w:tc>
          <w:tcPr>
            <w:tcW w:w="4980" w:type="dxa"/>
          </w:tcPr>
          <w:p w:rsidR="00DD7F93" w:rsidRPr="00C9605A" w:rsidRDefault="00DD7F93" w:rsidP="006C4607">
            <w:pPr>
              <w:pStyle w:val="Vresteksts"/>
              <w:rPr>
                <w:sz w:val="24"/>
                <w:szCs w:val="24"/>
              </w:rPr>
            </w:pPr>
            <w:r w:rsidRPr="00C9605A">
              <w:rPr>
                <w:sz w:val="24"/>
                <w:szCs w:val="24"/>
              </w:rPr>
              <w:t>Projekts šo jomu neskar.</w:t>
            </w:r>
          </w:p>
        </w:tc>
      </w:tr>
      <w:tr w:rsidR="00DD7F93" w:rsidRPr="00C9605A" w:rsidTr="00F32A4C">
        <w:tc>
          <w:tcPr>
            <w:tcW w:w="550" w:type="dxa"/>
          </w:tcPr>
          <w:p w:rsidR="00DD7F93" w:rsidRPr="00C9605A" w:rsidRDefault="00DD7F93" w:rsidP="006C4607">
            <w:pPr>
              <w:pStyle w:val="naiskr"/>
              <w:spacing w:before="0" w:after="0"/>
            </w:pPr>
            <w:r w:rsidRPr="00C9605A">
              <w:t>7.</w:t>
            </w:r>
          </w:p>
        </w:tc>
        <w:tc>
          <w:tcPr>
            <w:tcW w:w="4315" w:type="dxa"/>
          </w:tcPr>
          <w:p w:rsidR="00DD7F93" w:rsidRPr="00C9605A" w:rsidRDefault="00DD7F93" w:rsidP="006C4607">
            <w:pPr>
              <w:pStyle w:val="naiskr"/>
              <w:spacing w:before="0" w:after="0"/>
            </w:pPr>
            <w:r w:rsidRPr="00C9605A">
              <w:t>Cita informācija</w:t>
            </w:r>
          </w:p>
        </w:tc>
        <w:tc>
          <w:tcPr>
            <w:tcW w:w="4980" w:type="dxa"/>
          </w:tcPr>
          <w:p w:rsidR="00DD7F93" w:rsidRPr="00C9605A" w:rsidRDefault="00DD7F93" w:rsidP="006C4607">
            <w:pPr>
              <w:pStyle w:val="naiskr"/>
              <w:spacing w:before="0" w:after="0"/>
            </w:pPr>
            <w:r w:rsidRPr="00C9605A">
              <w:t>Nav</w:t>
            </w:r>
          </w:p>
        </w:tc>
      </w:tr>
    </w:tbl>
    <w:p w:rsidR="00DD7F93" w:rsidRPr="00C9605A" w:rsidRDefault="00DD7F93" w:rsidP="006C4607">
      <w:pPr>
        <w:pStyle w:val="naisf"/>
        <w:spacing w:before="0" w:after="0"/>
      </w:pPr>
    </w:p>
    <w:tbl>
      <w:tblPr>
        <w:tblpPr w:leftFromText="180" w:rightFromText="180" w:vertAnchor="text" w:horzAnchor="margin" w:tblpXSpec="center" w:tblpY="149"/>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5"/>
        <w:gridCol w:w="3836"/>
        <w:gridCol w:w="5554"/>
      </w:tblGrid>
      <w:tr w:rsidR="00DD7F93" w:rsidRPr="00C9605A" w:rsidTr="00F32A4C">
        <w:trPr>
          <w:trHeight w:val="72"/>
        </w:trPr>
        <w:tc>
          <w:tcPr>
            <w:tcW w:w="9975" w:type="dxa"/>
            <w:gridSpan w:val="3"/>
            <w:vAlign w:val="center"/>
          </w:tcPr>
          <w:p w:rsidR="00DD7F93" w:rsidRPr="00C9605A" w:rsidRDefault="00DD7F93" w:rsidP="006C4607">
            <w:pPr>
              <w:pStyle w:val="naisnod"/>
              <w:spacing w:before="0" w:after="0"/>
            </w:pPr>
            <w:r w:rsidRPr="00C9605A">
              <w:t>II. Tiesību akta projekta ietekme uz sabiedrību</w:t>
            </w:r>
          </w:p>
        </w:tc>
      </w:tr>
      <w:tr w:rsidR="00DD7F93" w:rsidRPr="00C9605A" w:rsidTr="00F32A4C">
        <w:trPr>
          <w:trHeight w:val="118"/>
        </w:trPr>
        <w:tc>
          <w:tcPr>
            <w:tcW w:w="585" w:type="dxa"/>
          </w:tcPr>
          <w:p w:rsidR="00DD7F93" w:rsidRPr="00C9605A" w:rsidRDefault="00DD7F93" w:rsidP="006C4607">
            <w:pPr>
              <w:pStyle w:val="naiskr"/>
              <w:spacing w:before="0" w:after="0"/>
            </w:pPr>
            <w:r w:rsidRPr="00C9605A">
              <w:t>1.</w:t>
            </w:r>
          </w:p>
        </w:tc>
        <w:tc>
          <w:tcPr>
            <w:tcW w:w="3836" w:type="dxa"/>
          </w:tcPr>
          <w:p w:rsidR="00DD7F93" w:rsidRPr="00C9605A" w:rsidRDefault="00DD7F93" w:rsidP="006C4607">
            <w:pPr>
              <w:pStyle w:val="naiskr"/>
              <w:spacing w:before="0" w:after="0"/>
            </w:pPr>
            <w:r w:rsidRPr="00C9605A">
              <w:t xml:space="preserve">Sabiedrības </w:t>
            </w:r>
            <w:proofErr w:type="spellStart"/>
            <w:r w:rsidRPr="00C9605A">
              <w:t>mērķgrupa</w:t>
            </w:r>
            <w:proofErr w:type="spellEnd"/>
          </w:p>
        </w:tc>
        <w:tc>
          <w:tcPr>
            <w:tcW w:w="5554" w:type="dxa"/>
          </w:tcPr>
          <w:p w:rsidR="00DD7F93" w:rsidRPr="00C9605A" w:rsidRDefault="00DD7F93" w:rsidP="006976AC">
            <w:pPr>
              <w:pStyle w:val="naiskr"/>
              <w:spacing w:before="0" w:after="0"/>
              <w:jc w:val="both"/>
              <w:rPr>
                <w:iCs/>
              </w:rPr>
            </w:pPr>
            <w:r w:rsidRPr="00C9605A">
              <w:rPr>
                <w:iCs/>
              </w:rPr>
              <w:t>Noteikumu projekta tiesiskais regulējums attiecas uz personām, kas izplata veterinārās zāles vairumtirdzniecībā:</w:t>
            </w:r>
          </w:p>
          <w:p w:rsidR="00DD7F93" w:rsidRPr="00C9605A" w:rsidRDefault="00DD7F93" w:rsidP="006976AC">
            <w:pPr>
              <w:pStyle w:val="naiskr"/>
              <w:spacing w:before="0" w:after="0"/>
              <w:jc w:val="both"/>
              <w:rPr>
                <w:iCs/>
              </w:rPr>
            </w:pPr>
            <w:r w:rsidRPr="00C9605A">
              <w:rPr>
                <w:iCs/>
              </w:rPr>
              <w:t>1) 24 veterināro zāļu lieltirgotavām;</w:t>
            </w:r>
          </w:p>
          <w:p w:rsidR="00DD7F93" w:rsidRPr="00C9605A" w:rsidRDefault="00DD7F93" w:rsidP="006976AC">
            <w:pPr>
              <w:pStyle w:val="naiskr"/>
              <w:spacing w:before="0" w:after="0"/>
              <w:jc w:val="both"/>
              <w:rPr>
                <w:iCs/>
              </w:rPr>
            </w:pPr>
            <w:r w:rsidRPr="00C9605A">
              <w:rPr>
                <w:iCs/>
              </w:rPr>
              <w:t xml:space="preserve">2) septiņiem komersantiem, kas ražo (importē) tikai veterinārās zāles; </w:t>
            </w:r>
          </w:p>
          <w:p w:rsidR="00DD7F93" w:rsidRPr="00C9605A" w:rsidRDefault="00DD7F93" w:rsidP="006976AC">
            <w:pPr>
              <w:pStyle w:val="naiskr"/>
              <w:spacing w:before="0" w:after="0"/>
              <w:jc w:val="both"/>
              <w:rPr>
                <w:iCs/>
              </w:rPr>
            </w:pPr>
            <w:r w:rsidRPr="00C9605A">
              <w:rPr>
                <w:iCs/>
              </w:rPr>
              <w:t>3) sešām cilvēkiem paredzēto zāļu lieltirgotavām, kas izplata veterinārās zāles;</w:t>
            </w:r>
          </w:p>
          <w:p w:rsidR="00DD7F93" w:rsidRPr="00C9605A" w:rsidRDefault="00DD7F93" w:rsidP="006976AC">
            <w:pPr>
              <w:pStyle w:val="naiskr"/>
              <w:spacing w:before="0" w:after="0"/>
              <w:jc w:val="both"/>
              <w:rPr>
                <w:iCs/>
              </w:rPr>
            </w:pPr>
            <w:r w:rsidRPr="00C9605A">
              <w:rPr>
                <w:iCs/>
              </w:rPr>
              <w:t>4) pieciem komersantiem, kas ražo (importē) cilvēkiem paredzētās un veterinārās zāles.</w:t>
            </w:r>
          </w:p>
          <w:p w:rsidR="00DD7F93" w:rsidRPr="00C9605A" w:rsidRDefault="00DD7F93" w:rsidP="0041697B">
            <w:pPr>
              <w:pStyle w:val="naiskr"/>
              <w:spacing w:before="0" w:after="0"/>
              <w:jc w:val="both"/>
            </w:pPr>
            <w:r w:rsidRPr="00C9605A">
              <w:rPr>
                <w:iCs/>
              </w:rPr>
              <w:t xml:space="preserve">(Informācija no Pārtikas un veterinārā dienesta tīmekļa vietnes </w:t>
            </w:r>
            <w:proofErr w:type="spellStart"/>
            <w:r w:rsidRPr="00C9605A">
              <w:rPr>
                <w:iCs/>
              </w:rPr>
              <w:t>www.pvd.gov.lv</w:t>
            </w:r>
            <w:proofErr w:type="spellEnd"/>
            <w:r w:rsidRPr="00C9605A">
              <w:rPr>
                <w:iCs/>
              </w:rPr>
              <w:t>)</w:t>
            </w:r>
          </w:p>
        </w:tc>
      </w:tr>
      <w:tr w:rsidR="00DD7F93" w:rsidRPr="00C9605A" w:rsidTr="00F32A4C">
        <w:tc>
          <w:tcPr>
            <w:tcW w:w="585" w:type="dxa"/>
          </w:tcPr>
          <w:p w:rsidR="00DD7F93" w:rsidRPr="00C9605A" w:rsidRDefault="00DD7F93" w:rsidP="006C4607">
            <w:pPr>
              <w:pStyle w:val="naiskr"/>
              <w:spacing w:before="0" w:after="0"/>
            </w:pPr>
            <w:r w:rsidRPr="00C9605A">
              <w:t>2.</w:t>
            </w:r>
          </w:p>
        </w:tc>
        <w:tc>
          <w:tcPr>
            <w:tcW w:w="3836" w:type="dxa"/>
          </w:tcPr>
          <w:p w:rsidR="00DD7F93" w:rsidRPr="00C9605A" w:rsidRDefault="00DD7F93" w:rsidP="006C4607">
            <w:pPr>
              <w:pStyle w:val="naiskr"/>
              <w:spacing w:before="0" w:after="0"/>
            </w:pPr>
            <w:r w:rsidRPr="00C9605A">
              <w:t xml:space="preserve">Citas sabiedrības grupas (bez </w:t>
            </w:r>
            <w:proofErr w:type="spellStart"/>
            <w:r w:rsidRPr="00C9605A">
              <w:t>mērķgrupas</w:t>
            </w:r>
            <w:proofErr w:type="spellEnd"/>
            <w:r w:rsidRPr="00C9605A">
              <w:t>), kuras tiesiskais regulējums arī ietekmē vai varētu ietekmēt</w:t>
            </w:r>
          </w:p>
        </w:tc>
        <w:tc>
          <w:tcPr>
            <w:tcW w:w="5554" w:type="dxa"/>
          </w:tcPr>
          <w:p w:rsidR="00DD7F93" w:rsidRPr="00C9605A" w:rsidRDefault="00DD7F93" w:rsidP="006C4607">
            <w:pPr>
              <w:pStyle w:val="naiskr"/>
              <w:spacing w:before="0" w:after="0"/>
            </w:pPr>
            <w:r w:rsidRPr="00C9605A">
              <w:rPr>
                <w:iCs/>
              </w:rPr>
              <w:t>Projekts šo jomu neskar.</w:t>
            </w:r>
          </w:p>
        </w:tc>
      </w:tr>
      <w:tr w:rsidR="00DD7F93" w:rsidRPr="00C9605A" w:rsidTr="00F32A4C">
        <w:trPr>
          <w:trHeight w:val="131"/>
        </w:trPr>
        <w:tc>
          <w:tcPr>
            <w:tcW w:w="585" w:type="dxa"/>
          </w:tcPr>
          <w:p w:rsidR="00DD7F93" w:rsidRPr="00C9605A" w:rsidRDefault="00DD7F93" w:rsidP="006C4607">
            <w:pPr>
              <w:pStyle w:val="naiskr"/>
              <w:spacing w:before="0" w:after="0"/>
            </w:pPr>
            <w:r w:rsidRPr="00C9605A">
              <w:t>3.</w:t>
            </w:r>
          </w:p>
        </w:tc>
        <w:tc>
          <w:tcPr>
            <w:tcW w:w="3836" w:type="dxa"/>
          </w:tcPr>
          <w:p w:rsidR="00DD7F93" w:rsidRPr="00C9605A" w:rsidRDefault="00DD7F93" w:rsidP="006C4607">
            <w:pPr>
              <w:pStyle w:val="naiskr"/>
              <w:spacing w:before="0" w:after="0"/>
            </w:pPr>
            <w:r w:rsidRPr="00C9605A">
              <w:t>Tiesiskā regulējuma finansiālā ietekme</w:t>
            </w:r>
          </w:p>
        </w:tc>
        <w:tc>
          <w:tcPr>
            <w:tcW w:w="5554" w:type="dxa"/>
          </w:tcPr>
          <w:p w:rsidR="00DD7F93" w:rsidRPr="00C9605A" w:rsidRDefault="00DD7F93" w:rsidP="006C4607">
            <w:pPr>
              <w:pStyle w:val="naiskr"/>
              <w:spacing w:before="0" w:after="0"/>
            </w:pPr>
            <w:r w:rsidRPr="00C9605A">
              <w:rPr>
                <w:iCs/>
              </w:rPr>
              <w:t>Projekts šo jomu neskar.</w:t>
            </w:r>
          </w:p>
        </w:tc>
      </w:tr>
      <w:tr w:rsidR="00DD7F93" w:rsidRPr="00C9605A" w:rsidTr="00F32A4C">
        <w:trPr>
          <w:trHeight w:val="71"/>
        </w:trPr>
        <w:tc>
          <w:tcPr>
            <w:tcW w:w="585" w:type="dxa"/>
          </w:tcPr>
          <w:p w:rsidR="00DD7F93" w:rsidRPr="00C9605A" w:rsidRDefault="00DD7F93" w:rsidP="006C4607">
            <w:pPr>
              <w:pStyle w:val="naiskr"/>
              <w:spacing w:before="0" w:after="0"/>
            </w:pPr>
            <w:r w:rsidRPr="00C9605A">
              <w:t>4.</w:t>
            </w:r>
          </w:p>
        </w:tc>
        <w:tc>
          <w:tcPr>
            <w:tcW w:w="3836" w:type="dxa"/>
          </w:tcPr>
          <w:p w:rsidR="00DD7F93" w:rsidRPr="00C9605A" w:rsidRDefault="00DD7F93" w:rsidP="006C4607">
            <w:pPr>
              <w:pStyle w:val="naiskr"/>
              <w:spacing w:before="0" w:after="0"/>
            </w:pPr>
            <w:r w:rsidRPr="00C9605A">
              <w:t>Tiesiskā regulējuma nefinansiālā ietekme</w:t>
            </w:r>
          </w:p>
        </w:tc>
        <w:tc>
          <w:tcPr>
            <w:tcW w:w="5554" w:type="dxa"/>
          </w:tcPr>
          <w:p w:rsidR="00DD7F93" w:rsidRPr="00C9605A" w:rsidRDefault="00DD7F93" w:rsidP="00651FF1">
            <w:pPr>
              <w:pStyle w:val="naiskr"/>
              <w:spacing w:before="0" w:after="0"/>
              <w:jc w:val="both"/>
              <w:rPr>
                <w:iCs/>
              </w:rPr>
            </w:pPr>
            <w:r w:rsidRPr="00C9605A">
              <w:rPr>
                <w:iCs/>
              </w:rPr>
              <w:t>Projekts šo jomu neskar.</w:t>
            </w:r>
          </w:p>
        </w:tc>
      </w:tr>
      <w:tr w:rsidR="00DD7F93" w:rsidRPr="00C9605A" w:rsidTr="00F32A4C">
        <w:trPr>
          <w:trHeight w:val="135"/>
        </w:trPr>
        <w:tc>
          <w:tcPr>
            <w:tcW w:w="585" w:type="dxa"/>
          </w:tcPr>
          <w:p w:rsidR="00DD7F93" w:rsidRPr="00C9605A" w:rsidRDefault="00DD7F93" w:rsidP="006C4607">
            <w:pPr>
              <w:pStyle w:val="naiskr"/>
              <w:spacing w:before="0" w:after="0"/>
            </w:pPr>
            <w:r w:rsidRPr="00C9605A">
              <w:t>5.</w:t>
            </w:r>
          </w:p>
        </w:tc>
        <w:tc>
          <w:tcPr>
            <w:tcW w:w="3836" w:type="dxa"/>
          </w:tcPr>
          <w:p w:rsidR="00DD7F93" w:rsidRPr="00C9605A" w:rsidRDefault="00DD7F93" w:rsidP="006C4607">
            <w:pPr>
              <w:pStyle w:val="naiskr"/>
              <w:spacing w:before="0" w:after="0"/>
            </w:pPr>
            <w:r w:rsidRPr="00C9605A">
              <w:t>Administratīvās procedūras raksturojums</w:t>
            </w:r>
          </w:p>
        </w:tc>
        <w:tc>
          <w:tcPr>
            <w:tcW w:w="5554" w:type="dxa"/>
          </w:tcPr>
          <w:p w:rsidR="00DD7F93" w:rsidRPr="00C9605A" w:rsidRDefault="00DD7F93" w:rsidP="002F34E8">
            <w:pPr>
              <w:pStyle w:val="naiskr"/>
              <w:spacing w:before="0" w:after="0"/>
              <w:jc w:val="both"/>
              <w:rPr>
                <w:iCs/>
              </w:rPr>
            </w:pPr>
            <w:r w:rsidRPr="00C9605A">
              <w:rPr>
                <w:iCs/>
              </w:rPr>
              <w:t>Statistikas datu apkopošanas administratīvā procedūra nemainās.</w:t>
            </w:r>
          </w:p>
          <w:p w:rsidR="00DD7F93" w:rsidRPr="00C9605A" w:rsidRDefault="00DD7F93" w:rsidP="001C2051">
            <w:pPr>
              <w:pStyle w:val="naiskr"/>
              <w:spacing w:before="0" w:after="0"/>
              <w:jc w:val="both"/>
              <w:rPr>
                <w:b/>
                <w:iCs/>
              </w:rPr>
            </w:pPr>
            <w:r w:rsidRPr="00C9605A">
              <w:rPr>
                <w:iCs/>
              </w:rPr>
              <w:t xml:space="preserve">Statistikas dati par izplatītajām veterinārajām zālēm (noteikumu projekta 1.pielikums) līdz šim bija jāiesniedz </w:t>
            </w:r>
            <w:r w:rsidRPr="00C9605A">
              <w:rPr>
                <w:iCs/>
              </w:rPr>
              <w:lastRenderedPageBreak/>
              <w:t xml:space="preserve">divas reizes gadā, bet no 2012. gada būs jāiesniedz četras reizes gadā, tā nodrošinot iespēju dienestam veikt pilnvērtīgāku zāļu izplatīšanas statistikas datu analīzi, kā arī datus izmantot veterināro zāļu aprites, AMR un zāļu atliekvielu uzraudzībā un kontrolē. </w:t>
            </w:r>
            <w:r w:rsidRPr="00C9605A">
              <w:rPr>
                <w:b/>
                <w:iCs/>
              </w:rPr>
              <w:t>Pēc būtības</w:t>
            </w:r>
            <w:r w:rsidRPr="00C9605A">
              <w:rPr>
                <w:iCs/>
              </w:rPr>
              <w:t xml:space="preserve"> </w:t>
            </w:r>
            <w:r>
              <w:rPr>
                <w:b/>
                <w:iCs/>
              </w:rPr>
              <w:t>d</w:t>
            </w:r>
            <w:r w:rsidRPr="00C9605A">
              <w:rPr>
                <w:b/>
                <w:iCs/>
              </w:rPr>
              <w:t>arba apjoms izplatītājiem nepalielinās, tikai pārskat</w:t>
            </w:r>
            <w:r>
              <w:rPr>
                <w:b/>
                <w:iCs/>
              </w:rPr>
              <w:t>i</w:t>
            </w:r>
            <w:r w:rsidRPr="00C9605A">
              <w:rPr>
                <w:b/>
                <w:iCs/>
              </w:rPr>
              <w:t xml:space="preserve"> </w:t>
            </w:r>
            <w:r>
              <w:rPr>
                <w:b/>
                <w:iCs/>
              </w:rPr>
              <w:t>jāiesniedz biežāk</w:t>
            </w:r>
            <w:r w:rsidRPr="00C9605A">
              <w:rPr>
                <w:b/>
                <w:iCs/>
              </w:rPr>
              <w:t xml:space="preserve">, jo, apkopojot veterināro zāļu izplatīšanu datus par ceturksni, </w:t>
            </w:r>
            <w:r>
              <w:rPr>
                <w:b/>
                <w:iCs/>
              </w:rPr>
              <w:t>izplatītāji</w:t>
            </w:r>
            <w:r w:rsidRPr="00C9605A">
              <w:rPr>
                <w:b/>
                <w:iCs/>
              </w:rPr>
              <w:t xml:space="preserve"> patērē mazāk laika un resursu, nekā apkopojot veterināro zāļu izplatīšanas datus </w:t>
            </w:r>
            <w:r>
              <w:rPr>
                <w:b/>
                <w:iCs/>
              </w:rPr>
              <w:t xml:space="preserve">uzreiz </w:t>
            </w:r>
            <w:r w:rsidRPr="00C9605A">
              <w:rPr>
                <w:b/>
                <w:iCs/>
              </w:rPr>
              <w:t>par pusgadu (d</w:t>
            </w:r>
            <w:r>
              <w:rPr>
                <w:b/>
                <w:iCs/>
              </w:rPr>
              <w:t xml:space="preserve">atus </w:t>
            </w:r>
            <w:r w:rsidRPr="00C9605A">
              <w:rPr>
                <w:b/>
                <w:iCs/>
              </w:rPr>
              <w:t xml:space="preserve">izplatītājs apkopo </w:t>
            </w:r>
            <w:r>
              <w:rPr>
                <w:b/>
                <w:iCs/>
              </w:rPr>
              <w:t>par</w:t>
            </w:r>
            <w:r w:rsidRPr="00C9605A">
              <w:rPr>
                <w:b/>
                <w:iCs/>
              </w:rPr>
              <w:t xml:space="preserve"> izplatīto veterināro zāļu apjom</w:t>
            </w:r>
            <w:r>
              <w:rPr>
                <w:b/>
                <w:iCs/>
              </w:rPr>
              <w:t>u</w:t>
            </w:r>
            <w:r w:rsidRPr="00C9605A">
              <w:rPr>
                <w:b/>
                <w:iCs/>
              </w:rPr>
              <w:t xml:space="preserve"> noteiktā laika posmā). Savukārt izplatītājam ir būtiski samazinātas citas ar pārskatu iesniegšanu saistītās administratīvās </w:t>
            </w:r>
            <w:r>
              <w:rPr>
                <w:b/>
                <w:iCs/>
              </w:rPr>
              <w:t xml:space="preserve">procedūras un </w:t>
            </w:r>
            <w:r w:rsidRPr="00C9605A">
              <w:rPr>
                <w:b/>
                <w:iCs/>
              </w:rPr>
              <w:t xml:space="preserve">izmaksas, jo: </w:t>
            </w:r>
          </w:p>
          <w:p w:rsidR="00DD7F93" w:rsidRPr="00C9605A" w:rsidRDefault="00DD7F93" w:rsidP="001C2051">
            <w:pPr>
              <w:pStyle w:val="naiskr"/>
              <w:spacing w:before="0" w:after="0"/>
              <w:jc w:val="both"/>
              <w:rPr>
                <w:b/>
                <w:iCs/>
              </w:rPr>
            </w:pPr>
            <w:r w:rsidRPr="00C9605A">
              <w:rPr>
                <w:b/>
                <w:iCs/>
              </w:rPr>
              <w:t xml:space="preserve">1) ir vienkāršota pārskatu iesniegšanas kārtība. Izplatītājs pārskatus var iesniegt elektroniski, </w:t>
            </w:r>
            <w:r>
              <w:rPr>
                <w:b/>
                <w:iCs/>
              </w:rPr>
              <w:t xml:space="preserve">tos </w:t>
            </w:r>
            <w:r w:rsidRPr="00C9605A">
              <w:rPr>
                <w:b/>
                <w:iCs/>
              </w:rPr>
              <w:t xml:space="preserve">izsūtot no iepriekš dienestam paziņotas </w:t>
            </w:r>
            <w:r>
              <w:rPr>
                <w:b/>
                <w:iCs/>
              </w:rPr>
              <w:t xml:space="preserve">izplatītāja </w:t>
            </w:r>
            <w:r w:rsidRPr="00C9605A">
              <w:rPr>
                <w:b/>
                <w:iCs/>
              </w:rPr>
              <w:t>e-pasta adreses. Līdz ar to izplatītajam vairs nav jāpatērē lieki resursi, iesniedzot pārskatus papīra formā (piemēram,</w:t>
            </w:r>
            <w:r>
              <w:rPr>
                <w:b/>
                <w:iCs/>
              </w:rPr>
              <w:t xml:space="preserve"> dokumenta papīra formas noformēšana un</w:t>
            </w:r>
            <w:r w:rsidRPr="00C9605A">
              <w:rPr>
                <w:b/>
                <w:iCs/>
              </w:rPr>
              <w:t xml:space="preserve"> pasta izdevumi) vai iegādājoties </w:t>
            </w:r>
            <w:r>
              <w:rPr>
                <w:b/>
                <w:iCs/>
              </w:rPr>
              <w:t xml:space="preserve">un uzturot </w:t>
            </w:r>
            <w:r w:rsidRPr="00C9605A">
              <w:rPr>
                <w:b/>
                <w:iCs/>
              </w:rPr>
              <w:t>došu elektronisko parakstu;</w:t>
            </w:r>
          </w:p>
          <w:p w:rsidR="00DD7F93" w:rsidRPr="00351DE8" w:rsidRDefault="00DD7F93" w:rsidP="00C9605A">
            <w:pPr>
              <w:pStyle w:val="naiskr"/>
              <w:spacing w:before="0" w:after="0"/>
              <w:jc w:val="both"/>
              <w:rPr>
                <w:iCs/>
              </w:rPr>
            </w:pPr>
            <w:r w:rsidRPr="00C9605A">
              <w:rPr>
                <w:b/>
                <w:iCs/>
              </w:rPr>
              <w:t xml:space="preserve">2) </w:t>
            </w:r>
            <w:r>
              <w:rPr>
                <w:b/>
                <w:iCs/>
              </w:rPr>
              <w:t xml:space="preserve">ir </w:t>
            </w:r>
            <w:r w:rsidRPr="00C9605A">
              <w:rPr>
                <w:b/>
                <w:iCs/>
              </w:rPr>
              <w:t xml:space="preserve">būtiski ir samazināts 2.pielikumā noteiktais sniedzamo datu apjoms. </w:t>
            </w:r>
            <w:r w:rsidRPr="00351DE8">
              <w:rPr>
                <w:iCs/>
              </w:rPr>
              <w:t>2.pielikumā noteiktais pārskats jāiesniedz tāpat kā līdz šim – divas reizes gadā.</w:t>
            </w:r>
          </w:p>
          <w:p w:rsidR="00DD7F93" w:rsidRDefault="00DD7F93" w:rsidP="00C9605A">
            <w:pPr>
              <w:pStyle w:val="naiskr"/>
              <w:spacing w:before="0" w:after="0"/>
              <w:jc w:val="both"/>
              <w:rPr>
                <w:b/>
                <w:iCs/>
              </w:rPr>
            </w:pPr>
          </w:p>
          <w:p w:rsidR="00DD7F93" w:rsidRPr="00C9605A" w:rsidRDefault="00DD7F93" w:rsidP="00C9605A">
            <w:pPr>
              <w:pStyle w:val="naiskr"/>
              <w:spacing w:before="0" w:after="0"/>
              <w:jc w:val="both"/>
              <w:rPr>
                <w:b/>
                <w:iCs/>
              </w:rPr>
            </w:pPr>
            <w:r w:rsidRPr="00C9605A">
              <w:rPr>
                <w:b/>
                <w:iCs/>
              </w:rPr>
              <w:t xml:space="preserve">Biedrība „Latvijas Veterināro Zāļu Lieltirgotavu Asociācija” atbalsta projektu, jo noteiktās tiesību normas ļaus dienestam apkopot aktuālus datus par veterināro zāļu izplatīšanas dinamiku, </w:t>
            </w:r>
            <w:r>
              <w:rPr>
                <w:b/>
                <w:iCs/>
              </w:rPr>
              <w:t xml:space="preserve">un </w:t>
            </w:r>
            <w:r w:rsidRPr="00C9605A">
              <w:rPr>
                <w:b/>
                <w:iCs/>
              </w:rPr>
              <w:t xml:space="preserve">izplatītāji </w:t>
            </w:r>
            <w:r>
              <w:rPr>
                <w:b/>
                <w:iCs/>
              </w:rPr>
              <w:t xml:space="preserve">tos </w:t>
            </w:r>
            <w:r w:rsidRPr="00C9605A">
              <w:rPr>
                <w:b/>
                <w:iCs/>
              </w:rPr>
              <w:t xml:space="preserve">varēs izmantot veterināro zāļu tirgus situācijas analīzē un </w:t>
            </w:r>
            <w:r>
              <w:rPr>
                <w:b/>
                <w:iCs/>
              </w:rPr>
              <w:t xml:space="preserve">savas </w:t>
            </w:r>
            <w:r w:rsidRPr="00C9605A">
              <w:rPr>
                <w:b/>
                <w:iCs/>
              </w:rPr>
              <w:t>darbības plānošanā.</w:t>
            </w:r>
          </w:p>
        </w:tc>
      </w:tr>
      <w:tr w:rsidR="00DD7F93" w:rsidRPr="00C9605A" w:rsidTr="00F32A4C">
        <w:trPr>
          <w:trHeight w:val="90"/>
        </w:trPr>
        <w:tc>
          <w:tcPr>
            <w:tcW w:w="585" w:type="dxa"/>
          </w:tcPr>
          <w:p w:rsidR="00DD7F93" w:rsidRPr="00C9605A" w:rsidRDefault="00DD7F93" w:rsidP="006C4607">
            <w:pPr>
              <w:pStyle w:val="naiskr"/>
              <w:spacing w:before="0" w:after="0"/>
            </w:pPr>
            <w:r w:rsidRPr="00C9605A">
              <w:lastRenderedPageBreak/>
              <w:t>6.</w:t>
            </w:r>
          </w:p>
        </w:tc>
        <w:tc>
          <w:tcPr>
            <w:tcW w:w="3836" w:type="dxa"/>
          </w:tcPr>
          <w:p w:rsidR="00DD7F93" w:rsidRPr="00C9605A" w:rsidRDefault="00DD7F93" w:rsidP="006C4607">
            <w:pPr>
              <w:pStyle w:val="naiskr"/>
              <w:spacing w:before="0" w:after="0"/>
            </w:pPr>
            <w:r w:rsidRPr="00C9605A">
              <w:t>Administratīvo izmaksu monetārs novērtējums</w:t>
            </w:r>
          </w:p>
        </w:tc>
        <w:tc>
          <w:tcPr>
            <w:tcW w:w="5554" w:type="dxa"/>
          </w:tcPr>
          <w:p w:rsidR="00DD7F93" w:rsidRPr="00C9605A" w:rsidRDefault="00DD7F93" w:rsidP="006C4607">
            <w:pPr>
              <w:pStyle w:val="naiskr"/>
              <w:spacing w:before="0" w:after="0"/>
            </w:pPr>
            <w:r w:rsidRPr="00C9605A">
              <w:rPr>
                <w:iCs/>
              </w:rPr>
              <w:t>Projekts šo jomu neskar.</w:t>
            </w:r>
          </w:p>
        </w:tc>
      </w:tr>
      <w:tr w:rsidR="00DD7F93" w:rsidRPr="00C9605A" w:rsidTr="00F32A4C">
        <w:trPr>
          <w:trHeight w:val="65"/>
        </w:trPr>
        <w:tc>
          <w:tcPr>
            <w:tcW w:w="585" w:type="dxa"/>
          </w:tcPr>
          <w:p w:rsidR="00DD7F93" w:rsidRPr="00C9605A" w:rsidRDefault="00DD7F93" w:rsidP="006C4607">
            <w:pPr>
              <w:pStyle w:val="naiskr"/>
              <w:spacing w:before="0" w:after="0"/>
            </w:pPr>
            <w:r w:rsidRPr="00C9605A">
              <w:t>7.</w:t>
            </w:r>
          </w:p>
        </w:tc>
        <w:tc>
          <w:tcPr>
            <w:tcW w:w="3836" w:type="dxa"/>
          </w:tcPr>
          <w:p w:rsidR="00DD7F93" w:rsidRPr="00C9605A" w:rsidRDefault="00DD7F93" w:rsidP="006C4607">
            <w:pPr>
              <w:pStyle w:val="naiskr"/>
              <w:spacing w:before="0" w:after="0"/>
            </w:pPr>
            <w:r w:rsidRPr="00C9605A">
              <w:t>Cita informācija</w:t>
            </w:r>
          </w:p>
        </w:tc>
        <w:tc>
          <w:tcPr>
            <w:tcW w:w="5554" w:type="dxa"/>
          </w:tcPr>
          <w:p w:rsidR="00DD7F93" w:rsidRPr="00C9605A" w:rsidRDefault="00DD7F93" w:rsidP="006C4607">
            <w:pPr>
              <w:pStyle w:val="naiskr"/>
              <w:spacing w:before="0" w:after="0"/>
            </w:pPr>
            <w:r w:rsidRPr="00C9605A">
              <w:t>Nav</w:t>
            </w:r>
          </w:p>
        </w:tc>
      </w:tr>
    </w:tbl>
    <w:p w:rsidR="00DD7F93" w:rsidRPr="00C9605A" w:rsidRDefault="00DD7F93" w:rsidP="006C4607">
      <w:pPr>
        <w:pStyle w:val="naisf"/>
        <w:spacing w:before="0" w:after="0"/>
      </w:pPr>
    </w:p>
    <w:p w:rsidR="00DD7F93" w:rsidRPr="00C9605A" w:rsidRDefault="00DD7F93" w:rsidP="006976AC">
      <w:pPr>
        <w:pStyle w:val="naisf"/>
        <w:spacing w:before="0" w:after="0"/>
        <w:rPr>
          <w:i/>
        </w:rPr>
      </w:pPr>
      <w:r w:rsidRPr="00C9605A">
        <w:rPr>
          <w:i/>
        </w:rPr>
        <w:t>Anotācijas III, IV un IV sadaļa – projekts šīs jomas neskar.</w:t>
      </w:r>
    </w:p>
    <w:p w:rsidR="00DD7F93" w:rsidRPr="00C9605A" w:rsidRDefault="00DD7F93"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4492"/>
        <w:gridCol w:w="5313"/>
      </w:tblGrid>
      <w:tr w:rsidR="00DD7F93" w:rsidRPr="00C9605A" w:rsidTr="00FD2A8A">
        <w:trPr>
          <w:jc w:val="center"/>
        </w:trPr>
        <w:tc>
          <w:tcPr>
            <w:tcW w:w="10256" w:type="dxa"/>
            <w:gridSpan w:val="3"/>
          </w:tcPr>
          <w:p w:rsidR="00DD7F93" w:rsidRPr="00C9605A" w:rsidRDefault="00DD7F93" w:rsidP="007D099D">
            <w:pPr>
              <w:pStyle w:val="naisnod"/>
              <w:spacing w:before="0" w:after="0"/>
              <w:ind w:left="57" w:right="57"/>
            </w:pPr>
            <w:r w:rsidRPr="00C9605A">
              <w:t>VI. Sabiedrības līdzdalība un šīs līdzdalības rezultāti</w:t>
            </w:r>
          </w:p>
        </w:tc>
      </w:tr>
      <w:tr w:rsidR="00DD7F93" w:rsidRPr="00C9605A" w:rsidTr="00FD2A8A">
        <w:trPr>
          <w:trHeight w:val="553"/>
          <w:jc w:val="center"/>
        </w:trPr>
        <w:tc>
          <w:tcPr>
            <w:tcW w:w="451" w:type="dxa"/>
          </w:tcPr>
          <w:p w:rsidR="00DD7F93" w:rsidRPr="00C9605A" w:rsidRDefault="00DD7F93" w:rsidP="007D099D">
            <w:pPr>
              <w:pStyle w:val="naiskr"/>
              <w:spacing w:before="0" w:after="0"/>
              <w:ind w:left="57" w:right="57"/>
              <w:rPr>
                <w:bCs/>
              </w:rPr>
            </w:pPr>
            <w:r w:rsidRPr="00C9605A">
              <w:rPr>
                <w:bCs/>
              </w:rPr>
              <w:t>1.</w:t>
            </w:r>
          </w:p>
        </w:tc>
        <w:tc>
          <w:tcPr>
            <w:tcW w:w="4492" w:type="dxa"/>
          </w:tcPr>
          <w:p w:rsidR="00DD7F93" w:rsidRPr="00C9605A" w:rsidRDefault="00DD7F93" w:rsidP="007D099D">
            <w:pPr>
              <w:pStyle w:val="naiskr"/>
              <w:tabs>
                <w:tab w:val="left" w:pos="170"/>
              </w:tabs>
              <w:spacing w:before="0" w:after="0"/>
              <w:ind w:left="57" w:right="57"/>
            </w:pPr>
            <w:r w:rsidRPr="00C9605A">
              <w:t>Sabiedrības informēšana par projekta izstrādes uzsākšanu</w:t>
            </w:r>
          </w:p>
        </w:tc>
        <w:tc>
          <w:tcPr>
            <w:tcW w:w="5313" w:type="dxa"/>
          </w:tcPr>
          <w:p w:rsidR="00DD7F93" w:rsidRPr="00C9605A" w:rsidRDefault="00DD7F93" w:rsidP="006976AC">
            <w:pPr>
              <w:pStyle w:val="naiskr"/>
              <w:spacing w:before="0" w:after="0"/>
              <w:ind w:left="57" w:right="57"/>
              <w:jc w:val="both"/>
              <w:rPr>
                <w:iCs/>
              </w:rPr>
            </w:pPr>
            <w:r w:rsidRPr="00C9605A">
              <w:rPr>
                <w:iCs/>
              </w:rPr>
              <w:t>Par noteikumu projekta izstrādes sākšanu 2011.gada 21.oktobra starpinstitūciju sanāksmē informēta biedrība „Latvijas Veterinārārstu biedrība” un</w:t>
            </w:r>
            <w:r w:rsidRPr="00C9605A">
              <w:t xml:space="preserve"> </w:t>
            </w:r>
            <w:r w:rsidRPr="00C9605A">
              <w:rPr>
                <w:iCs/>
              </w:rPr>
              <w:t xml:space="preserve">biedrība „Latvijas Veterināro Zāļu Lieltirgotavu Asociācija”. </w:t>
            </w:r>
          </w:p>
          <w:p w:rsidR="00DD7F93" w:rsidRPr="00C9605A" w:rsidRDefault="00DD7F93" w:rsidP="002629AB">
            <w:pPr>
              <w:pStyle w:val="naiskr"/>
              <w:spacing w:before="0" w:after="0"/>
              <w:ind w:right="57"/>
              <w:jc w:val="both"/>
            </w:pPr>
            <w:r w:rsidRPr="00C9605A">
              <w:t>Noteikumu projekts 2011.gada 1.decembrī nosūtīts elektroniski saskaņošanai biedrībām „Latvijas Veterinārārstu biedrība”, „Latvijas Veterināro zāļu Lieltirgotavu Asociācija” un „Lauksaimnieku organizāciju sadarbības padome”. Atzinuma sniegšanas termiņš: 2011.gada 9.decembris.</w:t>
            </w:r>
          </w:p>
        </w:tc>
      </w:tr>
      <w:tr w:rsidR="00DD7F93" w:rsidRPr="00C9605A" w:rsidTr="00FD2A8A">
        <w:trPr>
          <w:trHeight w:val="339"/>
          <w:jc w:val="center"/>
        </w:trPr>
        <w:tc>
          <w:tcPr>
            <w:tcW w:w="451" w:type="dxa"/>
          </w:tcPr>
          <w:p w:rsidR="00DD7F93" w:rsidRPr="00C9605A" w:rsidRDefault="00DD7F93" w:rsidP="007D099D">
            <w:pPr>
              <w:pStyle w:val="naiskr"/>
              <w:spacing w:before="0" w:after="0"/>
              <w:ind w:left="57" w:right="57"/>
              <w:rPr>
                <w:bCs/>
              </w:rPr>
            </w:pPr>
            <w:r w:rsidRPr="00C9605A">
              <w:rPr>
                <w:bCs/>
              </w:rPr>
              <w:t>2.</w:t>
            </w:r>
          </w:p>
        </w:tc>
        <w:tc>
          <w:tcPr>
            <w:tcW w:w="4492" w:type="dxa"/>
          </w:tcPr>
          <w:p w:rsidR="00DD7F93" w:rsidRPr="00C9605A" w:rsidRDefault="00DD7F93" w:rsidP="007D099D">
            <w:pPr>
              <w:pStyle w:val="naiskr"/>
              <w:spacing w:before="0" w:after="0"/>
              <w:ind w:left="57" w:right="57"/>
            </w:pPr>
            <w:r w:rsidRPr="00C9605A">
              <w:t xml:space="preserve">Sabiedrības līdzdalība projekta izstrādē </w:t>
            </w:r>
          </w:p>
        </w:tc>
        <w:tc>
          <w:tcPr>
            <w:tcW w:w="5313" w:type="dxa"/>
          </w:tcPr>
          <w:p w:rsidR="00DD7F93" w:rsidRPr="00C9605A" w:rsidRDefault="00DD7F93" w:rsidP="006976AC">
            <w:pPr>
              <w:pStyle w:val="naiskr"/>
              <w:spacing w:before="0" w:after="0"/>
              <w:ind w:left="57" w:right="57"/>
              <w:jc w:val="both"/>
            </w:pPr>
            <w:r w:rsidRPr="00C9605A">
              <w:t xml:space="preserve">1. Noteikumu projekta izstrādes gaitā notika </w:t>
            </w:r>
            <w:r w:rsidRPr="00C9605A">
              <w:lastRenderedPageBreak/>
              <w:t xml:space="preserve">konsultācijas ar biedrībām „Latvijas Veterinārārstu biedrība” un „Latvijas Veterināro zāļu Lieltirgotavu Asociācija”. Biedrība „Latvijas Veterinārārstu biedrība” izvēlēta tādēļ, ka pārstāv praktizējošus veterinārārstus un veterināro zāļu izplatītājus, biedrība „Latvijas Veterināro zāļu Lieltirgotavu Asociācija” izvēlēta tādēļ, ka pārstāv personas, kas izplata veterinārās zāles vairumtirdzniecībā. </w:t>
            </w:r>
          </w:p>
          <w:p w:rsidR="00DD7F93" w:rsidRPr="00C9605A" w:rsidRDefault="00DD7F93" w:rsidP="002629AB">
            <w:pPr>
              <w:pStyle w:val="naiskr"/>
              <w:spacing w:before="0" w:after="0"/>
              <w:ind w:left="57" w:right="57"/>
              <w:jc w:val="both"/>
            </w:pPr>
            <w:r w:rsidRPr="00C9605A">
              <w:t>2. Izstrādes gaitā noteikumu projekts tika saskaņots ar biedrībām „Latvijas Veterinārārstu biedrība” un „Latvijas Veterināro zāļu Lieltirgotavu Asociācija” 2011.gada 24.novembra sanāksmē par veterināro zāļu statistiku, kā arī notika elektroniska noteikumu projekta saskaņošana.</w:t>
            </w:r>
          </w:p>
          <w:p w:rsidR="00DD7F93" w:rsidRPr="00C9605A" w:rsidRDefault="00DD7F93" w:rsidP="002629AB">
            <w:pPr>
              <w:pStyle w:val="naiskr"/>
              <w:spacing w:before="0" w:after="0"/>
              <w:ind w:left="57" w:right="57"/>
              <w:jc w:val="both"/>
            </w:pPr>
            <w:r w:rsidRPr="00C9605A">
              <w:t>3. Noteiktajā atzinuma sniegšanas terminā nav saņemti iebildumi vai priekšlikumi par projektu.</w:t>
            </w:r>
          </w:p>
        </w:tc>
      </w:tr>
      <w:tr w:rsidR="00DD7F93" w:rsidRPr="00C9605A" w:rsidTr="00FD2A8A">
        <w:trPr>
          <w:trHeight w:val="375"/>
          <w:jc w:val="center"/>
        </w:trPr>
        <w:tc>
          <w:tcPr>
            <w:tcW w:w="451" w:type="dxa"/>
          </w:tcPr>
          <w:p w:rsidR="00DD7F93" w:rsidRPr="00C9605A" w:rsidRDefault="00DD7F93" w:rsidP="007D099D">
            <w:pPr>
              <w:pStyle w:val="naiskr"/>
              <w:spacing w:before="0" w:after="0"/>
              <w:ind w:left="57" w:right="57"/>
              <w:rPr>
                <w:bCs/>
              </w:rPr>
            </w:pPr>
            <w:r w:rsidRPr="00C9605A">
              <w:rPr>
                <w:bCs/>
              </w:rPr>
              <w:lastRenderedPageBreak/>
              <w:t>3.</w:t>
            </w:r>
          </w:p>
        </w:tc>
        <w:tc>
          <w:tcPr>
            <w:tcW w:w="4492" w:type="dxa"/>
          </w:tcPr>
          <w:p w:rsidR="00DD7F93" w:rsidRPr="00C9605A" w:rsidRDefault="00DD7F93" w:rsidP="007D099D">
            <w:pPr>
              <w:pStyle w:val="naiskr"/>
              <w:spacing w:before="0" w:after="0"/>
              <w:ind w:left="57" w:right="57"/>
            </w:pPr>
            <w:r w:rsidRPr="00C9605A">
              <w:t xml:space="preserve">Sabiedrības līdzdalības rezultāti </w:t>
            </w:r>
          </w:p>
        </w:tc>
        <w:tc>
          <w:tcPr>
            <w:tcW w:w="5313" w:type="dxa"/>
          </w:tcPr>
          <w:p w:rsidR="00DD7F93" w:rsidRPr="00C9605A" w:rsidRDefault="00DD7F93" w:rsidP="00FF0E76">
            <w:pPr>
              <w:pStyle w:val="naiskr"/>
              <w:spacing w:before="0" w:after="0"/>
              <w:ind w:left="57" w:right="57"/>
              <w:jc w:val="both"/>
              <w:rPr>
                <w:iCs/>
              </w:rPr>
            </w:pPr>
            <w:r w:rsidRPr="00C9605A">
              <w:rPr>
                <w:iCs/>
              </w:rPr>
              <w:t xml:space="preserve">Noteikumu projektā iekļauti biedrību „Latvijas Veterinārārstu biedrība” un „Latvijas Veterināro Zāļu Lieltirgotavu Asociācija” priekšlikumi par precizējumiem statistikas datos. </w:t>
            </w:r>
          </w:p>
        </w:tc>
      </w:tr>
      <w:tr w:rsidR="00DD7F93" w:rsidRPr="00C9605A" w:rsidTr="00FD2A8A">
        <w:trPr>
          <w:trHeight w:val="397"/>
          <w:jc w:val="center"/>
        </w:trPr>
        <w:tc>
          <w:tcPr>
            <w:tcW w:w="451" w:type="dxa"/>
          </w:tcPr>
          <w:p w:rsidR="00DD7F93" w:rsidRPr="00C9605A" w:rsidRDefault="00DD7F93" w:rsidP="007D099D">
            <w:pPr>
              <w:pStyle w:val="naiskr"/>
              <w:spacing w:before="0" w:after="0"/>
              <w:ind w:left="57" w:right="57"/>
              <w:rPr>
                <w:bCs/>
              </w:rPr>
            </w:pPr>
            <w:r w:rsidRPr="00C9605A">
              <w:rPr>
                <w:bCs/>
              </w:rPr>
              <w:t>4.</w:t>
            </w:r>
          </w:p>
        </w:tc>
        <w:tc>
          <w:tcPr>
            <w:tcW w:w="4492" w:type="dxa"/>
          </w:tcPr>
          <w:p w:rsidR="00DD7F93" w:rsidRPr="00C9605A" w:rsidRDefault="00DD7F93" w:rsidP="007D099D">
            <w:pPr>
              <w:pStyle w:val="naiskr"/>
              <w:spacing w:before="0" w:after="0"/>
              <w:ind w:left="57" w:right="57"/>
            </w:pPr>
            <w:r w:rsidRPr="00C9605A">
              <w:t>Saeimas un ekspertu līdzdalība</w:t>
            </w:r>
          </w:p>
        </w:tc>
        <w:tc>
          <w:tcPr>
            <w:tcW w:w="5313" w:type="dxa"/>
          </w:tcPr>
          <w:p w:rsidR="00DD7F93" w:rsidRPr="00C9605A" w:rsidRDefault="00DD7F93" w:rsidP="007D099D">
            <w:pPr>
              <w:pStyle w:val="naiskr"/>
              <w:spacing w:before="0" w:after="0"/>
              <w:ind w:left="57" w:right="57"/>
              <w:jc w:val="both"/>
            </w:pPr>
            <w:r w:rsidRPr="00C9605A">
              <w:rPr>
                <w:iCs/>
              </w:rPr>
              <w:t>Projekts šo jomu neskar.</w:t>
            </w:r>
          </w:p>
        </w:tc>
      </w:tr>
      <w:tr w:rsidR="00DD7F93" w:rsidRPr="00C9605A" w:rsidTr="00FD2A8A">
        <w:trPr>
          <w:trHeight w:val="476"/>
          <w:jc w:val="center"/>
        </w:trPr>
        <w:tc>
          <w:tcPr>
            <w:tcW w:w="451" w:type="dxa"/>
          </w:tcPr>
          <w:p w:rsidR="00DD7F93" w:rsidRPr="00C9605A" w:rsidRDefault="00DD7F93" w:rsidP="007D099D">
            <w:pPr>
              <w:pStyle w:val="naiskr"/>
              <w:spacing w:before="0" w:after="0"/>
              <w:ind w:left="57" w:right="57"/>
              <w:rPr>
                <w:bCs/>
              </w:rPr>
            </w:pPr>
            <w:r w:rsidRPr="00C9605A">
              <w:rPr>
                <w:bCs/>
              </w:rPr>
              <w:t>5.</w:t>
            </w:r>
          </w:p>
        </w:tc>
        <w:tc>
          <w:tcPr>
            <w:tcW w:w="4492" w:type="dxa"/>
          </w:tcPr>
          <w:p w:rsidR="00DD7F93" w:rsidRPr="00C9605A" w:rsidRDefault="00DD7F93" w:rsidP="007D099D">
            <w:pPr>
              <w:pStyle w:val="naiskr"/>
              <w:spacing w:before="0" w:after="0"/>
              <w:ind w:left="57" w:right="57"/>
            </w:pPr>
            <w:r w:rsidRPr="00C9605A">
              <w:t>Cita informācija</w:t>
            </w:r>
          </w:p>
          <w:p w:rsidR="00DD7F93" w:rsidRPr="00C9605A" w:rsidRDefault="00DD7F93" w:rsidP="007D099D">
            <w:pPr>
              <w:pStyle w:val="naiskr"/>
              <w:spacing w:before="0" w:after="0"/>
              <w:ind w:left="57" w:right="57"/>
            </w:pPr>
          </w:p>
        </w:tc>
        <w:tc>
          <w:tcPr>
            <w:tcW w:w="5313" w:type="dxa"/>
          </w:tcPr>
          <w:p w:rsidR="00DD7F93" w:rsidRPr="00C9605A" w:rsidRDefault="00DD7F93" w:rsidP="007D099D">
            <w:pPr>
              <w:pStyle w:val="naiskr"/>
              <w:spacing w:before="0" w:after="0"/>
              <w:ind w:left="57" w:right="57"/>
              <w:jc w:val="both"/>
            </w:pPr>
            <w:r w:rsidRPr="00C9605A">
              <w:t>Nav</w:t>
            </w:r>
          </w:p>
        </w:tc>
      </w:tr>
    </w:tbl>
    <w:p w:rsidR="00DD7F93" w:rsidRPr="00C9605A" w:rsidRDefault="00DD7F93" w:rsidP="006C4607">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588"/>
        <w:gridCol w:w="5302"/>
      </w:tblGrid>
      <w:tr w:rsidR="00DD7F93" w:rsidRPr="00C9605A" w:rsidTr="00FD2A8A">
        <w:tc>
          <w:tcPr>
            <w:tcW w:w="10264" w:type="dxa"/>
            <w:gridSpan w:val="3"/>
          </w:tcPr>
          <w:p w:rsidR="00DD7F93" w:rsidRPr="00C9605A" w:rsidRDefault="00DD7F93" w:rsidP="007D099D">
            <w:pPr>
              <w:pStyle w:val="naisnod"/>
              <w:spacing w:before="0" w:after="0"/>
              <w:ind w:left="57" w:right="57"/>
            </w:pPr>
            <w:r w:rsidRPr="00C9605A">
              <w:t>VII. Tiesību akta projekta izpildes nodrošināšana un tās ietekme uz institūcijām</w:t>
            </w:r>
          </w:p>
        </w:tc>
      </w:tr>
      <w:tr w:rsidR="00DD7F93" w:rsidRPr="00C9605A" w:rsidTr="00FD2A8A">
        <w:trPr>
          <w:trHeight w:val="427"/>
        </w:trPr>
        <w:tc>
          <w:tcPr>
            <w:tcW w:w="374" w:type="dxa"/>
          </w:tcPr>
          <w:p w:rsidR="00DD7F93" w:rsidRPr="00C9605A" w:rsidRDefault="00DD7F93" w:rsidP="007D099D">
            <w:pPr>
              <w:pStyle w:val="naisnod"/>
              <w:spacing w:before="0" w:after="0"/>
              <w:ind w:left="57" w:right="57"/>
              <w:jc w:val="left"/>
              <w:rPr>
                <w:b w:val="0"/>
              </w:rPr>
            </w:pPr>
            <w:r w:rsidRPr="00C9605A">
              <w:rPr>
                <w:b w:val="0"/>
              </w:rPr>
              <w:t>1.</w:t>
            </w:r>
          </w:p>
        </w:tc>
        <w:tc>
          <w:tcPr>
            <w:tcW w:w="4588" w:type="dxa"/>
          </w:tcPr>
          <w:p w:rsidR="00DD7F93" w:rsidRPr="00C9605A" w:rsidRDefault="00DD7F93" w:rsidP="007D099D">
            <w:pPr>
              <w:pStyle w:val="naisf"/>
              <w:spacing w:before="0" w:after="0"/>
              <w:ind w:left="57" w:right="57" w:firstLine="0"/>
              <w:jc w:val="left"/>
            </w:pPr>
            <w:r w:rsidRPr="00C9605A">
              <w:t xml:space="preserve">Projekta izpildē iesaistītās institūcijas </w:t>
            </w:r>
          </w:p>
        </w:tc>
        <w:tc>
          <w:tcPr>
            <w:tcW w:w="5302" w:type="dxa"/>
          </w:tcPr>
          <w:p w:rsidR="00DD7F93" w:rsidRPr="00C9605A" w:rsidRDefault="00DD7F93" w:rsidP="007D099D">
            <w:pPr>
              <w:pStyle w:val="naisnod"/>
              <w:spacing w:before="0" w:after="0"/>
              <w:ind w:left="57" w:right="57"/>
              <w:jc w:val="left"/>
              <w:rPr>
                <w:b w:val="0"/>
              </w:rPr>
            </w:pPr>
            <w:r w:rsidRPr="00C9605A">
              <w:rPr>
                <w:b w:val="0"/>
                <w:iCs/>
              </w:rPr>
              <w:t>Pārtikas un veterinārais dienests</w:t>
            </w:r>
          </w:p>
        </w:tc>
      </w:tr>
      <w:tr w:rsidR="00DD7F93" w:rsidRPr="00C9605A" w:rsidTr="00FD2A8A">
        <w:trPr>
          <w:trHeight w:val="463"/>
        </w:trPr>
        <w:tc>
          <w:tcPr>
            <w:tcW w:w="374" w:type="dxa"/>
          </w:tcPr>
          <w:p w:rsidR="00DD7F93" w:rsidRPr="00C9605A" w:rsidRDefault="00DD7F93" w:rsidP="007D099D">
            <w:pPr>
              <w:pStyle w:val="naisnod"/>
              <w:spacing w:before="0" w:after="0"/>
              <w:ind w:left="57" w:right="57"/>
              <w:jc w:val="left"/>
              <w:rPr>
                <w:b w:val="0"/>
              </w:rPr>
            </w:pPr>
            <w:r w:rsidRPr="00C9605A">
              <w:rPr>
                <w:b w:val="0"/>
              </w:rPr>
              <w:t>2.</w:t>
            </w:r>
          </w:p>
        </w:tc>
        <w:tc>
          <w:tcPr>
            <w:tcW w:w="4588" w:type="dxa"/>
          </w:tcPr>
          <w:p w:rsidR="00DD7F93" w:rsidRPr="00C9605A" w:rsidRDefault="00DD7F93" w:rsidP="007D099D">
            <w:pPr>
              <w:pStyle w:val="naisf"/>
              <w:spacing w:before="0" w:after="0"/>
              <w:ind w:left="57" w:right="57" w:firstLine="0"/>
              <w:jc w:val="left"/>
            </w:pPr>
            <w:r w:rsidRPr="00C9605A">
              <w:t xml:space="preserve">Projekta izpildes ietekme uz pārvaldes funkcijām </w:t>
            </w:r>
          </w:p>
        </w:tc>
        <w:tc>
          <w:tcPr>
            <w:tcW w:w="5302" w:type="dxa"/>
          </w:tcPr>
          <w:p w:rsidR="00DD7F93" w:rsidRPr="00C9605A" w:rsidRDefault="00DD7F93" w:rsidP="006976AC">
            <w:pPr>
              <w:pStyle w:val="naisnod"/>
              <w:spacing w:before="0" w:after="0"/>
              <w:ind w:left="57" w:right="57"/>
              <w:jc w:val="left"/>
              <w:rPr>
                <w:b w:val="0"/>
              </w:rPr>
            </w:pPr>
            <w:r w:rsidRPr="00C9605A">
              <w:rPr>
                <w:b w:val="0"/>
                <w:iCs/>
              </w:rPr>
              <w:t>Projekta izpilde nepaplašina vai nesašaurina Pārtikas un veterinārā dienesta funkcijas.</w:t>
            </w:r>
          </w:p>
        </w:tc>
      </w:tr>
      <w:tr w:rsidR="00DD7F93" w:rsidRPr="00C9605A" w:rsidTr="00FD2A8A">
        <w:trPr>
          <w:trHeight w:val="725"/>
        </w:trPr>
        <w:tc>
          <w:tcPr>
            <w:tcW w:w="374" w:type="dxa"/>
          </w:tcPr>
          <w:p w:rsidR="00DD7F93" w:rsidRPr="00C9605A" w:rsidRDefault="00DD7F93" w:rsidP="007D099D">
            <w:pPr>
              <w:pStyle w:val="naisnod"/>
              <w:spacing w:before="0" w:after="0"/>
              <w:ind w:left="57" w:right="57"/>
              <w:jc w:val="left"/>
              <w:rPr>
                <w:b w:val="0"/>
              </w:rPr>
            </w:pPr>
            <w:r w:rsidRPr="00C9605A">
              <w:rPr>
                <w:b w:val="0"/>
              </w:rPr>
              <w:t>3.</w:t>
            </w:r>
          </w:p>
        </w:tc>
        <w:tc>
          <w:tcPr>
            <w:tcW w:w="4588" w:type="dxa"/>
          </w:tcPr>
          <w:p w:rsidR="00DD7F93" w:rsidRPr="00C9605A" w:rsidRDefault="00DD7F93" w:rsidP="007D099D">
            <w:pPr>
              <w:pStyle w:val="naisf"/>
              <w:spacing w:before="0" w:after="0"/>
              <w:ind w:left="57" w:right="57" w:firstLine="0"/>
              <w:jc w:val="left"/>
            </w:pPr>
            <w:r w:rsidRPr="00C9605A">
              <w:t>Projekta izpildes ietekme uz pārvaldes institucionālo struktūru.</w:t>
            </w:r>
          </w:p>
          <w:p w:rsidR="00DD7F93" w:rsidRPr="00C9605A" w:rsidRDefault="00DD7F93" w:rsidP="007D099D">
            <w:pPr>
              <w:pStyle w:val="naisf"/>
              <w:spacing w:before="0" w:after="0"/>
              <w:ind w:left="57" w:right="57" w:firstLine="0"/>
              <w:jc w:val="left"/>
            </w:pPr>
            <w:r w:rsidRPr="00C9605A">
              <w:t>Jaunu institūciju izveide</w:t>
            </w:r>
          </w:p>
        </w:tc>
        <w:tc>
          <w:tcPr>
            <w:tcW w:w="5302" w:type="dxa"/>
          </w:tcPr>
          <w:p w:rsidR="00DD7F93" w:rsidRPr="00C9605A" w:rsidRDefault="00DD7F93" w:rsidP="007D099D">
            <w:pPr>
              <w:pStyle w:val="naisnod"/>
              <w:spacing w:before="0" w:after="0"/>
              <w:ind w:left="57" w:right="57"/>
              <w:jc w:val="left"/>
              <w:rPr>
                <w:b w:val="0"/>
              </w:rPr>
            </w:pPr>
            <w:r w:rsidRPr="00C9605A">
              <w:rPr>
                <w:b w:val="0"/>
                <w:iCs/>
              </w:rPr>
              <w:t>Projekts šo jomu neskar.</w:t>
            </w:r>
          </w:p>
        </w:tc>
      </w:tr>
      <w:tr w:rsidR="00DD7F93" w:rsidRPr="00C9605A" w:rsidTr="00FD2A8A">
        <w:trPr>
          <w:trHeight w:val="780"/>
        </w:trPr>
        <w:tc>
          <w:tcPr>
            <w:tcW w:w="374" w:type="dxa"/>
          </w:tcPr>
          <w:p w:rsidR="00DD7F93" w:rsidRPr="00C9605A" w:rsidRDefault="00DD7F93" w:rsidP="007D099D">
            <w:pPr>
              <w:pStyle w:val="naisnod"/>
              <w:spacing w:before="0" w:after="0"/>
              <w:ind w:left="57" w:right="57"/>
              <w:jc w:val="left"/>
              <w:rPr>
                <w:b w:val="0"/>
              </w:rPr>
            </w:pPr>
            <w:r w:rsidRPr="00C9605A">
              <w:rPr>
                <w:b w:val="0"/>
              </w:rPr>
              <w:t>4.</w:t>
            </w:r>
          </w:p>
        </w:tc>
        <w:tc>
          <w:tcPr>
            <w:tcW w:w="4588" w:type="dxa"/>
          </w:tcPr>
          <w:p w:rsidR="00DD7F93" w:rsidRPr="00C9605A" w:rsidRDefault="00DD7F93" w:rsidP="007D099D">
            <w:pPr>
              <w:pStyle w:val="naisf"/>
              <w:spacing w:before="0" w:after="0"/>
              <w:ind w:left="57" w:right="57" w:firstLine="0"/>
              <w:jc w:val="left"/>
            </w:pPr>
            <w:r w:rsidRPr="00C9605A">
              <w:t>Projekta izpildes ietekme uz pārvaldes institucionālo struktūru.</w:t>
            </w:r>
          </w:p>
          <w:p w:rsidR="00DD7F93" w:rsidRPr="00C9605A" w:rsidRDefault="00DD7F93" w:rsidP="007D099D">
            <w:pPr>
              <w:pStyle w:val="naisf"/>
              <w:spacing w:before="0" w:after="0"/>
              <w:ind w:left="57" w:right="57" w:firstLine="0"/>
              <w:jc w:val="left"/>
            </w:pPr>
            <w:r w:rsidRPr="00C9605A">
              <w:t>Esošu institūciju likvidācija</w:t>
            </w:r>
          </w:p>
        </w:tc>
        <w:tc>
          <w:tcPr>
            <w:tcW w:w="5302" w:type="dxa"/>
          </w:tcPr>
          <w:p w:rsidR="00DD7F93" w:rsidRPr="00C9605A" w:rsidRDefault="00DD7F93" w:rsidP="007D099D">
            <w:pPr>
              <w:pStyle w:val="naisnod"/>
              <w:spacing w:before="0" w:after="0"/>
              <w:ind w:left="57" w:right="57"/>
              <w:jc w:val="left"/>
              <w:rPr>
                <w:b w:val="0"/>
              </w:rPr>
            </w:pPr>
            <w:r w:rsidRPr="00C9605A">
              <w:rPr>
                <w:b w:val="0"/>
                <w:iCs/>
              </w:rPr>
              <w:t>Projekts šo jomu neskar.</w:t>
            </w:r>
          </w:p>
        </w:tc>
      </w:tr>
      <w:tr w:rsidR="00DD7F93" w:rsidRPr="00C9605A" w:rsidTr="00FD2A8A">
        <w:trPr>
          <w:trHeight w:val="703"/>
        </w:trPr>
        <w:tc>
          <w:tcPr>
            <w:tcW w:w="374" w:type="dxa"/>
          </w:tcPr>
          <w:p w:rsidR="00DD7F93" w:rsidRPr="00C9605A" w:rsidRDefault="00DD7F93" w:rsidP="007D099D">
            <w:pPr>
              <w:pStyle w:val="naisnod"/>
              <w:spacing w:before="0" w:after="0"/>
              <w:ind w:left="57" w:right="57"/>
              <w:jc w:val="left"/>
              <w:rPr>
                <w:b w:val="0"/>
              </w:rPr>
            </w:pPr>
            <w:r w:rsidRPr="00C9605A">
              <w:rPr>
                <w:b w:val="0"/>
              </w:rPr>
              <w:t>5.</w:t>
            </w:r>
          </w:p>
        </w:tc>
        <w:tc>
          <w:tcPr>
            <w:tcW w:w="4588" w:type="dxa"/>
          </w:tcPr>
          <w:p w:rsidR="00DD7F93" w:rsidRPr="00C9605A" w:rsidRDefault="00DD7F93" w:rsidP="007D099D">
            <w:pPr>
              <w:pStyle w:val="naisf"/>
              <w:spacing w:before="0" w:after="0"/>
              <w:ind w:left="57" w:right="57" w:firstLine="0"/>
              <w:jc w:val="left"/>
            </w:pPr>
            <w:r w:rsidRPr="00C9605A">
              <w:t>Projekta izpildes ietekme uz pārvaldes institucionālo struktūru.</w:t>
            </w:r>
          </w:p>
          <w:p w:rsidR="00DD7F93" w:rsidRPr="00C9605A" w:rsidRDefault="00DD7F93" w:rsidP="007D099D">
            <w:pPr>
              <w:pStyle w:val="naisf"/>
              <w:spacing w:before="0" w:after="0"/>
              <w:ind w:left="57" w:right="57" w:firstLine="0"/>
              <w:jc w:val="left"/>
            </w:pPr>
            <w:r w:rsidRPr="00C9605A">
              <w:t>Esošu institūciju reorganizācija</w:t>
            </w:r>
          </w:p>
        </w:tc>
        <w:tc>
          <w:tcPr>
            <w:tcW w:w="5302" w:type="dxa"/>
          </w:tcPr>
          <w:p w:rsidR="00DD7F93" w:rsidRPr="00C9605A" w:rsidRDefault="00DD7F93" w:rsidP="007D099D">
            <w:pPr>
              <w:pStyle w:val="naisnod"/>
              <w:spacing w:before="0" w:after="0"/>
              <w:ind w:left="57" w:right="57"/>
              <w:jc w:val="left"/>
              <w:rPr>
                <w:b w:val="0"/>
              </w:rPr>
            </w:pPr>
            <w:r w:rsidRPr="00C9605A">
              <w:rPr>
                <w:b w:val="0"/>
                <w:iCs/>
              </w:rPr>
              <w:t>Projekts šo jomu neskar.</w:t>
            </w:r>
          </w:p>
        </w:tc>
      </w:tr>
      <w:tr w:rsidR="00DD7F93" w:rsidRPr="00C9605A" w:rsidTr="00FD2A8A">
        <w:trPr>
          <w:trHeight w:val="476"/>
        </w:trPr>
        <w:tc>
          <w:tcPr>
            <w:tcW w:w="374" w:type="dxa"/>
          </w:tcPr>
          <w:p w:rsidR="00DD7F93" w:rsidRPr="00C9605A" w:rsidRDefault="00DD7F93" w:rsidP="007D099D">
            <w:pPr>
              <w:pStyle w:val="naiskr"/>
              <w:spacing w:before="0" w:after="0"/>
              <w:ind w:left="57" w:right="57"/>
            </w:pPr>
            <w:r w:rsidRPr="00C9605A">
              <w:t>6.</w:t>
            </w:r>
          </w:p>
        </w:tc>
        <w:tc>
          <w:tcPr>
            <w:tcW w:w="4588" w:type="dxa"/>
          </w:tcPr>
          <w:p w:rsidR="00DD7F93" w:rsidRPr="00C9605A" w:rsidRDefault="00DD7F93" w:rsidP="007D099D">
            <w:pPr>
              <w:pStyle w:val="naiskr"/>
              <w:spacing w:before="0" w:after="0"/>
              <w:ind w:left="57" w:right="57"/>
            </w:pPr>
            <w:r w:rsidRPr="00C9605A">
              <w:t>Cita informācija</w:t>
            </w:r>
          </w:p>
        </w:tc>
        <w:tc>
          <w:tcPr>
            <w:tcW w:w="5302" w:type="dxa"/>
          </w:tcPr>
          <w:p w:rsidR="00DD7F93" w:rsidRPr="00C9605A" w:rsidRDefault="00DD7F93" w:rsidP="006976AC">
            <w:pPr>
              <w:pStyle w:val="naiskr"/>
              <w:spacing w:before="0" w:after="0"/>
              <w:ind w:right="57"/>
            </w:pPr>
            <w:r w:rsidRPr="00C9605A">
              <w:t>Nav</w:t>
            </w:r>
          </w:p>
        </w:tc>
      </w:tr>
    </w:tbl>
    <w:p w:rsidR="00DD7F93" w:rsidRPr="007C0F2C" w:rsidRDefault="00DD7F93" w:rsidP="006C4607">
      <w:pPr>
        <w:pStyle w:val="naisf"/>
        <w:tabs>
          <w:tab w:val="left" w:pos="5760"/>
        </w:tabs>
        <w:spacing w:before="0" w:after="0"/>
        <w:ind w:firstLine="720"/>
        <w:rPr>
          <w:sz w:val="28"/>
          <w:szCs w:val="28"/>
        </w:rPr>
      </w:pPr>
    </w:p>
    <w:p w:rsidR="00DD7F93" w:rsidRPr="007C0F2C" w:rsidRDefault="00DD7F93" w:rsidP="006C4607">
      <w:pPr>
        <w:pStyle w:val="naisf"/>
        <w:tabs>
          <w:tab w:val="left" w:pos="6804"/>
        </w:tabs>
        <w:spacing w:before="0" w:after="0"/>
        <w:ind w:firstLine="720"/>
        <w:rPr>
          <w:sz w:val="28"/>
          <w:szCs w:val="28"/>
        </w:rPr>
      </w:pPr>
    </w:p>
    <w:p w:rsidR="00DD7F93" w:rsidRPr="007B1470" w:rsidRDefault="00DD7F93" w:rsidP="00845811">
      <w:pPr>
        <w:pStyle w:val="naisf"/>
        <w:tabs>
          <w:tab w:val="left" w:pos="6804"/>
        </w:tabs>
        <w:spacing w:before="0" w:after="0"/>
        <w:ind w:firstLine="720"/>
        <w:rPr>
          <w:sz w:val="28"/>
          <w:szCs w:val="28"/>
        </w:rPr>
      </w:pPr>
      <w:r w:rsidRPr="007B1470">
        <w:rPr>
          <w:sz w:val="28"/>
          <w:szCs w:val="28"/>
        </w:rPr>
        <w:t>Zemkopības ministre</w:t>
      </w:r>
      <w:r w:rsidRPr="007B1470">
        <w:rPr>
          <w:sz w:val="28"/>
          <w:szCs w:val="28"/>
        </w:rPr>
        <w:tab/>
        <w:t>L.Straujuma</w:t>
      </w:r>
    </w:p>
    <w:p w:rsidR="00DD7F93" w:rsidRDefault="00DD7F93" w:rsidP="00845811">
      <w:pPr>
        <w:pStyle w:val="naisf"/>
        <w:tabs>
          <w:tab w:val="left" w:pos="6804"/>
        </w:tabs>
        <w:spacing w:before="0" w:after="0"/>
        <w:ind w:firstLine="720"/>
        <w:rPr>
          <w:sz w:val="28"/>
          <w:szCs w:val="28"/>
        </w:rPr>
      </w:pPr>
    </w:p>
    <w:p w:rsidR="00DD7F93" w:rsidRDefault="00DD7F93" w:rsidP="00845811">
      <w:pPr>
        <w:pStyle w:val="naisf"/>
        <w:tabs>
          <w:tab w:val="left" w:pos="6804"/>
        </w:tabs>
        <w:spacing w:before="0" w:after="0"/>
        <w:ind w:firstLine="720"/>
        <w:rPr>
          <w:sz w:val="28"/>
          <w:szCs w:val="28"/>
        </w:rPr>
      </w:pPr>
    </w:p>
    <w:p w:rsidR="001E566D" w:rsidRDefault="001E566D" w:rsidP="007B1470">
      <w:pPr>
        <w:pStyle w:val="naisf"/>
        <w:tabs>
          <w:tab w:val="left" w:pos="6804"/>
        </w:tabs>
        <w:spacing w:before="0" w:after="0"/>
        <w:rPr>
          <w:sz w:val="20"/>
          <w:szCs w:val="20"/>
        </w:rPr>
      </w:pPr>
      <w:r>
        <w:rPr>
          <w:sz w:val="20"/>
          <w:szCs w:val="20"/>
        </w:rPr>
        <w:t>2012.02.20. 8:43</w:t>
      </w:r>
    </w:p>
    <w:p w:rsidR="001E566D" w:rsidRDefault="001E566D" w:rsidP="007B1470">
      <w:pPr>
        <w:pStyle w:val="naisf"/>
        <w:tabs>
          <w:tab w:val="left" w:pos="6804"/>
        </w:tabs>
        <w:spacing w:before="0" w:after="0"/>
        <w:rPr>
          <w:sz w:val="20"/>
          <w:szCs w:val="20"/>
        </w:rPr>
      </w:pPr>
      <w:fldSimple w:instr=" NUMWORDS   \* MERGEFORMAT ">
        <w:r>
          <w:rPr>
            <w:noProof/>
            <w:sz w:val="20"/>
            <w:szCs w:val="20"/>
          </w:rPr>
          <w:t>1557</w:t>
        </w:r>
      </w:fldSimple>
    </w:p>
    <w:p w:rsidR="00DD7F93" w:rsidRPr="001E566D" w:rsidRDefault="00DD7F93" w:rsidP="007B1470">
      <w:pPr>
        <w:pStyle w:val="naisf"/>
        <w:tabs>
          <w:tab w:val="left" w:pos="6804"/>
        </w:tabs>
        <w:spacing w:before="0" w:after="0"/>
        <w:rPr>
          <w:sz w:val="20"/>
          <w:szCs w:val="20"/>
        </w:rPr>
      </w:pPr>
      <w:r w:rsidRPr="001E566D">
        <w:rPr>
          <w:sz w:val="20"/>
          <w:szCs w:val="20"/>
        </w:rPr>
        <w:t>I.Krauja</w:t>
      </w:r>
    </w:p>
    <w:p w:rsidR="00DD7F93" w:rsidRPr="001E566D" w:rsidRDefault="00DD7F93" w:rsidP="001E566D">
      <w:pPr>
        <w:pStyle w:val="naisf"/>
        <w:tabs>
          <w:tab w:val="left" w:pos="6804"/>
        </w:tabs>
        <w:spacing w:before="0" w:after="0"/>
        <w:rPr>
          <w:sz w:val="20"/>
          <w:szCs w:val="20"/>
        </w:rPr>
      </w:pPr>
      <w:r w:rsidRPr="001E566D">
        <w:rPr>
          <w:sz w:val="20"/>
          <w:szCs w:val="20"/>
        </w:rPr>
        <w:t>67027099, Inta.Krauja@zm.gov.lv</w:t>
      </w:r>
    </w:p>
    <w:sectPr w:rsidR="00DD7F93" w:rsidRPr="001E566D" w:rsidSect="001E566D">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E0" w:rsidRDefault="00FB5AE0">
      <w:r>
        <w:separator/>
      </w:r>
    </w:p>
  </w:endnote>
  <w:endnote w:type="continuationSeparator" w:id="0">
    <w:p w:rsidR="00FB5AE0" w:rsidRDefault="00FB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0B" w:rsidRPr="006976AC" w:rsidRDefault="008B100B" w:rsidP="006976AC">
    <w:pPr>
      <w:pStyle w:val="Kjene"/>
      <w:rPr>
        <w:sz w:val="20"/>
      </w:rPr>
    </w:pPr>
    <w:smartTag w:uri="urn:schemas-microsoft-com:office:smarttags" w:element="PersonName">
      <w:r w:rsidRPr="006976AC">
        <w:rPr>
          <w:sz w:val="20"/>
        </w:rPr>
        <w:t>ZM</w:t>
      </w:r>
    </w:smartTag>
    <w:r w:rsidRPr="006976AC">
      <w:rPr>
        <w:sz w:val="20"/>
      </w:rPr>
      <w:t>Anot_</w:t>
    </w:r>
    <w:r>
      <w:rPr>
        <w:sz w:val="20"/>
      </w:rPr>
      <w:t>150212</w:t>
    </w:r>
    <w:r w:rsidRPr="006976AC">
      <w:rPr>
        <w:sz w:val="20"/>
      </w:rPr>
      <w:t>_grozvetzalstat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0B" w:rsidRPr="006976AC" w:rsidRDefault="008B100B">
    <w:pPr>
      <w:pStyle w:val="Kjene"/>
      <w:rPr>
        <w:sz w:val="20"/>
      </w:rPr>
    </w:pPr>
    <w:smartTag w:uri="urn:schemas-microsoft-com:office:smarttags" w:element="PersonName">
      <w:r w:rsidRPr="006976AC">
        <w:rPr>
          <w:sz w:val="20"/>
        </w:rPr>
        <w:t>Z</w:t>
      </w:r>
      <w:r>
        <w:rPr>
          <w:sz w:val="20"/>
        </w:rPr>
        <w:t>M</w:t>
      </w:r>
    </w:smartTag>
    <w:r>
      <w:rPr>
        <w:sz w:val="20"/>
      </w:rPr>
      <w:t>Anot_150212_grozvetzalst</w:t>
    </w:r>
    <w:r w:rsidRPr="006976AC">
      <w:rPr>
        <w:sz w:val="20"/>
      </w:rPr>
      <w:t>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E0" w:rsidRDefault="00FB5AE0">
      <w:r>
        <w:separator/>
      </w:r>
    </w:p>
  </w:footnote>
  <w:footnote w:type="continuationSeparator" w:id="0">
    <w:p w:rsidR="00FB5AE0" w:rsidRDefault="00FB5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0B" w:rsidRDefault="005F1BA8" w:rsidP="003C449B">
    <w:pPr>
      <w:pStyle w:val="Galvene"/>
      <w:framePr w:wrap="around" w:vAnchor="text" w:hAnchor="margin" w:xAlign="center" w:y="1"/>
      <w:rPr>
        <w:rStyle w:val="Lappusesnumurs"/>
      </w:rPr>
    </w:pPr>
    <w:r>
      <w:rPr>
        <w:rStyle w:val="Lappusesnumurs"/>
      </w:rPr>
      <w:fldChar w:fldCharType="begin"/>
    </w:r>
    <w:r w:rsidR="008B100B">
      <w:rPr>
        <w:rStyle w:val="Lappusesnumurs"/>
      </w:rPr>
      <w:instrText xml:space="preserve">PAGE  </w:instrText>
    </w:r>
    <w:r>
      <w:rPr>
        <w:rStyle w:val="Lappusesnumurs"/>
      </w:rPr>
      <w:fldChar w:fldCharType="end"/>
    </w:r>
  </w:p>
  <w:p w:rsidR="008B100B" w:rsidRDefault="008B100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0B" w:rsidRDefault="005F1BA8" w:rsidP="003C449B">
    <w:pPr>
      <w:pStyle w:val="Galvene"/>
      <w:framePr w:wrap="around" w:vAnchor="text" w:hAnchor="margin" w:xAlign="center" w:y="1"/>
      <w:rPr>
        <w:rStyle w:val="Lappusesnumurs"/>
      </w:rPr>
    </w:pPr>
    <w:r>
      <w:rPr>
        <w:rStyle w:val="Lappusesnumurs"/>
      </w:rPr>
      <w:fldChar w:fldCharType="begin"/>
    </w:r>
    <w:r w:rsidR="008B100B">
      <w:rPr>
        <w:rStyle w:val="Lappusesnumurs"/>
      </w:rPr>
      <w:instrText xml:space="preserve">PAGE  </w:instrText>
    </w:r>
    <w:r>
      <w:rPr>
        <w:rStyle w:val="Lappusesnumurs"/>
      </w:rPr>
      <w:fldChar w:fldCharType="separate"/>
    </w:r>
    <w:r w:rsidR="001E566D">
      <w:rPr>
        <w:rStyle w:val="Lappusesnumurs"/>
        <w:noProof/>
      </w:rPr>
      <w:t>6</w:t>
    </w:r>
    <w:r>
      <w:rPr>
        <w:rStyle w:val="Lappusesnumurs"/>
      </w:rPr>
      <w:fldChar w:fldCharType="end"/>
    </w:r>
  </w:p>
  <w:p w:rsidR="008B100B" w:rsidRDefault="008B100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913"/>
    <w:multiLevelType w:val="hybridMultilevel"/>
    <w:tmpl w:val="EFF88A7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0C24D9"/>
    <w:multiLevelType w:val="hybridMultilevel"/>
    <w:tmpl w:val="BBAA0CD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637737"/>
    <w:multiLevelType w:val="hybridMultilevel"/>
    <w:tmpl w:val="60146E4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C3F16EE"/>
    <w:multiLevelType w:val="hybridMultilevel"/>
    <w:tmpl w:val="22B02C8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48441F6F"/>
    <w:multiLevelType w:val="hybridMultilevel"/>
    <w:tmpl w:val="2CAAEDF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4CDE1DFA"/>
    <w:multiLevelType w:val="hybridMultilevel"/>
    <w:tmpl w:val="39666D0A"/>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DA66D9"/>
    <w:multiLevelType w:val="hybridMultilevel"/>
    <w:tmpl w:val="CBF28F58"/>
    <w:lvl w:ilvl="0" w:tplc="64162786">
      <w:start w:val="1"/>
      <w:numFmt w:val="decimal"/>
      <w:lvlText w:val="%1."/>
      <w:lvlJc w:val="left"/>
      <w:pPr>
        <w:ind w:left="417" w:hanging="360"/>
      </w:pPr>
      <w:rPr>
        <w:rFonts w:cs="Times New Roman" w:hint="default"/>
      </w:rPr>
    </w:lvl>
    <w:lvl w:ilvl="1" w:tplc="04260019" w:tentative="1">
      <w:start w:val="1"/>
      <w:numFmt w:val="lowerLetter"/>
      <w:lvlText w:val="%2."/>
      <w:lvlJc w:val="left"/>
      <w:pPr>
        <w:ind w:left="1137" w:hanging="360"/>
      </w:pPr>
      <w:rPr>
        <w:rFonts w:cs="Times New Roman"/>
      </w:rPr>
    </w:lvl>
    <w:lvl w:ilvl="2" w:tplc="0426001B" w:tentative="1">
      <w:start w:val="1"/>
      <w:numFmt w:val="lowerRoman"/>
      <w:lvlText w:val="%3."/>
      <w:lvlJc w:val="right"/>
      <w:pPr>
        <w:ind w:left="1857" w:hanging="180"/>
      </w:pPr>
      <w:rPr>
        <w:rFonts w:cs="Times New Roman"/>
      </w:rPr>
    </w:lvl>
    <w:lvl w:ilvl="3" w:tplc="0426000F" w:tentative="1">
      <w:start w:val="1"/>
      <w:numFmt w:val="decimal"/>
      <w:lvlText w:val="%4."/>
      <w:lvlJc w:val="left"/>
      <w:pPr>
        <w:ind w:left="2577" w:hanging="360"/>
      </w:pPr>
      <w:rPr>
        <w:rFonts w:cs="Times New Roman"/>
      </w:rPr>
    </w:lvl>
    <w:lvl w:ilvl="4" w:tplc="04260019" w:tentative="1">
      <w:start w:val="1"/>
      <w:numFmt w:val="lowerLetter"/>
      <w:lvlText w:val="%5."/>
      <w:lvlJc w:val="left"/>
      <w:pPr>
        <w:ind w:left="3297" w:hanging="360"/>
      </w:pPr>
      <w:rPr>
        <w:rFonts w:cs="Times New Roman"/>
      </w:rPr>
    </w:lvl>
    <w:lvl w:ilvl="5" w:tplc="0426001B" w:tentative="1">
      <w:start w:val="1"/>
      <w:numFmt w:val="lowerRoman"/>
      <w:lvlText w:val="%6."/>
      <w:lvlJc w:val="right"/>
      <w:pPr>
        <w:ind w:left="4017" w:hanging="180"/>
      </w:pPr>
      <w:rPr>
        <w:rFonts w:cs="Times New Roman"/>
      </w:rPr>
    </w:lvl>
    <w:lvl w:ilvl="6" w:tplc="0426000F" w:tentative="1">
      <w:start w:val="1"/>
      <w:numFmt w:val="decimal"/>
      <w:lvlText w:val="%7."/>
      <w:lvlJc w:val="left"/>
      <w:pPr>
        <w:ind w:left="4737" w:hanging="360"/>
      </w:pPr>
      <w:rPr>
        <w:rFonts w:cs="Times New Roman"/>
      </w:rPr>
    </w:lvl>
    <w:lvl w:ilvl="7" w:tplc="04260019" w:tentative="1">
      <w:start w:val="1"/>
      <w:numFmt w:val="lowerLetter"/>
      <w:lvlText w:val="%8."/>
      <w:lvlJc w:val="left"/>
      <w:pPr>
        <w:ind w:left="5457" w:hanging="360"/>
      </w:pPr>
      <w:rPr>
        <w:rFonts w:cs="Times New Roman"/>
      </w:rPr>
    </w:lvl>
    <w:lvl w:ilvl="8" w:tplc="0426001B" w:tentative="1">
      <w:start w:val="1"/>
      <w:numFmt w:val="lowerRoman"/>
      <w:lvlText w:val="%9."/>
      <w:lvlJc w:val="right"/>
      <w:pPr>
        <w:ind w:left="6177" w:hanging="180"/>
      </w:pPr>
      <w:rPr>
        <w:rFonts w:cs="Times New Roman"/>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5FE6398C"/>
    <w:multiLevelType w:val="hybridMultilevel"/>
    <w:tmpl w:val="6218CAA4"/>
    <w:lvl w:ilvl="0" w:tplc="FB3E1770">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DA6852"/>
    <w:multiLevelType w:val="hybridMultilevel"/>
    <w:tmpl w:val="60146E4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69397C78"/>
    <w:multiLevelType w:val="hybridMultilevel"/>
    <w:tmpl w:val="D4DEC90E"/>
    <w:lvl w:ilvl="0" w:tplc="52446B6E">
      <w:start w:val="1"/>
      <w:numFmt w:val="decimal"/>
      <w:lvlText w:val="%1."/>
      <w:lvlJc w:val="left"/>
      <w:pPr>
        <w:ind w:left="417" w:hanging="360"/>
      </w:pPr>
      <w:rPr>
        <w:rFonts w:cs="Times New Roman" w:hint="default"/>
      </w:rPr>
    </w:lvl>
    <w:lvl w:ilvl="1" w:tplc="04260019" w:tentative="1">
      <w:start w:val="1"/>
      <w:numFmt w:val="lowerLetter"/>
      <w:lvlText w:val="%2."/>
      <w:lvlJc w:val="left"/>
      <w:pPr>
        <w:ind w:left="1137" w:hanging="360"/>
      </w:pPr>
      <w:rPr>
        <w:rFonts w:cs="Times New Roman"/>
      </w:rPr>
    </w:lvl>
    <w:lvl w:ilvl="2" w:tplc="0426001B" w:tentative="1">
      <w:start w:val="1"/>
      <w:numFmt w:val="lowerRoman"/>
      <w:lvlText w:val="%3."/>
      <w:lvlJc w:val="right"/>
      <w:pPr>
        <w:ind w:left="1857" w:hanging="180"/>
      </w:pPr>
      <w:rPr>
        <w:rFonts w:cs="Times New Roman"/>
      </w:rPr>
    </w:lvl>
    <w:lvl w:ilvl="3" w:tplc="0426000F" w:tentative="1">
      <w:start w:val="1"/>
      <w:numFmt w:val="decimal"/>
      <w:lvlText w:val="%4."/>
      <w:lvlJc w:val="left"/>
      <w:pPr>
        <w:ind w:left="2577" w:hanging="360"/>
      </w:pPr>
      <w:rPr>
        <w:rFonts w:cs="Times New Roman"/>
      </w:rPr>
    </w:lvl>
    <w:lvl w:ilvl="4" w:tplc="04260019" w:tentative="1">
      <w:start w:val="1"/>
      <w:numFmt w:val="lowerLetter"/>
      <w:lvlText w:val="%5."/>
      <w:lvlJc w:val="left"/>
      <w:pPr>
        <w:ind w:left="3297" w:hanging="360"/>
      </w:pPr>
      <w:rPr>
        <w:rFonts w:cs="Times New Roman"/>
      </w:rPr>
    </w:lvl>
    <w:lvl w:ilvl="5" w:tplc="0426001B" w:tentative="1">
      <w:start w:val="1"/>
      <w:numFmt w:val="lowerRoman"/>
      <w:lvlText w:val="%6."/>
      <w:lvlJc w:val="right"/>
      <w:pPr>
        <w:ind w:left="4017" w:hanging="180"/>
      </w:pPr>
      <w:rPr>
        <w:rFonts w:cs="Times New Roman"/>
      </w:rPr>
    </w:lvl>
    <w:lvl w:ilvl="6" w:tplc="0426000F" w:tentative="1">
      <w:start w:val="1"/>
      <w:numFmt w:val="decimal"/>
      <w:lvlText w:val="%7."/>
      <w:lvlJc w:val="left"/>
      <w:pPr>
        <w:ind w:left="4737" w:hanging="360"/>
      </w:pPr>
      <w:rPr>
        <w:rFonts w:cs="Times New Roman"/>
      </w:rPr>
    </w:lvl>
    <w:lvl w:ilvl="7" w:tplc="04260019" w:tentative="1">
      <w:start w:val="1"/>
      <w:numFmt w:val="lowerLetter"/>
      <w:lvlText w:val="%8."/>
      <w:lvlJc w:val="left"/>
      <w:pPr>
        <w:ind w:left="5457" w:hanging="360"/>
      </w:pPr>
      <w:rPr>
        <w:rFonts w:cs="Times New Roman"/>
      </w:rPr>
    </w:lvl>
    <w:lvl w:ilvl="8" w:tplc="0426001B" w:tentative="1">
      <w:start w:val="1"/>
      <w:numFmt w:val="lowerRoman"/>
      <w:lvlText w:val="%9."/>
      <w:lvlJc w:val="right"/>
      <w:pPr>
        <w:ind w:left="6177" w:hanging="180"/>
      </w:pPr>
      <w:rPr>
        <w:rFonts w:cs="Times New Roman"/>
      </w:rPr>
    </w:lvl>
  </w:abstractNum>
  <w:abstractNum w:abstractNumId="23">
    <w:nsid w:val="72AB6197"/>
    <w:multiLevelType w:val="hybridMultilevel"/>
    <w:tmpl w:val="FCE0A0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8"/>
  </w:num>
  <w:num w:numId="2">
    <w:abstractNumId w:val="19"/>
  </w:num>
  <w:num w:numId="3">
    <w:abstractNumId w:val="5"/>
  </w:num>
  <w:num w:numId="4">
    <w:abstractNumId w:val="3"/>
  </w:num>
  <w:num w:numId="5">
    <w:abstractNumId w:val="1"/>
  </w:num>
  <w:num w:numId="6">
    <w:abstractNumId w:val="14"/>
  </w:num>
  <w:num w:numId="7">
    <w:abstractNumId w:val="20"/>
  </w:num>
  <w:num w:numId="8">
    <w:abstractNumId w:val="10"/>
  </w:num>
  <w:num w:numId="9">
    <w:abstractNumId w:val="4"/>
  </w:num>
  <w:num w:numId="10">
    <w:abstractNumId w:val="11"/>
  </w:num>
  <w:num w:numId="11">
    <w:abstractNumId w:val="12"/>
  </w:num>
  <w:num w:numId="12">
    <w:abstractNumId w:val="16"/>
  </w:num>
  <w:num w:numId="13">
    <w:abstractNumId w:val="17"/>
  </w:num>
  <w:num w:numId="14">
    <w:abstractNumId w:val="22"/>
  </w:num>
  <w:num w:numId="15">
    <w:abstractNumId w:val="15"/>
  </w:num>
  <w:num w:numId="16">
    <w:abstractNumId w:val="0"/>
  </w:num>
  <w:num w:numId="17">
    <w:abstractNumId w:val="2"/>
  </w:num>
  <w:num w:numId="18">
    <w:abstractNumId w:val="23"/>
  </w:num>
  <w:num w:numId="19">
    <w:abstractNumId w:val="6"/>
  </w:num>
  <w:num w:numId="20">
    <w:abstractNumId w:val="21"/>
  </w:num>
  <w:num w:numId="21">
    <w:abstractNumId w:val="9"/>
  </w:num>
  <w:num w:numId="22">
    <w:abstractNumId w:val="13"/>
  </w:num>
  <w:num w:numId="23">
    <w:abstractNumId w:val="1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58B6"/>
    <w:rsid w:val="00011D24"/>
    <w:rsid w:val="000120A2"/>
    <w:rsid w:val="00013FF4"/>
    <w:rsid w:val="00020E10"/>
    <w:rsid w:val="00020FE1"/>
    <w:rsid w:val="00022E13"/>
    <w:rsid w:val="00032388"/>
    <w:rsid w:val="00032535"/>
    <w:rsid w:val="00035CE2"/>
    <w:rsid w:val="0005553B"/>
    <w:rsid w:val="000604D2"/>
    <w:rsid w:val="0009005E"/>
    <w:rsid w:val="000941C5"/>
    <w:rsid w:val="000A40BB"/>
    <w:rsid w:val="000A6451"/>
    <w:rsid w:val="000B064E"/>
    <w:rsid w:val="000B1C39"/>
    <w:rsid w:val="000B69CF"/>
    <w:rsid w:val="000B6FAE"/>
    <w:rsid w:val="000C790C"/>
    <w:rsid w:val="000F061D"/>
    <w:rsid w:val="000F4794"/>
    <w:rsid w:val="000F6BC0"/>
    <w:rsid w:val="00112216"/>
    <w:rsid w:val="00124F12"/>
    <w:rsid w:val="00144E3A"/>
    <w:rsid w:val="0015060C"/>
    <w:rsid w:val="0016018A"/>
    <w:rsid w:val="00161F0E"/>
    <w:rsid w:val="00170E2A"/>
    <w:rsid w:val="00177394"/>
    <w:rsid w:val="00177BF1"/>
    <w:rsid w:val="00182C18"/>
    <w:rsid w:val="00183CC2"/>
    <w:rsid w:val="001900E4"/>
    <w:rsid w:val="00190F88"/>
    <w:rsid w:val="001A4066"/>
    <w:rsid w:val="001A6AE4"/>
    <w:rsid w:val="001B01FD"/>
    <w:rsid w:val="001B4A71"/>
    <w:rsid w:val="001C2051"/>
    <w:rsid w:val="001D14B3"/>
    <w:rsid w:val="001D5B54"/>
    <w:rsid w:val="001E1DBF"/>
    <w:rsid w:val="001E4639"/>
    <w:rsid w:val="001E4A7D"/>
    <w:rsid w:val="001E566D"/>
    <w:rsid w:val="001F4209"/>
    <w:rsid w:val="001F43A8"/>
    <w:rsid w:val="001F5CD6"/>
    <w:rsid w:val="00206809"/>
    <w:rsid w:val="0021263D"/>
    <w:rsid w:val="00213F0C"/>
    <w:rsid w:val="00214094"/>
    <w:rsid w:val="00215627"/>
    <w:rsid w:val="0021592D"/>
    <w:rsid w:val="00222D76"/>
    <w:rsid w:val="00223EB1"/>
    <w:rsid w:val="00231344"/>
    <w:rsid w:val="0023436E"/>
    <w:rsid w:val="002347C0"/>
    <w:rsid w:val="00241A6C"/>
    <w:rsid w:val="00242D2B"/>
    <w:rsid w:val="002629AB"/>
    <w:rsid w:val="00262E2B"/>
    <w:rsid w:val="00270429"/>
    <w:rsid w:val="002723E9"/>
    <w:rsid w:val="00277929"/>
    <w:rsid w:val="00283B82"/>
    <w:rsid w:val="002846E9"/>
    <w:rsid w:val="002848C4"/>
    <w:rsid w:val="00284C34"/>
    <w:rsid w:val="0029066C"/>
    <w:rsid w:val="002B50DB"/>
    <w:rsid w:val="002C12AB"/>
    <w:rsid w:val="002C7CAC"/>
    <w:rsid w:val="002D3306"/>
    <w:rsid w:val="002D354A"/>
    <w:rsid w:val="002D401C"/>
    <w:rsid w:val="002D48AA"/>
    <w:rsid w:val="002D7BAA"/>
    <w:rsid w:val="002D7F54"/>
    <w:rsid w:val="002E3FF4"/>
    <w:rsid w:val="002E545E"/>
    <w:rsid w:val="002F1B0E"/>
    <w:rsid w:val="002F34E8"/>
    <w:rsid w:val="002F78C8"/>
    <w:rsid w:val="00300964"/>
    <w:rsid w:val="00301CF3"/>
    <w:rsid w:val="0032715C"/>
    <w:rsid w:val="00337CA5"/>
    <w:rsid w:val="00351DE8"/>
    <w:rsid w:val="00362478"/>
    <w:rsid w:val="0036527E"/>
    <w:rsid w:val="00375B25"/>
    <w:rsid w:val="0038132C"/>
    <w:rsid w:val="00396542"/>
    <w:rsid w:val="0039685B"/>
    <w:rsid w:val="003A31A6"/>
    <w:rsid w:val="003A41EF"/>
    <w:rsid w:val="003A7F0C"/>
    <w:rsid w:val="003A7F79"/>
    <w:rsid w:val="003B4265"/>
    <w:rsid w:val="003B6404"/>
    <w:rsid w:val="003C06E3"/>
    <w:rsid w:val="003C449B"/>
    <w:rsid w:val="003D21FF"/>
    <w:rsid w:val="003F0112"/>
    <w:rsid w:val="003F071A"/>
    <w:rsid w:val="003F160B"/>
    <w:rsid w:val="00400032"/>
    <w:rsid w:val="00400B5B"/>
    <w:rsid w:val="00405A00"/>
    <w:rsid w:val="0041697B"/>
    <w:rsid w:val="00416E3F"/>
    <w:rsid w:val="00420870"/>
    <w:rsid w:val="00432D0C"/>
    <w:rsid w:val="0043791B"/>
    <w:rsid w:val="00441483"/>
    <w:rsid w:val="00441BCB"/>
    <w:rsid w:val="0045176A"/>
    <w:rsid w:val="00456332"/>
    <w:rsid w:val="004578DA"/>
    <w:rsid w:val="00461826"/>
    <w:rsid w:val="004800F9"/>
    <w:rsid w:val="0049134A"/>
    <w:rsid w:val="004A38CA"/>
    <w:rsid w:val="004A58CB"/>
    <w:rsid w:val="004B1795"/>
    <w:rsid w:val="004B56DD"/>
    <w:rsid w:val="004C020F"/>
    <w:rsid w:val="004C1AFD"/>
    <w:rsid w:val="004C558B"/>
    <w:rsid w:val="004C5B58"/>
    <w:rsid w:val="004D1965"/>
    <w:rsid w:val="004E33DB"/>
    <w:rsid w:val="004E515F"/>
    <w:rsid w:val="004E51DD"/>
    <w:rsid w:val="004F1F88"/>
    <w:rsid w:val="004F5F1B"/>
    <w:rsid w:val="004F681B"/>
    <w:rsid w:val="00502374"/>
    <w:rsid w:val="0050561B"/>
    <w:rsid w:val="005060A1"/>
    <w:rsid w:val="00516072"/>
    <w:rsid w:val="00517A9B"/>
    <w:rsid w:val="0053183A"/>
    <w:rsid w:val="005332EC"/>
    <w:rsid w:val="00534418"/>
    <w:rsid w:val="005353AB"/>
    <w:rsid w:val="0054128B"/>
    <w:rsid w:val="005560BC"/>
    <w:rsid w:val="005573BE"/>
    <w:rsid w:val="005720AA"/>
    <w:rsid w:val="00572700"/>
    <w:rsid w:val="00580468"/>
    <w:rsid w:val="00582231"/>
    <w:rsid w:val="0058603B"/>
    <w:rsid w:val="0059431B"/>
    <w:rsid w:val="005A39CC"/>
    <w:rsid w:val="005B4730"/>
    <w:rsid w:val="005B67A7"/>
    <w:rsid w:val="005E05D7"/>
    <w:rsid w:val="005E3C58"/>
    <w:rsid w:val="005E41E7"/>
    <w:rsid w:val="005E450F"/>
    <w:rsid w:val="005E65ED"/>
    <w:rsid w:val="005F1BA8"/>
    <w:rsid w:val="0062298A"/>
    <w:rsid w:val="00626514"/>
    <w:rsid w:val="00626589"/>
    <w:rsid w:val="006339A0"/>
    <w:rsid w:val="006351BE"/>
    <w:rsid w:val="006413A8"/>
    <w:rsid w:val="00642E56"/>
    <w:rsid w:val="00651E00"/>
    <w:rsid w:val="00651FF1"/>
    <w:rsid w:val="00674572"/>
    <w:rsid w:val="00684E76"/>
    <w:rsid w:val="00687763"/>
    <w:rsid w:val="00692B0D"/>
    <w:rsid w:val="00693E0E"/>
    <w:rsid w:val="006976AC"/>
    <w:rsid w:val="006A1AE3"/>
    <w:rsid w:val="006C30E1"/>
    <w:rsid w:val="006C4607"/>
    <w:rsid w:val="006D45A2"/>
    <w:rsid w:val="006D48F1"/>
    <w:rsid w:val="006F45BE"/>
    <w:rsid w:val="007004FC"/>
    <w:rsid w:val="00706670"/>
    <w:rsid w:val="00706AAC"/>
    <w:rsid w:val="00711F59"/>
    <w:rsid w:val="0072417C"/>
    <w:rsid w:val="00734450"/>
    <w:rsid w:val="007440E8"/>
    <w:rsid w:val="00745F67"/>
    <w:rsid w:val="0075039E"/>
    <w:rsid w:val="00752D9D"/>
    <w:rsid w:val="00754784"/>
    <w:rsid w:val="00757C6E"/>
    <w:rsid w:val="00762BDA"/>
    <w:rsid w:val="007805FD"/>
    <w:rsid w:val="00784422"/>
    <w:rsid w:val="00790AE5"/>
    <w:rsid w:val="007A2AED"/>
    <w:rsid w:val="007B1470"/>
    <w:rsid w:val="007B3B54"/>
    <w:rsid w:val="007B3FA0"/>
    <w:rsid w:val="007C0F2C"/>
    <w:rsid w:val="007C2362"/>
    <w:rsid w:val="007C2BCC"/>
    <w:rsid w:val="007C4EF0"/>
    <w:rsid w:val="007D099D"/>
    <w:rsid w:val="007D5EFF"/>
    <w:rsid w:val="007E2664"/>
    <w:rsid w:val="007E3ABF"/>
    <w:rsid w:val="007E5BFA"/>
    <w:rsid w:val="007E6689"/>
    <w:rsid w:val="007E731C"/>
    <w:rsid w:val="007F0A03"/>
    <w:rsid w:val="007F15FC"/>
    <w:rsid w:val="008037AA"/>
    <w:rsid w:val="00810040"/>
    <w:rsid w:val="0082023A"/>
    <w:rsid w:val="00821A7A"/>
    <w:rsid w:val="008253F8"/>
    <w:rsid w:val="0082749C"/>
    <w:rsid w:val="008325E4"/>
    <w:rsid w:val="00832A2B"/>
    <w:rsid w:val="00845811"/>
    <w:rsid w:val="00846994"/>
    <w:rsid w:val="00850451"/>
    <w:rsid w:val="00852042"/>
    <w:rsid w:val="008534C9"/>
    <w:rsid w:val="0085599D"/>
    <w:rsid w:val="0087510C"/>
    <w:rsid w:val="008968D2"/>
    <w:rsid w:val="0089738E"/>
    <w:rsid w:val="008B100B"/>
    <w:rsid w:val="008B5FDB"/>
    <w:rsid w:val="008B66F3"/>
    <w:rsid w:val="008C50F4"/>
    <w:rsid w:val="008C5649"/>
    <w:rsid w:val="008C7457"/>
    <w:rsid w:val="008E44A2"/>
    <w:rsid w:val="008E697D"/>
    <w:rsid w:val="008F2A57"/>
    <w:rsid w:val="00903263"/>
    <w:rsid w:val="00906A21"/>
    <w:rsid w:val="009079C3"/>
    <w:rsid w:val="00910462"/>
    <w:rsid w:val="00915AB1"/>
    <w:rsid w:val="00917532"/>
    <w:rsid w:val="009235BA"/>
    <w:rsid w:val="00924023"/>
    <w:rsid w:val="00924CE2"/>
    <w:rsid w:val="00925B9F"/>
    <w:rsid w:val="00931AED"/>
    <w:rsid w:val="009476A3"/>
    <w:rsid w:val="009529A4"/>
    <w:rsid w:val="0095334F"/>
    <w:rsid w:val="00960B85"/>
    <w:rsid w:val="00961AE4"/>
    <w:rsid w:val="00965897"/>
    <w:rsid w:val="0096765C"/>
    <w:rsid w:val="009727E4"/>
    <w:rsid w:val="009902A9"/>
    <w:rsid w:val="009934C5"/>
    <w:rsid w:val="00994C0F"/>
    <w:rsid w:val="009B22D7"/>
    <w:rsid w:val="009B72ED"/>
    <w:rsid w:val="009C4BA2"/>
    <w:rsid w:val="009C6DEB"/>
    <w:rsid w:val="009D545B"/>
    <w:rsid w:val="009D6504"/>
    <w:rsid w:val="009E12D7"/>
    <w:rsid w:val="009E661A"/>
    <w:rsid w:val="00A06781"/>
    <w:rsid w:val="00A074C3"/>
    <w:rsid w:val="00A1509C"/>
    <w:rsid w:val="00A249B9"/>
    <w:rsid w:val="00A33CB7"/>
    <w:rsid w:val="00A34260"/>
    <w:rsid w:val="00A70CFD"/>
    <w:rsid w:val="00A72A0B"/>
    <w:rsid w:val="00A7602E"/>
    <w:rsid w:val="00A81E42"/>
    <w:rsid w:val="00A864FE"/>
    <w:rsid w:val="00A86F41"/>
    <w:rsid w:val="00A87D04"/>
    <w:rsid w:val="00A950C5"/>
    <w:rsid w:val="00AA1D25"/>
    <w:rsid w:val="00AA2110"/>
    <w:rsid w:val="00AB2B1A"/>
    <w:rsid w:val="00AB397F"/>
    <w:rsid w:val="00AB5832"/>
    <w:rsid w:val="00AC51F2"/>
    <w:rsid w:val="00AD3269"/>
    <w:rsid w:val="00AD5FD6"/>
    <w:rsid w:val="00AE5066"/>
    <w:rsid w:val="00AE5E24"/>
    <w:rsid w:val="00AE61B7"/>
    <w:rsid w:val="00AE6CBA"/>
    <w:rsid w:val="00AE79AD"/>
    <w:rsid w:val="00AF35E4"/>
    <w:rsid w:val="00AF5CDE"/>
    <w:rsid w:val="00B11A57"/>
    <w:rsid w:val="00B211C3"/>
    <w:rsid w:val="00B25597"/>
    <w:rsid w:val="00B267B9"/>
    <w:rsid w:val="00B33E09"/>
    <w:rsid w:val="00B50708"/>
    <w:rsid w:val="00B50C68"/>
    <w:rsid w:val="00B51293"/>
    <w:rsid w:val="00B52B1E"/>
    <w:rsid w:val="00B55481"/>
    <w:rsid w:val="00B56C32"/>
    <w:rsid w:val="00B57ACF"/>
    <w:rsid w:val="00B64BB1"/>
    <w:rsid w:val="00B73166"/>
    <w:rsid w:val="00B8426C"/>
    <w:rsid w:val="00B91B8D"/>
    <w:rsid w:val="00B94E90"/>
    <w:rsid w:val="00BB0A82"/>
    <w:rsid w:val="00BB7C94"/>
    <w:rsid w:val="00BC0A9D"/>
    <w:rsid w:val="00BC7CA6"/>
    <w:rsid w:val="00BF40ED"/>
    <w:rsid w:val="00BF5BC2"/>
    <w:rsid w:val="00C10423"/>
    <w:rsid w:val="00C1133D"/>
    <w:rsid w:val="00C13487"/>
    <w:rsid w:val="00C27A08"/>
    <w:rsid w:val="00C31312"/>
    <w:rsid w:val="00C31E36"/>
    <w:rsid w:val="00C326C6"/>
    <w:rsid w:val="00C35295"/>
    <w:rsid w:val="00C36ADD"/>
    <w:rsid w:val="00C36E74"/>
    <w:rsid w:val="00C40595"/>
    <w:rsid w:val="00C41621"/>
    <w:rsid w:val="00C449FA"/>
    <w:rsid w:val="00C5384F"/>
    <w:rsid w:val="00C56964"/>
    <w:rsid w:val="00C647C6"/>
    <w:rsid w:val="00C656D5"/>
    <w:rsid w:val="00C67103"/>
    <w:rsid w:val="00C71BB3"/>
    <w:rsid w:val="00C71BB9"/>
    <w:rsid w:val="00C90DCC"/>
    <w:rsid w:val="00C94C28"/>
    <w:rsid w:val="00C9605A"/>
    <w:rsid w:val="00CB0247"/>
    <w:rsid w:val="00CB3440"/>
    <w:rsid w:val="00CC1692"/>
    <w:rsid w:val="00CC62EC"/>
    <w:rsid w:val="00CD138B"/>
    <w:rsid w:val="00CD3E31"/>
    <w:rsid w:val="00CD74A3"/>
    <w:rsid w:val="00CE0164"/>
    <w:rsid w:val="00CE0527"/>
    <w:rsid w:val="00CE5B23"/>
    <w:rsid w:val="00CF70AD"/>
    <w:rsid w:val="00CF7729"/>
    <w:rsid w:val="00D00059"/>
    <w:rsid w:val="00D107FA"/>
    <w:rsid w:val="00D12275"/>
    <w:rsid w:val="00D12766"/>
    <w:rsid w:val="00D20FF4"/>
    <w:rsid w:val="00D24D2C"/>
    <w:rsid w:val="00D35881"/>
    <w:rsid w:val="00D51288"/>
    <w:rsid w:val="00D51971"/>
    <w:rsid w:val="00D568AA"/>
    <w:rsid w:val="00DA1316"/>
    <w:rsid w:val="00DA7DA5"/>
    <w:rsid w:val="00DB073B"/>
    <w:rsid w:val="00DB78F0"/>
    <w:rsid w:val="00DC0CEA"/>
    <w:rsid w:val="00DC299D"/>
    <w:rsid w:val="00DC2E43"/>
    <w:rsid w:val="00DD095C"/>
    <w:rsid w:val="00DD1020"/>
    <w:rsid w:val="00DD1330"/>
    <w:rsid w:val="00DD7F93"/>
    <w:rsid w:val="00DE0B83"/>
    <w:rsid w:val="00DE1A81"/>
    <w:rsid w:val="00DE1C13"/>
    <w:rsid w:val="00DE4E10"/>
    <w:rsid w:val="00E02ABF"/>
    <w:rsid w:val="00E079C4"/>
    <w:rsid w:val="00E14995"/>
    <w:rsid w:val="00E179CD"/>
    <w:rsid w:val="00E23E8D"/>
    <w:rsid w:val="00E37F98"/>
    <w:rsid w:val="00E46559"/>
    <w:rsid w:val="00E501E3"/>
    <w:rsid w:val="00E6670C"/>
    <w:rsid w:val="00E776E8"/>
    <w:rsid w:val="00E92C1F"/>
    <w:rsid w:val="00E95D4B"/>
    <w:rsid w:val="00EB199F"/>
    <w:rsid w:val="00EC23F7"/>
    <w:rsid w:val="00EC2D6E"/>
    <w:rsid w:val="00EC4BD8"/>
    <w:rsid w:val="00EC63EB"/>
    <w:rsid w:val="00ED33F6"/>
    <w:rsid w:val="00ED412F"/>
    <w:rsid w:val="00EF36B2"/>
    <w:rsid w:val="00EF7E64"/>
    <w:rsid w:val="00F107EB"/>
    <w:rsid w:val="00F1246B"/>
    <w:rsid w:val="00F201EC"/>
    <w:rsid w:val="00F208A9"/>
    <w:rsid w:val="00F32A4C"/>
    <w:rsid w:val="00F41D75"/>
    <w:rsid w:val="00F5139D"/>
    <w:rsid w:val="00F63DAC"/>
    <w:rsid w:val="00F7454F"/>
    <w:rsid w:val="00F77988"/>
    <w:rsid w:val="00F77F48"/>
    <w:rsid w:val="00F80D33"/>
    <w:rsid w:val="00FB30F1"/>
    <w:rsid w:val="00FB53E7"/>
    <w:rsid w:val="00FB5AE0"/>
    <w:rsid w:val="00FD196B"/>
    <w:rsid w:val="00FD2A8A"/>
    <w:rsid w:val="00FE141A"/>
    <w:rsid w:val="00FF0E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7D5EFF"/>
    <w:rPr>
      <w:rFonts w:cs="Times New Roman"/>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rFonts w:cs="Times New Roman"/>
      <w:lang w:val="lv-LV" w:eastAsia="lv-LV"/>
    </w:rPr>
  </w:style>
  <w:style w:type="paragraph" w:styleId="Balonteksts">
    <w:name w:val="Balloon Text"/>
    <w:basedOn w:val="Parastais"/>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7D5EFF"/>
    <w:rPr>
      <w:rFonts w:cs="Times New Roman"/>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7D5EFF"/>
    <w:rPr>
      <w:rFonts w:cs="Times New Roman"/>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7D5EFF"/>
    <w:rPr>
      <w:rFonts w:cs="Times New Roman"/>
      <w:b/>
      <w:sz w:val="20"/>
      <w:lang w:val="lv-LV" w:eastAsia="lv-LV"/>
    </w:rPr>
  </w:style>
  <w:style w:type="paragraph" w:styleId="Kjene">
    <w:name w:val="footer"/>
    <w:basedOn w:val="Parastais"/>
    <w:link w:val="KjeneRakstz"/>
    <w:uiPriority w:val="99"/>
    <w:rsid w:val="00262E2B"/>
    <w:pPr>
      <w:tabs>
        <w:tab w:val="center" w:pos="4153"/>
        <w:tab w:val="right" w:pos="8306"/>
      </w:tabs>
    </w:pPr>
    <w:rPr>
      <w:szCs w:val="20"/>
    </w:rPr>
  </w:style>
  <w:style w:type="character" w:customStyle="1" w:styleId="KjeneRakstz">
    <w:name w:val="Kājene Rakstz."/>
    <w:basedOn w:val="Noklusjumarindkopasfonts"/>
    <w:link w:val="Kjene"/>
    <w:uiPriority w:val="99"/>
    <w:semiHidden/>
    <w:locked/>
    <w:rsid w:val="00231344"/>
    <w:rPr>
      <w:rFonts w:cs="Times New Roman"/>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ais"/>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7D5EFF"/>
    <w:rPr>
      <w:rFonts w:cs="Times New Roman"/>
      <w:sz w:val="2"/>
    </w:rPr>
  </w:style>
  <w:style w:type="paragraph" w:styleId="HTMLiepriekformattais">
    <w:name w:val="HTML Preformatted"/>
    <w:basedOn w:val="Parastais"/>
    <w:link w:val="HTMLiepriekformattaisRakstz"/>
    <w:uiPriority w:val="99"/>
    <w:rsid w:val="0041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iepriekformattaisRakstz">
    <w:name w:val="HTML iepriekšformatētais Rakstz."/>
    <w:basedOn w:val="Noklusjumarindkopasfonts"/>
    <w:link w:val="HTMLiepriekformattais"/>
    <w:uiPriority w:val="99"/>
    <w:locked/>
    <w:rsid w:val="0041697B"/>
    <w:rPr>
      <w:rFonts w:ascii="Courier New" w:hAnsi="Courier New"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semiHidden/>
    <w:locked/>
    <w:rsid w:val="007D5EFF"/>
    <w:rPr>
      <w:rFonts w:cs="Times New Roman"/>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
    <w:uiPriority w:val="99"/>
    <w:rsid w:val="008C5649"/>
    <w:pPr>
      <w:spacing w:before="75" w:after="75"/>
      <w:ind w:firstLine="375"/>
      <w:jc w:val="both"/>
    </w:pPr>
  </w:style>
  <w:style w:type="paragraph" w:customStyle="1" w:styleId="naisnod">
    <w:name w:val="naisnod"/>
    <w:basedOn w:val="Parasts"/>
    <w:uiPriority w:val="99"/>
    <w:rsid w:val="008C5649"/>
    <w:pPr>
      <w:spacing w:before="150" w:after="150"/>
      <w:jc w:val="center"/>
    </w:pPr>
    <w:rPr>
      <w:b/>
      <w:bCs/>
    </w:rPr>
  </w:style>
  <w:style w:type="paragraph" w:customStyle="1" w:styleId="naislab">
    <w:name w:val="naislab"/>
    <w:basedOn w:val="Parasts"/>
    <w:uiPriority w:val="99"/>
    <w:rsid w:val="008C5649"/>
    <w:pPr>
      <w:spacing w:before="75" w:after="75"/>
      <w:jc w:val="right"/>
    </w:pPr>
  </w:style>
  <w:style w:type="paragraph" w:customStyle="1" w:styleId="naiskr">
    <w:name w:val="naiskr"/>
    <w:basedOn w:val="Parasts"/>
    <w:uiPriority w:val="99"/>
    <w:rsid w:val="008C5649"/>
    <w:pPr>
      <w:spacing w:before="75" w:after="75"/>
    </w:pPr>
  </w:style>
  <w:style w:type="paragraph" w:customStyle="1" w:styleId="naisc">
    <w:name w:val="naisc"/>
    <w:basedOn w:val="Parast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rFonts w:cs="Times New Roman"/>
      <w:lang w:val="lv-LV" w:eastAsia="lv-LV"/>
    </w:rPr>
  </w:style>
  <w:style w:type="paragraph" w:styleId="Balonteksts">
    <w:name w:val="Balloon Text"/>
    <w:basedOn w:val="Parasts"/>
    <w:link w:val="BalontekstsRakstz"/>
    <w:uiPriority w:val="99"/>
    <w:semiHidden/>
    <w:rsid w:val="008C5649"/>
    <w:rPr>
      <w:sz w:val="2"/>
      <w:szCs w:val="20"/>
    </w:rPr>
  </w:style>
  <w:style w:type="character" w:customStyle="1" w:styleId="BalontekstsRakstz">
    <w:name w:val="Balonteksts Rakstz."/>
    <w:basedOn w:val="Noklusjumarindkopasfonts"/>
    <w:link w:val="Balonteksts"/>
    <w:uiPriority w:val="99"/>
    <w:semiHidden/>
    <w:locked/>
    <w:rsid w:val="007D5EFF"/>
    <w:rPr>
      <w:rFonts w:cs="Times New Roman"/>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7D5EFF"/>
    <w:rPr>
      <w:rFonts w:cs="Times New Roman"/>
      <w:sz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7D5EFF"/>
    <w:rPr>
      <w:rFonts w:cs="Times New Roman"/>
      <w:b/>
      <w:sz w:val="20"/>
      <w:lang w:val="lv-LV" w:eastAsia="lv-LV"/>
    </w:rPr>
  </w:style>
  <w:style w:type="paragraph" w:styleId="Kjene">
    <w:name w:val="footer"/>
    <w:basedOn w:val="Parasts"/>
    <w:link w:val="KjeneRakstz"/>
    <w:uiPriority w:val="99"/>
    <w:rsid w:val="00262E2B"/>
    <w:pPr>
      <w:tabs>
        <w:tab w:val="center" w:pos="4153"/>
        <w:tab w:val="right" w:pos="8306"/>
      </w:tabs>
    </w:pPr>
    <w:rPr>
      <w:szCs w:val="20"/>
    </w:rPr>
  </w:style>
  <w:style w:type="character" w:customStyle="1" w:styleId="KjeneRakstz">
    <w:name w:val="Kājene Rakstz."/>
    <w:basedOn w:val="Noklusjumarindkopasfonts"/>
    <w:link w:val="Kjene"/>
    <w:uiPriority w:val="99"/>
    <w:semiHidden/>
    <w:locked/>
    <w:rsid w:val="00231344"/>
    <w:rPr>
      <w:rFonts w:cs="Times New Roman"/>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
    <w:link w:val="DokumentakarteRakstz"/>
    <w:uiPriority w:val="99"/>
    <w:semiHidden/>
    <w:rsid w:val="00846994"/>
    <w:pPr>
      <w:shd w:val="clear" w:color="auto" w:fill="000080"/>
    </w:pPr>
    <w:rPr>
      <w:sz w:val="2"/>
      <w:szCs w:val="20"/>
    </w:rPr>
  </w:style>
  <w:style w:type="character" w:customStyle="1" w:styleId="DokumentakarteRakstz">
    <w:name w:val="Dokumenta karte Rakstz."/>
    <w:basedOn w:val="Noklusjumarindkopasfonts"/>
    <w:link w:val="Dokumentakarte"/>
    <w:uiPriority w:val="99"/>
    <w:semiHidden/>
    <w:locked/>
    <w:rsid w:val="007D5EFF"/>
    <w:rPr>
      <w:rFonts w:cs="Times New Roman"/>
      <w:sz w:val="2"/>
    </w:rPr>
  </w:style>
  <w:style w:type="paragraph" w:styleId="HTMLiepriekformattais">
    <w:name w:val="HTML Preformatted"/>
    <w:basedOn w:val="Parasts"/>
    <w:link w:val="HTMLiepriekformattaisRakstz"/>
    <w:uiPriority w:val="99"/>
    <w:rsid w:val="0041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iepriekformattaisRakstz">
    <w:name w:val="HTML iepriekšformatētais Rakstz."/>
    <w:basedOn w:val="Noklusjumarindkopasfonts"/>
    <w:link w:val="HTMLiepriekformattais"/>
    <w:uiPriority w:val="99"/>
    <w:locked/>
    <w:rsid w:val="0041697B"/>
    <w:rPr>
      <w:rFonts w:ascii="Courier New" w:hAnsi="Courier New" w:cs="Times New Roman"/>
      <w:color w:val="000000"/>
    </w:rPr>
  </w:style>
</w:styles>
</file>

<file path=word/webSettings.xml><?xml version="1.0" encoding="utf-8"?>
<w:webSettings xmlns:r="http://schemas.openxmlformats.org/officeDocument/2006/relationships" xmlns:w="http://schemas.openxmlformats.org/wordprocessingml/2006/main">
  <w:divs>
    <w:div w:id="1894121519">
      <w:marLeft w:val="0"/>
      <w:marRight w:val="0"/>
      <w:marTop w:val="0"/>
      <w:marBottom w:val="0"/>
      <w:divBdr>
        <w:top w:val="none" w:sz="0" w:space="0" w:color="auto"/>
        <w:left w:val="none" w:sz="0" w:space="0" w:color="auto"/>
        <w:bottom w:val="none" w:sz="0" w:space="0" w:color="auto"/>
        <w:right w:val="none" w:sz="0" w:space="0" w:color="auto"/>
      </w:divBdr>
    </w:div>
    <w:div w:id="1894121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1570</Words>
  <Characters>11485</Characters>
  <Application>Microsoft Office Word</Application>
  <DocSecurity>0</DocSecurity>
  <Lines>358</Lines>
  <Paragraphs>134</Paragraphs>
  <ScaleCrop>false</ScaleCrop>
  <HeadingPairs>
    <vt:vector size="2" baseType="variant">
      <vt:variant>
        <vt:lpstr>Nosaukums</vt:lpstr>
      </vt:variant>
      <vt:variant>
        <vt:i4>1</vt:i4>
      </vt:variant>
    </vt:vector>
  </HeadingPairs>
  <TitlesOfParts>
    <vt:vector size="1" baseType="lpstr">
      <vt:lpstr>Grozījumi Ministru kabineta 2011.11.28.2010.gada 28.decembra noteikumos Nr.1230</vt:lpstr>
    </vt:vector>
  </TitlesOfParts>
  <Company>Zemkopības ministrija</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2011.11.28.2010.gada 28.decembra noteikumos Nr.1230</dc:title>
  <dc:subject>Anotācija</dc:subject>
  <dc:creator>Inta.Krauja@zm.gov.lv</dc:creator>
  <dc:description>67027099Inta.Krauja@zm.gov.lv</dc:description>
  <cp:lastModifiedBy>Renārs Žagars</cp:lastModifiedBy>
  <cp:revision>9</cp:revision>
  <cp:lastPrinted>2010-01-04T12:31:00Z</cp:lastPrinted>
  <dcterms:created xsi:type="dcterms:W3CDTF">2012-02-16T07:13:00Z</dcterms:created>
  <dcterms:modified xsi:type="dcterms:W3CDTF">2012-02-20T06:43:00Z</dcterms:modified>
</cp:coreProperties>
</file>