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BA" w:rsidRPr="009D4E18" w:rsidRDefault="00182EBA" w:rsidP="00A50D47">
      <w:pPr>
        <w:pStyle w:val="naisf"/>
        <w:spacing w:before="0" w:after="0"/>
        <w:ind w:firstLine="0"/>
        <w:jc w:val="center"/>
        <w:rPr>
          <w:b/>
          <w:bCs/>
          <w:sz w:val="28"/>
          <w:szCs w:val="28"/>
        </w:rPr>
      </w:pPr>
      <w:r w:rsidRPr="009D4E18">
        <w:rPr>
          <w:b/>
          <w:bCs/>
          <w:sz w:val="28"/>
          <w:szCs w:val="28"/>
        </w:rPr>
        <w:t>Ministru kabineta noteikumu projekta</w:t>
      </w:r>
    </w:p>
    <w:p w:rsidR="00182EBA" w:rsidRPr="009D4E18" w:rsidRDefault="00182EBA" w:rsidP="008A231F">
      <w:pPr>
        <w:pStyle w:val="ParastaisWeb"/>
        <w:spacing w:before="0" w:beforeAutospacing="0" w:after="0" w:afterAutospacing="0"/>
        <w:jc w:val="center"/>
        <w:rPr>
          <w:b/>
          <w:sz w:val="28"/>
        </w:rPr>
      </w:pPr>
      <w:r>
        <w:rPr>
          <w:b/>
          <w:color w:val="000000"/>
          <w:sz w:val="28"/>
          <w:szCs w:val="28"/>
        </w:rPr>
        <w:t>„</w:t>
      </w:r>
      <w:r w:rsidRPr="009D4E18">
        <w:rPr>
          <w:b/>
          <w:color w:val="000000"/>
          <w:sz w:val="28"/>
          <w:szCs w:val="28"/>
        </w:rPr>
        <w:t xml:space="preserve">Grozījumi Ministru kabineta </w:t>
      </w:r>
      <w:r w:rsidRPr="009D4E18">
        <w:rPr>
          <w:b/>
          <w:sz w:val="28"/>
          <w:szCs w:val="28"/>
        </w:rPr>
        <w:t>2010.gada 27.jūlija noteikumos Nr.704 „</w:t>
      </w:r>
      <w:r w:rsidRPr="009D4E18">
        <w:rPr>
          <w:b/>
          <w:bCs/>
          <w:sz w:val="28"/>
          <w:szCs w:val="28"/>
        </w:rPr>
        <w:t>Noteikumi par robežšķērsošanas vietām un tajās veicamajām pārbaudēm”</w:t>
      </w:r>
      <w:r>
        <w:rPr>
          <w:b/>
          <w:bCs/>
          <w:sz w:val="28"/>
          <w:szCs w:val="28"/>
        </w:rPr>
        <w:t xml:space="preserve">” </w:t>
      </w:r>
      <w:r w:rsidRPr="009D4E18">
        <w:rPr>
          <w:b/>
          <w:sz w:val="28"/>
        </w:rPr>
        <w:t xml:space="preserve">sākotnējās ietekmes novērtējuma </w:t>
      </w:r>
      <w:smartTag w:uri="schemas-tilde-lv/tildestengine" w:element="veidnes">
        <w:smartTagPr>
          <w:attr w:name="id" w:val="-1"/>
          <w:attr w:name="baseform" w:val="ziņojums"/>
          <w:attr w:name="text" w:val="ziņojums"/>
        </w:smartTagPr>
        <w:r w:rsidRPr="009D4E18">
          <w:rPr>
            <w:b/>
            <w:sz w:val="28"/>
          </w:rPr>
          <w:t>ziņojums</w:t>
        </w:r>
      </w:smartTag>
    </w:p>
    <w:p w:rsidR="00182EBA" w:rsidRPr="009D4E18" w:rsidRDefault="00182EBA" w:rsidP="00A50D47">
      <w:pPr>
        <w:pStyle w:val="naislab"/>
        <w:spacing w:before="0" w:after="0"/>
        <w:jc w:val="center"/>
        <w:outlineLvl w:val="0"/>
        <w:rPr>
          <w:b/>
          <w:sz w:val="28"/>
        </w:rPr>
      </w:pPr>
      <w:r w:rsidRPr="009D4E18">
        <w:rPr>
          <w:b/>
          <w:sz w:val="28"/>
        </w:rPr>
        <w:t>(anotācija)</w:t>
      </w:r>
    </w:p>
    <w:p w:rsidR="00182EBA" w:rsidRPr="00B3406E" w:rsidRDefault="00182EBA" w:rsidP="00A50D47">
      <w:pPr>
        <w:pStyle w:val="naislab"/>
        <w:spacing w:before="0" w:after="0"/>
        <w:jc w:val="center"/>
        <w:outlineLvl w:val="0"/>
        <w:rPr>
          <w:sz w:val="14"/>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574"/>
        <w:gridCol w:w="6379"/>
      </w:tblGrid>
      <w:tr w:rsidR="00182EBA" w:rsidRPr="009D4E18" w:rsidTr="00B3406E">
        <w:trPr>
          <w:trHeight w:val="417"/>
        </w:trPr>
        <w:tc>
          <w:tcPr>
            <w:tcW w:w="9503" w:type="dxa"/>
            <w:gridSpan w:val="3"/>
            <w:vAlign w:val="center"/>
          </w:tcPr>
          <w:p w:rsidR="00182EBA" w:rsidRPr="009D4E18" w:rsidRDefault="00182EBA" w:rsidP="00A50D47">
            <w:pPr>
              <w:pStyle w:val="naisnod"/>
              <w:spacing w:before="0" w:after="0"/>
            </w:pPr>
            <w:r w:rsidRPr="00A50D47">
              <w:t>I. Tiesību akta projekta izstrādes nepieciešamība</w:t>
            </w:r>
          </w:p>
        </w:tc>
      </w:tr>
      <w:tr w:rsidR="00182EBA" w:rsidRPr="009D4E18" w:rsidTr="00B3406E">
        <w:trPr>
          <w:trHeight w:val="630"/>
        </w:trPr>
        <w:tc>
          <w:tcPr>
            <w:tcW w:w="550" w:type="dxa"/>
          </w:tcPr>
          <w:p w:rsidR="00182EBA" w:rsidRPr="009D4E18" w:rsidRDefault="00182EBA" w:rsidP="002F1739">
            <w:pPr>
              <w:pStyle w:val="naiskr"/>
              <w:spacing w:before="0" w:after="0"/>
              <w:ind w:left="57" w:right="57"/>
            </w:pPr>
            <w:r w:rsidRPr="009D4E18">
              <w:t>1.</w:t>
            </w:r>
          </w:p>
        </w:tc>
        <w:tc>
          <w:tcPr>
            <w:tcW w:w="2574" w:type="dxa"/>
          </w:tcPr>
          <w:p w:rsidR="00182EBA" w:rsidRPr="009D4E18" w:rsidRDefault="00182EBA" w:rsidP="002F1739">
            <w:pPr>
              <w:pStyle w:val="naiskr"/>
              <w:spacing w:before="0" w:after="0"/>
              <w:ind w:left="57" w:right="57" w:hanging="10"/>
            </w:pPr>
            <w:r w:rsidRPr="009D4E18">
              <w:t>Pamatojums</w:t>
            </w:r>
          </w:p>
        </w:tc>
        <w:tc>
          <w:tcPr>
            <w:tcW w:w="6379" w:type="dxa"/>
          </w:tcPr>
          <w:p w:rsidR="00182EBA" w:rsidRPr="009D4E18" w:rsidRDefault="00182EBA" w:rsidP="002F1739">
            <w:pPr>
              <w:pStyle w:val="Apakvirsraksts"/>
              <w:ind w:left="57" w:right="57"/>
              <w:jc w:val="both"/>
              <w:rPr>
                <w:lang w:val="lv-LV"/>
              </w:rPr>
            </w:pPr>
            <w:r w:rsidRPr="009D4E18">
              <w:rPr>
                <w:b w:val="0"/>
                <w:color w:val="auto"/>
                <w:sz w:val="24"/>
                <w:szCs w:val="24"/>
                <w:lang w:val="lv-LV"/>
              </w:rPr>
              <w:t>Latvijas Republikas valsts robežas likuma</w:t>
            </w:r>
            <w:r>
              <w:rPr>
                <w:b w:val="0"/>
                <w:color w:val="auto"/>
                <w:sz w:val="24"/>
                <w:szCs w:val="24"/>
                <w:lang w:val="lv-LV"/>
              </w:rPr>
              <w:t xml:space="preserve"> </w:t>
            </w:r>
            <w:r w:rsidRPr="009D4E18">
              <w:rPr>
                <w:b w:val="0"/>
                <w:color w:val="auto"/>
                <w:sz w:val="24"/>
                <w:szCs w:val="24"/>
                <w:lang w:val="lv-LV"/>
              </w:rPr>
              <w:t xml:space="preserve">10.panta divpadsmitā daļa, 22.panta septītā daļa un </w:t>
            </w:r>
            <w:r w:rsidRPr="009D4E18">
              <w:rPr>
                <w:b w:val="0"/>
                <w:iCs/>
                <w:color w:val="auto"/>
                <w:sz w:val="24"/>
                <w:szCs w:val="24"/>
                <w:lang w:val="lv-LV"/>
              </w:rPr>
              <w:t>24.panta pirmā daļa.</w:t>
            </w:r>
          </w:p>
        </w:tc>
      </w:tr>
      <w:tr w:rsidR="00182EBA" w:rsidRPr="009D4E18" w:rsidTr="00B3406E">
        <w:trPr>
          <w:trHeight w:val="472"/>
        </w:trPr>
        <w:tc>
          <w:tcPr>
            <w:tcW w:w="550" w:type="dxa"/>
          </w:tcPr>
          <w:p w:rsidR="00182EBA" w:rsidRPr="009D4E18" w:rsidRDefault="00182EBA" w:rsidP="002F1739">
            <w:pPr>
              <w:pStyle w:val="naiskr"/>
              <w:spacing w:before="0" w:after="0"/>
              <w:ind w:left="57" w:right="57"/>
            </w:pPr>
            <w:r w:rsidRPr="009D4E18">
              <w:t>2.</w:t>
            </w:r>
          </w:p>
        </w:tc>
        <w:tc>
          <w:tcPr>
            <w:tcW w:w="2574" w:type="dxa"/>
          </w:tcPr>
          <w:p w:rsidR="00182EBA" w:rsidRPr="009D4E18" w:rsidRDefault="00182EBA" w:rsidP="002F1739">
            <w:pPr>
              <w:pStyle w:val="naiskr"/>
              <w:tabs>
                <w:tab w:val="left" w:pos="170"/>
              </w:tabs>
              <w:spacing w:before="0" w:after="0"/>
              <w:ind w:left="57" w:right="57"/>
            </w:pPr>
            <w:r w:rsidRPr="009D4E18">
              <w:t>Pašreizējā situācija un problēmas</w:t>
            </w:r>
          </w:p>
        </w:tc>
        <w:tc>
          <w:tcPr>
            <w:tcW w:w="6379" w:type="dxa"/>
          </w:tcPr>
          <w:p w:rsidR="00182EBA" w:rsidRPr="0048191C" w:rsidRDefault="00182EBA" w:rsidP="002F1739">
            <w:pPr>
              <w:pStyle w:val="tvhtml"/>
              <w:spacing w:before="0" w:beforeAutospacing="0" w:after="0" w:afterAutospacing="0"/>
              <w:ind w:left="57" w:right="57"/>
              <w:jc w:val="both"/>
              <w:rPr>
                <w:rFonts w:ascii="Times New Roman" w:hAnsi="Times New Roman"/>
                <w:sz w:val="24"/>
                <w:szCs w:val="24"/>
              </w:rPr>
            </w:pPr>
            <w:r w:rsidRPr="0048191C">
              <w:rPr>
                <w:rFonts w:ascii="Times New Roman" w:hAnsi="Times New Roman"/>
                <w:color w:val="000000"/>
                <w:sz w:val="24"/>
                <w:szCs w:val="24"/>
              </w:rPr>
              <w:t xml:space="preserve">Ministru kabineta </w:t>
            </w:r>
            <w:r w:rsidRPr="0048191C">
              <w:rPr>
                <w:rFonts w:ascii="Times New Roman" w:hAnsi="Times New Roman"/>
                <w:sz w:val="24"/>
                <w:szCs w:val="24"/>
              </w:rPr>
              <w:t>2010.gada 27.jūlija noteikumu Nr.704 „</w:t>
            </w:r>
            <w:r w:rsidRPr="0048191C">
              <w:rPr>
                <w:rFonts w:ascii="Times New Roman" w:hAnsi="Times New Roman"/>
                <w:bCs/>
                <w:sz w:val="24"/>
                <w:szCs w:val="24"/>
              </w:rPr>
              <w:t xml:space="preserve">Noteikumi par robežšķērsošanas vietām un tajās veicamajām pārbaudēm” (turpmāk – noteikumi Nr.704) </w:t>
            </w:r>
            <w:bookmarkStart w:id="0" w:name="353972"/>
            <w:bookmarkEnd w:id="0"/>
            <w:r w:rsidRPr="0048191C">
              <w:rPr>
                <w:rFonts w:ascii="Times New Roman" w:hAnsi="Times New Roman"/>
                <w:bCs/>
                <w:sz w:val="24"/>
                <w:szCs w:val="24"/>
              </w:rPr>
              <w:t xml:space="preserve">2.pielikumā ir noteiktas robežšķērsošanas vietas, kurās veic muitas kontroli, un tās veikšanas laiks, un 3.pielikumā ir noteikti kontroles punkti, kuros veic veterināro, fitosanitāro, pārtikas nekaitīguma un nepārtikas preču drošuma, kvalitātes un klasifikācijas kontroli, un tās veikšanas laiks. Patlaban robežšķērsošanas vietā „Pāternieki” (uz valsts robežas ar Baltkrievijas Republiku) muitas kontrole un Pārtikas un veterinārā dienesta veiktās kontroles notiek visu diennakti (izņemot </w:t>
            </w:r>
            <w:r w:rsidRPr="0048191C">
              <w:rPr>
                <w:rFonts w:ascii="Times New Roman" w:hAnsi="Times New Roman"/>
                <w:sz w:val="24"/>
                <w:szCs w:val="24"/>
              </w:rPr>
              <w:t>1973.gada Vašingtonas konvencijā par starptautisko tirdzniecību ar apdraudētajām savvaļas dzīvnieku un augu sugām (turpmāk – konvencija) iekļauto augu sugu īpatņu kontroli un fitosanitāro kontroli (t.sk. kvalitātes un klasifikācijas kontroli), kas notiek laikā no plkst. 9.00 līdz 21.00).</w:t>
            </w:r>
          </w:p>
          <w:p w:rsidR="00182EBA" w:rsidRPr="0048191C" w:rsidRDefault="00182EBA" w:rsidP="002F1739">
            <w:pPr>
              <w:pStyle w:val="ParastaisWeb"/>
              <w:spacing w:before="0" w:beforeAutospacing="0" w:after="0" w:afterAutospacing="0"/>
              <w:ind w:left="57" w:right="57"/>
              <w:jc w:val="both"/>
            </w:pPr>
            <w:r w:rsidRPr="0048191C">
              <w:t xml:space="preserve">2012.gada 20.februārī notika Latvijas un Baltkrievijas muitas dienestu pārstāvju tikšanās (piedalījās arī Valsts robežsardzes un </w:t>
            </w:r>
            <w:r w:rsidRPr="0048191C">
              <w:rPr>
                <w:bCs/>
              </w:rPr>
              <w:t>Pārtikas un veterinārā dienesta pārstāvji), kuras laikā Baltkrievijas pārstāvji informēja, ka saskaņā ar Baltkrievijas Republikas valdības apstiprināto Komplekso programmu autoceļu infrastruktūras attīstībai robežkontroles punktos uz Baltkrievijas valsts robežas 2011.–2015.gadā Baltkrievijas Republikas Valsts muitas komiteja īstenos robežšķērsošanas vietas „</w:t>
            </w:r>
            <w:proofErr w:type="spellStart"/>
            <w:r w:rsidRPr="0048191C">
              <w:rPr>
                <w:bCs/>
              </w:rPr>
              <w:t>Grigorovščina</w:t>
            </w:r>
            <w:proofErr w:type="spellEnd"/>
            <w:r w:rsidRPr="0048191C">
              <w:rPr>
                <w:bCs/>
              </w:rPr>
              <w:t xml:space="preserve">” (Latvijas pusē – „Pāternieki”) rekonstrukciju. Rekonstrukcijas laikā no 2012.gada 15.marta līdz 15.oktobrim plānots </w:t>
            </w:r>
            <w:r w:rsidRPr="0048191C">
              <w:rPr>
                <w:rStyle w:val="Izteiksmgs"/>
                <w:b w:val="0"/>
              </w:rPr>
              <w:t>pilnībā</w:t>
            </w:r>
            <w:r w:rsidRPr="0048191C">
              <w:rPr>
                <w:b/>
              </w:rPr>
              <w:t xml:space="preserve"> </w:t>
            </w:r>
            <w:r w:rsidRPr="0048191C">
              <w:rPr>
                <w:rStyle w:val="Izteiksmgs"/>
                <w:b w:val="0"/>
              </w:rPr>
              <w:t>slēgt kravas transportlīdzekļu kustību</w:t>
            </w:r>
            <w:r w:rsidRPr="0048191C">
              <w:rPr>
                <w:b/>
                <w:bCs/>
              </w:rPr>
              <w:t xml:space="preserve"> </w:t>
            </w:r>
            <w:r w:rsidRPr="0048191C">
              <w:rPr>
                <w:bCs/>
              </w:rPr>
              <w:t>caur šo robežšķērsošanas vietu.</w:t>
            </w:r>
            <w:r w:rsidRPr="0048191C">
              <w:t xml:space="preserve"> Minētajā laikā </w:t>
            </w:r>
            <w:r w:rsidRPr="0048191C">
              <w:rPr>
                <w:bCs/>
              </w:rPr>
              <w:t>robežšķērsošanas vietā „</w:t>
            </w:r>
            <w:proofErr w:type="spellStart"/>
            <w:r w:rsidRPr="0048191C">
              <w:rPr>
                <w:bCs/>
              </w:rPr>
              <w:t>Grigorovščina</w:t>
            </w:r>
            <w:proofErr w:type="spellEnd"/>
            <w:r w:rsidRPr="0048191C">
              <w:rPr>
                <w:bCs/>
              </w:rPr>
              <w:t>” Baltkrievijas puse nodrošinās tikai robežkontroli un muitas kontroli fiziskām personām, kā arī autobusiem un transportlīdzekļiem ar kopējo masu līdz 3,5 tonnām, kuri pārvadā pasažierus un preces, kas paredzētas personiskai lietošanai</w:t>
            </w:r>
            <w:r w:rsidRPr="0048191C">
              <w:t>.</w:t>
            </w:r>
          </w:p>
          <w:p w:rsidR="00182EBA" w:rsidRPr="0048191C" w:rsidRDefault="00182EBA" w:rsidP="002F1739">
            <w:pPr>
              <w:ind w:left="57" w:right="57"/>
              <w:jc w:val="both"/>
            </w:pPr>
            <w:r w:rsidRPr="0048191C">
              <w:t xml:space="preserve">Latvijas Republikas Ārlietu ministrija ar 2012.gada 9.marta vēstuli informēja, ka 2012.gada 7.martā ir saņēmusi Baltkrievijas Republikas Ārlietu ministrijas notu par kustības ierobežošanu </w:t>
            </w:r>
            <w:r w:rsidRPr="0048191C">
              <w:rPr>
                <w:bCs/>
              </w:rPr>
              <w:t>robežkontroles punktā „</w:t>
            </w:r>
            <w:proofErr w:type="spellStart"/>
            <w:r w:rsidRPr="0048191C">
              <w:rPr>
                <w:bCs/>
              </w:rPr>
              <w:t>Grigorovščina</w:t>
            </w:r>
            <w:proofErr w:type="spellEnd"/>
            <w:r w:rsidRPr="0048191C">
              <w:rPr>
                <w:bCs/>
              </w:rPr>
              <w:t>”</w:t>
            </w:r>
            <w:r w:rsidRPr="0048191C">
              <w:t>.</w:t>
            </w:r>
          </w:p>
          <w:p w:rsidR="00182EBA" w:rsidRPr="0048191C" w:rsidRDefault="00182EBA" w:rsidP="003914C1">
            <w:pPr>
              <w:ind w:left="57" w:right="57"/>
              <w:jc w:val="both"/>
              <w:rPr>
                <w:bCs/>
              </w:rPr>
            </w:pPr>
            <w:r w:rsidRPr="0048191C">
              <w:t>Tā kā</w:t>
            </w:r>
            <w:r w:rsidRPr="0048191C">
              <w:rPr>
                <w:bCs/>
              </w:rPr>
              <w:t xml:space="preserve"> robežšķērsošanas vietas „</w:t>
            </w:r>
            <w:proofErr w:type="spellStart"/>
            <w:r w:rsidRPr="0048191C">
              <w:rPr>
                <w:bCs/>
              </w:rPr>
              <w:t>Grigorovščina</w:t>
            </w:r>
            <w:proofErr w:type="spellEnd"/>
            <w:r w:rsidRPr="0048191C">
              <w:rPr>
                <w:bCs/>
              </w:rPr>
              <w:t xml:space="preserve">” rekonstrukcijas laikā </w:t>
            </w:r>
            <w:r w:rsidRPr="0048191C">
              <w:t xml:space="preserve">robežšķērsošanas vietā „Pāternieki” netiks veikta muitas kontrole kravas </w:t>
            </w:r>
            <w:r w:rsidRPr="0048191C">
              <w:rPr>
                <w:bCs/>
              </w:rPr>
              <w:t xml:space="preserve"> transportlīdzekļiem un veterinārā, fitosanitārā, </w:t>
            </w:r>
            <w:r w:rsidRPr="0048191C">
              <w:rPr>
                <w:bCs/>
              </w:rPr>
              <w:lastRenderedPageBreak/>
              <w:t>pārtikas nekaitīguma un nepārtikas preču drošuma, kvalitātes un klasifikācijas kontrole, l</w:t>
            </w:r>
            <w:r w:rsidRPr="0048191C">
              <w:t xml:space="preserve">ai mazinātu slogu uzņēmējiem, kas transportē kravas caur robežšķērsošanas vietu „Pāternieki”, uz rekonstrukcijas periodu  nepieciešams pagarināt muitas un Pārtikas un veterinārā dienesta darba laiku robežšķērsošanas vietā „Silene”, kas arī atrodas uz valsts robežas ar Baltkrievijas Republiku. Noteikumos Nr.704 izdarāmi grozījumi, kas noteiktu, ka </w:t>
            </w:r>
            <w:r w:rsidRPr="0048191C">
              <w:rPr>
                <w:bCs/>
              </w:rPr>
              <w:t>robežšķērsošanas vietā „Pāternieki” uz laiku līdz 2012.gada 15.oktobrim netiks veikta muitas kontrole kravas transportlīdzekļiem un veterinārā, fitosanitārā, pārtikas nekaitīguma un nepārtikas preču drošuma, kvalitātes un klasifikācijas kontrole, savukārt robežšķērsošanas vietā „Silene” muitas kontrole dažiem preču veidiem, kā arī fitosanitārā, pārtikas nekaitīguma un nepārtikas preču drošuma, kvalitātes un klasifikācijas kontrole tiks nodrošināta visu diennakti līdz pilnai transportlīdzekļu kustības atjaunošanai robežšķērsošanas vietā „Pāternieki”.</w:t>
            </w:r>
          </w:p>
          <w:p w:rsidR="0048191C" w:rsidRPr="0048191C" w:rsidRDefault="0048191C" w:rsidP="0048191C">
            <w:pPr>
              <w:jc w:val="both"/>
            </w:pPr>
            <w:r w:rsidRPr="0048191C">
              <w:t xml:space="preserve">2012.gada 7.martā Latvijas Vēstnesī tika izsludināti grozījumi Latvijas Republikas valsts robežas likumā, kas stāsies spēkā 2012.gada 21.martā. Minētie grozījumi paredz, ka  Latvijas Republikas valsts robežas likuma 22.panta devītā daļa tiek izteikta jaunā redakcijā – robežšķērsošanas vietās, kur muitas kontrole nav paredzēta, valsts robežu atļauts šķērsot ar personīgajā bagāžā esošajām mantām un precēm, transportlīdzekļos un īpašos konteineros esošo degvielu un smērvielām, kurām saskaņā ar Padomes 2009.gada 16.novembra Regulas Nr.1186/2009, ar kuru izveido Kopienas sistēmu atbrīvojumiem no muitas nodokļiem, X un XXVIII nodaļas nosacījumiem ir piemērojams atbrīvojums no muitas nodokļa samaksas. Šīs prasības izpildi kontrolē Valsts robežsardze. </w:t>
            </w:r>
          </w:p>
          <w:p w:rsidR="0048191C" w:rsidRPr="0048191C" w:rsidRDefault="0048191C" w:rsidP="0048191C">
            <w:pPr>
              <w:ind w:left="57" w:right="57"/>
              <w:jc w:val="both"/>
              <w:rPr>
                <w:bCs/>
              </w:rPr>
            </w:pPr>
            <w:r w:rsidRPr="0048191C">
              <w:t>Ņemot vērā minēto, noteikumu</w:t>
            </w:r>
            <w:r>
              <w:t xml:space="preserve"> Nr.704 </w:t>
            </w:r>
            <w:r w:rsidRPr="0048191C">
              <w:t xml:space="preserve">1.pielikuma 1.piezīme </w:t>
            </w:r>
            <w:r>
              <w:t>jā</w:t>
            </w:r>
            <w:r w:rsidRPr="0048191C">
              <w:t>precizē grozījumiem Latvijas Republikas valsts robežas likumā</w:t>
            </w:r>
            <w:r>
              <w:t>.</w:t>
            </w:r>
          </w:p>
        </w:tc>
      </w:tr>
      <w:tr w:rsidR="00182EBA" w:rsidRPr="009D4E18" w:rsidTr="00B3406E">
        <w:trPr>
          <w:trHeight w:val="650"/>
        </w:trPr>
        <w:tc>
          <w:tcPr>
            <w:tcW w:w="550" w:type="dxa"/>
          </w:tcPr>
          <w:p w:rsidR="00182EBA" w:rsidRPr="009D4E18" w:rsidRDefault="00182EBA" w:rsidP="002F1739">
            <w:pPr>
              <w:pStyle w:val="naiskr"/>
              <w:spacing w:before="0" w:after="0"/>
              <w:ind w:left="57" w:right="57"/>
            </w:pPr>
            <w:r w:rsidRPr="009D4E18">
              <w:lastRenderedPageBreak/>
              <w:t>3.</w:t>
            </w:r>
          </w:p>
        </w:tc>
        <w:tc>
          <w:tcPr>
            <w:tcW w:w="2574" w:type="dxa"/>
          </w:tcPr>
          <w:p w:rsidR="00182EBA" w:rsidRPr="009D4E18" w:rsidRDefault="00182EBA" w:rsidP="002F1739">
            <w:pPr>
              <w:pStyle w:val="naiskr"/>
              <w:spacing w:before="0" w:after="0"/>
              <w:ind w:left="57" w:right="57"/>
            </w:pPr>
            <w:r w:rsidRPr="009D4E18">
              <w:t>Saistītie politikas ietekmes novērtējumi un pētījumi</w:t>
            </w:r>
          </w:p>
        </w:tc>
        <w:tc>
          <w:tcPr>
            <w:tcW w:w="6379" w:type="dxa"/>
          </w:tcPr>
          <w:p w:rsidR="00182EBA" w:rsidRPr="0048191C" w:rsidRDefault="00182EBA" w:rsidP="002F1739">
            <w:pPr>
              <w:pStyle w:val="naiskr"/>
              <w:spacing w:before="0" w:after="0"/>
              <w:ind w:left="57" w:right="57"/>
            </w:pPr>
            <w:r w:rsidRPr="0048191C">
              <w:rPr>
                <w:iCs/>
              </w:rPr>
              <w:t>Projekts šo jomu neskar.</w:t>
            </w:r>
          </w:p>
        </w:tc>
      </w:tr>
      <w:tr w:rsidR="00182EBA" w:rsidRPr="009D4E18" w:rsidTr="00B3406E">
        <w:trPr>
          <w:trHeight w:val="384"/>
        </w:trPr>
        <w:tc>
          <w:tcPr>
            <w:tcW w:w="550" w:type="dxa"/>
          </w:tcPr>
          <w:p w:rsidR="00182EBA" w:rsidRPr="009D4E18" w:rsidRDefault="00182EBA" w:rsidP="002F1739">
            <w:pPr>
              <w:pStyle w:val="naiskr"/>
              <w:spacing w:before="0" w:after="0"/>
              <w:ind w:left="57" w:right="57"/>
            </w:pPr>
            <w:r w:rsidRPr="009D4E18">
              <w:t>4.</w:t>
            </w:r>
          </w:p>
        </w:tc>
        <w:tc>
          <w:tcPr>
            <w:tcW w:w="2574" w:type="dxa"/>
          </w:tcPr>
          <w:p w:rsidR="00182EBA" w:rsidRPr="009D4E18" w:rsidRDefault="00182EBA" w:rsidP="002F1739">
            <w:pPr>
              <w:pStyle w:val="naiskr"/>
              <w:spacing w:before="0" w:after="0"/>
              <w:ind w:left="57" w:right="57"/>
            </w:pPr>
            <w:r w:rsidRPr="009D4E18">
              <w:t>Tiesiskā regulējuma mērķis un būtība</w:t>
            </w:r>
          </w:p>
        </w:tc>
        <w:tc>
          <w:tcPr>
            <w:tcW w:w="6379" w:type="dxa"/>
          </w:tcPr>
          <w:p w:rsidR="0048191C" w:rsidRDefault="00182EBA" w:rsidP="002F1739">
            <w:pPr>
              <w:pStyle w:val="naiskr"/>
              <w:spacing w:before="0" w:after="0"/>
              <w:ind w:left="57" w:right="57"/>
              <w:jc w:val="both"/>
              <w:rPr>
                <w:bCs/>
              </w:rPr>
            </w:pPr>
            <w:r w:rsidRPr="0048191C">
              <w:t xml:space="preserve">Sagatavots Ministru kabineta noteikumu projekts </w:t>
            </w:r>
            <w:r w:rsidRPr="0048191C">
              <w:rPr>
                <w:color w:val="000000"/>
              </w:rPr>
              <w:t xml:space="preserve">„Grozījumi Ministru kabineta </w:t>
            </w:r>
            <w:r w:rsidRPr="0048191C">
              <w:t>2010.gada 27.jūlija noteikumos Nr.704 „</w:t>
            </w:r>
            <w:r w:rsidRPr="0048191C">
              <w:rPr>
                <w:bCs/>
              </w:rPr>
              <w:t xml:space="preserve">Noteikumi par robežšķērsošanas vietām un tajās veicamajām pārbaudēm”” (turpmāk – noteikumu projekts), ar kuru tiek izdarīti </w:t>
            </w:r>
            <w:r w:rsidR="0048191C">
              <w:rPr>
                <w:bCs/>
              </w:rPr>
              <w:t>šādi grozījumi noteikumu Nr.704:</w:t>
            </w:r>
          </w:p>
          <w:p w:rsidR="0048191C" w:rsidRDefault="0048191C" w:rsidP="002F1739">
            <w:pPr>
              <w:pStyle w:val="naiskr"/>
              <w:spacing w:before="0" w:after="0"/>
              <w:ind w:left="57" w:right="57"/>
              <w:jc w:val="both"/>
              <w:rPr>
                <w:bCs/>
              </w:rPr>
            </w:pPr>
            <w:r>
              <w:rPr>
                <w:bCs/>
              </w:rPr>
              <w:t xml:space="preserve">1) 1.pielikumā – </w:t>
            </w:r>
            <w:r w:rsidRPr="0048191C">
              <w:t>1.piezīme precizē</w:t>
            </w:r>
            <w:r>
              <w:t>ta atbilstoši</w:t>
            </w:r>
            <w:r w:rsidRPr="0048191C">
              <w:t xml:space="preserve"> grozījumiem Latvijas Republikas valsts robežas likumā</w:t>
            </w:r>
            <w:r>
              <w:t xml:space="preserve"> (stājas spēkā 2012.gada 21.martā);</w:t>
            </w:r>
          </w:p>
          <w:p w:rsidR="00182EBA" w:rsidRPr="0048191C" w:rsidRDefault="0048191C" w:rsidP="002F1739">
            <w:pPr>
              <w:pStyle w:val="naiskr"/>
              <w:spacing w:before="0" w:after="0"/>
              <w:ind w:left="57" w:right="57"/>
              <w:jc w:val="both"/>
              <w:rPr>
                <w:bCs/>
              </w:rPr>
            </w:pPr>
            <w:r>
              <w:rPr>
                <w:bCs/>
              </w:rPr>
              <w:t>2</w:t>
            </w:r>
            <w:r w:rsidR="00182EBA" w:rsidRPr="0048191C">
              <w:rPr>
                <w:bCs/>
              </w:rPr>
              <w:t>) 2.pielikumā:</w:t>
            </w:r>
          </w:p>
          <w:p w:rsidR="00182EBA" w:rsidRPr="0048191C" w:rsidRDefault="00182EBA" w:rsidP="002F1739">
            <w:pPr>
              <w:pStyle w:val="tvhtml"/>
              <w:spacing w:before="0" w:beforeAutospacing="0" w:after="0" w:afterAutospacing="0"/>
              <w:ind w:left="57" w:right="57"/>
              <w:jc w:val="both"/>
              <w:rPr>
                <w:rFonts w:ascii="Times New Roman" w:hAnsi="Times New Roman"/>
                <w:sz w:val="24"/>
                <w:szCs w:val="24"/>
              </w:rPr>
            </w:pPr>
            <w:r w:rsidRPr="0048191C">
              <w:rPr>
                <w:rFonts w:ascii="Times New Roman" w:hAnsi="Times New Roman"/>
                <w:bCs/>
                <w:sz w:val="24"/>
                <w:szCs w:val="24"/>
              </w:rPr>
              <w:t>a) robežšķērsošanas vietā „Pāternieki”</w:t>
            </w:r>
            <w:r w:rsidRPr="0048191C">
              <w:rPr>
                <w:rFonts w:ascii="Times New Roman" w:hAnsi="Times New Roman"/>
                <w:sz w:val="24"/>
                <w:szCs w:val="24"/>
              </w:rPr>
              <w:t xml:space="preserve"> uz laiku līdz 2012.gada 15.oktobrim muitas kontrole tiks veikta tikai tām mantām un precēm, ko pāri ārējai robežai pārvieto fiziskas personas, kā arī būs aizliegts pārvietot pāri robežai konvencijas I, II un III pielikumā iekļauto savvaļas dzīvnieku un augu sugu īpatņus un Veselības ministrijas uzraudzībā esošās narkotiskās un </w:t>
            </w:r>
            <w:r w:rsidRPr="0048191C">
              <w:rPr>
                <w:rFonts w:ascii="Times New Roman" w:hAnsi="Times New Roman"/>
                <w:sz w:val="24"/>
                <w:szCs w:val="24"/>
              </w:rPr>
              <w:lastRenderedPageBreak/>
              <w:t>psihotropās vielas, zāles un prekursorus</w:t>
            </w:r>
            <w:r w:rsidRPr="0048191C">
              <w:rPr>
                <w:rFonts w:ascii="Times New Roman" w:hAnsi="Times New Roman"/>
                <w:bCs/>
                <w:sz w:val="24"/>
                <w:szCs w:val="24"/>
              </w:rPr>
              <w:t>;</w:t>
            </w:r>
          </w:p>
          <w:p w:rsidR="00182EBA" w:rsidRPr="0048191C" w:rsidRDefault="00182EBA" w:rsidP="002F1739">
            <w:pPr>
              <w:pStyle w:val="naiskr"/>
              <w:spacing w:before="0" w:after="0"/>
              <w:ind w:left="57" w:right="57"/>
              <w:jc w:val="both"/>
            </w:pPr>
            <w:r w:rsidRPr="0048191C">
              <w:t xml:space="preserve">b) </w:t>
            </w:r>
            <w:r w:rsidRPr="0048191C">
              <w:rPr>
                <w:bCs/>
              </w:rPr>
              <w:t>robežšķērsošanas vietā „Silene”</w:t>
            </w:r>
            <w:r w:rsidRPr="0048191C">
              <w:t xml:space="preserve"> uz laiku līdz 2012.gada 15.oktobrim tiek pagarināts laiks, kurā pāri robežai atļauts pārvietot konvencijas I, II un III pielikumā iekļauto savvaļas dzīvnieku un augu sugu īpatņus un Veselības ministrijas uzraudzībā esošās narkotiskās un psihotropās vielas, zāles un prekursorus;</w:t>
            </w:r>
          </w:p>
          <w:p w:rsidR="00182EBA" w:rsidRPr="0048191C" w:rsidRDefault="0048191C" w:rsidP="002F1739">
            <w:pPr>
              <w:pStyle w:val="naiskr"/>
              <w:spacing w:before="0" w:after="0"/>
              <w:ind w:left="57" w:right="57"/>
              <w:jc w:val="both"/>
            </w:pPr>
            <w:r>
              <w:t>3</w:t>
            </w:r>
            <w:r w:rsidR="00182EBA" w:rsidRPr="0048191C">
              <w:t>) 3.pielikumā:</w:t>
            </w:r>
          </w:p>
          <w:p w:rsidR="00182EBA" w:rsidRPr="0048191C" w:rsidRDefault="00182EBA" w:rsidP="002F1739">
            <w:pPr>
              <w:pStyle w:val="naiskr"/>
              <w:spacing w:before="0" w:after="0"/>
              <w:ind w:left="57" w:right="57"/>
              <w:jc w:val="both"/>
              <w:rPr>
                <w:bCs/>
              </w:rPr>
            </w:pPr>
            <w:r w:rsidRPr="0048191C">
              <w:t xml:space="preserve">a) </w:t>
            </w:r>
            <w:r w:rsidRPr="0048191C">
              <w:rPr>
                <w:bCs/>
              </w:rPr>
              <w:t>robežšķērsošanas vietā „Pāternieki”</w:t>
            </w:r>
            <w:r w:rsidRPr="0048191C">
              <w:t xml:space="preserve"> uz laiku līdz 2012.gada 15.oktobrim</w:t>
            </w:r>
            <w:r w:rsidRPr="0048191C">
              <w:rPr>
                <w:bCs/>
              </w:rPr>
              <w:t xml:space="preserve"> netiks veikta veterinārā, fitosanitārā, pārtikas nekaitīguma un nepārtikas preču drošuma, kvalitātes un klasifikācijas kontrole;</w:t>
            </w:r>
          </w:p>
          <w:p w:rsidR="00182EBA" w:rsidRPr="0048191C" w:rsidRDefault="00182EBA" w:rsidP="002F1739">
            <w:pPr>
              <w:pStyle w:val="naiskr"/>
              <w:spacing w:before="0" w:after="0"/>
              <w:ind w:left="57" w:right="57"/>
              <w:jc w:val="both"/>
            </w:pPr>
            <w:r w:rsidRPr="0048191C">
              <w:rPr>
                <w:bCs/>
              </w:rPr>
              <w:t>b) robežšķērsošanas vietā „Silene”</w:t>
            </w:r>
            <w:r w:rsidRPr="0048191C">
              <w:t xml:space="preserve"> uz laiku līdz 2012.gada 15.oktobrim tiek pagarināts laiks, kurā tiek veikta </w:t>
            </w:r>
            <w:r w:rsidRPr="0048191C">
              <w:rPr>
                <w:bCs/>
              </w:rPr>
              <w:t>fitosanitārā, pārtikas nekaitīguma un nepārtikas preču drošuma, kvalitātes un klasifikācijas kontrole.</w:t>
            </w:r>
          </w:p>
          <w:p w:rsidR="00182EBA" w:rsidRPr="0048191C" w:rsidRDefault="00182EBA" w:rsidP="002F1739">
            <w:pPr>
              <w:pStyle w:val="naiskr"/>
              <w:spacing w:before="0" w:after="0"/>
              <w:ind w:left="57" w:right="57"/>
              <w:jc w:val="both"/>
            </w:pPr>
            <w:r w:rsidRPr="0048191C">
              <w:t>Šīs anotācijas I sadaļas 2.punktā minētās problēmas noteikumu projekts atrisinās pilnībā.</w:t>
            </w:r>
          </w:p>
        </w:tc>
      </w:tr>
      <w:tr w:rsidR="00182EBA" w:rsidRPr="009D4E18" w:rsidTr="00B3406E">
        <w:trPr>
          <w:trHeight w:val="476"/>
        </w:trPr>
        <w:tc>
          <w:tcPr>
            <w:tcW w:w="550" w:type="dxa"/>
          </w:tcPr>
          <w:p w:rsidR="00182EBA" w:rsidRPr="009D4E18" w:rsidRDefault="00182EBA" w:rsidP="002F1739">
            <w:pPr>
              <w:pStyle w:val="naiskr"/>
              <w:spacing w:before="0" w:after="0"/>
              <w:ind w:left="57" w:right="57"/>
            </w:pPr>
            <w:r w:rsidRPr="009D4E18">
              <w:lastRenderedPageBreak/>
              <w:t>5.</w:t>
            </w:r>
          </w:p>
        </w:tc>
        <w:tc>
          <w:tcPr>
            <w:tcW w:w="2574" w:type="dxa"/>
          </w:tcPr>
          <w:p w:rsidR="00182EBA" w:rsidRPr="009D4E18" w:rsidRDefault="00182EBA" w:rsidP="002F1739">
            <w:pPr>
              <w:pStyle w:val="naiskr"/>
              <w:spacing w:before="0" w:after="0"/>
              <w:ind w:left="57" w:right="57"/>
            </w:pPr>
            <w:r w:rsidRPr="009D4E18">
              <w:t>Projekta izstrādē iesaistītās institūcijas</w:t>
            </w:r>
          </w:p>
        </w:tc>
        <w:tc>
          <w:tcPr>
            <w:tcW w:w="6379" w:type="dxa"/>
          </w:tcPr>
          <w:p w:rsidR="00182EBA" w:rsidRPr="009D4E18" w:rsidRDefault="00182EBA" w:rsidP="002F1739">
            <w:pPr>
              <w:pStyle w:val="naiskr"/>
              <w:spacing w:before="0" w:after="0"/>
              <w:ind w:left="57" w:right="57"/>
              <w:jc w:val="both"/>
            </w:pPr>
            <w:r w:rsidRPr="009D4E18">
              <w:t>Valsts ieņēmumu dienesta Muitas pārvalde un Pārtikas un veterinārais dienests.</w:t>
            </w:r>
          </w:p>
        </w:tc>
      </w:tr>
      <w:tr w:rsidR="00182EBA" w:rsidRPr="009D4E18" w:rsidTr="00B3406E">
        <w:trPr>
          <w:trHeight w:val="533"/>
        </w:trPr>
        <w:tc>
          <w:tcPr>
            <w:tcW w:w="550" w:type="dxa"/>
          </w:tcPr>
          <w:p w:rsidR="00182EBA" w:rsidRPr="009D4E18" w:rsidRDefault="00182EBA" w:rsidP="002F1739">
            <w:pPr>
              <w:pStyle w:val="naiskr"/>
              <w:spacing w:before="0" w:after="0"/>
              <w:ind w:left="57" w:right="57"/>
            </w:pPr>
            <w:r w:rsidRPr="009D4E18">
              <w:t>6.</w:t>
            </w:r>
          </w:p>
        </w:tc>
        <w:tc>
          <w:tcPr>
            <w:tcW w:w="2574" w:type="dxa"/>
          </w:tcPr>
          <w:p w:rsidR="00182EBA" w:rsidRPr="009D4E18" w:rsidRDefault="00182EBA" w:rsidP="002F1739">
            <w:pPr>
              <w:pStyle w:val="naiskr"/>
              <w:spacing w:before="0" w:after="0"/>
              <w:ind w:left="57" w:right="57"/>
              <w:rPr>
                <w:i/>
              </w:rPr>
            </w:pPr>
            <w:r w:rsidRPr="009D4E18">
              <w:t>Iemesli, kādēļ netika nodrošināta sabiedrības līdzdalība</w:t>
            </w:r>
          </w:p>
        </w:tc>
        <w:tc>
          <w:tcPr>
            <w:tcW w:w="6379" w:type="dxa"/>
          </w:tcPr>
          <w:p w:rsidR="00182EBA" w:rsidRPr="009D4E18" w:rsidRDefault="00182EBA" w:rsidP="00234A18">
            <w:pPr>
              <w:pStyle w:val="naiskr"/>
              <w:spacing w:before="0" w:after="0"/>
              <w:ind w:left="57" w:right="57"/>
              <w:jc w:val="both"/>
            </w:pPr>
            <w:r>
              <w:t xml:space="preserve">Ņemot vērā novēloti saņemto Baltkrievijas Republikas Ārlietu ministrijas notu, noteikumu projekts jāvirza izskatīšanai Ministru kabinetā steidzamības kārtā. Valsts ieņēmumu dienests un Pārtikas un veterinārais dienests ir informējuši kravu pārvadājumu jomā iesaistīto uzņēmēju asociācijas par gaidāmajām izmaiņām kravas transportlīdzekļu kustībā </w:t>
            </w:r>
            <w:r w:rsidRPr="00BC3E49">
              <w:rPr>
                <w:bCs/>
              </w:rPr>
              <w:t xml:space="preserve">robežšķērsošanas vietā </w:t>
            </w:r>
            <w:r>
              <w:rPr>
                <w:bCs/>
              </w:rPr>
              <w:t xml:space="preserve">„Pāternieki” un </w:t>
            </w:r>
            <w:r w:rsidRPr="00BC3E49">
              <w:rPr>
                <w:bCs/>
              </w:rPr>
              <w:t>„</w:t>
            </w:r>
            <w:r>
              <w:rPr>
                <w:bCs/>
              </w:rPr>
              <w:t>Silene</w:t>
            </w:r>
            <w:r w:rsidRPr="0028693C">
              <w:rPr>
                <w:bCs/>
              </w:rPr>
              <w:t>”</w:t>
            </w:r>
            <w:r>
              <w:rPr>
                <w:bCs/>
              </w:rPr>
              <w:t>.</w:t>
            </w:r>
          </w:p>
        </w:tc>
      </w:tr>
      <w:tr w:rsidR="00182EBA" w:rsidRPr="009D4E18" w:rsidTr="00B3406E">
        <w:tc>
          <w:tcPr>
            <w:tcW w:w="550" w:type="dxa"/>
          </w:tcPr>
          <w:p w:rsidR="00182EBA" w:rsidRPr="009D4E18" w:rsidRDefault="00182EBA" w:rsidP="002F1739">
            <w:pPr>
              <w:pStyle w:val="naiskr"/>
              <w:spacing w:before="0" w:after="0"/>
              <w:ind w:left="57" w:right="57"/>
            </w:pPr>
            <w:r w:rsidRPr="009D4E18">
              <w:t>7.</w:t>
            </w:r>
          </w:p>
        </w:tc>
        <w:tc>
          <w:tcPr>
            <w:tcW w:w="2574" w:type="dxa"/>
          </w:tcPr>
          <w:p w:rsidR="00182EBA" w:rsidRPr="009D4E18" w:rsidRDefault="00182EBA" w:rsidP="002F1739">
            <w:pPr>
              <w:pStyle w:val="naiskr"/>
              <w:spacing w:before="0" w:after="0"/>
              <w:ind w:left="57" w:right="57"/>
            </w:pPr>
            <w:r w:rsidRPr="009D4E18">
              <w:t>Cita informācija</w:t>
            </w:r>
          </w:p>
        </w:tc>
        <w:tc>
          <w:tcPr>
            <w:tcW w:w="6379" w:type="dxa"/>
          </w:tcPr>
          <w:p w:rsidR="00182EBA" w:rsidRPr="005C69F5" w:rsidRDefault="00182EBA" w:rsidP="000F1A6E">
            <w:pPr>
              <w:pStyle w:val="naiskr"/>
              <w:spacing w:before="0" w:after="0"/>
              <w:ind w:left="57" w:right="57"/>
              <w:jc w:val="both"/>
            </w:pPr>
            <w:r w:rsidRPr="005C69F5">
              <w:t>Ar noteikumu projektu noteikto kontroles laika pagarinājumu robežšķērsošanas vietā „Silene” Pārtikas un veterinārais dienests un Valsts ieņēmumu dienesta Muitas pārvalde nodrošinās piešķirtā finansējuma ietvaros.</w:t>
            </w:r>
          </w:p>
        </w:tc>
      </w:tr>
    </w:tbl>
    <w:tbl>
      <w:tblPr>
        <w:tblW w:w="9498" w:type="dxa"/>
        <w:tblInd w:w="-3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709"/>
        <w:gridCol w:w="2835"/>
        <w:gridCol w:w="5954"/>
      </w:tblGrid>
      <w:tr w:rsidR="00182EBA" w:rsidRPr="00A50D47" w:rsidTr="00B3406E">
        <w:trPr>
          <w:cantSplit/>
        </w:trPr>
        <w:tc>
          <w:tcPr>
            <w:tcW w:w="9498" w:type="dxa"/>
            <w:gridSpan w:val="3"/>
            <w:tcBorders>
              <w:top w:val="outset" w:sz="6" w:space="0" w:color="auto"/>
              <w:bottom w:val="outset" w:sz="6" w:space="0" w:color="auto"/>
            </w:tcBorders>
          </w:tcPr>
          <w:p w:rsidR="00182EBA" w:rsidRPr="00A50D47" w:rsidRDefault="00182EBA" w:rsidP="002F19FA">
            <w:pPr>
              <w:jc w:val="center"/>
            </w:pPr>
            <w:r w:rsidRPr="00A50D47">
              <w:rPr>
                <w:b/>
              </w:rPr>
              <w:t>II. Tiesību akta projekta ietekme uz sabiedrību</w:t>
            </w:r>
          </w:p>
        </w:tc>
      </w:tr>
      <w:tr w:rsidR="00182EBA" w:rsidRPr="0046446B" w:rsidTr="00B3406E">
        <w:trPr>
          <w:cantSplit/>
        </w:trPr>
        <w:tc>
          <w:tcPr>
            <w:tcW w:w="709" w:type="dxa"/>
            <w:tcBorders>
              <w:top w:val="outset" w:sz="6" w:space="0" w:color="auto"/>
              <w:right w:val="outset" w:sz="6" w:space="0" w:color="auto"/>
            </w:tcBorders>
          </w:tcPr>
          <w:p w:rsidR="00182EBA" w:rsidRPr="0046446B" w:rsidRDefault="00182EBA" w:rsidP="002F19FA">
            <w:pPr>
              <w:jc w:val="center"/>
            </w:pPr>
            <w:r w:rsidRPr="0046446B">
              <w:t>1.</w:t>
            </w:r>
          </w:p>
        </w:tc>
        <w:tc>
          <w:tcPr>
            <w:tcW w:w="2835" w:type="dxa"/>
            <w:tcBorders>
              <w:top w:val="outset" w:sz="6" w:space="0" w:color="auto"/>
              <w:left w:val="outset" w:sz="6" w:space="0" w:color="auto"/>
              <w:right w:val="outset" w:sz="6" w:space="0" w:color="auto"/>
            </w:tcBorders>
          </w:tcPr>
          <w:p w:rsidR="00182EBA" w:rsidRPr="0046446B" w:rsidRDefault="00182EBA" w:rsidP="00EC194E">
            <w:pPr>
              <w:jc w:val="both"/>
            </w:pPr>
            <w:r w:rsidRPr="0046446B">
              <w:t xml:space="preserve">Sabiedrības </w:t>
            </w:r>
            <w:proofErr w:type="spellStart"/>
            <w:r w:rsidRPr="0046446B">
              <w:t>mērķgrupa</w:t>
            </w:r>
            <w:proofErr w:type="spellEnd"/>
          </w:p>
        </w:tc>
        <w:tc>
          <w:tcPr>
            <w:tcW w:w="5954" w:type="dxa"/>
            <w:tcBorders>
              <w:top w:val="outset" w:sz="6" w:space="0" w:color="auto"/>
              <w:left w:val="outset" w:sz="6" w:space="0" w:color="auto"/>
            </w:tcBorders>
          </w:tcPr>
          <w:p w:rsidR="00182EBA" w:rsidRPr="0046446B" w:rsidRDefault="00182EBA" w:rsidP="00EC194E">
            <w:pPr>
              <w:jc w:val="both"/>
              <w:rPr>
                <w:b/>
              </w:rPr>
            </w:pPr>
            <w:r w:rsidRPr="0046446B">
              <w:t xml:space="preserve">Noteikumu projekts attiecas </w:t>
            </w:r>
            <w:r>
              <w:t>uzņēmējiem, kas pārvieto kravas pāri valsts robežai robežšķērsošanas vietā „Pāternieki” un „Silene” uz valsts robežas ar Baltkrievijas Republiku.</w:t>
            </w:r>
          </w:p>
        </w:tc>
      </w:tr>
      <w:tr w:rsidR="00182EBA" w:rsidRPr="0046446B" w:rsidTr="00B3406E">
        <w:trPr>
          <w:cantSplit/>
          <w:trHeight w:val="597"/>
        </w:trPr>
        <w:tc>
          <w:tcPr>
            <w:tcW w:w="709" w:type="dxa"/>
            <w:tcBorders>
              <w:top w:val="outset" w:sz="6" w:space="0" w:color="auto"/>
              <w:right w:val="outset" w:sz="6" w:space="0" w:color="auto"/>
            </w:tcBorders>
          </w:tcPr>
          <w:p w:rsidR="00182EBA" w:rsidRPr="0046446B" w:rsidRDefault="00182EBA" w:rsidP="002F19FA">
            <w:pPr>
              <w:jc w:val="center"/>
            </w:pPr>
            <w:r w:rsidRPr="0046446B">
              <w:t>2.</w:t>
            </w:r>
          </w:p>
        </w:tc>
        <w:tc>
          <w:tcPr>
            <w:tcW w:w="2835" w:type="dxa"/>
            <w:tcBorders>
              <w:top w:val="outset" w:sz="6" w:space="0" w:color="auto"/>
              <w:left w:val="outset" w:sz="6" w:space="0" w:color="auto"/>
              <w:right w:val="outset" w:sz="6" w:space="0" w:color="auto"/>
            </w:tcBorders>
          </w:tcPr>
          <w:p w:rsidR="00182EBA" w:rsidRPr="0046446B" w:rsidRDefault="00182EBA" w:rsidP="00EC194E">
            <w:pPr>
              <w:widowControl w:val="0"/>
              <w:jc w:val="both"/>
            </w:pPr>
            <w:r w:rsidRPr="0046446B">
              <w:t xml:space="preserve">Citas sabiedrības grupas (bez </w:t>
            </w:r>
            <w:proofErr w:type="spellStart"/>
            <w:r w:rsidRPr="0046446B">
              <w:t>mērķgrupas</w:t>
            </w:r>
            <w:proofErr w:type="spellEnd"/>
            <w:r w:rsidRPr="0046446B">
              <w:t>), kuras tiesiskais regulējums arī ietekmē vai varētu ietekmēt</w:t>
            </w:r>
          </w:p>
        </w:tc>
        <w:tc>
          <w:tcPr>
            <w:tcW w:w="5954" w:type="dxa"/>
            <w:tcBorders>
              <w:top w:val="outset" w:sz="6" w:space="0" w:color="auto"/>
              <w:left w:val="outset" w:sz="6" w:space="0" w:color="auto"/>
            </w:tcBorders>
          </w:tcPr>
          <w:p w:rsidR="00182EBA" w:rsidRPr="0046446B" w:rsidRDefault="00182EBA" w:rsidP="00EC194E">
            <w:pPr>
              <w:widowControl w:val="0"/>
              <w:jc w:val="both"/>
            </w:pPr>
            <w:r w:rsidRPr="0046446B">
              <w:rPr>
                <w:iCs/>
              </w:rPr>
              <w:t>Projekts šo jomu neskar</w:t>
            </w:r>
            <w:r w:rsidRPr="0046446B">
              <w:t>.</w:t>
            </w:r>
          </w:p>
        </w:tc>
      </w:tr>
      <w:tr w:rsidR="00182EBA" w:rsidRPr="00996A3D" w:rsidTr="00B3406E">
        <w:trPr>
          <w:cantSplit/>
          <w:trHeight w:val="535"/>
        </w:trPr>
        <w:tc>
          <w:tcPr>
            <w:tcW w:w="709" w:type="dxa"/>
            <w:tcBorders>
              <w:top w:val="outset" w:sz="6" w:space="0" w:color="auto"/>
              <w:right w:val="outset" w:sz="6" w:space="0" w:color="auto"/>
            </w:tcBorders>
          </w:tcPr>
          <w:p w:rsidR="00182EBA" w:rsidRPr="0046446B" w:rsidRDefault="00182EBA" w:rsidP="002F19FA">
            <w:pPr>
              <w:pStyle w:val="ParastaisWeb"/>
              <w:spacing w:before="0" w:beforeAutospacing="0" w:after="0" w:afterAutospacing="0"/>
              <w:rPr>
                <w:color w:val="000000"/>
              </w:rPr>
            </w:pPr>
            <w:r w:rsidRPr="0046446B">
              <w:rPr>
                <w:color w:val="000000"/>
              </w:rPr>
              <w:t>3.</w:t>
            </w:r>
          </w:p>
        </w:tc>
        <w:tc>
          <w:tcPr>
            <w:tcW w:w="2835" w:type="dxa"/>
            <w:tcBorders>
              <w:top w:val="outset" w:sz="6" w:space="0" w:color="auto"/>
              <w:left w:val="outset" w:sz="6" w:space="0" w:color="auto"/>
              <w:right w:val="outset" w:sz="6" w:space="0" w:color="auto"/>
            </w:tcBorders>
          </w:tcPr>
          <w:p w:rsidR="00182EBA" w:rsidRPr="0046446B" w:rsidRDefault="00182EBA" w:rsidP="00EC194E">
            <w:pPr>
              <w:pStyle w:val="ParastaisWeb"/>
              <w:spacing w:before="0" w:beforeAutospacing="0" w:after="0" w:afterAutospacing="0"/>
              <w:jc w:val="both"/>
              <w:rPr>
                <w:color w:val="000000"/>
              </w:rPr>
            </w:pPr>
            <w:r w:rsidRPr="0046446B">
              <w:t>Tiesiskā regulējuma finansiālā ietekme</w:t>
            </w:r>
          </w:p>
        </w:tc>
        <w:tc>
          <w:tcPr>
            <w:tcW w:w="5954" w:type="dxa"/>
            <w:tcBorders>
              <w:top w:val="outset" w:sz="6" w:space="0" w:color="auto"/>
              <w:left w:val="outset" w:sz="6" w:space="0" w:color="auto"/>
            </w:tcBorders>
          </w:tcPr>
          <w:p w:rsidR="00182EBA" w:rsidRPr="0046446B" w:rsidRDefault="00182EBA" w:rsidP="00EC194E">
            <w:pPr>
              <w:jc w:val="both"/>
            </w:pPr>
            <w:r w:rsidRPr="0046446B">
              <w:rPr>
                <w:iCs/>
              </w:rPr>
              <w:t>Projekts šo jomu neskar</w:t>
            </w:r>
            <w:r w:rsidRPr="0046446B">
              <w:t>.</w:t>
            </w:r>
          </w:p>
        </w:tc>
      </w:tr>
      <w:tr w:rsidR="00182EBA" w:rsidRPr="00996A3D" w:rsidTr="00B3406E">
        <w:trPr>
          <w:cantSplit/>
        </w:trPr>
        <w:tc>
          <w:tcPr>
            <w:tcW w:w="709" w:type="dxa"/>
            <w:tcBorders>
              <w:top w:val="outset" w:sz="6" w:space="0" w:color="auto"/>
              <w:right w:val="outset" w:sz="6" w:space="0" w:color="auto"/>
            </w:tcBorders>
          </w:tcPr>
          <w:p w:rsidR="00182EBA" w:rsidRPr="0046446B" w:rsidRDefault="00182EBA" w:rsidP="002F19FA">
            <w:pPr>
              <w:pStyle w:val="ParastaisWeb"/>
              <w:spacing w:before="0" w:beforeAutospacing="0" w:after="0" w:afterAutospacing="0"/>
              <w:rPr>
                <w:color w:val="000000"/>
              </w:rPr>
            </w:pPr>
            <w:r w:rsidRPr="0046446B">
              <w:rPr>
                <w:color w:val="000000"/>
              </w:rPr>
              <w:lastRenderedPageBreak/>
              <w:t>4.</w:t>
            </w:r>
          </w:p>
        </w:tc>
        <w:tc>
          <w:tcPr>
            <w:tcW w:w="2835" w:type="dxa"/>
            <w:tcBorders>
              <w:top w:val="outset" w:sz="6" w:space="0" w:color="auto"/>
              <w:left w:val="outset" w:sz="6" w:space="0" w:color="auto"/>
              <w:right w:val="outset" w:sz="6" w:space="0" w:color="auto"/>
            </w:tcBorders>
          </w:tcPr>
          <w:p w:rsidR="00182EBA" w:rsidRPr="0046446B" w:rsidRDefault="00182EBA" w:rsidP="00EC194E">
            <w:pPr>
              <w:jc w:val="both"/>
            </w:pPr>
            <w:r w:rsidRPr="0046446B">
              <w:t>Tiesiskā regulējuma nefinansiālā ietekme</w:t>
            </w:r>
          </w:p>
        </w:tc>
        <w:tc>
          <w:tcPr>
            <w:tcW w:w="5954" w:type="dxa"/>
            <w:tcBorders>
              <w:top w:val="outset" w:sz="6" w:space="0" w:color="auto"/>
              <w:left w:val="outset" w:sz="6" w:space="0" w:color="auto"/>
            </w:tcBorders>
          </w:tcPr>
          <w:p w:rsidR="00182EBA" w:rsidRDefault="00182EBA" w:rsidP="00EC194E">
            <w:pPr>
              <w:widowControl w:val="0"/>
              <w:jc w:val="both"/>
              <w:rPr>
                <w:bCs/>
              </w:rPr>
            </w:pPr>
            <w:r w:rsidRPr="0046446B">
              <w:rPr>
                <w:iCs/>
              </w:rPr>
              <w:t xml:space="preserve">Noteikumu projekts </w:t>
            </w:r>
            <w:r>
              <w:rPr>
                <w:iCs/>
              </w:rPr>
              <w:t xml:space="preserve">daļēji atvieglos administratīvo slogu uzņēmējiem, kas </w:t>
            </w:r>
            <w:r>
              <w:rPr>
                <w:bCs/>
              </w:rPr>
              <w:t>robežšķērsošanas vietas „</w:t>
            </w:r>
            <w:proofErr w:type="spellStart"/>
            <w:r>
              <w:rPr>
                <w:bCs/>
              </w:rPr>
              <w:t>Grigorovščina</w:t>
            </w:r>
            <w:proofErr w:type="spellEnd"/>
            <w:r>
              <w:rPr>
                <w:bCs/>
              </w:rPr>
              <w:t>” rekonstrukcijas laikā varēs pārvietot kravas pāri valsts robežai robežšķērsošanas vietā „Silene” visu diennakti.</w:t>
            </w:r>
          </w:p>
          <w:p w:rsidR="00182EBA" w:rsidRPr="0046446B" w:rsidRDefault="00182EBA" w:rsidP="00EC194E">
            <w:pPr>
              <w:widowControl w:val="0"/>
              <w:jc w:val="both"/>
            </w:pPr>
            <w:r>
              <w:rPr>
                <w:bCs/>
              </w:rPr>
              <w:t>Robežšķērsošanas vietas „Pāternieki” darbības ierobežojumu laikā nebūs iespējams pārvietot veterinārajai kontrolei pakļautās kravas.</w:t>
            </w:r>
          </w:p>
        </w:tc>
      </w:tr>
      <w:tr w:rsidR="00182EBA" w:rsidRPr="00996A3D" w:rsidTr="00B3406E">
        <w:trPr>
          <w:cantSplit/>
        </w:trPr>
        <w:tc>
          <w:tcPr>
            <w:tcW w:w="709" w:type="dxa"/>
            <w:tcBorders>
              <w:top w:val="outset" w:sz="6" w:space="0" w:color="auto"/>
              <w:right w:val="outset" w:sz="6" w:space="0" w:color="auto"/>
            </w:tcBorders>
          </w:tcPr>
          <w:p w:rsidR="00182EBA" w:rsidRPr="0046446B" w:rsidRDefault="00182EBA" w:rsidP="002F19FA">
            <w:pPr>
              <w:pStyle w:val="ParastaisWeb"/>
              <w:spacing w:before="0" w:beforeAutospacing="0" w:after="0" w:afterAutospacing="0"/>
              <w:rPr>
                <w:color w:val="000000"/>
              </w:rPr>
            </w:pPr>
            <w:r w:rsidRPr="0046446B">
              <w:rPr>
                <w:color w:val="000000"/>
              </w:rPr>
              <w:t>5.</w:t>
            </w:r>
          </w:p>
        </w:tc>
        <w:tc>
          <w:tcPr>
            <w:tcW w:w="2835" w:type="dxa"/>
            <w:tcBorders>
              <w:top w:val="outset" w:sz="6" w:space="0" w:color="auto"/>
              <w:left w:val="outset" w:sz="6" w:space="0" w:color="auto"/>
              <w:right w:val="outset" w:sz="6" w:space="0" w:color="auto"/>
            </w:tcBorders>
          </w:tcPr>
          <w:p w:rsidR="00182EBA" w:rsidRPr="0046446B" w:rsidRDefault="00182EBA" w:rsidP="00EC194E">
            <w:pPr>
              <w:jc w:val="both"/>
            </w:pPr>
            <w:r w:rsidRPr="0046446B">
              <w:t>Administratīvās procedūras raksturojums</w:t>
            </w:r>
          </w:p>
        </w:tc>
        <w:tc>
          <w:tcPr>
            <w:tcW w:w="5954" w:type="dxa"/>
            <w:tcBorders>
              <w:top w:val="outset" w:sz="6" w:space="0" w:color="auto"/>
              <w:left w:val="outset" w:sz="6" w:space="0" w:color="auto"/>
            </w:tcBorders>
          </w:tcPr>
          <w:p w:rsidR="00182EBA" w:rsidRPr="0046446B" w:rsidRDefault="00182EBA" w:rsidP="00EC194E">
            <w:pPr>
              <w:widowControl w:val="0"/>
              <w:jc w:val="both"/>
              <w:rPr>
                <w:highlight w:val="yellow"/>
              </w:rPr>
            </w:pPr>
            <w:r>
              <w:rPr>
                <w:bCs/>
              </w:rPr>
              <w:t xml:space="preserve">Robežšķērsošanas vietā „Silene” muitas un Pārtikas un veterinārā dienesta kontrole tiks nodrošināta visu diennakti. </w:t>
            </w:r>
          </w:p>
        </w:tc>
      </w:tr>
      <w:tr w:rsidR="00182EBA" w:rsidRPr="0046446B" w:rsidTr="00B3406E">
        <w:trPr>
          <w:cantSplit/>
        </w:trPr>
        <w:tc>
          <w:tcPr>
            <w:tcW w:w="709" w:type="dxa"/>
            <w:tcBorders>
              <w:top w:val="outset" w:sz="6" w:space="0" w:color="auto"/>
              <w:right w:val="outset" w:sz="6" w:space="0" w:color="auto"/>
            </w:tcBorders>
          </w:tcPr>
          <w:p w:rsidR="00182EBA" w:rsidRPr="0046446B" w:rsidRDefault="00182EBA" w:rsidP="002F19FA">
            <w:pPr>
              <w:pStyle w:val="ParastaisWeb"/>
              <w:spacing w:before="0" w:beforeAutospacing="0" w:after="0" w:afterAutospacing="0"/>
              <w:rPr>
                <w:color w:val="000000"/>
              </w:rPr>
            </w:pPr>
            <w:r w:rsidRPr="0046446B">
              <w:rPr>
                <w:color w:val="000000"/>
              </w:rPr>
              <w:t>6.</w:t>
            </w:r>
          </w:p>
        </w:tc>
        <w:tc>
          <w:tcPr>
            <w:tcW w:w="2835" w:type="dxa"/>
            <w:tcBorders>
              <w:top w:val="outset" w:sz="6" w:space="0" w:color="auto"/>
              <w:left w:val="outset" w:sz="6" w:space="0" w:color="auto"/>
              <w:right w:val="outset" w:sz="6" w:space="0" w:color="auto"/>
            </w:tcBorders>
          </w:tcPr>
          <w:p w:rsidR="00182EBA" w:rsidRPr="0046446B" w:rsidRDefault="00182EBA" w:rsidP="002F1739">
            <w:pPr>
              <w:pStyle w:val="ParastaisWeb"/>
              <w:spacing w:before="0" w:beforeAutospacing="0" w:after="0" w:afterAutospacing="0"/>
              <w:jc w:val="both"/>
              <w:rPr>
                <w:color w:val="000000"/>
              </w:rPr>
            </w:pPr>
            <w:r w:rsidRPr="0046446B">
              <w:t>Administratīvo izmaksu monetārs novērtējums</w:t>
            </w:r>
          </w:p>
        </w:tc>
        <w:tc>
          <w:tcPr>
            <w:tcW w:w="5954" w:type="dxa"/>
            <w:tcBorders>
              <w:top w:val="outset" w:sz="6" w:space="0" w:color="auto"/>
              <w:left w:val="outset" w:sz="6" w:space="0" w:color="auto"/>
            </w:tcBorders>
          </w:tcPr>
          <w:p w:rsidR="00182EBA" w:rsidRPr="0046446B" w:rsidRDefault="00182EBA" w:rsidP="002F1739">
            <w:pPr>
              <w:widowControl w:val="0"/>
              <w:jc w:val="both"/>
            </w:pPr>
            <w:r w:rsidRPr="0046446B">
              <w:rPr>
                <w:iCs/>
              </w:rPr>
              <w:t>Projekts šo jomu neskar</w:t>
            </w:r>
            <w:r w:rsidRPr="0046446B">
              <w:t>.</w:t>
            </w:r>
          </w:p>
        </w:tc>
      </w:tr>
      <w:tr w:rsidR="00182EBA" w:rsidRPr="0046446B" w:rsidTr="00B3406E">
        <w:trPr>
          <w:cantSplit/>
        </w:trPr>
        <w:tc>
          <w:tcPr>
            <w:tcW w:w="709" w:type="dxa"/>
            <w:tcBorders>
              <w:top w:val="outset" w:sz="6" w:space="0" w:color="auto"/>
              <w:bottom w:val="outset" w:sz="6" w:space="0" w:color="auto"/>
              <w:right w:val="outset" w:sz="6" w:space="0" w:color="auto"/>
            </w:tcBorders>
          </w:tcPr>
          <w:p w:rsidR="00182EBA" w:rsidRPr="0046446B" w:rsidRDefault="00182EBA" w:rsidP="002F19FA">
            <w:pPr>
              <w:pStyle w:val="ParastaisWeb"/>
              <w:spacing w:before="0" w:beforeAutospacing="0" w:after="0" w:afterAutospacing="0"/>
              <w:rPr>
                <w:color w:val="000000"/>
              </w:rPr>
            </w:pPr>
            <w:r w:rsidRPr="0046446B">
              <w:rPr>
                <w:color w:val="000000"/>
              </w:rPr>
              <w:t>7.</w:t>
            </w:r>
          </w:p>
        </w:tc>
        <w:tc>
          <w:tcPr>
            <w:tcW w:w="2835" w:type="dxa"/>
            <w:tcBorders>
              <w:top w:val="outset" w:sz="6" w:space="0" w:color="auto"/>
              <w:left w:val="outset" w:sz="6" w:space="0" w:color="auto"/>
              <w:bottom w:val="outset" w:sz="6" w:space="0" w:color="auto"/>
              <w:right w:val="outset" w:sz="6" w:space="0" w:color="auto"/>
            </w:tcBorders>
          </w:tcPr>
          <w:p w:rsidR="00182EBA" w:rsidRPr="0046446B" w:rsidRDefault="00182EBA" w:rsidP="002F1739">
            <w:pPr>
              <w:pStyle w:val="ParastaisWeb"/>
              <w:spacing w:before="0" w:beforeAutospacing="0" w:after="0" w:afterAutospacing="0"/>
              <w:jc w:val="both"/>
            </w:pPr>
            <w:r w:rsidRPr="0046446B">
              <w:t>Cita informācija</w:t>
            </w:r>
          </w:p>
        </w:tc>
        <w:tc>
          <w:tcPr>
            <w:tcW w:w="5954" w:type="dxa"/>
            <w:tcBorders>
              <w:top w:val="outset" w:sz="6" w:space="0" w:color="auto"/>
              <w:left w:val="outset" w:sz="6" w:space="0" w:color="auto"/>
              <w:bottom w:val="outset" w:sz="6" w:space="0" w:color="auto"/>
            </w:tcBorders>
          </w:tcPr>
          <w:p w:rsidR="00182EBA" w:rsidRPr="0046446B" w:rsidRDefault="00182EBA" w:rsidP="002F1739">
            <w:pPr>
              <w:widowControl w:val="0"/>
              <w:jc w:val="both"/>
            </w:pPr>
            <w:r w:rsidRPr="0046446B">
              <w:t>Nav.</w:t>
            </w:r>
          </w:p>
        </w:tc>
      </w:tr>
    </w:tbl>
    <w:p w:rsidR="00182EBA" w:rsidRDefault="00182EBA" w:rsidP="0031468D">
      <w:pPr>
        <w:pStyle w:val="naisf"/>
        <w:spacing w:before="0" w:after="0"/>
        <w:rPr>
          <w:i/>
          <w:highlight w:val="yellow"/>
        </w:rPr>
      </w:pPr>
    </w:p>
    <w:p w:rsidR="00182EBA" w:rsidRPr="009D4E18" w:rsidRDefault="00182EBA" w:rsidP="0031468D">
      <w:pPr>
        <w:pStyle w:val="naisf"/>
        <w:spacing w:before="0" w:after="0"/>
        <w:rPr>
          <w:i/>
        </w:rPr>
      </w:pPr>
      <w:r w:rsidRPr="00700E5B">
        <w:rPr>
          <w:i/>
        </w:rPr>
        <w:t>Anotācijas III, IV, V un VI sadaļa</w:t>
      </w:r>
      <w:r w:rsidRPr="00700E5B">
        <w:t xml:space="preserve"> – </w:t>
      </w:r>
      <w:r w:rsidRPr="00700E5B">
        <w:rPr>
          <w:i/>
        </w:rPr>
        <w:t>p</w:t>
      </w:r>
      <w:r w:rsidRPr="00700E5B">
        <w:rPr>
          <w:i/>
          <w:iCs/>
        </w:rPr>
        <w:t>rojekts šīs jomas neskar</w:t>
      </w:r>
      <w:r w:rsidRPr="00700E5B">
        <w:rPr>
          <w:i/>
        </w:rPr>
        <w:t>.</w:t>
      </w:r>
    </w:p>
    <w:p w:rsidR="00182EBA" w:rsidRPr="009D4E18" w:rsidRDefault="00182EBA" w:rsidP="000177A0">
      <w:pPr>
        <w:pStyle w:val="naisf"/>
        <w:spacing w:before="0" w:after="0"/>
        <w:ind w:firstLine="0"/>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69"/>
        <w:gridCol w:w="4820"/>
      </w:tblGrid>
      <w:tr w:rsidR="00182EBA" w:rsidRPr="009D4E18" w:rsidTr="00B3406E">
        <w:tc>
          <w:tcPr>
            <w:tcW w:w="9356" w:type="dxa"/>
            <w:gridSpan w:val="3"/>
          </w:tcPr>
          <w:p w:rsidR="00182EBA" w:rsidRPr="009D4E18" w:rsidRDefault="00182EBA" w:rsidP="007D099D">
            <w:pPr>
              <w:pStyle w:val="naisnod"/>
              <w:spacing w:before="0" w:after="0"/>
              <w:ind w:left="57" w:right="57"/>
            </w:pPr>
            <w:r w:rsidRPr="009D4E18">
              <w:t>VII. Tiesību akta projekta izpildes nodrošināšana un tās ietekme uz institūcijām</w:t>
            </w:r>
          </w:p>
        </w:tc>
      </w:tr>
      <w:tr w:rsidR="00182EBA" w:rsidRPr="009D4E18" w:rsidTr="00B3406E">
        <w:trPr>
          <w:trHeight w:val="427"/>
        </w:trPr>
        <w:tc>
          <w:tcPr>
            <w:tcW w:w="567" w:type="dxa"/>
          </w:tcPr>
          <w:p w:rsidR="00182EBA" w:rsidRPr="009D4E18" w:rsidRDefault="00182EBA" w:rsidP="007D099D">
            <w:pPr>
              <w:pStyle w:val="naisnod"/>
              <w:spacing w:before="0" w:after="0"/>
              <w:ind w:left="57" w:right="57"/>
              <w:jc w:val="left"/>
              <w:rPr>
                <w:b w:val="0"/>
              </w:rPr>
            </w:pPr>
            <w:r w:rsidRPr="009D4E18">
              <w:rPr>
                <w:b w:val="0"/>
              </w:rPr>
              <w:t>1.</w:t>
            </w:r>
          </w:p>
        </w:tc>
        <w:tc>
          <w:tcPr>
            <w:tcW w:w="3969" w:type="dxa"/>
          </w:tcPr>
          <w:p w:rsidR="00182EBA" w:rsidRPr="009D4E18" w:rsidRDefault="00182EBA" w:rsidP="007D099D">
            <w:pPr>
              <w:pStyle w:val="naisf"/>
              <w:spacing w:before="0" w:after="0"/>
              <w:ind w:left="57" w:right="57" w:firstLine="0"/>
              <w:jc w:val="left"/>
            </w:pPr>
            <w:r w:rsidRPr="009D4E18">
              <w:t xml:space="preserve">Projekta izpildē iesaistītās institūcijas </w:t>
            </w:r>
          </w:p>
        </w:tc>
        <w:tc>
          <w:tcPr>
            <w:tcW w:w="4820" w:type="dxa"/>
          </w:tcPr>
          <w:p w:rsidR="00182EBA" w:rsidRPr="009D4E18" w:rsidRDefault="00182EBA" w:rsidP="00FF5E59">
            <w:pPr>
              <w:pStyle w:val="naisnod"/>
              <w:spacing w:before="0" w:after="0"/>
              <w:ind w:left="57" w:right="57"/>
              <w:jc w:val="both"/>
              <w:rPr>
                <w:b w:val="0"/>
              </w:rPr>
            </w:pPr>
            <w:r w:rsidRPr="009D4E18">
              <w:rPr>
                <w:b w:val="0"/>
              </w:rPr>
              <w:t>Valsts ieņēmumu dienesta Muitas pārvalde</w:t>
            </w:r>
            <w:r>
              <w:rPr>
                <w:b w:val="0"/>
              </w:rPr>
              <w:t xml:space="preserve"> un </w:t>
            </w:r>
            <w:r w:rsidRPr="009D4E18">
              <w:rPr>
                <w:b w:val="0"/>
              </w:rPr>
              <w:t>Pārtikas un veterinārais dienests</w:t>
            </w:r>
            <w:r>
              <w:rPr>
                <w:b w:val="0"/>
              </w:rPr>
              <w:t>.</w:t>
            </w:r>
          </w:p>
        </w:tc>
      </w:tr>
      <w:tr w:rsidR="00182EBA" w:rsidRPr="009D4E18" w:rsidTr="00B3406E">
        <w:trPr>
          <w:trHeight w:val="463"/>
        </w:trPr>
        <w:tc>
          <w:tcPr>
            <w:tcW w:w="567" w:type="dxa"/>
          </w:tcPr>
          <w:p w:rsidR="00182EBA" w:rsidRPr="009D4E18" w:rsidRDefault="00182EBA" w:rsidP="007D099D">
            <w:pPr>
              <w:pStyle w:val="naisnod"/>
              <w:spacing w:before="0" w:after="0"/>
              <w:ind w:left="57" w:right="57"/>
              <w:jc w:val="left"/>
              <w:rPr>
                <w:b w:val="0"/>
              </w:rPr>
            </w:pPr>
            <w:r w:rsidRPr="009D4E18">
              <w:rPr>
                <w:b w:val="0"/>
              </w:rPr>
              <w:t>2.</w:t>
            </w:r>
          </w:p>
        </w:tc>
        <w:tc>
          <w:tcPr>
            <w:tcW w:w="3969" w:type="dxa"/>
          </w:tcPr>
          <w:p w:rsidR="00182EBA" w:rsidRPr="009D4E18" w:rsidRDefault="00182EBA" w:rsidP="007D099D">
            <w:pPr>
              <w:pStyle w:val="naisf"/>
              <w:spacing w:before="0" w:after="0"/>
              <w:ind w:left="57" w:right="57" w:firstLine="0"/>
              <w:jc w:val="left"/>
            </w:pPr>
            <w:r w:rsidRPr="009D4E18">
              <w:t xml:space="preserve">Projekta izpildes ietekme uz pārvaldes funkcijām </w:t>
            </w:r>
          </w:p>
        </w:tc>
        <w:tc>
          <w:tcPr>
            <w:tcW w:w="4820" w:type="dxa"/>
          </w:tcPr>
          <w:p w:rsidR="00182EBA" w:rsidRPr="009D4E18" w:rsidRDefault="00182EBA" w:rsidP="008465EE">
            <w:pPr>
              <w:pStyle w:val="naisnod"/>
              <w:spacing w:before="0" w:after="0"/>
              <w:ind w:left="57" w:right="57"/>
              <w:jc w:val="both"/>
              <w:rPr>
                <w:b w:val="0"/>
              </w:rPr>
            </w:pPr>
            <w:r w:rsidRPr="009D4E18">
              <w:rPr>
                <w:b w:val="0"/>
                <w:iCs/>
              </w:rPr>
              <w:t>Projekts šo jomu neskar</w:t>
            </w:r>
            <w:r w:rsidRPr="009D4E18">
              <w:rPr>
                <w:b w:val="0"/>
              </w:rPr>
              <w:t>.</w:t>
            </w:r>
          </w:p>
        </w:tc>
      </w:tr>
      <w:tr w:rsidR="00182EBA" w:rsidRPr="009D4E18" w:rsidTr="00B3406E">
        <w:trPr>
          <w:trHeight w:val="725"/>
        </w:trPr>
        <w:tc>
          <w:tcPr>
            <w:tcW w:w="567" w:type="dxa"/>
          </w:tcPr>
          <w:p w:rsidR="00182EBA" w:rsidRPr="009D4E18" w:rsidRDefault="00182EBA" w:rsidP="007D099D">
            <w:pPr>
              <w:pStyle w:val="naisnod"/>
              <w:spacing w:before="0" w:after="0"/>
              <w:ind w:left="57" w:right="57"/>
              <w:jc w:val="left"/>
              <w:rPr>
                <w:b w:val="0"/>
              </w:rPr>
            </w:pPr>
            <w:r w:rsidRPr="009D4E18">
              <w:rPr>
                <w:b w:val="0"/>
              </w:rPr>
              <w:t>3.</w:t>
            </w:r>
          </w:p>
        </w:tc>
        <w:tc>
          <w:tcPr>
            <w:tcW w:w="3969" w:type="dxa"/>
          </w:tcPr>
          <w:p w:rsidR="00182EBA" w:rsidRPr="009D4E18" w:rsidRDefault="00182EBA" w:rsidP="007D099D">
            <w:pPr>
              <w:pStyle w:val="naisf"/>
              <w:spacing w:before="0" w:after="0"/>
              <w:ind w:left="57" w:right="57" w:firstLine="0"/>
              <w:jc w:val="left"/>
            </w:pPr>
            <w:r w:rsidRPr="009D4E18">
              <w:t>Projekta izpildes ietekme uz pārvaldes institucionālo struktūru.</w:t>
            </w:r>
          </w:p>
          <w:p w:rsidR="00182EBA" w:rsidRPr="009D4E18" w:rsidRDefault="00182EBA" w:rsidP="007D099D">
            <w:pPr>
              <w:pStyle w:val="naisf"/>
              <w:spacing w:before="0" w:after="0"/>
              <w:ind w:left="57" w:right="57" w:firstLine="0"/>
              <w:jc w:val="left"/>
            </w:pPr>
            <w:r w:rsidRPr="009D4E18">
              <w:t>Jaunu institūciju izveide</w:t>
            </w:r>
          </w:p>
        </w:tc>
        <w:tc>
          <w:tcPr>
            <w:tcW w:w="4820" w:type="dxa"/>
          </w:tcPr>
          <w:p w:rsidR="00182EBA" w:rsidRPr="009D4E18" w:rsidRDefault="00182EBA" w:rsidP="00707AAF">
            <w:pPr>
              <w:pStyle w:val="naisnod"/>
              <w:spacing w:before="0" w:after="0"/>
              <w:ind w:left="57" w:right="57"/>
              <w:jc w:val="left"/>
              <w:rPr>
                <w:b w:val="0"/>
              </w:rPr>
            </w:pPr>
            <w:r w:rsidRPr="009D4E18">
              <w:rPr>
                <w:b w:val="0"/>
                <w:iCs/>
              </w:rPr>
              <w:t>Projekts šo jomu neskar</w:t>
            </w:r>
            <w:r w:rsidRPr="009D4E18">
              <w:rPr>
                <w:b w:val="0"/>
              </w:rPr>
              <w:t>.</w:t>
            </w:r>
          </w:p>
        </w:tc>
      </w:tr>
      <w:tr w:rsidR="00182EBA" w:rsidRPr="009D4E18" w:rsidTr="00B3406E">
        <w:trPr>
          <w:trHeight w:val="780"/>
        </w:trPr>
        <w:tc>
          <w:tcPr>
            <w:tcW w:w="567" w:type="dxa"/>
          </w:tcPr>
          <w:p w:rsidR="00182EBA" w:rsidRPr="009D4E18" w:rsidRDefault="00182EBA" w:rsidP="007D099D">
            <w:pPr>
              <w:pStyle w:val="naisnod"/>
              <w:spacing w:before="0" w:after="0"/>
              <w:ind w:left="57" w:right="57"/>
              <w:jc w:val="left"/>
              <w:rPr>
                <w:b w:val="0"/>
              </w:rPr>
            </w:pPr>
            <w:r w:rsidRPr="009D4E18">
              <w:rPr>
                <w:b w:val="0"/>
              </w:rPr>
              <w:t>4.</w:t>
            </w:r>
          </w:p>
        </w:tc>
        <w:tc>
          <w:tcPr>
            <w:tcW w:w="3969" w:type="dxa"/>
          </w:tcPr>
          <w:p w:rsidR="00182EBA" w:rsidRPr="009D4E18" w:rsidRDefault="00182EBA" w:rsidP="007D099D">
            <w:pPr>
              <w:pStyle w:val="naisf"/>
              <w:spacing w:before="0" w:after="0"/>
              <w:ind w:left="57" w:right="57" w:firstLine="0"/>
              <w:jc w:val="left"/>
            </w:pPr>
            <w:r w:rsidRPr="009D4E18">
              <w:t>Projekta izpildes ietekme uz pārvaldes institucionālo struktūru.</w:t>
            </w:r>
          </w:p>
          <w:p w:rsidR="00182EBA" w:rsidRPr="009D4E18" w:rsidRDefault="00182EBA" w:rsidP="007D099D">
            <w:pPr>
              <w:pStyle w:val="naisf"/>
              <w:spacing w:before="0" w:after="0"/>
              <w:ind w:left="57" w:right="57" w:firstLine="0"/>
              <w:jc w:val="left"/>
            </w:pPr>
            <w:r w:rsidRPr="009D4E18">
              <w:t>Esošu institūciju likvidācija</w:t>
            </w:r>
          </w:p>
        </w:tc>
        <w:tc>
          <w:tcPr>
            <w:tcW w:w="4820" w:type="dxa"/>
          </w:tcPr>
          <w:p w:rsidR="00182EBA" w:rsidRPr="009D4E18" w:rsidRDefault="00182EBA" w:rsidP="00707AAF">
            <w:pPr>
              <w:pStyle w:val="naisnod"/>
              <w:spacing w:before="0" w:after="0"/>
              <w:ind w:left="57" w:right="57"/>
              <w:jc w:val="left"/>
              <w:rPr>
                <w:b w:val="0"/>
              </w:rPr>
            </w:pPr>
            <w:r w:rsidRPr="009D4E18">
              <w:rPr>
                <w:b w:val="0"/>
                <w:iCs/>
              </w:rPr>
              <w:t>Projekts šo jomu neskar</w:t>
            </w:r>
            <w:r w:rsidRPr="009D4E18">
              <w:rPr>
                <w:b w:val="0"/>
              </w:rPr>
              <w:t>.</w:t>
            </w:r>
          </w:p>
        </w:tc>
      </w:tr>
      <w:tr w:rsidR="00182EBA" w:rsidRPr="009D4E18" w:rsidTr="00B3406E">
        <w:trPr>
          <w:trHeight w:val="254"/>
        </w:trPr>
        <w:tc>
          <w:tcPr>
            <w:tcW w:w="567" w:type="dxa"/>
          </w:tcPr>
          <w:p w:rsidR="00182EBA" w:rsidRPr="009D4E18" w:rsidRDefault="00182EBA" w:rsidP="007D099D">
            <w:pPr>
              <w:pStyle w:val="naisnod"/>
              <w:spacing w:before="0" w:after="0"/>
              <w:ind w:left="57" w:right="57"/>
              <w:jc w:val="left"/>
              <w:rPr>
                <w:b w:val="0"/>
              </w:rPr>
            </w:pPr>
            <w:r w:rsidRPr="009D4E18">
              <w:rPr>
                <w:b w:val="0"/>
              </w:rPr>
              <w:t>5.</w:t>
            </w:r>
          </w:p>
        </w:tc>
        <w:tc>
          <w:tcPr>
            <w:tcW w:w="3969" w:type="dxa"/>
          </w:tcPr>
          <w:p w:rsidR="00182EBA" w:rsidRPr="009D4E18" w:rsidRDefault="00182EBA" w:rsidP="007D099D">
            <w:pPr>
              <w:pStyle w:val="naisf"/>
              <w:spacing w:before="0" w:after="0"/>
              <w:ind w:left="57" w:right="57" w:firstLine="0"/>
              <w:jc w:val="left"/>
            </w:pPr>
            <w:r w:rsidRPr="009D4E18">
              <w:t>Projekta izpildes ietekme uz pārvaldes institucionālo struktūru.</w:t>
            </w:r>
          </w:p>
          <w:p w:rsidR="00182EBA" w:rsidRPr="009D4E18" w:rsidRDefault="00182EBA" w:rsidP="007D099D">
            <w:pPr>
              <w:pStyle w:val="naisf"/>
              <w:spacing w:before="0" w:after="0"/>
              <w:ind w:left="57" w:right="57" w:firstLine="0"/>
              <w:jc w:val="left"/>
            </w:pPr>
            <w:r w:rsidRPr="009D4E18">
              <w:t>Esošu institūciju reorganizācija</w:t>
            </w:r>
          </w:p>
        </w:tc>
        <w:tc>
          <w:tcPr>
            <w:tcW w:w="4820" w:type="dxa"/>
          </w:tcPr>
          <w:p w:rsidR="00182EBA" w:rsidRPr="009D4E18" w:rsidRDefault="00182EBA" w:rsidP="00707AAF">
            <w:pPr>
              <w:pStyle w:val="naisnod"/>
              <w:spacing w:before="0" w:after="0"/>
              <w:ind w:left="57" w:right="57"/>
              <w:jc w:val="left"/>
              <w:rPr>
                <w:b w:val="0"/>
              </w:rPr>
            </w:pPr>
            <w:r w:rsidRPr="009D4E18">
              <w:rPr>
                <w:b w:val="0"/>
                <w:iCs/>
              </w:rPr>
              <w:t>Projekts šo jomu neskar</w:t>
            </w:r>
            <w:r w:rsidRPr="009D4E18">
              <w:rPr>
                <w:b w:val="0"/>
              </w:rPr>
              <w:t>.</w:t>
            </w:r>
          </w:p>
        </w:tc>
      </w:tr>
      <w:tr w:rsidR="00182EBA" w:rsidRPr="009D4E18" w:rsidTr="00B3406E">
        <w:trPr>
          <w:trHeight w:val="188"/>
        </w:trPr>
        <w:tc>
          <w:tcPr>
            <w:tcW w:w="567" w:type="dxa"/>
          </w:tcPr>
          <w:p w:rsidR="00182EBA" w:rsidRPr="009D4E18" w:rsidRDefault="00182EBA" w:rsidP="007D099D">
            <w:pPr>
              <w:pStyle w:val="naiskr"/>
              <w:spacing w:before="0" w:after="0"/>
              <w:ind w:left="57" w:right="57"/>
            </w:pPr>
            <w:r w:rsidRPr="009D4E18">
              <w:t>6.</w:t>
            </w:r>
          </w:p>
        </w:tc>
        <w:tc>
          <w:tcPr>
            <w:tcW w:w="3969" w:type="dxa"/>
          </w:tcPr>
          <w:p w:rsidR="00182EBA" w:rsidRPr="009D4E18" w:rsidRDefault="00182EBA" w:rsidP="007D099D">
            <w:pPr>
              <w:pStyle w:val="naiskr"/>
              <w:spacing w:before="0" w:after="0"/>
              <w:ind w:left="57" w:right="57"/>
            </w:pPr>
            <w:r w:rsidRPr="009D4E18">
              <w:t>Cita informācija</w:t>
            </w:r>
          </w:p>
        </w:tc>
        <w:tc>
          <w:tcPr>
            <w:tcW w:w="4820" w:type="dxa"/>
          </w:tcPr>
          <w:p w:rsidR="00182EBA" w:rsidRPr="009D4E18" w:rsidRDefault="00182EBA" w:rsidP="00707AAF">
            <w:pPr>
              <w:pStyle w:val="naiskr"/>
              <w:spacing w:before="0" w:after="0"/>
              <w:ind w:left="57" w:right="57"/>
            </w:pPr>
            <w:r w:rsidRPr="009D4E18">
              <w:t>Nav.</w:t>
            </w:r>
          </w:p>
        </w:tc>
      </w:tr>
    </w:tbl>
    <w:p w:rsidR="00182EBA" w:rsidRPr="009D4E18" w:rsidRDefault="00182EBA" w:rsidP="0093263C">
      <w:pPr>
        <w:ind w:firstLine="720"/>
        <w:jc w:val="both"/>
      </w:pPr>
    </w:p>
    <w:p w:rsidR="00B3406E" w:rsidRDefault="00B3406E" w:rsidP="0093263C">
      <w:pPr>
        <w:ind w:firstLine="720"/>
        <w:jc w:val="both"/>
        <w:rPr>
          <w:sz w:val="28"/>
          <w:szCs w:val="28"/>
        </w:rPr>
      </w:pPr>
    </w:p>
    <w:p w:rsidR="00B3406E" w:rsidRDefault="00B3406E" w:rsidP="0093263C">
      <w:pPr>
        <w:ind w:firstLine="720"/>
        <w:jc w:val="both"/>
        <w:rPr>
          <w:sz w:val="28"/>
          <w:szCs w:val="28"/>
        </w:rPr>
      </w:pPr>
    </w:p>
    <w:p w:rsidR="00182EBA" w:rsidRPr="009D4E18" w:rsidRDefault="00182EBA" w:rsidP="0093263C">
      <w:pPr>
        <w:ind w:firstLine="720"/>
        <w:jc w:val="both"/>
        <w:rPr>
          <w:sz w:val="28"/>
          <w:szCs w:val="28"/>
        </w:rPr>
      </w:pPr>
      <w:r w:rsidRPr="009D4E18">
        <w:rPr>
          <w:sz w:val="28"/>
          <w:szCs w:val="28"/>
        </w:rPr>
        <w:t>Zemkopības ministre</w:t>
      </w:r>
      <w:r w:rsidRPr="009D4E18">
        <w:rPr>
          <w:sz w:val="28"/>
          <w:szCs w:val="28"/>
        </w:rPr>
        <w:tab/>
      </w:r>
      <w:r w:rsidRPr="009D4E18">
        <w:rPr>
          <w:sz w:val="28"/>
          <w:szCs w:val="28"/>
        </w:rPr>
        <w:tab/>
      </w:r>
      <w:r w:rsidRPr="009D4E18">
        <w:rPr>
          <w:sz w:val="28"/>
          <w:szCs w:val="28"/>
        </w:rPr>
        <w:tab/>
      </w:r>
      <w:r w:rsidRPr="009D4E18">
        <w:rPr>
          <w:sz w:val="28"/>
          <w:szCs w:val="28"/>
        </w:rPr>
        <w:tab/>
      </w:r>
      <w:r w:rsidRPr="009D4E18">
        <w:rPr>
          <w:sz w:val="28"/>
          <w:szCs w:val="28"/>
        </w:rPr>
        <w:tab/>
      </w:r>
      <w:r w:rsidRPr="009D4E18">
        <w:rPr>
          <w:sz w:val="28"/>
          <w:szCs w:val="28"/>
        </w:rPr>
        <w:tab/>
        <w:t>L.Straujuma</w:t>
      </w:r>
    </w:p>
    <w:p w:rsidR="00182EBA" w:rsidRPr="009D4E18" w:rsidRDefault="00182EBA" w:rsidP="00BC4F70">
      <w:pPr>
        <w:jc w:val="both"/>
      </w:pPr>
    </w:p>
    <w:p w:rsidR="00B3406E" w:rsidRDefault="00B3406E" w:rsidP="00D550E5">
      <w:pPr>
        <w:jc w:val="both"/>
        <w:rPr>
          <w:sz w:val="20"/>
          <w:szCs w:val="20"/>
        </w:rPr>
      </w:pPr>
    </w:p>
    <w:p w:rsidR="00B3406E" w:rsidRDefault="00B3406E" w:rsidP="00D550E5">
      <w:pPr>
        <w:jc w:val="both"/>
        <w:rPr>
          <w:sz w:val="20"/>
          <w:szCs w:val="20"/>
        </w:rPr>
      </w:pPr>
    </w:p>
    <w:p w:rsidR="00B3406E" w:rsidRDefault="00B3406E" w:rsidP="00D550E5">
      <w:pPr>
        <w:jc w:val="both"/>
        <w:rPr>
          <w:sz w:val="20"/>
          <w:szCs w:val="20"/>
        </w:rPr>
      </w:pPr>
    </w:p>
    <w:p w:rsidR="00B3406E" w:rsidRDefault="00B3406E" w:rsidP="00D550E5">
      <w:pPr>
        <w:jc w:val="both"/>
        <w:rPr>
          <w:sz w:val="20"/>
          <w:szCs w:val="20"/>
        </w:rPr>
      </w:pPr>
    </w:p>
    <w:p w:rsidR="00B3406E" w:rsidRDefault="00B3406E" w:rsidP="00D550E5">
      <w:pPr>
        <w:jc w:val="both"/>
        <w:rPr>
          <w:sz w:val="20"/>
          <w:szCs w:val="20"/>
        </w:rPr>
      </w:pPr>
    </w:p>
    <w:p w:rsidR="00B3406E" w:rsidRDefault="00B3406E" w:rsidP="00D550E5">
      <w:pPr>
        <w:jc w:val="both"/>
        <w:rPr>
          <w:sz w:val="20"/>
          <w:szCs w:val="20"/>
        </w:rPr>
      </w:pPr>
    </w:p>
    <w:p w:rsidR="00B3406E" w:rsidRDefault="00B3406E" w:rsidP="00D550E5">
      <w:pPr>
        <w:jc w:val="both"/>
        <w:rPr>
          <w:sz w:val="20"/>
          <w:szCs w:val="20"/>
        </w:rPr>
      </w:pPr>
    </w:p>
    <w:p w:rsidR="00B3406E" w:rsidRDefault="00B3406E" w:rsidP="00D550E5">
      <w:pPr>
        <w:jc w:val="both"/>
        <w:rPr>
          <w:sz w:val="20"/>
          <w:szCs w:val="20"/>
        </w:rPr>
      </w:pPr>
    </w:p>
    <w:p w:rsidR="00573CAB" w:rsidRDefault="00573CAB" w:rsidP="00D550E5">
      <w:pPr>
        <w:jc w:val="both"/>
        <w:rPr>
          <w:sz w:val="20"/>
          <w:szCs w:val="20"/>
        </w:rPr>
      </w:pPr>
      <w:r>
        <w:rPr>
          <w:sz w:val="20"/>
          <w:szCs w:val="20"/>
        </w:rPr>
        <w:t>2012.03.16. 11:41</w:t>
      </w:r>
    </w:p>
    <w:p w:rsidR="00573CAB" w:rsidRDefault="00573CAB" w:rsidP="00D550E5">
      <w:pPr>
        <w:jc w:val="both"/>
        <w:rPr>
          <w:sz w:val="20"/>
          <w:szCs w:val="20"/>
        </w:rPr>
      </w:pPr>
      <w:fldSimple w:instr=" NUMWORDS   \* MERGEFORMAT ">
        <w:r>
          <w:rPr>
            <w:noProof/>
            <w:sz w:val="20"/>
            <w:szCs w:val="20"/>
          </w:rPr>
          <w:t>1096</w:t>
        </w:r>
      </w:fldSimple>
    </w:p>
    <w:p w:rsidR="00182EBA" w:rsidRPr="009D4E18" w:rsidRDefault="00182EBA" w:rsidP="00D550E5">
      <w:pPr>
        <w:jc w:val="both"/>
        <w:rPr>
          <w:sz w:val="20"/>
          <w:szCs w:val="20"/>
        </w:rPr>
      </w:pPr>
      <w:r w:rsidRPr="009D4E18">
        <w:rPr>
          <w:sz w:val="20"/>
          <w:szCs w:val="20"/>
        </w:rPr>
        <w:t>L.Gurecka</w:t>
      </w:r>
    </w:p>
    <w:p w:rsidR="00182EBA" w:rsidRPr="009D4E18" w:rsidRDefault="00182EBA" w:rsidP="00D550E5">
      <w:pPr>
        <w:pStyle w:val="naisf"/>
        <w:tabs>
          <w:tab w:val="left" w:pos="6804"/>
        </w:tabs>
        <w:spacing w:before="0" w:after="0"/>
        <w:ind w:firstLine="0"/>
      </w:pPr>
      <w:r w:rsidRPr="009D4E18">
        <w:rPr>
          <w:sz w:val="20"/>
          <w:szCs w:val="20"/>
        </w:rPr>
        <w:t xml:space="preserve">67027063, </w:t>
      </w:r>
      <w:r w:rsidRPr="00573CAB">
        <w:rPr>
          <w:sz w:val="20"/>
          <w:szCs w:val="20"/>
        </w:rPr>
        <w:t>Linda.Gurecka@zm.gov.lv</w:t>
      </w:r>
    </w:p>
    <w:sectPr w:rsidR="00182EBA" w:rsidRPr="009D4E18" w:rsidSect="00573CA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D1" w:rsidRDefault="00C042D1">
      <w:r>
        <w:separator/>
      </w:r>
    </w:p>
  </w:endnote>
  <w:endnote w:type="continuationSeparator" w:id="0">
    <w:p w:rsidR="00C042D1" w:rsidRDefault="00C0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BA" w:rsidRPr="00DA139B" w:rsidRDefault="00182EBA" w:rsidP="007D57C0">
    <w:pPr>
      <w:pStyle w:val="Kjene"/>
      <w:jc w:val="both"/>
      <w:rPr>
        <w:sz w:val="20"/>
        <w:szCs w:val="20"/>
      </w:rPr>
    </w:pPr>
    <w:r w:rsidRPr="000A12CA">
      <w:rPr>
        <w:sz w:val="20"/>
        <w:szCs w:val="20"/>
      </w:rPr>
      <w:t>ZMAnot_</w:t>
    </w:r>
    <w:r>
      <w:rPr>
        <w:sz w:val="20"/>
      </w:rPr>
      <w:t>1</w:t>
    </w:r>
    <w:r w:rsidR="003B63D9">
      <w:rPr>
        <w:sz w:val="20"/>
      </w:rPr>
      <w:t>6</w:t>
    </w:r>
    <w:r w:rsidRPr="00A27C7B">
      <w:rPr>
        <w:sz w:val="20"/>
      </w:rPr>
      <w:t>0</w:t>
    </w:r>
    <w:r>
      <w:rPr>
        <w:sz w:val="20"/>
      </w:rPr>
      <w:t>3</w:t>
    </w:r>
    <w:r w:rsidRPr="00A27C7B">
      <w:rPr>
        <w:sz w:val="20"/>
      </w:rPr>
      <w:t>1</w:t>
    </w:r>
    <w:r>
      <w:rPr>
        <w:sz w:val="20"/>
      </w:rPr>
      <w:t>2_RKP</w:t>
    </w:r>
    <w:r w:rsidRPr="000A12CA">
      <w:rPr>
        <w:sz w:val="20"/>
        <w:szCs w:val="20"/>
      </w:rPr>
      <w:t xml:space="preserve">; </w:t>
    </w:r>
    <w:r w:rsidRPr="000A12CA">
      <w:rPr>
        <w:color w:val="000000"/>
        <w:sz w:val="20"/>
        <w:szCs w:val="20"/>
      </w:rPr>
      <w:t xml:space="preserve">Grozījumi Ministru kabineta </w:t>
    </w:r>
    <w:r w:rsidRPr="000A12CA">
      <w:rPr>
        <w:sz w:val="20"/>
        <w:szCs w:val="20"/>
      </w:rPr>
      <w:t>2010.gada 27.jūlija noteikumos Nr.704 „</w:t>
    </w:r>
    <w:r w:rsidRPr="000A12CA">
      <w:rPr>
        <w:bCs/>
        <w:sz w:val="20"/>
        <w:szCs w:val="20"/>
      </w:rPr>
      <w:t>Noteikumi par robežšķērsošanas vietām un tajās veicamajām pārbaudēm”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BA" w:rsidRPr="000A12CA" w:rsidRDefault="00182EBA" w:rsidP="007D57C0">
    <w:pPr>
      <w:pStyle w:val="Kjene"/>
      <w:jc w:val="both"/>
      <w:rPr>
        <w:sz w:val="20"/>
        <w:szCs w:val="20"/>
      </w:rPr>
    </w:pPr>
    <w:r w:rsidRPr="000A12CA">
      <w:rPr>
        <w:sz w:val="20"/>
        <w:szCs w:val="20"/>
      </w:rPr>
      <w:t>ZMAnot_</w:t>
    </w:r>
    <w:r w:rsidR="003B63D9">
      <w:rPr>
        <w:sz w:val="20"/>
      </w:rPr>
      <w:t>16</w:t>
    </w:r>
    <w:r w:rsidRPr="00A27C7B">
      <w:rPr>
        <w:sz w:val="20"/>
      </w:rPr>
      <w:t>0</w:t>
    </w:r>
    <w:r>
      <w:rPr>
        <w:sz w:val="20"/>
      </w:rPr>
      <w:t>3</w:t>
    </w:r>
    <w:r w:rsidRPr="00A27C7B">
      <w:rPr>
        <w:sz w:val="20"/>
      </w:rPr>
      <w:t>1</w:t>
    </w:r>
    <w:r>
      <w:rPr>
        <w:sz w:val="20"/>
      </w:rPr>
      <w:t>2_RKP</w:t>
    </w:r>
    <w:r w:rsidRPr="000A12CA">
      <w:rPr>
        <w:sz w:val="20"/>
        <w:szCs w:val="20"/>
      </w:rPr>
      <w:t xml:space="preserve">; </w:t>
    </w:r>
    <w:r w:rsidRPr="000A12CA">
      <w:rPr>
        <w:color w:val="000000"/>
        <w:sz w:val="20"/>
        <w:szCs w:val="20"/>
      </w:rPr>
      <w:t xml:space="preserve">Grozījumi Ministru kabineta </w:t>
    </w:r>
    <w:r w:rsidRPr="000A12CA">
      <w:rPr>
        <w:sz w:val="20"/>
        <w:szCs w:val="20"/>
      </w:rPr>
      <w:t>2010.gada 27.jūlija noteikumos Nr.704 „</w:t>
    </w:r>
    <w:r w:rsidRPr="000A12CA">
      <w:rPr>
        <w:bCs/>
        <w:sz w:val="20"/>
        <w:szCs w:val="20"/>
      </w:rPr>
      <w:t>Noteikumi par robežšķērsošanas vietām un tajās veicamajām pārbaudēm”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D1" w:rsidRDefault="00C042D1">
      <w:r>
        <w:separator/>
      </w:r>
    </w:p>
  </w:footnote>
  <w:footnote w:type="continuationSeparator" w:id="0">
    <w:p w:rsidR="00C042D1" w:rsidRDefault="00C0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BA" w:rsidRDefault="00615DAC" w:rsidP="003C449B">
    <w:pPr>
      <w:pStyle w:val="Galvene"/>
      <w:framePr w:wrap="around" w:vAnchor="text" w:hAnchor="margin" w:xAlign="center" w:y="1"/>
      <w:rPr>
        <w:rStyle w:val="Lappusesnumurs"/>
      </w:rPr>
    </w:pPr>
    <w:r>
      <w:rPr>
        <w:rStyle w:val="Lappusesnumurs"/>
      </w:rPr>
      <w:fldChar w:fldCharType="begin"/>
    </w:r>
    <w:r w:rsidR="00182EBA">
      <w:rPr>
        <w:rStyle w:val="Lappusesnumurs"/>
      </w:rPr>
      <w:instrText xml:space="preserve">PAGE  </w:instrText>
    </w:r>
    <w:r>
      <w:rPr>
        <w:rStyle w:val="Lappusesnumurs"/>
      </w:rPr>
      <w:fldChar w:fldCharType="end"/>
    </w:r>
  </w:p>
  <w:p w:rsidR="00182EBA" w:rsidRDefault="00182EB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BA" w:rsidRDefault="00615DAC" w:rsidP="003C449B">
    <w:pPr>
      <w:pStyle w:val="Galvene"/>
      <w:framePr w:wrap="around" w:vAnchor="text" w:hAnchor="margin" w:xAlign="center" w:y="1"/>
      <w:rPr>
        <w:rStyle w:val="Lappusesnumurs"/>
      </w:rPr>
    </w:pPr>
    <w:r>
      <w:rPr>
        <w:rStyle w:val="Lappusesnumurs"/>
      </w:rPr>
      <w:fldChar w:fldCharType="begin"/>
    </w:r>
    <w:r w:rsidR="00182EBA">
      <w:rPr>
        <w:rStyle w:val="Lappusesnumurs"/>
      </w:rPr>
      <w:instrText xml:space="preserve">PAGE  </w:instrText>
    </w:r>
    <w:r>
      <w:rPr>
        <w:rStyle w:val="Lappusesnumurs"/>
      </w:rPr>
      <w:fldChar w:fldCharType="separate"/>
    </w:r>
    <w:r w:rsidR="00573CAB">
      <w:rPr>
        <w:rStyle w:val="Lappusesnumurs"/>
        <w:noProof/>
      </w:rPr>
      <w:t>4</w:t>
    </w:r>
    <w:r>
      <w:rPr>
        <w:rStyle w:val="Lappusesnumurs"/>
      </w:rPr>
      <w:fldChar w:fldCharType="end"/>
    </w:r>
  </w:p>
  <w:p w:rsidR="00182EBA" w:rsidRDefault="00182EB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A72"/>
    <w:rsid w:val="00004B1A"/>
    <w:rsid w:val="00011D24"/>
    <w:rsid w:val="00013FF4"/>
    <w:rsid w:val="000177A0"/>
    <w:rsid w:val="00017848"/>
    <w:rsid w:val="00017F4D"/>
    <w:rsid w:val="00020FE1"/>
    <w:rsid w:val="00022E13"/>
    <w:rsid w:val="00032388"/>
    <w:rsid w:val="00035637"/>
    <w:rsid w:val="00035CE2"/>
    <w:rsid w:val="00045ADA"/>
    <w:rsid w:val="00045CFE"/>
    <w:rsid w:val="0005553B"/>
    <w:rsid w:val="000562E8"/>
    <w:rsid w:val="000604D2"/>
    <w:rsid w:val="00075B84"/>
    <w:rsid w:val="0007638F"/>
    <w:rsid w:val="00081E16"/>
    <w:rsid w:val="00083E08"/>
    <w:rsid w:val="00084982"/>
    <w:rsid w:val="00084F44"/>
    <w:rsid w:val="00084F92"/>
    <w:rsid w:val="00086208"/>
    <w:rsid w:val="0009005E"/>
    <w:rsid w:val="000922CB"/>
    <w:rsid w:val="000941C5"/>
    <w:rsid w:val="000943B3"/>
    <w:rsid w:val="000A058A"/>
    <w:rsid w:val="000A1023"/>
    <w:rsid w:val="000A12CA"/>
    <w:rsid w:val="000A1491"/>
    <w:rsid w:val="000A6451"/>
    <w:rsid w:val="000A690F"/>
    <w:rsid w:val="000B064E"/>
    <w:rsid w:val="000B69CF"/>
    <w:rsid w:val="000C0BB3"/>
    <w:rsid w:val="000C0F3B"/>
    <w:rsid w:val="000C64FC"/>
    <w:rsid w:val="000C790C"/>
    <w:rsid w:val="000E38DB"/>
    <w:rsid w:val="000F061D"/>
    <w:rsid w:val="000F1A6E"/>
    <w:rsid w:val="000F1BD9"/>
    <w:rsid w:val="000F4794"/>
    <w:rsid w:val="0010712E"/>
    <w:rsid w:val="0010731E"/>
    <w:rsid w:val="0012314B"/>
    <w:rsid w:val="00124F12"/>
    <w:rsid w:val="00144E3A"/>
    <w:rsid w:val="0014759B"/>
    <w:rsid w:val="0015060C"/>
    <w:rsid w:val="0015217B"/>
    <w:rsid w:val="00154889"/>
    <w:rsid w:val="00156137"/>
    <w:rsid w:val="001570AF"/>
    <w:rsid w:val="0016018A"/>
    <w:rsid w:val="00161F0E"/>
    <w:rsid w:val="0016363A"/>
    <w:rsid w:val="00163E96"/>
    <w:rsid w:val="00167E61"/>
    <w:rsid w:val="00170E2A"/>
    <w:rsid w:val="00173563"/>
    <w:rsid w:val="00173649"/>
    <w:rsid w:val="00177394"/>
    <w:rsid w:val="00177861"/>
    <w:rsid w:val="00181B9F"/>
    <w:rsid w:val="00182C18"/>
    <w:rsid w:val="00182EBA"/>
    <w:rsid w:val="00183CC2"/>
    <w:rsid w:val="001900E4"/>
    <w:rsid w:val="00190F88"/>
    <w:rsid w:val="00191681"/>
    <w:rsid w:val="001951FE"/>
    <w:rsid w:val="001A4066"/>
    <w:rsid w:val="001A6AE4"/>
    <w:rsid w:val="001A7913"/>
    <w:rsid w:val="001B01FD"/>
    <w:rsid w:val="001B4A71"/>
    <w:rsid w:val="001C0337"/>
    <w:rsid w:val="001C4B85"/>
    <w:rsid w:val="001D0B7B"/>
    <w:rsid w:val="001D2131"/>
    <w:rsid w:val="001D5714"/>
    <w:rsid w:val="001D5B54"/>
    <w:rsid w:val="001E17CF"/>
    <w:rsid w:val="001E1DBF"/>
    <w:rsid w:val="001E4639"/>
    <w:rsid w:val="001E4A7D"/>
    <w:rsid w:val="001F43A8"/>
    <w:rsid w:val="001F5CD6"/>
    <w:rsid w:val="0020572A"/>
    <w:rsid w:val="0021263D"/>
    <w:rsid w:val="00213F0C"/>
    <w:rsid w:val="00214094"/>
    <w:rsid w:val="0021592D"/>
    <w:rsid w:val="002179BC"/>
    <w:rsid w:val="00222D76"/>
    <w:rsid w:val="00223EB1"/>
    <w:rsid w:val="00231344"/>
    <w:rsid w:val="00233C44"/>
    <w:rsid w:val="0023436E"/>
    <w:rsid w:val="002347C0"/>
    <w:rsid w:val="00234A18"/>
    <w:rsid w:val="00241A6C"/>
    <w:rsid w:val="00242D2B"/>
    <w:rsid w:val="002442F1"/>
    <w:rsid w:val="0024781D"/>
    <w:rsid w:val="002530D0"/>
    <w:rsid w:val="00262E2B"/>
    <w:rsid w:val="002651A5"/>
    <w:rsid w:val="00270429"/>
    <w:rsid w:val="00271693"/>
    <w:rsid w:val="002723E9"/>
    <w:rsid w:val="00277929"/>
    <w:rsid w:val="00281B27"/>
    <w:rsid w:val="0028350C"/>
    <w:rsid w:val="00283B82"/>
    <w:rsid w:val="002846E9"/>
    <w:rsid w:val="00284C34"/>
    <w:rsid w:val="0028693C"/>
    <w:rsid w:val="0029066C"/>
    <w:rsid w:val="002A29B0"/>
    <w:rsid w:val="002B1DCE"/>
    <w:rsid w:val="002B50DB"/>
    <w:rsid w:val="002B6253"/>
    <w:rsid w:val="002C12AB"/>
    <w:rsid w:val="002C7CAC"/>
    <w:rsid w:val="002D3306"/>
    <w:rsid w:val="002D48AA"/>
    <w:rsid w:val="002D5C0F"/>
    <w:rsid w:val="002D7BAA"/>
    <w:rsid w:val="002D7F54"/>
    <w:rsid w:val="002E2698"/>
    <w:rsid w:val="002E3FF4"/>
    <w:rsid w:val="002E5CCB"/>
    <w:rsid w:val="002E7055"/>
    <w:rsid w:val="002E7472"/>
    <w:rsid w:val="002E7AE7"/>
    <w:rsid w:val="002F1739"/>
    <w:rsid w:val="002F19FA"/>
    <w:rsid w:val="002F4EFD"/>
    <w:rsid w:val="002F78C8"/>
    <w:rsid w:val="003000AB"/>
    <w:rsid w:val="00301CF3"/>
    <w:rsid w:val="00304F1E"/>
    <w:rsid w:val="0030672C"/>
    <w:rsid w:val="00313E42"/>
    <w:rsid w:val="0031468D"/>
    <w:rsid w:val="0032715C"/>
    <w:rsid w:val="00337CA5"/>
    <w:rsid w:val="00345933"/>
    <w:rsid w:val="00362478"/>
    <w:rsid w:val="00375B25"/>
    <w:rsid w:val="00383E93"/>
    <w:rsid w:val="003914C1"/>
    <w:rsid w:val="003918AC"/>
    <w:rsid w:val="00396542"/>
    <w:rsid w:val="0039685B"/>
    <w:rsid w:val="00397CA1"/>
    <w:rsid w:val="003A0EDB"/>
    <w:rsid w:val="003A31A6"/>
    <w:rsid w:val="003A5971"/>
    <w:rsid w:val="003A7AC5"/>
    <w:rsid w:val="003A7F0C"/>
    <w:rsid w:val="003A7F79"/>
    <w:rsid w:val="003B63D9"/>
    <w:rsid w:val="003B6404"/>
    <w:rsid w:val="003B688D"/>
    <w:rsid w:val="003C4283"/>
    <w:rsid w:val="003C449B"/>
    <w:rsid w:val="003D21FF"/>
    <w:rsid w:val="003D7ED3"/>
    <w:rsid w:val="003E3793"/>
    <w:rsid w:val="003F0112"/>
    <w:rsid w:val="003F071A"/>
    <w:rsid w:val="003F160B"/>
    <w:rsid w:val="003F18B9"/>
    <w:rsid w:val="003F71C5"/>
    <w:rsid w:val="00400032"/>
    <w:rsid w:val="00400653"/>
    <w:rsid w:val="00400822"/>
    <w:rsid w:val="00400B5B"/>
    <w:rsid w:val="004052CF"/>
    <w:rsid w:val="00405A00"/>
    <w:rsid w:val="0041170F"/>
    <w:rsid w:val="00420870"/>
    <w:rsid w:val="004333D5"/>
    <w:rsid w:val="0043361D"/>
    <w:rsid w:val="00433AF9"/>
    <w:rsid w:val="0043791B"/>
    <w:rsid w:val="004379E6"/>
    <w:rsid w:val="00441483"/>
    <w:rsid w:val="00441BCB"/>
    <w:rsid w:val="00442B9C"/>
    <w:rsid w:val="004501DE"/>
    <w:rsid w:val="0045176A"/>
    <w:rsid w:val="00456332"/>
    <w:rsid w:val="00457E50"/>
    <w:rsid w:val="00461826"/>
    <w:rsid w:val="0046446B"/>
    <w:rsid w:val="00477029"/>
    <w:rsid w:val="004800F9"/>
    <w:rsid w:val="0048191C"/>
    <w:rsid w:val="00485ECC"/>
    <w:rsid w:val="004903F8"/>
    <w:rsid w:val="0049134A"/>
    <w:rsid w:val="00496773"/>
    <w:rsid w:val="004A126C"/>
    <w:rsid w:val="004A36B1"/>
    <w:rsid w:val="004A58CB"/>
    <w:rsid w:val="004A7209"/>
    <w:rsid w:val="004B1795"/>
    <w:rsid w:val="004B31A7"/>
    <w:rsid w:val="004B56DD"/>
    <w:rsid w:val="004C020F"/>
    <w:rsid w:val="004C1AFD"/>
    <w:rsid w:val="004C54ED"/>
    <w:rsid w:val="004C558B"/>
    <w:rsid w:val="004D5B8D"/>
    <w:rsid w:val="004F0049"/>
    <w:rsid w:val="004F1F88"/>
    <w:rsid w:val="004F320F"/>
    <w:rsid w:val="004F5F1B"/>
    <w:rsid w:val="00501766"/>
    <w:rsid w:val="00502225"/>
    <w:rsid w:val="00502374"/>
    <w:rsid w:val="005060A1"/>
    <w:rsid w:val="005060ED"/>
    <w:rsid w:val="0051384A"/>
    <w:rsid w:val="00516072"/>
    <w:rsid w:val="005161E1"/>
    <w:rsid w:val="00525C6A"/>
    <w:rsid w:val="0053174F"/>
    <w:rsid w:val="005332EC"/>
    <w:rsid w:val="00534418"/>
    <w:rsid w:val="005353AB"/>
    <w:rsid w:val="005560BC"/>
    <w:rsid w:val="005573BE"/>
    <w:rsid w:val="0056586A"/>
    <w:rsid w:val="00572700"/>
    <w:rsid w:val="00573CAB"/>
    <w:rsid w:val="005753C6"/>
    <w:rsid w:val="00580468"/>
    <w:rsid w:val="005814FF"/>
    <w:rsid w:val="00583F84"/>
    <w:rsid w:val="0058603B"/>
    <w:rsid w:val="0059431B"/>
    <w:rsid w:val="00594988"/>
    <w:rsid w:val="005A053C"/>
    <w:rsid w:val="005A39CC"/>
    <w:rsid w:val="005A60AA"/>
    <w:rsid w:val="005A7149"/>
    <w:rsid w:val="005B3DA5"/>
    <w:rsid w:val="005B4730"/>
    <w:rsid w:val="005C45AA"/>
    <w:rsid w:val="005C45B2"/>
    <w:rsid w:val="005C69F5"/>
    <w:rsid w:val="005D135D"/>
    <w:rsid w:val="005D2BC9"/>
    <w:rsid w:val="005E05D7"/>
    <w:rsid w:val="005E41E7"/>
    <w:rsid w:val="005E450F"/>
    <w:rsid w:val="005F0F86"/>
    <w:rsid w:val="005F287B"/>
    <w:rsid w:val="005F31A3"/>
    <w:rsid w:val="005F4A1B"/>
    <w:rsid w:val="0061192E"/>
    <w:rsid w:val="00614FDE"/>
    <w:rsid w:val="00615DAC"/>
    <w:rsid w:val="006204F3"/>
    <w:rsid w:val="0062298A"/>
    <w:rsid w:val="00626514"/>
    <w:rsid w:val="00626589"/>
    <w:rsid w:val="00632480"/>
    <w:rsid w:val="006339A0"/>
    <w:rsid w:val="0063670C"/>
    <w:rsid w:val="006413A8"/>
    <w:rsid w:val="00642489"/>
    <w:rsid w:val="00642E56"/>
    <w:rsid w:val="00643461"/>
    <w:rsid w:val="006470E3"/>
    <w:rsid w:val="00651E00"/>
    <w:rsid w:val="00657317"/>
    <w:rsid w:val="00660703"/>
    <w:rsid w:val="00666A1C"/>
    <w:rsid w:val="00670396"/>
    <w:rsid w:val="00671837"/>
    <w:rsid w:val="00674572"/>
    <w:rsid w:val="00676273"/>
    <w:rsid w:val="00682FD3"/>
    <w:rsid w:val="00687763"/>
    <w:rsid w:val="00692B0D"/>
    <w:rsid w:val="00693E0E"/>
    <w:rsid w:val="00693EF6"/>
    <w:rsid w:val="00694EFC"/>
    <w:rsid w:val="006A1AE3"/>
    <w:rsid w:val="006B182E"/>
    <w:rsid w:val="006B722D"/>
    <w:rsid w:val="006C30E1"/>
    <w:rsid w:val="006C4607"/>
    <w:rsid w:val="006C61EF"/>
    <w:rsid w:val="006D0E12"/>
    <w:rsid w:val="006D48F1"/>
    <w:rsid w:val="006E7A9C"/>
    <w:rsid w:val="006F0F4E"/>
    <w:rsid w:val="006F2A1E"/>
    <w:rsid w:val="006F45BE"/>
    <w:rsid w:val="007004FC"/>
    <w:rsid w:val="00700E5B"/>
    <w:rsid w:val="00701E93"/>
    <w:rsid w:val="00706670"/>
    <w:rsid w:val="00707AAF"/>
    <w:rsid w:val="00711E96"/>
    <w:rsid w:val="0072417C"/>
    <w:rsid w:val="00726C8C"/>
    <w:rsid w:val="00734450"/>
    <w:rsid w:val="00745F67"/>
    <w:rsid w:val="0075039E"/>
    <w:rsid w:val="00752D9D"/>
    <w:rsid w:val="00754784"/>
    <w:rsid w:val="007554FA"/>
    <w:rsid w:val="007567C1"/>
    <w:rsid w:val="00757C6E"/>
    <w:rsid w:val="00762BDA"/>
    <w:rsid w:val="007727E8"/>
    <w:rsid w:val="007805FD"/>
    <w:rsid w:val="00784296"/>
    <w:rsid w:val="00784422"/>
    <w:rsid w:val="007929B4"/>
    <w:rsid w:val="007A404B"/>
    <w:rsid w:val="007B3B54"/>
    <w:rsid w:val="007B3FA0"/>
    <w:rsid w:val="007C0F2C"/>
    <w:rsid w:val="007C2B34"/>
    <w:rsid w:val="007C2BCC"/>
    <w:rsid w:val="007C4EF0"/>
    <w:rsid w:val="007D099D"/>
    <w:rsid w:val="007D0C16"/>
    <w:rsid w:val="007D18C8"/>
    <w:rsid w:val="007D29D3"/>
    <w:rsid w:val="007D57C0"/>
    <w:rsid w:val="007E2664"/>
    <w:rsid w:val="007E3303"/>
    <w:rsid w:val="007E3ABF"/>
    <w:rsid w:val="007E5BFA"/>
    <w:rsid w:val="007E6689"/>
    <w:rsid w:val="007E731C"/>
    <w:rsid w:val="007F0A03"/>
    <w:rsid w:val="007F34AA"/>
    <w:rsid w:val="007F3C65"/>
    <w:rsid w:val="007F78B1"/>
    <w:rsid w:val="00804B46"/>
    <w:rsid w:val="00806D31"/>
    <w:rsid w:val="0080711A"/>
    <w:rsid w:val="00810040"/>
    <w:rsid w:val="00813923"/>
    <w:rsid w:val="0082023A"/>
    <w:rsid w:val="00821A7A"/>
    <w:rsid w:val="008253F8"/>
    <w:rsid w:val="00825480"/>
    <w:rsid w:val="008325E4"/>
    <w:rsid w:val="00832A2B"/>
    <w:rsid w:val="00845811"/>
    <w:rsid w:val="008465EE"/>
    <w:rsid w:val="00846994"/>
    <w:rsid w:val="00850451"/>
    <w:rsid w:val="00850AAB"/>
    <w:rsid w:val="00852042"/>
    <w:rsid w:val="008534C9"/>
    <w:rsid w:val="0085599D"/>
    <w:rsid w:val="00861929"/>
    <w:rsid w:val="00865A24"/>
    <w:rsid w:val="0087161D"/>
    <w:rsid w:val="00873F65"/>
    <w:rsid w:val="0087510C"/>
    <w:rsid w:val="00881C0B"/>
    <w:rsid w:val="0089738E"/>
    <w:rsid w:val="008A231F"/>
    <w:rsid w:val="008B5FDB"/>
    <w:rsid w:val="008B7C62"/>
    <w:rsid w:val="008C50F4"/>
    <w:rsid w:val="008C5649"/>
    <w:rsid w:val="008E33D7"/>
    <w:rsid w:val="008E44A2"/>
    <w:rsid w:val="008E513F"/>
    <w:rsid w:val="008E697D"/>
    <w:rsid w:val="008F4323"/>
    <w:rsid w:val="00900BEF"/>
    <w:rsid w:val="00903263"/>
    <w:rsid w:val="009061BB"/>
    <w:rsid w:val="00906A21"/>
    <w:rsid w:val="009079C3"/>
    <w:rsid w:val="00910462"/>
    <w:rsid w:val="00915AB1"/>
    <w:rsid w:val="00917532"/>
    <w:rsid w:val="009175A1"/>
    <w:rsid w:val="009235BA"/>
    <w:rsid w:val="00924023"/>
    <w:rsid w:val="00924CE2"/>
    <w:rsid w:val="00925B9F"/>
    <w:rsid w:val="009312E8"/>
    <w:rsid w:val="00931AED"/>
    <w:rsid w:val="0093263C"/>
    <w:rsid w:val="00937556"/>
    <w:rsid w:val="00941009"/>
    <w:rsid w:val="009476A3"/>
    <w:rsid w:val="0095334F"/>
    <w:rsid w:val="00965897"/>
    <w:rsid w:val="009673D4"/>
    <w:rsid w:val="0096765C"/>
    <w:rsid w:val="009727E4"/>
    <w:rsid w:val="009832F3"/>
    <w:rsid w:val="00986832"/>
    <w:rsid w:val="009934C5"/>
    <w:rsid w:val="00994C0F"/>
    <w:rsid w:val="00996A3D"/>
    <w:rsid w:val="009B22D7"/>
    <w:rsid w:val="009B3D80"/>
    <w:rsid w:val="009B4CB2"/>
    <w:rsid w:val="009B72ED"/>
    <w:rsid w:val="009B7827"/>
    <w:rsid w:val="009C6DEB"/>
    <w:rsid w:val="009D0B24"/>
    <w:rsid w:val="009D0FF4"/>
    <w:rsid w:val="009D4E18"/>
    <w:rsid w:val="009D532B"/>
    <w:rsid w:val="009D63AC"/>
    <w:rsid w:val="009D6504"/>
    <w:rsid w:val="009E12D7"/>
    <w:rsid w:val="009E4413"/>
    <w:rsid w:val="009E661A"/>
    <w:rsid w:val="009F4396"/>
    <w:rsid w:val="009F5BDF"/>
    <w:rsid w:val="009F7538"/>
    <w:rsid w:val="00A00C90"/>
    <w:rsid w:val="00A01C76"/>
    <w:rsid w:val="00A03829"/>
    <w:rsid w:val="00A04956"/>
    <w:rsid w:val="00A04EE0"/>
    <w:rsid w:val="00A05E26"/>
    <w:rsid w:val="00A06781"/>
    <w:rsid w:val="00A074C3"/>
    <w:rsid w:val="00A07D1B"/>
    <w:rsid w:val="00A1509C"/>
    <w:rsid w:val="00A20752"/>
    <w:rsid w:val="00A253BB"/>
    <w:rsid w:val="00A25A88"/>
    <w:rsid w:val="00A27C7B"/>
    <w:rsid w:val="00A34260"/>
    <w:rsid w:val="00A44AAA"/>
    <w:rsid w:val="00A50D47"/>
    <w:rsid w:val="00A5383C"/>
    <w:rsid w:val="00A70CFD"/>
    <w:rsid w:val="00A72A0B"/>
    <w:rsid w:val="00A75DEC"/>
    <w:rsid w:val="00A7746B"/>
    <w:rsid w:val="00A802AE"/>
    <w:rsid w:val="00A8116F"/>
    <w:rsid w:val="00A81E42"/>
    <w:rsid w:val="00A864FE"/>
    <w:rsid w:val="00A86F41"/>
    <w:rsid w:val="00A86FAA"/>
    <w:rsid w:val="00A8745B"/>
    <w:rsid w:val="00A87D04"/>
    <w:rsid w:val="00A950C5"/>
    <w:rsid w:val="00AA04DB"/>
    <w:rsid w:val="00AA1D25"/>
    <w:rsid w:val="00AB2B1A"/>
    <w:rsid w:val="00AB397F"/>
    <w:rsid w:val="00AB5832"/>
    <w:rsid w:val="00AC51F2"/>
    <w:rsid w:val="00AD2E0B"/>
    <w:rsid w:val="00AE5066"/>
    <w:rsid w:val="00AE5E24"/>
    <w:rsid w:val="00AE61B7"/>
    <w:rsid w:val="00AE6CBA"/>
    <w:rsid w:val="00AE79AD"/>
    <w:rsid w:val="00AF35E4"/>
    <w:rsid w:val="00AF5CDE"/>
    <w:rsid w:val="00B07852"/>
    <w:rsid w:val="00B11A57"/>
    <w:rsid w:val="00B1322C"/>
    <w:rsid w:val="00B211C3"/>
    <w:rsid w:val="00B2378C"/>
    <w:rsid w:val="00B24824"/>
    <w:rsid w:val="00B25597"/>
    <w:rsid w:val="00B25BBD"/>
    <w:rsid w:val="00B267B9"/>
    <w:rsid w:val="00B33E09"/>
    <w:rsid w:val="00B3406E"/>
    <w:rsid w:val="00B4722E"/>
    <w:rsid w:val="00B50708"/>
    <w:rsid w:val="00B50C68"/>
    <w:rsid w:val="00B51293"/>
    <w:rsid w:val="00B52B1E"/>
    <w:rsid w:val="00B55481"/>
    <w:rsid w:val="00B56C32"/>
    <w:rsid w:val="00B57ACF"/>
    <w:rsid w:val="00B64BB1"/>
    <w:rsid w:val="00B73166"/>
    <w:rsid w:val="00B76F6A"/>
    <w:rsid w:val="00B82F0F"/>
    <w:rsid w:val="00B8426C"/>
    <w:rsid w:val="00B91B8D"/>
    <w:rsid w:val="00B94E90"/>
    <w:rsid w:val="00B957DE"/>
    <w:rsid w:val="00B97263"/>
    <w:rsid w:val="00BB0A82"/>
    <w:rsid w:val="00BB1235"/>
    <w:rsid w:val="00BB7C94"/>
    <w:rsid w:val="00BC0A9D"/>
    <w:rsid w:val="00BC3E49"/>
    <w:rsid w:val="00BC4C3B"/>
    <w:rsid w:val="00BC4F70"/>
    <w:rsid w:val="00BC4F8C"/>
    <w:rsid w:val="00BD4664"/>
    <w:rsid w:val="00BD47A4"/>
    <w:rsid w:val="00BD5908"/>
    <w:rsid w:val="00BE66A5"/>
    <w:rsid w:val="00BF40A4"/>
    <w:rsid w:val="00BF40ED"/>
    <w:rsid w:val="00BF5BC2"/>
    <w:rsid w:val="00C033F6"/>
    <w:rsid w:val="00C042D1"/>
    <w:rsid w:val="00C1133D"/>
    <w:rsid w:val="00C25266"/>
    <w:rsid w:val="00C27A08"/>
    <w:rsid w:val="00C31312"/>
    <w:rsid w:val="00C32266"/>
    <w:rsid w:val="00C32475"/>
    <w:rsid w:val="00C326C6"/>
    <w:rsid w:val="00C35295"/>
    <w:rsid w:val="00C36ADD"/>
    <w:rsid w:val="00C36E74"/>
    <w:rsid w:val="00C40595"/>
    <w:rsid w:val="00C41621"/>
    <w:rsid w:val="00C449FA"/>
    <w:rsid w:val="00C4633C"/>
    <w:rsid w:val="00C5384F"/>
    <w:rsid w:val="00C56964"/>
    <w:rsid w:val="00C62CAB"/>
    <w:rsid w:val="00C63549"/>
    <w:rsid w:val="00C656D5"/>
    <w:rsid w:val="00C67103"/>
    <w:rsid w:val="00C70423"/>
    <w:rsid w:val="00C70DC4"/>
    <w:rsid w:val="00C71BB9"/>
    <w:rsid w:val="00C74A12"/>
    <w:rsid w:val="00C80CF0"/>
    <w:rsid w:val="00C87F04"/>
    <w:rsid w:val="00C931F3"/>
    <w:rsid w:val="00C94C28"/>
    <w:rsid w:val="00CA1842"/>
    <w:rsid w:val="00CA45C2"/>
    <w:rsid w:val="00CA6A2C"/>
    <w:rsid w:val="00CB0247"/>
    <w:rsid w:val="00CB3440"/>
    <w:rsid w:val="00CC1692"/>
    <w:rsid w:val="00CC3D19"/>
    <w:rsid w:val="00CC4F6B"/>
    <w:rsid w:val="00CC7E20"/>
    <w:rsid w:val="00CD138B"/>
    <w:rsid w:val="00CD3E31"/>
    <w:rsid w:val="00CD4496"/>
    <w:rsid w:val="00CD74A3"/>
    <w:rsid w:val="00CE0527"/>
    <w:rsid w:val="00CE5B23"/>
    <w:rsid w:val="00CF1F52"/>
    <w:rsid w:val="00CF70AD"/>
    <w:rsid w:val="00CF7729"/>
    <w:rsid w:val="00D00059"/>
    <w:rsid w:val="00D007AB"/>
    <w:rsid w:val="00D070FD"/>
    <w:rsid w:val="00D107FA"/>
    <w:rsid w:val="00D12275"/>
    <w:rsid w:val="00D12766"/>
    <w:rsid w:val="00D20FF4"/>
    <w:rsid w:val="00D24D2C"/>
    <w:rsid w:val="00D27A50"/>
    <w:rsid w:val="00D300B2"/>
    <w:rsid w:val="00D3346C"/>
    <w:rsid w:val="00D35881"/>
    <w:rsid w:val="00D550E5"/>
    <w:rsid w:val="00D80159"/>
    <w:rsid w:val="00D90B4F"/>
    <w:rsid w:val="00DA139B"/>
    <w:rsid w:val="00DA4978"/>
    <w:rsid w:val="00DA7DA5"/>
    <w:rsid w:val="00DB073B"/>
    <w:rsid w:val="00DB330A"/>
    <w:rsid w:val="00DB78F0"/>
    <w:rsid w:val="00DC1729"/>
    <w:rsid w:val="00DC2E43"/>
    <w:rsid w:val="00DD08C5"/>
    <w:rsid w:val="00DD095C"/>
    <w:rsid w:val="00DD1020"/>
    <w:rsid w:val="00DD1330"/>
    <w:rsid w:val="00DE0B83"/>
    <w:rsid w:val="00DE1A40"/>
    <w:rsid w:val="00DE1A81"/>
    <w:rsid w:val="00DE1C13"/>
    <w:rsid w:val="00DE4E10"/>
    <w:rsid w:val="00E02270"/>
    <w:rsid w:val="00E02ABF"/>
    <w:rsid w:val="00E04E5E"/>
    <w:rsid w:val="00E06035"/>
    <w:rsid w:val="00E06891"/>
    <w:rsid w:val="00E14422"/>
    <w:rsid w:val="00E14995"/>
    <w:rsid w:val="00E173A6"/>
    <w:rsid w:val="00E179CD"/>
    <w:rsid w:val="00E23E8D"/>
    <w:rsid w:val="00E308FA"/>
    <w:rsid w:val="00E359D6"/>
    <w:rsid w:val="00E37578"/>
    <w:rsid w:val="00E37F98"/>
    <w:rsid w:val="00E442D3"/>
    <w:rsid w:val="00E452B4"/>
    <w:rsid w:val="00E46559"/>
    <w:rsid w:val="00E6670C"/>
    <w:rsid w:val="00E72646"/>
    <w:rsid w:val="00E73235"/>
    <w:rsid w:val="00E76DED"/>
    <w:rsid w:val="00E776E8"/>
    <w:rsid w:val="00E92C1F"/>
    <w:rsid w:val="00E95D4B"/>
    <w:rsid w:val="00EA1084"/>
    <w:rsid w:val="00EB199F"/>
    <w:rsid w:val="00EB36EE"/>
    <w:rsid w:val="00EB5D9A"/>
    <w:rsid w:val="00EC194E"/>
    <w:rsid w:val="00EC23F7"/>
    <w:rsid w:val="00EC4BD8"/>
    <w:rsid w:val="00EC63EB"/>
    <w:rsid w:val="00EC6713"/>
    <w:rsid w:val="00ED412F"/>
    <w:rsid w:val="00EF36B2"/>
    <w:rsid w:val="00F10723"/>
    <w:rsid w:val="00F12D3D"/>
    <w:rsid w:val="00F201EC"/>
    <w:rsid w:val="00F208A9"/>
    <w:rsid w:val="00F23299"/>
    <w:rsid w:val="00F30BB1"/>
    <w:rsid w:val="00F33E43"/>
    <w:rsid w:val="00F3735B"/>
    <w:rsid w:val="00F41D75"/>
    <w:rsid w:val="00F5139D"/>
    <w:rsid w:val="00F63DAC"/>
    <w:rsid w:val="00F672A4"/>
    <w:rsid w:val="00F67431"/>
    <w:rsid w:val="00F7454F"/>
    <w:rsid w:val="00F75025"/>
    <w:rsid w:val="00F77988"/>
    <w:rsid w:val="00F77F48"/>
    <w:rsid w:val="00FA75D3"/>
    <w:rsid w:val="00FA7E3F"/>
    <w:rsid w:val="00FB30F1"/>
    <w:rsid w:val="00FB53E7"/>
    <w:rsid w:val="00FB5747"/>
    <w:rsid w:val="00FE009C"/>
    <w:rsid w:val="00FF5E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rsid w:val="004D7E86"/>
    <w:rPr>
      <w:sz w:val="24"/>
      <w:szCs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basedOn w:val="Noklusjumarindkopasfonts"/>
    <w:uiPriority w:val="99"/>
    <w:rsid w:val="008C5649"/>
    <w:rPr>
      <w:rFonts w:cs="Times New Roman"/>
      <w:b/>
      <w:bCs/>
      <w:color w:val="333333"/>
    </w:rPr>
  </w:style>
  <w:style w:type="character" w:styleId="Komentraatsauce">
    <w:name w:val="annotation reference"/>
    <w:basedOn w:val="Noklusjumarindkopasfonts"/>
    <w:uiPriority w:val="99"/>
    <w:semiHidden/>
    <w:rsid w:val="008C5649"/>
    <w:rPr>
      <w:rFonts w:cs="Times New Roman"/>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rFonts w:cs="Times New Roman"/>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7E86"/>
    <w:rPr>
      <w:sz w:val="0"/>
      <w:szCs w:val="0"/>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rsid w:val="004D7E86"/>
    <w:rPr>
      <w:sz w:val="20"/>
      <w:szCs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rsid w:val="004D7E86"/>
    <w:rPr>
      <w:b/>
      <w:bCs/>
      <w:sz w:val="20"/>
      <w:szCs w:val="20"/>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rFonts w:cs="Times New Roman"/>
      <w:sz w:val="24"/>
      <w:szCs w:val="24"/>
      <w:lang w:val="lv-LV" w:eastAsia="lv-LV" w:bidi="ar-SA"/>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rsid w:val="004D7E86"/>
    <w:rPr>
      <w:sz w:val="0"/>
      <w:szCs w:val="0"/>
    </w:rPr>
  </w:style>
  <w:style w:type="paragraph" w:styleId="ParastaisWeb">
    <w:name w:val="Normal (Web)"/>
    <w:basedOn w:val="Parastais"/>
    <w:uiPriority w:val="99"/>
    <w:rsid w:val="00A86FAA"/>
    <w:pPr>
      <w:spacing w:before="100" w:beforeAutospacing="1" w:after="100" w:afterAutospacing="1"/>
    </w:pPr>
  </w:style>
  <w:style w:type="paragraph" w:styleId="Vienkrsteksts">
    <w:name w:val="Plain Text"/>
    <w:basedOn w:val="Parastais"/>
    <w:link w:val="VienkrstekstsRakstz"/>
    <w:uiPriority w:val="99"/>
    <w:rsid w:val="00682FD3"/>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locked/>
    <w:rsid w:val="00682FD3"/>
    <w:rPr>
      <w:rFonts w:ascii="Consolas" w:eastAsia="Times New Roman" w:hAnsi="Consolas" w:cs="Times New Roman"/>
      <w:sz w:val="21"/>
      <w:szCs w:val="21"/>
      <w:lang w:eastAsia="en-US"/>
    </w:rPr>
  </w:style>
  <w:style w:type="character" w:styleId="Izteiksmgs">
    <w:name w:val="Strong"/>
    <w:basedOn w:val="Noklusjumarindkopasfonts"/>
    <w:uiPriority w:val="99"/>
    <w:qFormat/>
    <w:rsid w:val="00DC1729"/>
    <w:rPr>
      <w:rFonts w:cs="Times New Roman"/>
      <w:b/>
      <w:bCs/>
    </w:rPr>
  </w:style>
  <w:style w:type="paragraph" w:customStyle="1" w:styleId="basetext">
    <w:name w:val="base text"/>
    <w:uiPriority w:val="99"/>
    <w:rsid w:val="00B2378C"/>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paragraph" w:styleId="Nosaukums">
    <w:name w:val="Title"/>
    <w:basedOn w:val="Parastais"/>
    <w:link w:val="NosaukumsRakstz"/>
    <w:uiPriority w:val="99"/>
    <w:qFormat/>
    <w:rsid w:val="00BC4F70"/>
    <w:pPr>
      <w:jc w:val="center"/>
    </w:pPr>
    <w:rPr>
      <w:b/>
      <w:sz w:val="28"/>
      <w:szCs w:val="20"/>
      <w:lang w:eastAsia="en-US"/>
    </w:rPr>
  </w:style>
  <w:style w:type="character" w:customStyle="1" w:styleId="NosaukumsRakstz">
    <w:name w:val="Nosaukums Rakstz."/>
    <w:basedOn w:val="Noklusjumarindkopasfonts"/>
    <w:link w:val="Nosaukums"/>
    <w:uiPriority w:val="10"/>
    <w:rsid w:val="004D7E86"/>
    <w:rPr>
      <w:rFonts w:asciiTheme="majorHAnsi" w:eastAsiaTheme="majorEastAsia" w:hAnsiTheme="majorHAnsi" w:cstheme="majorBidi"/>
      <w:b/>
      <w:bCs/>
      <w:kern w:val="28"/>
      <w:sz w:val="32"/>
      <w:szCs w:val="32"/>
    </w:rPr>
  </w:style>
  <w:style w:type="paragraph" w:styleId="Apakvirsraksts">
    <w:name w:val="Subtitle"/>
    <w:basedOn w:val="Parastais"/>
    <w:link w:val="ApakvirsrakstsRakstz"/>
    <w:uiPriority w:val="99"/>
    <w:qFormat/>
    <w:rsid w:val="00FE009C"/>
    <w:rPr>
      <w:b/>
      <w:color w:val="FF0000"/>
      <w:sz w:val="28"/>
      <w:szCs w:val="20"/>
      <w:lang w:val="en-AU" w:eastAsia="en-US"/>
    </w:rPr>
  </w:style>
  <w:style w:type="character" w:customStyle="1" w:styleId="ApakvirsrakstsRakstz">
    <w:name w:val="Apakšvirsraksts Rakstz."/>
    <w:basedOn w:val="Noklusjumarindkopasfonts"/>
    <w:link w:val="Apakvirsraksts"/>
    <w:uiPriority w:val="11"/>
    <w:rsid w:val="004D7E86"/>
    <w:rPr>
      <w:rFonts w:asciiTheme="majorHAnsi" w:eastAsiaTheme="majorEastAsia" w:hAnsiTheme="majorHAnsi" w:cstheme="majorBidi"/>
      <w:sz w:val="24"/>
      <w:szCs w:val="24"/>
    </w:rPr>
  </w:style>
  <w:style w:type="paragraph" w:customStyle="1" w:styleId="tvhtml">
    <w:name w:val="tv_html"/>
    <w:basedOn w:val="Parastais"/>
    <w:uiPriority w:val="99"/>
    <w:rsid w:val="00C931F3"/>
    <w:pPr>
      <w:spacing w:before="100" w:beforeAutospacing="1" w:after="100" w:afterAutospacing="1"/>
    </w:pPr>
    <w:rPr>
      <w:rFonts w:ascii="Verdana" w:hAnsi="Verdana"/>
      <w:sz w:val="16"/>
      <w:szCs w:val="16"/>
    </w:rPr>
  </w:style>
  <w:style w:type="paragraph" w:customStyle="1" w:styleId="CharCharCharCharCharCharCharCharCharCharCharCharChar">
    <w:name w:val="Char Char Char Char Char Char Char Char Char Char Char Char Char"/>
    <w:basedOn w:val="Parastais"/>
    <w:rsid w:val="0048191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4361776">
      <w:marLeft w:val="32"/>
      <w:marRight w:val="32"/>
      <w:marTop w:val="64"/>
      <w:marBottom w:val="64"/>
      <w:divBdr>
        <w:top w:val="none" w:sz="0" w:space="0" w:color="auto"/>
        <w:left w:val="none" w:sz="0" w:space="0" w:color="auto"/>
        <w:bottom w:val="none" w:sz="0" w:space="0" w:color="auto"/>
        <w:right w:val="none" w:sz="0" w:space="0" w:color="auto"/>
      </w:divBdr>
      <w:divsChild>
        <w:div w:id="574361777">
          <w:marLeft w:val="0"/>
          <w:marRight w:val="0"/>
          <w:marTop w:val="0"/>
          <w:marBottom w:val="567"/>
          <w:divBdr>
            <w:top w:val="none" w:sz="0" w:space="0" w:color="auto"/>
            <w:left w:val="none" w:sz="0" w:space="0" w:color="auto"/>
            <w:bottom w:val="none" w:sz="0" w:space="0" w:color="auto"/>
            <w:right w:val="none" w:sz="0" w:space="0" w:color="auto"/>
          </w:divBdr>
        </w:div>
      </w:divsChild>
    </w:div>
    <w:div w:id="574361779">
      <w:marLeft w:val="41"/>
      <w:marRight w:val="41"/>
      <w:marTop w:val="82"/>
      <w:marBottom w:val="82"/>
      <w:divBdr>
        <w:top w:val="none" w:sz="0" w:space="0" w:color="auto"/>
        <w:left w:val="none" w:sz="0" w:space="0" w:color="auto"/>
        <w:bottom w:val="none" w:sz="0" w:space="0" w:color="auto"/>
        <w:right w:val="none" w:sz="0" w:space="0" w:color="auto"/>
      </w:divBdr>
      <w:divsChild>
        <w:div w:id="574361782">
          <w:marLeft w:val="0"/>
          <w:marRight w:val="0"/>
          <w:marTop w:val="240"/>
          <w:marBottom w:val="0"/>
          <w:divBdr>
            <w:top w:val="none" w:sz="0" w:space="0" w:color="auto"/>
            <w:left w:val="none" w:sz="0" w:space="0" w:color="auto"/>
            <w:bottom w:val="none" w:sz="0" w:space="0" w:color="auto"/>
            <w:right w:val="none" w:sz="0" w:space="0" w:color="auto"/>
          </w:divBdr>
        </w:div>
      </w:divsChild>
    </w:div>
    <w:div w:id="574361780">
      <w:marLeft w:val="0"/>
      <w:marRight w:val="0"/>
      <w:marTop w:val="0"/>
      <w:marBottom w:val="0"/>
      <w:divBdr>
        <w:top w:val="none" w:sz="0" w:space="0" w:color="auto"/>
        <w:left w:val="none" w:sz="0" w:space="0" w:color="auto"/>
        <w:bottom w:val="none" w:sz="0" w:space="0" w:color="auto"/>
        <w:right w:val="none" w:sz="0" w:space="0" w:color="auto"/>
      </w:divBdr>
      <w:divsChild>
        <w:div w:id="574361786">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574361781">
      <w:marLeft w:val="41"/>
      <w:marRight w:val="41"/>
      <w:marTop w:val="82"/>
      <w:marBottom w:val="82"/>
      <w:divBdr>
        <w:top w:val="none" w:sz="0" w:space="0" w:color="auto"/>
        <w:left w:val="none" w:sz="0" w:space="0" w:color="auto"/>
        <w:bottom w:val="none" w:sz="0" w:space="0" w:color="auto"/>
        <w:right w:val="none" w:sz="0" w:space="0" w:color="auto"/>
      </w:divBdr>
      <w:divsChild>
        <w:div w:id="574361778">
          <w:marLeft w:val="0"/>
          <w:marRight w:val="0"/>
          <w:marTop w:val="0"/>
          <w:marBottom w:val="567"/>
          <w:divBdr>
            <w:top w:val="none" w:sz="0" w:space="0" w:color="auto"/>
            <w:left w:val="none" w:sz="0" w:space="0" w:color="auto"/>
            <w:bottom w:val="none" w:sz="0" w:space="0" w:color="auto"/>
            <w:right w:val="none" w:sz="0" w:space="0" w:color="auto"/>
          </w:divBdr>
        </w:div>
        <w:div w:id="574361785">
          <w:marLeft w:val="0"/>
          <w:marRight w:val="0"/>
          <w:marTop w:val="480"/>
          <w:marBottom w:val="240"/>
          <w:divBdr>
            <w:top w:val="none" w:sz="0" w:space="0" w:color="auto"/>
            <w:left w:val="none" w:sz="0" w:space="0" w:color="auto"/>
            <w:bottom w:val="none" w:sz="0" w:space="0" w:color="auto"/>
            <w:right w:val="none" w:sz="0" w:space="0" w:color="auto"/>
          </w:divBdr>
        </w:div>
      </w:divsChild>
    </w:div>
    <w:div w:id="574361783">
      <w:marLeft w:val="0"/>
      <w:marRight w:val="0"/>
      <w:marTop w:val="0"/>
      <w:marBottom w:val="0"/>
      <w:divBdr>
        <w:top w:val="none" w:sz="0" w:space="0" w:color="auto"/>
        <w:left w:val="none" w:sz="0" w:space="0" w:color="auto"/>
        <w:bottom w:val="none" w:sz="0" w:space="0" w:color="auto"/>
        <w:right w:val="none" w:sz="0" w:space="0" w:color="auto"/>
      </w:divBdr>
      <w:divsChild>
        <w:div w:id="57436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936F-3D55-4281-B2F3-C9207E51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1107</Words>
  <Characters>8174</Characters>
  <Application>Microsoft Office Word</Application>
  <DocSecurity>0</DocSecurity>
  <Lines>240</Lines>
  <Paragraphs>100</Paragraphs>
  <ScaleCrop>false</ScaleCrop>
  <Company>Zemkopības ministrija</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27.jūlija noteikumos Nr.704 „Noteikumi par robežšķērsošanas vietām un tajās veicamajām pārbaudēm”</dc:title>
  <dc:subject>Anotācija</dc:subject>
  <dc:creator>Linda Gurecka</dc:creator>
  <cp:keywords/>
  <dc:description>Linda.Gurecka@zm.gov.lv, 67027063</dc:description>
  <cp:lastModifiedBy>Renārs Žagars</cp:lastModifiedBy>
  <cp:revision>12</cp:revision>
  <cp:lastPrinted>2012-03-16T09:20:00Z</cp:lastPrinted>
  <dcterms:created xsi:type="dcterms:W3CDTF">2012-03-13T13:03:00Z</dcterms:created>
  <dcterms:modified xsi:type="dcterms:W3CDTF">2012-03-16T09:41:00Z</dcterms:modified>
</cp:coreProperties>
</file>