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A4E" w:rsidRPr="006D25A5" w:rsidRDefault="00634A4E" w:rsidP="00541069">
      <w:pPr>
        <w:jc w:val="center"/>
        <w:rPr>
          <w:b/>
          <w:bCs/>
          <w:sz w:val="28"/>
          <w:szCs w:val="28"/>
        </w:rPr>
      </w:pPr>
      <w:r w:rsidRPr="006D25A5">
        <w:rPr>
          <w:b/>
          <w:bCs/>
          <w:sz w:val="28"/>
          <w:szCs w:val="28"/>
        </w:rPr>
        <w:t xml:space="preserve">Ministru kabineta noteikumu projekta </w:t>
      </w:r>
    </w:p>
    <w:p w:rsidR="00634A4E" w:rsidRPr="006D25A5" w:rsidRDefault="00634A4E" w:rsidP="00BA2C5F">
      <w:pPr>
        <w:jc w:val="center"/>
        <w:rPr>
          <w:b/>
          <w:sz w:val="28"/>
          <w:szCs w:val="28"/>
        </w:rPr>
      </w:pPr>
      <w:r w:rsidRPr="006D25A5">
        <w:rPr>
          <w:b/>
          <w:sz w:val="28"/>
          <w:szCs w:val="28"/>
        </w:rPr>
        <w:t>„Grozījumi Ministru kabineta 2011.gada 21.jūnija noteikumos Nr.477</w:t>
      </w:r>
    </w:p>
    <w:p w:rsidR="00634A4E" w:rsidRPr="006D25A5" w:rsidRDefault="00634A4E" w:rsidP="00BA2C5F">
      <w:pPr>
        <w:pStyle w:val="Pamatteksts2"/>
        <w:rPr>
          <w:b/>
          <w:sz w:val="28"/>
          <w:szCs w:val="28"/>
        </w:rPr>
      </w:pPr>
      <w:r w:rsidRPr="006D25A5">
        <w:rPr>
          <w:b/>
          <w:sz w:val="28"/>
          <w:szCs w:val="28"/>
        </w:rPr>
        <w:t>„Kārtība, kādā veic salmonelozes profilakses un apkarošanas pasākumus, vakcinējot vistas pret salmonelozi””</w:t>
      </w:r>
    </w:p>
    <w:p w:rsidR="00634A4E" w:rsidRPr="006D25A5" w:rsidRDefault="00634A4E" w:rsidP="00541069">
      <w:pPr>
        <w:pStyle w:val="Pamatteksts2"/>
        <w:rPr>
          <w:b/>
          <w:sz w:val="28"/>
          <w:szCs w:val="28"/>
        </w:rPr>
      </w:pPr>
      <w:r w:rsidRPr="006D25A5">
        <w:rPr>
          <w:b/>
          <w:sz w:val="28"/>
          <w:szCs w:val="28"/>
        </w:rPr>
        <w:t xml:space="preserve">sākotnējās ietekmes novērtējuma </w:t>
      </w:r>
      <w:smartTag w:uri="schemas-tilde-lv/tildestengine" w:element="veidnes">
        <w:smartTagPr>
          <w:attr w:name="id" w:val="-1"/>
          <w:attr w:name="baseform" w:val="ziņojums"/>
          <w:attr w:name="text" w:val="ziņojums"/>
        </w:smartTagPr>
        <w:r w:rsidRPr="006D25A5">
          <w:rPr>
            <w:b/>
            <w:sz w:val="28"/>
            <w:szCs w:val="28"/>
          </w:rPr>
          <w:t>ziņojums</w:t>
        </w:r>
      </w:smartTag>
      <w:r w:rsidRPr="006D25A5">
        <w:rPr>
          <w:b/>
          <w:sz w:val="28"/>
          <w:szCs w:val="28"/>
        </w:rPr>
        <w:t xml:space="preserve"> (anotācija)</w:t>
      </w:r>
    </w:p>
    <w:p w:rsidR="00634A4E" w:rsidRPr="00A82DF7" w:rsidRDefault="00634A4E" w:rsidP="00541069">
      <w:pPr>
        <w:pStyle w:val="Pamatteksts2"/>
      </w:pP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1735"/>
        <w:gridCol w:w="6792"/>
      </w:tblGrid>
      <w:tr w:rsidR="00634A4E" w:rsidRPr="00A82DF7" w:rsidTr="00EB33C6">
        <w:tc>
          <w:tcPr>
            <w:tcW w:w="9077" w:type="dxa"/>
            <w:gridSpan w:val="3"/>
            <w:vAlign w:val="center"/>
          </w:tcPr>
          <w:p w:rsidR="00634A4E" w:rsidRPr="00A82DF7" w:rsidRDefault="00634A4E" w:rsidP="006C4607">
            <w:pPr>
              <w:pStyle w:val="naisnod"/>
              <w:spacing w:before="0" w:after="0"/>
            </w:pPr>
            <w:r w:rsidRPr="00A82DF7">
              <w:t>I. Tiesību akta projekta izstrādes nepieciešamība</w:t>
            </w:r>
          </w:p>
        </w:tc>
      </w:tr>
      <w:tr w:rsidR="00634A4E" w:rsidRPr="00A82DF7" w:rsidTr="00EB33C6">
        <w:trPr>
          <w:trHeight w:val="250"/>
        </w:trPr>
        <w:tc>
          <w:tcPr>
            <w:tcW w:w="550" w:type="dxa"/>
          </w:tcPr>
          <w:p w:rsidR="00634A4E" w:rsidRPr="00A82DF7" w:rsidRDefault="00634A4E" w:rsidP="00DD204C">
            <w:pPr>
              <w:pStyle w:val="naiskr"/>
              <w:spacing w:before="0" w:after="0"/>
              <w:jc w:val="center"/>
            </w:pPr>
            <w:r w:rsidRPr="00A82DF7">
              <w:t>1.</w:t>
            </w:r>
          </w:p>
        </w:tc>
        <w:tc>
          <w:tcPr>
            <w:tcW w:w="1735" w:type="dxa"/>
          </w:tcPr>
          <w:p w:rsidR="00634A4E" w:rsidRPr="00A82DF7" w:rsidRDefault="00634A4E" w:rsidP="00851D3F">
            <w:pPr>
              <w:pStyle w:val="naiskr"/>
              <w:spacing w:before="0" w:after="0"/>
              <w:ind w:hanging="10"/>
            </w:pPr>
            <w:r w:rsidRPr="00A82DF7">
              <w:t>Pamatojums</w:t>
            </w:r>
          </w:p>
        </w:tc>
        <w:tc>
          <w:tcPr>
            <w:tcW w:w="6792" w:type="dxa"/>
          </w:tcPr>
          <w:p w:rsidR="00634A4E" w:rsidRPr="00A82DF7" w:rsidRDefault="00634A4E" w:rsidP="00623D3B">
            <w:r w:rsidRPr="00A82DF7">
              <w:t xml:space="preserve">Veterinārmedicīnas likuma 25.panta 4.punkts. </w:t>
            </w:r>
          </w:p>
        </w:tc>
      </w:tr>
      <w:tr w:rsidR="00634A4E" w:rsidRPr="00A82DF7" w:rsidTr="00EB33C6">
        <w:trPr>
          <w:trHeight w:val="472"/>
        </w:trPr>
        <w:tc>
          <w:tcPr>
            <w:tcW w:w="550" w:type="dxa"/>
          </w:tcPr>
          <w:p w:rsidR="00634A4E" w:rsidRPr="00A82DF7" w:rsidRDefault="00634A4E" w:rsidP="00DD204C">
            <w:pPr>
              <w:pStyle w:val="naiskr"/>
              <w:spacing w:before="0" w:after="0"/>
              <w:jc w:val="center"/>
            </w:pPr>
            <w:r w:rsidRPr="00A82DF7">
              <w:t>2.</w:t>
            </w:r>
          </w:p>
        </w:tc>
        <w:tc>
          <w:tcPr>
            <w:tcW w:w="1735" w:type="dxa"/>
          </w:tcPr>
          <w:p w:rsidR="00634A4E" w:rsidRPr="00A82DF7" w:rsidRDefault="00634A4E" w:rsidP="00851D3F">
            <w:pPr>
              <w:pStyle w:val="naiskr"/>
              <w:tabs>
                <w:tab w:val="left" w:pos="170"/>
              </w:tabs>
              <w:spacing w:before="0" w:after="0"/>
            </w:pPr>
            <w:r w:rsidRPr="00A82DF7">
              <w:t>Pašreizējā situācija un problēmas</w:t>
            </w:r>
          </w:p>
        </w:tc>
        <w:tc>
          <w:tcPr>
            <w:tcW w:w="6792" w:type="dxa"/>
          </w:tcPr>
          <w:p w:rsidR="00634A4E" w:rsidRPr="00A82DF7" w:rsidRDefault="00634A4E" w:rsidP="006E17E0">
            <w:pPr>
              <w:tabs>
                <w:tab w:val="left" w:pos="336"/>
              </w:tabs>
              <w:jc w:val="both"/>
              <w:rPr>
                <w:bCs/>
              </w:rPr>
            </w:pPr>
            <w:r w:rsidRPr="00A82DF7">
              <w:t xml:space="preserve">Salmonelozes profilakses un apkarošanas pasākumi tiek regulēti ar Ministru kabineta 2011.gada 21.jūnija noteikumiem Nr.477 „Kārtība, kādā veic salmonelozes profilakses un apkarošanas pasākumus, vakcinējot vistas pret salmonelozi” (turpmāk – noteikumi Nr.477), kas vistu ganāmpulku īpašniekiem vai turētājiem, kuri ražo svaigas olas vai inkubējamās olas, paredz tiesības saņemt no Pārtikas un veterinārā dienesta (turpmāk – dienests) vakcīnu dējējvistu un vaislas vistu vakcinācijai pret salmonelozi. Noteikumi Nr.477 dod iespēju vistu ganāmpulku īpašniekiem vai turētājiem pret salmonelozi vistām lietot nevis </w:t>
            </w:r>
            <w:proofErr w:type="spellStart"/>
            <w:r w:rsidRPr="00A82DF7">
              <w:t>inaktivēto</w:t>
            </w:r>
            <w:proofErr w:type="spellEnd"/>
            <w:r w:rsidRPr="00A82DF7">
              <w:t xml:space="preserve"> vakcīnu, bet tikai dzīvo vakcīnu. </w:t>
            </w:r>
            <w:r w:rsidRPr="00A82DF7">
              <w:rPr>
                <w:bCs/>
              </w:rPr>
              <w:t xml:space="preserve">Eiropas Parlamenta un Padomes 2003.gada 17.novembra Regulas (EK) Nr.2160/2003 par salmonellas un dažu citu pārtikā sastopamu </w:t>
            </w:r>
            <w:proofErr w:type="spellStart"/>
            <w:r w:rsidRPr="00A82DF7">
              <w:rPr>
                <w:bCs/>
              </w:rPr>
              <w:t>zoonozes</w:t>
            </w:r>
            <w:proofErr w:type="spellEnd"/>
            <w:r w:rsidRPr="00A82DF7">
              <w:rPr>
                <w:bCs/>
              </w:rPr>
              <w:t xml:space="preserve"> īpašu izraisītāju kontroli (turpmāk – Regula Nr.2160/2003)</w:t>
            </w:r>
            <w:r w:rsidRPr="00A82DF7">
              <w:t xml:space="preserve"> mērķis ir nodrošināt, lai tiktu veikti atbilstoši un iedarbīgi pasākumi salmonellas un citu </w:t>
            </w:r>
            <w:proofErr w:type="spellStart"/>
            <w:r w:rsidRPr="00A82DF7">
              <w:t>zoonozes</w:t>
            </w:r>
            <w:proofErr w:type="spellEnd"/>
            <w:r w:rsidRPr="00A82DF7">
              <w:t xml:space="preserve"> izraisītāju noteikšanai un kontrolei visos attiecīgajos ražošanas, pārstrādes un realizācijas posmos, sevišķu u</w:t>
            </w:r>
            <w:smartTag w:uri="urn:schemas-microsoft-com:office:smarttags" w:element="PersonName">
              <w:r w:rsidRPr="00A82DF7">
                <w:t>zm</w:t>
              </w:r>
            </w:smartTag>
            <w:r w:rsidRPr="00A82DF7">
              <w:t xml:space="preserve">anību pievēršot primārās ražošanas līmenim, kā arī dzīvnieku barībai, lai ierobežotu </w:t>
            </w:r>
            <w:proofErr w:type="spellStart"/>
            <w:r w:rsidRPr="00A82DF7">
              <w:t>zoonožu</w:t>
            </w:r>
            <w:proofErr w:type="spellEnd"/>
            <w:r w:rsidRPr="00A82DF7">
              <w:t xml:space="preserve"> ierosinātāju izplatību un samazinātu sabiedrības veselības riska faktorus. Turklāt Regulas </w:t>
            </w:r>
            <w:r w:rsidRPr="00A82DF7">
              <w:rPr>
                <w:bCs/>
              </w:rPr>
              <w:t xml:space="preserve">Nr.2160/2003 8.panta pirmajā daļā </w:t>
            </w:r>
            <w:r w:rsidRPr="00A82DF7">
              <w:t>ir ietverts nosacījums, ka Eiropas Savienības dalībvalstis var i</w:t>
            </w:r>
            <w:smartTag w:uri="urn:schemas-microsoft-com:office:smarttags" w:element="PersonName">
              <w:r w:rsidRPr="00A82DF7">
                <w:t>zm</w:t>
              </w:r>
            </w:smartTag>
            <w:r w:rsidRPr="00A82DF7">
              <w:t xml:space="preserve">antot īpašās kontroles metodes, lai samazinātu </w:t>
            </w:r>
            <w:proofErr w:type="spellStart"/>
            <w:r w:rsidRPr="00A82DF7">
              <w:t>zoonožu</w:t>
            </w:r>
            <w:proofErr w:type="spellEnd"/>
            <w:r w:rsidRPr="00A82DF7">
              <w:t xml:space="preserve"> (infekcijas slimība, t.sk. salmoneloze, ar kuru slimo gan cilvēki, gan dzīvnieki) ierosinātāju izplatību. Ievērojot minēto, vakcināciju pret salmonelozi var i</w:t>
            </w:r>
            <w:smartTag w:uri="urn:schemas-microsoft-com:office:smarttags" w:element="PersonName">
              <w:r w:rsidRPr="00A82DF7">
                <w:t>zm</w:t>
              </w:r>
            </w:smartTag>
            <w:r w:rsidRPr="00A82DF7">
              <w:t>antot kā īpašo kontroles metodi saskaņā ar prasībām Komisijas 2006.gada 1.augusta Regulā (EK) Nr.1177/2006, ar ko īsteno Eiropas Parlamenta un Padomes Regulu (EK) Nr.2160/2003 par īpašu kontroles metožu i</w:t>
            </w:r>
            <w:smartTag w:uri="urn:schemas-microsoft-com:office:smarttags" w:element="PersonName">
              <w:r w:rsidRPr="00A82DF7">
                <w:t>zm</w:t>
              </w:r>
            </w:smartTag>
            <w:r w:rsidRPr="00A82DF7">
              <w:t>antošanu dalībvalstu programmās par salmonellas apkarošanu mājputnos.</w:t>
            </w:r>
          </w:p>
          <w:p w:rsidR="00634A4E" w:rsidRPr="00A82DF7" w:rsidRDefault="00634A4E" w:rsidP="00110D5D">
            <w:pPr>
              <w:jc w:val="both"/>
            </w:pPr>
            <w:r w:rsidRPr="00A82DF7">
              <w:t xml:space="preserve"> Lai varētu sniegt atbalstu vistu ganāmpulka īpašniekiem vai turētājiem gan dzīvo, gan </w:t>
            </w:r>
            <w:proofErr w:type="spellStart"/>
            <w:r w:rsidRPr="00A82DF7">
              <w:t>inaktivēto</w:t>
            </w:r>
            <w:proofErr w:type="spellEnd"/>
            <w:r w:rsidRPr="00A82DF7">
              <w:t xml:space="preserve"> vakcīnu iegādē, kā arī i</w:t>
            </w:r>
            <w:smartTag w:uri="urn:schemas-microsoft-com:office:smarttags" w:element="PersonName">
              <w:r w:rsidRPr="00A82DF7">
                <w:t>zm</w:t>
              </w:r>
            </w:smartTag>
            <w:r w:rsidRPr="00A82DF7">
              <w:t xml:space="preserve">antotu Eiropas Komisijas sniegto līdzfinansējumu vakcīnu iegādei, jāizdara grozījumi noteikumos Nr.477. </w:t>
            </w:r>
            <w:proofErr w:type="spellStart"/>
            <w:r w:rsidRPr="00A82DF7">
              <w:t>Inaktivētā</w:t>
            </w:r>
            <w:proofErr w:type="spellEnd"/>
            <w:r w:rsidRPr="00A82DF7">
              <w:t xml:space="preserve"> vakcīna nodrošinās labāku aizsardzību pret dažādiem salmonelozes ierosinātājiem, turklāt tā ir vakcīna, kas veidota uz ūdens, nevis uz minerāleļļas bāzes, tāpēc šis vakcīnas veids injekcijas vietā nerada pēcvakcinācijas reakciju – audu iekaisumu, kā arī </w:t>
            </w:r>
            <w:proofErr w:type="spellStart"/>
            <w:r w:rsidRPr="00A82DF7">
              <w:t>inaktivētās</w:t>
            </w:r>
            <w:proofErr w:type="spellEnd"/>
            <w:r w:rsidRPr="00A82DF7">
              <w:t xml:space="preserve"> vakcīnas ievadīšanas laiku iespējams apvienot ar vakcināciju pret citām putnkopībā aktuālajām infekcijas slimībām, tā būtiski samazinot vakcinācijas stresu vaislas putniem. </w:t>
            </w:r>
          </w:p>
        </w:tc>
      </w:tr>
      <w:tr w:rsidR="00634A4E" w:rsidRPr="00A82DF7" w:rsidTr="00EB33C6">
        <w:trPr>
          <w:trHeight w:val="1071"/>
        </w:trPr>
        <w:tc>
          <w:tcPr>
            <w:tcW w:w="550" w:type="dxa"/>
          </w:tcPr>
          <w:p w:rsidR="00634A4E" w:rsidRPr="00A82DF7" w:rsidRDefault="00634A4E" w:rsidP="00DD204C">
            <w:pPr>
              <w:pStyle w:val="naiskr"/>
              <w:spacing w:before="0" w:after="0"/>
              <w:jc w:val="center"/>
            </w:pPr>
            <w:r w:rsidRPr="00A82DF7">
              <w:lastRenderedPageBreak/>
              <w:t>3.</w:t>
            </w:r>
          </w:p>
        </w:tc>
        <w:tc>
          <w:tcPr>
            <w:tcW w:w="1735" w:type="dxa"/>
          </w:tcPr>
          <w:p w:rsidR="00634A4E" w:rsidRPr="00A82DF7" w:rsidRDefault="00634A4E" w:rsidP="006C4607">
            <w:pPr>
              <w:pStyle w:val="naiskr"/>
              <w:spacing w:before="0" w:after="0"/>
            </w:pPr>
            <w:r w:rsidRPr="00A82DF7">
              <w:t>Saistītie politikas ietekmes novērtējumi un pētījumi</w:t>
            </w:r>
          </w:p>
        </w:tc>
        <w:tc>
          <w:tcPr>
            <w:tcW w:w="6792" w:type="dxa"/>
          </w:tcPr>
          <w:p w:rsidR="00634A4E" w:rsidRPr="00A82DF7" w:rsidRDefault="00634A4E" w:rsidP="006C4607">
            <w:pPr>
              <w:pStyle w:val="Vresteksts"/>
              <w:rPr>
                <w:sz w:val="24"/>
                <w:szCs w:val="24"/>
              </w:rPr>
            </w:pPr>
            <w:r w:rsidRPr="00A82DF7">
              <w:rPr>
                <w:sz w:val="24"/>
                <w:szCs w:val="24"/>
              </w:rPr>
              <w:t>Projekts šo jomu neskar.</w:t>
            </w:r>
          </w:p>
        </w:tc>
      </w:tr>
      <w:tr w:rsidR="00634A4E" w:rsidRPr="00A82DF7" w:rsidTr="00EB33C6">
        <w:trPr>
          <w:trHeight w:val="384"/>
        </w:trPr>
        <w:tc>
          <w:tcPr>
            <w:tcW w:w="550" w:type="dxa"/>
          </w:tcPr>
          <w:p w:rsidR="00634A4E" w:rsidRPr="00A82DF7" w:rsidRDefault="00634A4E" w:rsidP="00DD204C">
            <w:pPr>
              <w:pStyle w:val="naiskr"/>
              <w:spacing w:before="0" w:after="0"/>
              <w:jc w:val="center"/>
            </w:pPr>
            <w:r w:rsidRPr="00A82DF7">
              <w:t>4.</w:t>
            </w:r>
          </w:p>
        </w:tc>
        <w:tc>
          <w:tcPr>
            <w:tcW w:w="1735" w:type="dxa"/>
          </w:tcPr>
          <w:p w:rsidR="00634A4E" w:rsidRPr="00A82DF7" w:rsidRDefault="00634A4E" w:rsidP="006C4607">
            <w:pPr>
              <w:pStyle w:val="naiskr"/>
              <w:spacing w:before="0" w:after="0"/>
            </w:pPr>
            <w:r w:rsidRPr="00A82DF7">
              <w:t>Tiesiskā regulējuma mērķis un būtība</w:t>
            </w:r>
          </w:p>
        </w:tc>
        <w:tc>
          <w:tcPr>
            <w:tcW w:w="6792" w:type="dxa"/>
          </w:tcPr>
          <w:p w:rsidR="00634A4E" w:rsidRPr="00A82DF7" w:rsidRDefault="00634A4E" w:rsidP="006B0E7E">
            <w:pPr>
              <w:jc w:val="both"/>
            </w:pPr>
            <w:r w:rsidRPr="00A82DF7">
              <w:rPr>
                <w:bCs/>
              </w:rPr>
              <w:t xml:space="preserve">Ir sagatavots Ministru kabineta noteikumu projekts </w:t>
            </w:r>
            <w:r w:rsidRPr="00A82DF7">
              <w:t>„Grozījumi Ministru kabineta 2011.gada 21.jūnija noteikumos Nr.477 „Kārtība, kādā veic salmonelozes profilakses un apkarošanas pasākumus, vakcinējot vistas pret salmonelozi”” (turpmāk – noteikumu projekts), kas nosaka, ka turpmāk vistu vakcinācijai pret salmonelozi</w:t>
            </w:r>
            <w:r w:rsidRPr="00A82DF7" w:rsidDel="005C1B2F">
              <w:t xml:space="preserve"> </w:t>
            </w:r>
            <w:r w:rsidRPr="00A82DF7">
              <w:t xml:space="preserve">vistu ganāmpulka īpašnieks vai turētājs varēs izvēlēties vakcīnas veidu (dzīvo vai </w:t>
            </w:r>
            <w:proofErr w:type="spellStart"/>
            <w:r w:rsidRPr="00A82DF7">
              <w:t>inaktivēto</w:t>
            </w:r>
            <w:proofErr w:type="spellEnd"/>
            <w:r w:rsidRPr="00A82DF7">
              <w:t xml:space="preserve">), ko lietot kārtējā gadā, iesniegumā dienestam papildus norādot kritēriju attiecīgās vakcīnas izvēlē. Noteikumu projekts nosaka pārejas noteikumu </w:t>
            </w:r>
            <w:proofErr w:type="spellStart"/>
            <w:r w:rsidRPr="00A82DF7">
              <w:t>inaktivētās</w:t>
            </w:r>
            <w:proofErr w:type="spellEnd"/>
            <w:r w:rsidRPr="00A82DF7">
              <w:t xml:space="preserve"> vakcīnas saņemšanai 2013.gadā, bet turpmākajos gados varēs pieteikties vakcīnu (dzīvo vai </w:t>
            </w:r>
            <w:proofErr w:type="spellStart"/>
            <w:r w:rsidRPr="00A82DF7">
              <w:t>inaktivēto</w:t>
            </w:r>
            <w:proofErr w:type="spellEnd"/>
            <w:r w:rsidRPr="00A82DF7">
              <w:t>) saņemšanai parastajā kārtībā saskaņā ar noteikumu Nr.477 5.punktā noteikto kārtību.</w:t>
            </w:r>
          </w:p>
          <w:p w:rsidR="00634A4E" w:rsidRPr="00A82DF7" w:rsidRDefault="00634A4E" w:rsidP="00EA5BDE">
            <w:pPr>
              <w:jc w:val="both"/>
            </w:pPr>
          </w:p>
          <w:p w:rsidR="00634A4E" w:rsidRPr="00A82DF7" w:rsidRDefault="00634A4E" w:rsidP="00C23969">
            <w:pPr>
              <w:pStyle w:val="naislab"/>
              <w:spacing w:before="0" w:after="0"/>
              <w:jc w:val="both"/>
            </w:pPr>
            <w:r w:rsidRPr="00A82DF7">
              <w:t>Šīs anotācijas I sadaļas 2.punktā minēto problēmu noteikumu projekts atrisinās pilnībā.</w:t>
            </w:r>
          </w:p>
        </w:tc>
      </w:tr>
      <w:tr w:rsidR="00634A4E" w:rsidRPr="00A82DF7" w:rsidTr="00EB33C6">
        <w:trPr>
          <w:trHeight w:val="476"/>
        </w:trPr>
        <w:tc>
          <w:tcPr>
            <w:tcW w:w="550" w:type="dxa"/>
          </w:tcPr>
          <w:p w:rsidR="00634A4E" w:rsidRPr="00A82DF7" w:rsidRDefault="00634A4E" w:rsidP="00DD204C">
            <w:pPr>
              <w:pStyle w:val="naiskr"/>
              <w:spacing w:before="0" w:after="0"/>
              <w:jc w:val="center"/>
            </w:pPr>
            <w:r w:rsidRPr="00A82DF7">
              <w:t>5.</w:t>
            </w:r>
          </w:p>
        </w:tc>
        <w:tc>
          <w:tcPr>
            <w:tcW w:w="1735" w:type="dxa"/>
          </w:tcPr>
          <w:p w:rsidR="00634A4E" w:rsidRPr="00A82DF7" w:rsidRDefault="00634A4E" w:rsidP="006C4607">
            <w:pPr>
              <w:pStyle w:val="naiskr"/>
              <w:spacing w:before="0" w:after="0"/>
            </w:pPr>
            <w:r w:rsidRPr="00A82DF7">
              <w:t>Projekta izstrādē iesaistītās institūcijas</w:t>
            </w:r>
          </w:p>
        </w:tc>
        <w:tc>
          <w:tcPr>
            <w:tcW w:w="6792" w:type="dxa"/>
          </w:tcPr>
          <w:p w:rsidR="00634A4E" w:rsidRPr="00A82DF7" w:rsidRDefault="00634A4E" w:rsidP="00304F22">
            <w:pPr>
              <w:pStyle w:val="naiskr"/>
              <w:spacing w:before="0" w:after="0"/>
            </w:pPr>
            <w:r w:rsidRPr="00A82DF7">
              <w:t>Pārtikas un veterinārais dienests</w:t>
            </w:r>
          </w:p>
        </w:tc>
      </w:tr>
      <w:tr w:rsidR="00634A4E" w:rsidRPr="00A82DF7" w:rsidTr="00EB33C6">
        <w:trPr>
          <w:trHeight w:val="1035"/>
        </w:trPr>
        <w:tc>
          <w:tcPr>
            <w:tcW w:w="550" w:type="dxa"/>
          </w:tcPr>
          <w:p w:rsidR="00634A4E" w:rsidRPr="00A82DF7" w:rsidRDefault="00634A4E" w:rsidP="00DD204C">
            <w:pPr>
              <w:pStyle w:val="naiskr"/>
              <w:spacing w:before="0" w:after="0"/>
              <w:jc w:val="center"/>
            </w:pPr>
            <w:r w:rsidRPr="00A82DF7">
              <w:t>6.</w:t>
            </w:r>
          </w:p>
        </w:tc>
        <w:tc>
          <w:tcPr>
            <w:tcW w:w="1735" w:type="dxa"/>
          </w:tcPr>
          <w:p w:rsidR="00634A4E" w:rsidRPr="00A82DF7" w:rsidRDefault="00634A4E" w:rsidP="006C4607">
            <w:pPr>
              <w:pStyle w:val="naiskr"/>
              <w:spacing w:before="0" w:after="0"/>
              <w:rPr>
                <w:i/>
                <w:highlight w:val="yellow"/>
              </w:rPr>
            </w:pPr>
            <w:r w:rsidRPr="00A82DF7">
              <w:t>Iemesli, kādēļ netika nodrošināta sabiedrības līdzdalība</w:t>
            </w:r>
          </w:p>
        </w:tc>
        <w:tc>
          <w:tcPr>
            <w:tcW w:w="6792" w:type="dxa"/>
          </w:tcPr>
          <w:p w:rsidR="00634A4E" w:rsidRPr="00A82DF7" w:rsidRDefault="00634A4E" w:rsidP="006C4607">
            <w:pPr>
              <w:pStyle w:val="Vresteksts"/>
              <w:rPr>
                <w:sz w:val="24"/>
                <w:szCs w:val="24"/>
              </w:rPr>
            </w:pPr>
            <w:r w:rsidRPr="00A82DF7">
              <w:rPr>
                <w:sz w:val="24"/>
                <w:szCs w:val="24"/>
              </w:rPr>
              <w:t xml:space="preserve"> Projekts šo jomu neskar.</w:t>
            </w:r>
          </w:p>
          <w:p w:rsidR="00634A4E" w:rsidRPr="00A82DF7" w:rsidRDefault="00634A4E" w:rsidP="006C4607">
            <w:pPr>
              <w:pStyle w:val="Vresteksts"/>
              <w:rPr>
                <w:sz w:val="24"/>
                <w:szCs w:val="24"/>
              </w:rPr>
            </w:pPr>
          </w:p>
        </w:tc>
      </w:tr>
      <w:tr w:rsidR="00634A4E" w:rsidRPr="00A82DF7" w:rsidTr="00EB33C6">
        <w:tc>
          <w:tcPr>
            <w:tcW w:w="550" w:type="dxa"/>
          </w:tcPr>
          <w:p w:rsidR="00634A4E" w:rsidRPr="00A82DF7" w:rsidRDefault="00634A4E" w:rsidP="00DD204C">
            <w:pPr>
              <w:pStyle w:val="naiskr"/>
              <w:spacing w:before="0" w:after="0"/>
              <w:jc w:val="center"/>
            </w:pPr>
            <w:r w:rsidRPr="00A82DF7">
              <w:t>7.</w:t>
            </w:r>
          </w:p>
        </w:tc>
        <w:tc>
          <w:tcPr>
            <w:tcW w:w="1735" w:type="dxa"/>
          </w:tcPr>
          <w:p w:rsidR="00634A4E" w:rsidRPr="00A82DF7" w:rsidRDefault="00634A4E" w:rsidP="006C4607">
            <w:pPr>
              <w:pStyle w:val="naiskr"/>
              <w:spacing w:before="0" w:after="0"/>
            </w:pPr>
            <w:r w:rsidRPr="00A82DF7">
              <w:t>Cita informācija</w:t>
            </w:r>
          </w:p>
        </w:tc>
        <w:tc>
          <w:tcPr>
            <w:tcW w:w="6792" w:type="dxa"/>
          </w:tcPr>
          <w:p w:rsidR="00634A4E" w:rsidRPr="00A82DF7" w:rsidRDefault="00634A4E" w:rsidP="005D213B">
            <w:pPr>
              <w:pStyle w:val="ListParagraph1"/>
              <w:tabs>
                <w:tab w:val="left" w:pos="993"/>
              </w:tabs>
              <w:ind w:left="0"/>
              <w:jc w:val="both"/>
              <w:rPr>
                <w:lang w:val="lv-LV"/>
              </w:rPr>
            </w:pPr>
            <w:r w:rsidRPr="00A82DF7">
              <w:rPr>
                <w:lang w:val="lv-LV"/>
              </w:rPr>
              <w:t xml:space="preserve">Noteikumu projektā paredzētā vistu vakcinācija pret salmonelozes ierosinātājiem tiks veikta saskaņā ar valsts kontroles programmu, kas saskaņota ar </w:t>
            </w:r>
            <w:r w:rsidRPr="00A82DF7">
              <w:rPr>
                <w:bCs/>
                <w:lang w:val="lv-LV"/>
              </w:rPr>
              <w:t xml:space="preserve">Eiropas Parlamenta un Padomes 2003.gada 17.novembra Regulā (EK) Nr.2160/2003 par salmonellas un dažu citu pārtikā sastopamu </w:t>
            </w:r>
            <w:proofErr w:type="spellStart"/>
            <w:r w:rsidRPr="00A82DF7">
              <w:rPr>
                <w:bCs/>
                <w:lang w:val="lv-LV"/>
              </w:rPr>
              <w:t>zoonozes</w:t>
            </w:r>
            <w:proofErr w:type="spellEnd"/>
            <w:r w:rsidRPr="00A82DF7">
              <w:rPr>
                <w:bCs/>
                <w:lang w:val="lv-LV"/>
              </w:rPr>
              <w:t xml:space="preserve"> īpašu izraisītāju kontroli</w:t>
            </w:r>
            <w:r w:rsidRPr="00A82DF7">
              <w:rPr>
                <w:lang w:val="lv-LV"/>
              </w:rPr>
              <w:t xml:space="preserve"> noteikto kārtību.</w:t>
            </w:r>
          </w:p>
          <w:p w:rsidR="00634A4E" w:rsidRPr="00A82DF7" w:rsidRDefault="00634A4E" w:rsidP="001929EC">
            <w:pPr>
              <w:pStyle w:val="naiskr"/>
              <w:spacing w:before="0" w:after="0"/>
              <w:jc w:val="both"/>
            </w:pPr>
            <w:bookmarkStart w:id="0" w:name="OLE_LINK1"/>
            <w:bookmarkStart w:id="1" w:name="OLE_LINK2"/>
            <w:r w:rsidRPr="00A82DF7">
              <w:rPr>
                <w:bCs/>
              </w:rPr>
              <w:t xml:space="preserve">Eiropas Komisija kompensē 50% no iztērētajiem līdzekļiem par vakcīnu iegādi, atmaksājot tos valsts budžetā. </w:t>
            </w:r>
            <w:r w:rsidRPr="00A82DF7">
              <w:t xml:space="preserve">Padomes 2009.gada 25.maija Lēmuma 2009/470/EEK par izdevumiem veterinārijas jomā 24.panta 1.punktā paredzēts, ka jāievieš Kopienas finansiālais pasākums, lai apmaksātu izdevumus, kas dalībvalstīm radušies, finansējot valsts programmas, kuras paredzētas, lai izskaustu, kontrolētu un uzraudzītu minētajā lēmumā norādītās dzīvnieku slimības. </w:t>
            </w:r>
            <w:bookmarkEnd w:id="0"/>
            <w:bookmarkEnd w:id="1"/>
          </w:p>
        </w:tc>
      </w:tr>
    </w:tbl>
    <w:p w:rsidR="00634A4E" w:rsidRPr="00A82DF7" w:rsidRDefault="00634A4E" w:rsidP="00C75142">
      <w:pPr>
        <w:pStyle w:val="naisf"/>
        <w:spacing w:before="0" w:after="0"/>
        <w:ind w:firstLine="0"/>
      </w:pPr>
    </w:p>
    <w:tbl>
      <w:tblPr>
        <w:tblpPr w:leftFromText="180" w:rightFromText="180" w:vertAnchor="text" w:horzAnchor="margin" w:tblpXSpec="center"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1713"/>
        <w:gridCol w:w="6934"/>
      </w:tblGrid>
      <w:tr w:rsidR="00634A4E" w:rsidRPr="00A82DF7" w:rsidTr="00EB33C6">
        <w:tc>
          <w:tcPr>
            <w:tcW w:w="9219" w:type="dxa"/>
            <w:gridSpan w:val="3"/>
            <w:vAlign w:val="center"/>
          </w:tcPr>
          <w:p w:rsidR="00634A4E" w:rsidRPr="00A82DF7" w:rsidRDefault="00634A4E" w:rsidP="00C958CB">
            <w:pPr>
              <w:pStyle w:val="naisnod"/>
              <w:spacing w:before="0" w:after="0"/>
            </w:pPr>
            <w:r w:rsidRPr="00A82DF7">
              <w:t>II. Tiesību akta projekta ietekme uz sabiedrību</w:t>
            </w:r>
          </w:p>
        </w:tc>
      </w:tr>
      <w:tr w:rsidR="00634A4E" w:rsidRPr="00A82DF7" w:rsidTr="00EB33C6">
        <w:trPr>
          <w:trHeight w:val="467"/>
        </w:trPr>
        <w:tc>
          <w:tcPr>
            <w:tcW w:w="572" w:type="dxa"/>
          </w:tcPr>
          <w:p w:rsidR="00634A4E" w:rsidRPr="00A82DF7" w:rsidRDefault="00634A4E" w:rsidP="00C958CB">
            <w:pPr>
              <w:pStyle w:val="naiskr"/>
              <w:spacing w:before="0" w:after="0"/>
              <w:jc w:val="center"/>
            </w:pPr>
            <w:r w:rsidRPr="00A82DF7">
              <w:t>1.</w:t>
            </w:r>
          </w:p>
        </w:tc>
        <w:tc>
          <w:tcPr>
            <w:tcW w:w="1713" w:type="dxa"/>
          </w:tcPr>
          <w:p w:rsidR="00634A4E" w:rsidRPr="00A82DF7" w:rsidRDefault="00634A4E" w:rsidP="00C958CB">
            <w:pPr>
              <w:pStyle w:val="naiskr"/>
              <w:spacing w:before="0" w:after="0"/>
            </w:pPr>
            <w:r w:rsidRPr="00A82DF7">
              <w:t xml:space="preserve">Sabiedrības </w:t>
            </w:r>
            <w:proofErr w:type="spellStart"/>
            <w:r w:rsidRPr="00A82DF7">
              <w:t>mērķgrupa</w:t>
            </w:r>
            <w:proofErr w:type="spellEnd"/>
          </w:p>
        </w:tc>
        <w:tc>
          <w:tcPr>
            <w:tcW w:w="6934" w:type="dxa"/>
          </w:tcPr>
          <w:p w:rsidR="00634A4E" w:rsidRPr="00A82DF7" w:rsidRDefault="00634A4E" w:rsidP="00C958CB">
            <w:pPr>
              <w:jc w:val="both"/>
            </w:pPr>
            <w:r w:rsidRPr="00A82DF7">
              <w:t xml:space="preserve">Noteikumu projekts attiecas uz 15 vistu ganāmpulka īpašniekiem vai turētājiem, </w:t>
            </w:r>
            <w:r w:rsidRPr="00A82DF7">
              <w:rPr>
                <w:bCs/>
              </w:rPr>
              <w:t>kas ražo un realizē svaigas olas vai inkubējamās olas Eiropas Savienības iekšējam tirgum.</w:t>
            </w:r>
          </w:p>
        </w:tc>
      </w:tr>
      <w:tr w:rsidR="00634A4E" w:rsidRPr="00A82DF7" w:rsidTr="00EB33C6">
        <w:trPr>
          <w:trHeight w:val="523"/>
        </w:trPr>
        <w:tc>
          <w:tcPr>
            <w:tcW w:w="572" w:type="dxa"/>
          </w:tcPr>
          <w:p w:rsidR="00634A4E" w:rsidRPr="00A82DF7" w:rsidRDefault="00634A4E" w:rsidP="00C958CB">
            <w:pPr>
              <w:pStyle w:val="Galvene"/>
              <w:jc w:val="center"/>
            </w:pPr>
            <w:r w:rsidRPr="00A82DF7">
              <w:t>2.</w:t>
            </w:r>
          </w:p>
        </w:tc>
        <w:tc>
          <w:tcPr>
            <w:tcW w:w="1713" w:type="dxa"/>
          </w:tcPr>
          <w:p w:rsidR="00634A4E" w:rsidRPr="00A82DF7" w:rsidRDefault="00634A4E" w:rsidP="00C958CB">
            <w:pPr>
              <w:pStyle w:val="Galvene"/>
            </w:pPr>
            <w:r w:rsidRPr="00A82DF7">
              <w:t xml:space="preserve">Citas sabiedrības grupas (bez </w:t>
            </w:r>
            <w:proofErr w:type="spellStart"/>
            <w:r w:rsidRPr="00A82DF7">
              <w:t>mērķgrupas</w:t>
            </w:r>
            <w:proofErr w:type="spellEnd"/>
            <w:r w:rsidRPr="00A82DF7">
              <w:t xml:space="preserve">), kuras tiesiskais </w:t>
            </w:r>
            <w:r w:rsidRPr="00A82DF7">
              <w:lastRenderedPageBreak/>
              <w:t>regulējums arī ietekmē vai varētu ietekmēt</w:t>
            </w:r>
          </w:p>
        </w:tc>
        <w:tc>
          <w:tcPr>
            <w:tcW w:w="6934" w:type="dxa"/>
          </w:tcPr>
          <w:p w:rsidR="00634A4E" w:rsidRPr="00A82DF7" w:rsidRDefault="00634A4E" w:rsidP="00F45E06">
            <w:pPr>
              <w:jc w:val="both"/>
            </w:pPr>
            <w:r w:rsidRPr="00A82DF7">
              <w:lastRenderedPageBreak/>
              <w:t>Projekts šo jomu neskar.</w:t>
            </w:r>
            <w:r w:rsidRPr="00A82DF7" w:rsidDel="00F45E06">
              <w:t xml:space="preserve">    </w:t>
            </w:r>
          </w:p>
        </w:tc>
      </w:tr>
      <w:tr w:rsidR="00634A4E" w:rsidRPr="00A82DF7" w:rsidTr="00EB33C6">
        <w:trPr>
          <w:trHeight w:val="517"/>
        </w:trPr>
        <w:tc>
          <w:tcPr>
            <w:tcW w:w="572" w:type="dxa"/>
          </w:tcPr>
          <w:p w:rsidR="00634A4E" w:rsidRPr="00A82DF7" w:rsidRDefault="00634A4E" w:rsidP="00C958CB">
            <w:pPr>
              <w:pStyle w:val="Galvene"/>
              <w:jc w:val="center"/>
            </w:pPr>
            <w:r w:rsidRPr="00A82DF7">
              <w:lastRenderedPageBreak/>
              <w:t>3.</w:t>
            </w:r>
          </w:p>
        </w:tc>
        <w:tc>
          <w:tcPr>
            <w:tcW w:w="1713" w:type="dxa"/>
          </w:tcPr>
          <w:p w:rsidR="00634A4E" w:rsidRPr="00A82DF7" w:rsidRDefault="00634A4E" w:rsidP="00C958CB">
            <w:pPr>
              <w:pStyle w:val="Galvene"/>
            </w:pPr>
            <w:r w:rsidRPr="00A82DF7">
              <w:t>Tiesiskā regulējuma finansiālā ietekme</w:t>
            </w:r>
          </w:p>
        </w:tc>
        <w:tc>
          <w:tcPr>
            <w:tcW w:w="6934" w:type="dxa"/>
          </w:tcPr>
          <w:p w:rsidR="00634A4E" w:rsidRPr="00A82DF7" w:rsidRDefault="00634A4E" w:rsidP="00C958CB">
            <w:pPr>
              <w:jc w:val="both"/>
            </w:pPr>
            <w:r w:rsidRPr="00A82DF7">
              <w:t>Projekts neparedz papildu finansiālu ietekmi vistu ganāmpulka īpašniekam vai turētājam.</w:t>
            </w:r>
          </w:p>
          <w:p w:rsidR="00634A4E" w:rsidRPr="00A82DF7" w:rsidRDefault="00634A4E" w:rsidP="00C958CB">
            <w:pPr>
              <w:jc w:val="both"/>
            </w:pPr>
          </w:p>
        </w:tc>
      </w:tr>
      <w:tr w:rsidR="00634A4E" w:rsidRPr="00A82DF7" w:rsidTr="00EB33C6">
        <w:trPr>
          <w:trHeight w:val="1127"/>
        </w:trPr>
        <w:tc>
          <w:tcPr>
            <w:tcW w:w="572" w:type="dxa"/>
          </w:tcPr>
          <w:p w:rsidR="00634A4E" w:rsidRPr="00A82DF7" w:rsidRDefault="00634A4E" w:rsidP="00C958CB">
            <w:pPr>
              <w:pStyle w:val="naiskr"/>
              <w:spacing w:before="0" w:after="0"/>
              <w:jc w:val="center"/>
            </w:pPr>
            <w:r w:rsidRPr="00A82DF7">
              <w:t>4.</w:t>
            </w:r>
          </w:p>
        </w:tc>
        <w:tc>
          <w:tcPr>
            <w:tcW w:w="1713" w:type="dxa"/>
          </w:tcPr>
          <w:p w:rsidR="00634A4E" w:rsidRPr="00A82DF7" w:rsidRDefault="00634A4E" w:rsidP="00C958CB">
            <w:pPr>
              <w:pStyle w:val="naiskr"/>
              <w:spacing w:before="0" w:after="0"/>
            </w:pPr>
            <w:r w:rsidRPr="00A82DF7">
              <w:t>Tiesiskā regulējuma nefinansiālā ietekme</w:t>
            </w:r>
          </w:p>
        </w:tc>
        <w:tc>
          <w:tcPr>
            <w:tcW w:w="6934" w:type="dxa"/>
          </w:tcPr>
          <w:p w:rsidR="00634A4E" w:rsidRPr="00A82DF7" w:rsidRDefault="00634A4E" w:rsidP="001929EC">
            <w:pPr>
              <w:jc w:val="both"/>
            </w:pPr>
            <w:r w:rsidRPr="00A82DF7">
              <w:t>Noteikumu projekts nosaka vistu ganāmpulka īpašniekam vai turētājam iespēju</w:t>
            </w:r>
            <w:r w:rsidRPr="00A82DF7">
              <w:rPr>
                <w:bCs/>
              </w:rPr>
              <w:t xml:space="preserve"> izvēlēties lietot </w:t>
            </w:r>
            <w:proofErr w:type="spellStart"/>
            <w:r w:rsidRPr="00A82DF7">
              <w:rPr>
                <w:bCs/>
              </w:rPr>
              <w:t>inaktivēto</w:t>
            </w:r>
            <w:proofErr w:type="spellEnd"/>
            <w:r w:rsidRPr="00A82DF7">
              <w:rPr>
                <w:bCs/>
              </w:rPr>
              <w:t xml:space="preserve"> vai dzīvo vakcīnu pret salmonelozi vistām</w:t>
            </w:r>
            <w:r w:rsidRPr="00A82DF7">
              <w:t>.</w:t>
            </w:r>
          </w:p>
        </w:tc>
      </w:tr>
      <w:tr w:rsidR="00634A4E" w:rsidRPr="00A82DF7" w:rsidTr="00EB33C6">
        <w:trPr>
          <w:trHeight w:val="531"/>
        </w:trPr>
        <w:tc>
          <w:tcPr>
            <w:tcW w:w="572" w:type="dxa"/>
          </w:tcPr>
          <w:p w:rsidR="00634A4E" w:rsidRPr="00A82DF7" w:rsidRDefault="00634A4E" w:rsidP="00C958CB">
            <w:pPr>
              <w:pStyle w:val="naiskr"/>
              <w:spacing w:before="0" w:after="0"/>
              <w:jc w:val="center"/>
            </w:pPr>
            <w:r w:rsidRPr="00A82DF7">
              <w:t>5.</w:t>
            </w:r>
          </w:p>
        </w:tc>
        <w:tc>
          <w:tcPr>
            <w:tcW w:w="1713" w:type="dxa"/>
          </w:tcPr>
          <w:p w:rsidR="00634A4E" w:rsidRPr="00A82DF7" w:rsidRDefault="00634A4E" w:rsidP="00C958CB">
            <w:pPr>
              <w:pStyle w:val="naiskr"/>
              <w:spacing w:before="0" w:after="0"/>
            </w:pPr>
            <w:r w:rsidRPr="00A82DF7">
              <w:t>Administratīvās procedūras raksturojums</w:t>
            </w:r>
          </w:p>
        </w:tc>
        <w:tc>
          <w:tcPr>
            <w:tcW w:w="6934" w:type="dxa"/>
          </w:tcPr>
          <w:p w:rsidR="00634A4E" w:rsidRPr="00A82DF7" w:rsidRDefault="00634A4E" w:rsidP="009363CA">
            <w:pPr>
              <w:jc w:val="both"/>
            </w:pPr>
            <w:r w:rsidRPr="00A82DF7">
              <w:t>Projekts šo jomu neskar.</w:t>
            </w:r>
          </w:p>
        </w:tc>
      </w:tr>
      <w:tr w:rsidR="00634A4E" w:rsidRPr="00A82DF7" w:rsidTr="00EB33C6">
        <w:trPr>
          <w:trHeight w:val="357"/>
        </w:trPr>
        <w:tc>
          <w:tcPr>
            <w:tcW w:w="572" w:type="dxa"/>
          </w:tcPr>
          <w:p w:rsidR="00634A4E" w:rsidRPr="00A82DF7" w:rsidRDefault="00634A4E" w:rsidP="00C958CB">
            <w:pPr>
              <w:pStyle w:val="naiskr"/>
              <w:spacing w:before="0" w:after="0"/>
              <w:jc w:val="center"/>
            </w:pPr>
            <w:r w:rsidRPr="00A82DF7">
              <w:t>6.</w:t>
            </w:r>
          </w:p>
        </w:tc>
        <w:tc>
          <w:tcPr>
            <w:tcW w:w="1713" w:type="dxa"/>
          </w:tcPr>
          <w:p w:rsidR="00634A4E" w:rsidRPr="00A82DF7" w:rsidRDefault="00634A4E" w:rsidP="00C958CB">
            <w:pPr>
              <w:pStyle w:val="naiskr"/>
              <w:spacing w:before="0" w:after="0"/>
            </w:pPr>
            <w:r w:rsidRPr="00A82DF7">
              <w:t>Administratīvo i</w:t>
            </w:r>
            <w:smartTag w:uri="urn:schemas-microsoft-com:office:smarttags" w:element="PersonName">
              <w:r w:rsidRPr="00A82DF7">
                <w:t>zm</w:t>
              </w:r>
            </w:smartTag>
            <w:r w:rsidRPr="00A82DF7">
              <w:t>aksu monetārs novērtējums</w:t>
            </w:r>
          </w:p>
        </w:tc>
        <w:tc>
          <w:tcPr>
            <w:tcW w:w="6934" w:type="dxa"/>
          </w:tcPr>
          <w:p w:rsidR="00634A4E" w:rsidRPr="00A82DF7" w:rsidRDefault="00634A4E" w:rsidP="00C958CB">
            <w:pPr>
              <w:jc w:val="both"/>
            </w:pPr>
            <w:r w:rsidRPr="00A82DF7">
              <w:t>Projekts šo jomu neskar.</w:t>
            </w:r>
          </w:p>
        </w:tc>
      </w:tr>
      <w:tr w:rsidR="00634A4E" w:rsidRPr="00A82DF7" w:rsidTr="00EB33C6">
        <w:tc>
          <w:tcPr>
            <w:tcW w:w="572" w:type="dxa"/>
          </w:tcPr>
          <w:p w:rsidR="00634A4E" w:rsidRPr="00A82DF7" w:rsidRDefault="00634A4E" w:rsidP="00C958CB">
            <w:pPr>
              <w:pStyle w:val="naiskr"/>
              <w:spacing w:before="0" w:after="0"/>
              <w:jc w:val="center"/>
            </w:pPr>
            <w:r w:rsidRPr="00A82DF7">
              <w:t>7.</w:t>
            </w:r>
          </w:p>
        </w:tc>
        <w:tc>
          <w:tcPr>
            <w:tcW w:w="1713" w:type="dxa"/>
          </w:tcPr>
          <w:p w:rsidR="00634A4E" w:rsidRPr="00A82DF7" w:rsidRDefault="00634A4E" w:rsidP="00C958CB">
            <w:pPr>
              <w:pStyle w:val="naiskr"/>
              <w:spacing w:before="0" w:after="0"/>
            </w:pPr>
            <w:r w:rsidRPr="00A82DF7">
              <w:t>Cita informācija</w:t>
            </w:r>
          </w:p>
        </w:tc>
        <w:tc>
          <w:tcPr>
            <w:tcW w:w="6934" w:type="dxa"/>
          </w:tcPr>
          <w:p w:rsidR="00634A4E" w:rsidRPr="00A82DF7" w:rsidRDefault="00634A4E" w:rsidP="00C958CB">
            <w:pPr>
              <w:jc w:val="both"/>
            </w:pPr>
            <w:r w:rsidRPr="00A82DF7">
              <w:t>Nav</w:t>
            </w:r>
          </w:p>
        </w:tc>
      </w:tr>
    </w:tbl>
    <w:p w:rsidR="00634A4E" w:rsidRPr="00A82DF7" w:rsidRDefault="00634A4E" w:rsidP="00F52833">
      <w:pPr>
        <w:pStyle w:val="Pamatteksts2"/>
      </w:pPr>
    </w:p>
    <w:p w:rsidR="00634A4E" w:rsidRPr="00A82DF7" w:rsidRDefault="00634A4E" w:rsidP="00143E84">
      <w:pPr>
        <w:pStyle w:val="Pamatteksts2"/>
      </w:pPr>
    </w:p>
    <w:tbl>
      <w:tblPr>
        <w:tblW w:w="9528"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4"/>
        <w:gridCol w:w="1262"/>
        <w:gridCol w:w="1365"/>
        <w:gridCol w:w="1264"/>
        <w:gridCol w:w="1380"/>
        <w:gridCol w:w="1223"/>
      </w:tblGrid>
      <w:tr w:rsidR="00634A4E" w:rsidRPr="00A82DF7" w:rsidTr="003F49EE">
        <w:trPr>
          <w:trHeight w:val="477"/>
          <w:jc w:val="center"/>
        </w:trPr>
        <w:tc>
          <w:tcPr>
            <w:tcW w:w="9528" w:type="dxa"/>
            <w:gridSpan w:val="6"/>
          </w:tcPr>
          <w:p w:rsidR="00634A4E" w:rsidRPr="00A82DF7" w:rsidRDefault="00634A4E" w:rsidP="003F7666">
            <w:pPr>
              <w:pStyle w:val="naisnod"/>
              <w:spacing w:before="0" w:after="0"/>
            </w:pPr>
            <w:r w:rsidRPr="00A82DF7">
              <w:rPr>
                <w:b w:val="0"/>
              </w:rPr>
              <w:br w:type="page"/>
            </w:r>
            <w:r w:rsidRPr="00A82DF7">
              <w:t>III. Tiesību akta projekta ietekme uz valsts budžetu un pašvaldību budžetiem</w:t>
            </w:r>
          </w:p>
        </w:tc>
      </w:tr>
      <w:tr w:rsidR="00634A4E" w:rsidRPr="00A82DF7" w:rsidTr="00EA5573">
        <w:trPr>
          <w:jc w:val="center"/>
        </w:trPr>
        <w:tc>
          <w:tcPr>
            <w:tcW w:w="3034" w:type="dxa"/>
            <w:vMerge w:val="restart"/>
            <w:vAlign w:val="center"/>
          </w:tcPr>
          <w:p w:rsidR="00634A4E" w:rsidRPr="00A82DF7" w:rsidRDefault="00634A4E" w:rsidP="003F7666">
            <w:pPr>
              <w:pStyle w:val="naisf"/>
              <w:spacing w:before="0" w:after="0"/>
              <w:ind w:firstLine="0"/>
              <w:jc w:val="center"/>
            </w:pPr>
            <w:r w:rsidRPr="00A82DF7">
              <w:t>Rādītāji</w:t>
            </w:r>
          </w:p>
        </w:tc>
        <w:tc>
          <w:tcPr>
            <w:tcW w:w="2627" w:type="dxa"/>
            <w:gridSpan w:val="2"/>
            <w:vMerge w:val="restart"/>
            <w:vAlign w:val="center"/>
          </w:tcPr>
          <w:p w:rsidR="00634A4E" w:rsidRPr="00A82DF7" w:rsidRDefault="00634A4E" w:rsidP="003F7666">
            <w:pPr>
              <w:pStyle w:val="naisf"/>
              <w:spacing w:before="0" w:after="0"/>
              <w:ind w:firstLine="0"/>
              <w:jc w:val="center"/>
            </w:pPr>
            <w:r w:rsidRPr="00A82DF7">
              <w:t>2012. gads</w:t>
            </w:r>
          </w:p>
        </w:tc>
        <w:tc>
          <w:tcPr>
            <w:tcW w:w="3867" w:type="dxa"/>
            <w:gridSpan w:val="3"/>
            <w:vAlign w:val="center"/>
          </w:tcPr>
          <w:p w:rsidR="00634A4E" w:rsidRPr="00A82DF7" w:rsidRDefault="00634A4E" w:rsidP="003F7666">
            <w:pPr>
              <w:pStyle w:val="naisf"/>
              <w:spacing w:before="0" w:after="0"/>
              <w:ind w:firstLine="0"/>
              <w:jc w:val="center"/>
            </w:pPr>
            <w:r w:rsidRPr="00A82DF7">
              <w:t>Turpmākie trīs gadi (tūkst</w:t>
            </w:r>
            <w:smartTag w:uri="schemas-tilde-lv/tildestengine" w:element="currency2">
              <w:smartTagPr>
                <w:attr w:name="currency_id" w:val="48"/>
                <w:attr w:name="currency_key" w:val="LVL"/>
                <w:attr w:name="currency_value" w:val="."/>
                <w:attr w:name="currency_text" w:val="latu"/>
              </w:smartTagPr>
              <w:r w:rsidRPr="00A82DF7">
                <w:t>. latu</w:t>
              </w:r>
            </w:smartTag>
            <w:r w:rsidRPr="00A82DF7">
              <w:t>)</w:t>
            </w:r>
          </w:p>
        </w:tc>
      </w:tr>
      <w:tr w:rsidR="00634A4E" w:rsidRPr="00A82DF7" w:rsidTr="00EA5573">
        <w:trPr>
          <w:jc w:val="center"/>
        </w:trPr>
        <w:tc>
          <w:tcPr>
            <w:tcW w:w="3034" w:type="dxa"/>
            <w:vMerge/>
            <w:vAlign w:val="center"/>
          </w:tcPr>
          <w:p w:rsidR="00634A4E" w:rsidRPr="00A82DF7" w:rsidRDefault="00634A4E" w:rsidP="003F7666">
            <w:pPr>
              <w:pStyle w:val="naisf"/>
              <w:spacing w:before="0" w:after="0"/>
              <w:ind w:firstLine="0"/>
              <w:jc w:val="center"/>
            </w:pPr>
          </w:p>
        </w:tc>
        <w:tc>
          <w:tcPr>
            <w:tcW w:w="2627" w:type="dxa"/>
            <w:gridSpan w:val="2"/>
            <w:vMerge/>
            <w:vAlign w:val="center"/>
          </w:tcPr>
          <w:p w:rsidR="00634A4E" w:rsidRPr="00A82DF7" w:rsidRDefault="00634A4E" w:rsidP="003F7666">
            <w:pPr>
              <w:pStyle w:val="naisf"/>
              <w:spacing w:before="0" w:after="0"/>
              <w:ind w:firstLine="0"/>
              <w:jc w:val="center"/>
            </w:pPr>
          </w:p>
        </w:tc>
        <w:tc>
          <w:tcPr>
            <w:tcW w:w="1264" w:type="dxa"/>
            <w:vAlign w:val="center"/>
          </w:tcPr>
          <w:p w:rsidR="00634A4E" w:rsidRPr="00A82DF7" w:rsidRDefault="00634A4E" w:rsidP="003F7666">
            <w:pPr>
              <w:pStyle w:val="naisf"/>
              <w:spacing w:before="0" w:after="0"/>
              <w:ind w:firstLine="0"/>
              <w:jc w:val="center"/>
            </w:pPr>
            <w:r w:rsidRPr="00A82DF7">
              <w:rPr>
                <w:bCs/>
              </w:rPr>
              <w:t>2013.</w:t>
            </w:r>
          </w:p>
        </w:tc>
        <w:tc>
          <w:tcPr>
            <w:tcW w:w="1380" w:type="dxa"/>
            <w:vAlign w:val="center"/>
          </w:tcPr>
          <w:p w:rsidR="00634A4E" w:rsidRPr="00A82DF7" w:rsidRDefault="00634A4E" w:rsidP="003F7666">
            <w:pPr>
              <w:pStyle w:val="naisf"/>
              <w:spacing w:before="0" w:after="0"/>
              <w:ind w:firstLine="0"/>
              <w:jc w:val="center"/>
            </w:pPr>
            <w:r w:rsidRPr="00A82DF7">
              <w:rPr>
                <w:bCs/>
              </w:rPr>
              <w:t>2014.</w:t>
            </w:r>
          </w:p>
        </w:tc>
        <w:tc>
          <w:tcPr>
            <w:tcW w:w="1223" w:type="dxa"/>
            <w:vAlign w:val="center"/>
          </w:tcPr>
          <w:p w:rsidR="00634A4E" w:rsidRPr="00A82DF7" w:rsidRDefault="00634A4E" w:rsidP="003F7666">
            <w:pPr>
              <w:pStyle w:val="naisf"/>
              <w:spacing w:before="0" w:after="0"/>
              <w:ind w:firstLine="0"/>
              <w:jc w:val="center"/>
            </w:pPr>
            <w:r w:rsidRPr="00A82DF7">
              <w:rPr>
                <w:bCs/>
              </w:rPr>
              <w:t>2015.</w:t>
            </w:r>
          </w:p>
        </w:tc>
      </w:tr>
      <w:tr w:rsidR="00634A4E" w:rsidRPr="00A82DF7" w:rsidTr="00EA5573">
        <w:trPr>
          <w:jc w:val="center"/>
        </w:trPr>
        <w:tc>
          <w:tcPr>
            <w:tcW w:w="3034" w:type="dxa"/>
            <w:vMerge/>
            <w:vAlign w:val="center"/>
          </w:tcPr>
          <w:p w:rsidR="00634A4E" w:rsidRPr="00A82DF7" w:rsidRDefault="00634A4E" w:rsidP="003F7666">
            <w:pPr>
              <w:pStyle w:val="naisf"/>
              <w:spacing w:before="0" w:after="0"/>
              <w:ind w:firstLine="0"/>
              <w:jc w:val="center"/>
            </w:pPr>
          </w:p>
        </w:tc>
        <w:tc>
          <w:tcPr>
            <w:tcW w:w="1262" w:type="dxa"/>
            <w:vAlign w:val="center"/>
          </w:tcPr>
          <w:p w:rsidR="00634A4E" w:rsidRPr="00A82DF7" w:rsidRDefault="00634A4E" w:rsidP="003F7666">
            <w:pPr>
              <w:pStyle w:val="naisf"/>
              <w:spacing w:before="0" w:after="0"/>
              <w:ind w:firstLine="0"/>
              <w:jc w:val="center"/>
            </w:pPr>
            <w:r w:rsidRPr="00A82DF7">
              <w:t>Saskaņā ar valsts budžetu kārtējam gadam</w:t>
            </w:r>
          </w:p>
        </w:tc>
        <w:tc>
          <w:tcPr>
            <w:tcW w:w="1365" w:type="dxa"/>
            <w:vAlign w:val="center"/>
          </w:tcPr>
          <w:p w:rsidR="00634A4E" w:rsidRPr="00A82DF7" w:rsidRDefault="00634A4E" w:rsidP="003F7666">
            <w:pPr>
              <w:pStyle w:val="naisf"/>
              <w:spacing w:before="0" w:after="0"/>
              <w:ind w:firstLine="0"/>
              <w:jc w:val="center"/>
            </w:pPr>
            <w:r w:rsidRPr="00A82DF7">
              <w:t>I</w:t>
            </w:r>
            <w:smartTag w:uri="urn:schemas-microsoft-com:office:smarttags" w:element="PersonName">
              <w:r w:rsidRPr="00A82DF7">
                <w:t>zm</w:t>
              </w:r>
            </w:smartTag>
            <w:r w:rsidRPr="00A82DF7">
              <w:t>aiņas kārtējā gadā, salīdzinot ar budžetu kārtējam gadam</w:t>
            </w:r>
          </w:p>
        </w:tc>
        <w:tc>
          <w:tcPr>
            <w:tcW w:w="1264" w:type="dxa"/>
            <w:vAlign w:val="center"/>
          </w:tcPr>
          <w:p w:rsidR="00634A4E" w:rsidRPr="00A82DF7" w:rsidRDefault="00634A4E" w:rsidP="003F7666">
            <w:pPr>
              <w:pStyle w:val="naisf"/>
              <w:spacing w:before="0" w:after="0"/>
              <w:ind w:firstLine="0"/>
              <w:jc w:val="center"/>
            </w:pPr>
            <w:r w:rsidRPr="00A82DF7">
              <w:t>I</w:t>
            </w:r>
            <w:smartTag w:uri="urn:schemas-microsoft-com:office:smarttags" w:element="PersonName">
              <w:r w:rsidRPr="00A82DF7">
                <w:t>zm</w:t>
              </w:r>
            </w:smartTag>
            <w:r w:rsidRPr="00A82DF7">
              <w:t>aiņas, salīdzinot ar kārtējo 2012.gadu</w:t>
            </w:r>
          </w:p>
        </w:tc>
        <w:tc>
          <w:tcPr>
            <w:tcW w:w="1380" w:type="dxa"/>
            <w:vAlign w:val="center"/>
          </w:tcPr>
          <w:p w:rsidR="00634A4E" w:rsidRPr="00A82DF7" w:rsidRDefault="00634A4E" w:rsidP="003F7666">
            <w:pPr>
              <w:pStyle w:val="naisf"/>
              <w:spacing w:before="0" w:after="0"/>
              <w:ind w:firstLine="0"/>
              <w:jc w:val="center"/>
            </w:pPr>
            <w:r w:rsidRPr="00A82DF7">
              <w:t>I</w:t>
            </w:r>
            <w:smartTag w:uri="urn:schemas-microsoft-com:office:smarttags" w:element="PersonName">
              <w:r w:rsidRPr="00A82DF7">
                <w:t>zm</w:t>
              </w:r>
            </w:smartTag>
            <w:r w:rsidRPr="00A82DF7">
              <w:t>aiņas, salīdzinot ar kārtējo 2012.gadu</w:t>
            </w:r>
          </w:p>
        </w:tc>
        <w:tc>
          <w:tcPr>
            <w:tcW w:w="1223" w:type="dxa"/>
            <w:vAlign w:val="center"/>
          </w:tcPr>
          <w:p w:rsidR="00634A4E" w:rsidRPr="00A82DF7" w:rsidRDefault="00634A4E" w:rsidP="003F7666">
            <w:pPr>
              <w:pStyle w:val="naisf"/>
              <w:spacing w:before="0" w:after="0"/>
              <w:ind w:firstLine="0"/>
              <w:jc w:val="center"/>
            </w:pPr>
            <w:r w:rsidRPr="00A82DF7">
              <w:t>I</w:t>
            </w:r>
            <w:smartTag w:uri="urn:schemas-microsoft-com:office:smarttags" w:element="PersonName">
              <w:r w:rsidRPr="00A82DF7">
                <w:t>zm</w:t>
              </w:r>
            </w:smartTag>
            <w:r w:rsidRPr="00A82DF7">
              <w:t>aiņas, salīdzinot ar kārtējo 2012.gadu</w:t>
            </w:r>
          </w:p>
        </w:tc>
      </w:tr>
      <w:tr w:rsidR="00634A4E" w:rsidRPr="00A82DF7" w:rsidTr="00EA5573">
        <w:trPr>
          <w:jc w:val="center"/>
        </w:trPr>
        <w:tc>
          <w:tcPr>
            <w:tcW w:w="3034" w:type="dxa"/>
            <w:vAlign w:val="center"/>
          </w:tcPr>
          <w:p w:rsidR="00634A4E" w:rsidRPr="00A82DF7" w:rsidRDefault="00634A4E" w:rsidP="003F7666">
            <w:pPr>
              <w:pStyle w:val="naisf"/>
              <w:spacing w:before="0" w:after="0"/>
              <w:ind w:firstLine="0"/>
              <w:jc w:val="center"/>
              <w:rPr>
                <w:bCs/>
              </w:rPr>
            </w:pPr>
            <w:r w:rsidRPr="00A82DF7">
              <w:rPr>
                <w:bCs/>
              </w:rPr>
              <w:t>1</w:t>
            </w:r>
          </w:p>
        </w:tc>
        <w:tc>
          <w:tcPr>
            <w:tcW w:w="1262" w:type="dxa"/>
            <w:vAlign w:val="center"/>
          </w:tcPr>
          <w:p w:rsidR="00634A4E" w:rsidRPr="00A82DF7" w:rsidRDefault="00634A4E" w:rsidP="003F7666">
            <w:pPr>
              <w:pStyle w:val="naisf"/>
              <w:spacing w:before="0" w:after="0"/>
              <w:ind w:firstLine="0"/>
              <w:jc w:val="center"/>
              <w:rPr>
                <w:bCs/>
              </w:rPr>
            </w:pPr>
            <w:r w:rsidRPr="00A82DF7">
              <w:rPr>
                <w:bCs/>
              </w:rPr>
              <w:t>2</w:t>
            </w:r>
          </w:p>
        </w:tc>
        <w:tc>
          <w:tcPr>
            <w:tcW w:w="1365" w:type="dxa"/>
            <w:vAlign w:val="center"/>
          </w:tcPr>
          <w:p w:rsidR="00634A4E" w:rsidRPr="00A82DF7" w:rsidRDefault="00634A4E" w:rsidP="003F7666">
            <w:pPr>
              <w:pStyle w:val="naisf"/>
              <w:spacing w:before="0" w:after="0"/>
              <w:ind w:firstLine="0"/>
              <w:jc w:val="center"/>
              <w:rPr>
                <w:bCs/>
              </w:rPr>
            </w:pPr>
            <w:r w:rsidRPr="00A82DF7">
              <w:rPr>
                <w:bCs/>
              </w:rPr>
              <w:t>3</w:t>
            </w:r>
          </w:p>
        </w:tc>
        <w:tc>
          <w:tcPr>
            <w:tcW w:w="1264" w:type="dxa"/>
            <w:vAlign w:val="center"/>
          </w:tcPr>
          <w:p w:rsidR="00634A4E" w:rsidRPr="00A82DF7" w:rsidRDefault="00634A4E" w:rsidP="003F7666">
            <w:pPr>
              <w:pStyle w:val="naisf"/>
              <w:spacing w:before="0" w:after="0"/>
              <w:ind w:firstLine="0"/>
              <w:jc w:val="center"/>
              <w:rPr>
                <w:bCs/>
              </w:rPr>
            </w:pPr>
            <w:r w:rsidRPr="00A82DF7">
              <w:rPr>
                <w:bCs/>
              </w:rPr>
              <w:t>4</w:t>
            </w:r>
          </w:p>
        </w:tc>
        <w:tc>
          <w:tcPr>
            <w:tcW w:w="1380" w:type="dxa"/>
            <w:vAlign w:val="center"/>
          </w:tcPr>
          <w:p w:rsidR="00634A4E" w:rsidRPr="00A82DF7" w:rsidRDefault="00634A4E" w:rsidP="003F7666">
            <w:pPr>
              <w:pStyle w:val="naisf"/>
              <w:spacing w:before="0" w:after="0"/>
              <w:ind w:firstLine="0"/>
              <w:jc w:val="center"/>
              <w:rPr>
                <w:bCs/>
              </w:rPr>
            </w:pPr>
            <w:r w:rsidRPr="00A82DF7">
              <w:rPr>
                <w:bCs/>
              </w:rPr>
              <w:t>5</w:t>
            </w:r>
          </w:p>
        </w:tc>
        <w:tc>
          <w:tcPr>
            <w:tcW w:w="1223" w:type="dxa"/>
            <w:vAlign w:val="center"/>
          </w:tcPr>
          <w:p w:rsidR="00634A4E" w:rsidRPr="00A82DF7" w:rsidRDefault="00634A4E" w:rsidP="003F7666">
            <w:pPr>
              <w:pStyle w:val="naisf"/>
              <w:spacing w:before="0" w:after="0"/>
              <w:ind w:firstLine="0"/>
              <w:jc w:val="center"/>
              <w:rPr>
                <w:bCs/>
              </w:rPr>
            </w:pPr>
            <w:r w:rsidRPr="00A82DF7">
              <w:rPr>
                <w:bCs/>
              </w:rPr>
              <w:t>6</w:t>
            </w:r>
          </w:p>
        </w:tc>
      </w:tr>
      <w:tr w:rsidR="00634A4E" w:rsidRPr="00A82DF7" w:rsidTr="00EA5573">
        <w:trPr>
          <w:jc w:val="center"/>
        </w:trPr>
        <w:tc>
          <w:tcPr>
            <w:tcW w:w="3034" w:type="dxa"/>
          </w:tcPr>
          <w:p w:rsidR="00634A4E" w:rsidRPr="00A82DF7" w:rsidRDefault="00634A4E" w:rsidP="003F7666">
            <w:pPr>
              <w:pStyle w:val="naisf"/>
              <w:spacing w:before="0" w:after="0"/>
              <w:ind w:firstLine="0"/>
            </w:pPr>
            <w:r w:rsidRPr="00A82DF7">
              <w:t>1. Budžeta ieņēmumi:</w:t>
            </w:r>
          </w:p>
        </w:tc>
        <w:tc>
          <w:tcPr>
            <w:tcW w:w="1262" w:type="dxa"/>
            <w:vAlign w:val="center"/>
          </w:tcPr>
          <w:p w:rsidR="00634A4E" w:rsidRPr="00A82DF7" w:rsidRDefault="00634A4E" w:rsidP="000E3676">
            <w:pPr>
              <w:pStyle w:val="naisf"/>
              <w:spacing w:before="0" w:after="0"/>
              <w:ind w:firstLine="0"/>
              <w:jc w:val="center"/>
              <w:rPr>
                <w:b/>
                <w:sz w:val="23"/>
                <w:szCs w:val="23"/>
              </w:rPr>
            </w:pPr>
            <w:r w:rsidRPr="00A82DF7">
              <w:rPr>
                <w:b/>
                <w:sz w:val="23"/>
                <w:szCs w:val="23"/>
              </w:rPr>
              <w:t>80,4</w:t>
            </w:r>
          </w:p>
        </w:tc>
        <w:tc>
          <w:tcPr>
            <w:tcW w:w="1365" w:type="dxa"/>
            <w:vAlign w:val="center"/>
          </w:tcPr>
          <w:p w:rsidR="00634A4E" w:rsidRPr="00A82DF7" w:rsidRDefault="00634A4E" w:rsidP="000E3676">
            <w:pPr>
              <w:pStyle w:val="naisf"/>
              <w:spacing w:before="0" w:after="0"/>
              <w:ind w:firstLine="0"/>
              <w:jc w:val="center"/>
              <w:rPr>
                <w:b/>
                <w:sz w:val="23"/>
                <w:szCs w:val="23"/>
              </w:rPr>
            </w:pPr>
            <w:r w:rsidRPr="00A82DF7">
              <w:rPr>
                <w:b/>
                <w:sz w:val="23"/>
                <w:szCs w:val="23"/>
              </w:rPr>
              <w:t>0,0</w:t>
            </w:r>
          </w:p>
        </w:tc>
        <w:tc>
          <w:tcPr>
            <w:tcW w:w="1264" w:type="dxa"/>
            <w:vAlign w:val="center"/>
          </w:tcPr>
          <w:p w:rsidR="00634A4E" w:rsidRPr="00A82DF7" w:rsidRDefault="00634A4E" w:rsidP="000E3676">
            <w:pPr>
              <w:jc w:val="center"/>
              <w:rPr>
                <w:b/>
                <w:sz w:val="23"/>
                <w:szCs w:val="23"/>
              </w:rPr>
            </w:pPr>
            <w:r w:rsidRPr="00A82DF7">
              <w:rPr>
                <w:b/>
                <w:sz w:val="23"/>
                <w:szCs w:val="23"/>
              </w:rPr>
              <w:t>1,5</w:t>
            </w:r>
          </w:p>
        </w:tc>
        <w:tc>
          <w:tcPr>
            <w:tcW w:w="1380" w:type="dxa"/>
            <w:vAlign w:val="center"/>
          </w:tcPr>
          <w:p w:rsidR="00634A4E" w:rsidRPr="00A82DF7" w:rsidRDefault="00634A4E" w:rsidP="000E3676">
            <w:pPr>
              <w:jc w:val="center"/>
              <w:rPr>
                <w:b/>
                <w:sz w:val="23"/>
                <w:szCs w:val="23"/>
              </w:rPr>
            </w:pPr>
            <w:r w:rsidRPr="00A82DF7">
              <w:rPr>
                <w:b/>
                <w:sz w:val="23"/>
                <w:szCs w:val="23"/>
              </w:rPr>
              <w:t>1,5</w:t>
            </w:r>
          </w:p>
        </w:tc>
        <w:tc>
          <w:tcPr>
            <w:tcW w:w="1223" w:type="dxa"/>
            <w:vAlign w:val="center"/>
          </w:tcPr>
          <w:p w:rsidR="00634A4E" w:rsidRPr="00A82DF7" w:rsidRDefault="00634A4E" w:rsidP="000E3676">
            <w:pPr>
              <w:jc w:val="center"/>
              <w:rPr>
                <w:b/>
                <w:sz w:val="23"/>
                <w:szCs w:val="23"/>
              </w:rPr>
            </w:pPr>
            <w:r w:rsidRPr="00A82DF7">
              <w:rPr>
                <w:b/>
                <w:sz w:val="23"/>
                <w:szCs w:val="23"/>
              </w:rPr>
              <w:t>1,5</w:t>
            </w:r>
          </w:p>
        </w:tc>
      </w:tr>
      <w:tr w:rsidR="00634A4E" w:rsidRPr="00A82DF7" w:rsidTr="00EA5573">
        <w:trPr>
          <w:jc w:val="center"/>
        </w:trPr>
        <w:tc>
          <w:tcPr>
            <w:tcW w:w="3034" w:type="dxa"/>
          </w:tcPr>
          <w:p w:rsidR="00634A4E" w:rsidRPr="00A82DF7" w:rsidRDefault="00634A4E" w:rsidP="00EA5573">
            <w:pPr>
              <w:pStyle w:val="naisnod"/>
              <w:numPr>
                <w:ilvl w:val="1"/>
                <w:numId w:val="19"/>
              </w:numPr>
              <w:spacing w:before="0" w:after="0"/>
              <w:ind w:left="-7" w:firstLine="7"/>
              <w:jc w:val="both"/>
              <w:rPr>
                <w:b w:val="0"/>
              </w:rPr>
            </w:pPr>
            <w:r w:rsidRPr="00A82DF7">
              <w:rPr>
                <w:b w:val="0"/>
              </w:rPr>
              <w:t>valsts pamatbudžets, tai skaitā ieņēmumi no maksas pakalpojumiem un citi pašu ieņēmumi.</w:t>
            </w:r>
          </w:p>
        </w:tc>
        <w:tc>
          <w:tcPr>
            <w:tcW w:w="1262" w:type="dxa"/>
            <w:vAlign w:val="center"/>
          </w:tcPr>
          <w:p w:rsidR="00634A4E" w:rsidRPr="00A82DF7" w:rsidRDefault="00634A4E" w:rsidP="000E3676">
            <w:pPr>
              <w:pStyle w:val="naisf"/>
              <w:spacing w:before="0" w:after="0"/>
              <w:ind w:firstLine="0"/>
              <w:jc w:val="center"/>
              <w:rPr>
                <w:sz w:val="23"/>
                <w:szCs w:val="23"/>
              </w:rPr>
            </w:pPr>
          </w:p>
        </w:tc>
        <w:tc>
          <w:tcPr>
            <w:tcW w:w="1365" w:type="dxa"/>
            <w:vAlign w:val="center"/>
          </w:tcPr>
          <w:p w:rsidR="00634A4E" w:rsidRPr="00A82DF7" w:rsidRDefault="00634A4E" w:rsidP="000E3676">
            <w:pPr>
              <w:pStyle w:val="naisf"/>
              <w:spacing w:before="0" w:after="0"/>
              <w:ind w:firstLine="0"/>
              <w:jc w:val="center"/>
              <w:rPr>
                <w:sz w:val="23"/>
                <w:szCs w:val="23"/>
              </w:rPr>
            </w:pPr>
          </w:p>
        </w:tc>
        <w:tc>
          <w:tcPr>
            <w:tcW w:w="1264" w:type="dxa"/>
            <w:vAlign w:val="center"/>
          </w:tcPr>
          <w:p w:rsidR="00634A4E" w:rsidRPr="00A82DF7" w:rsidRDefault="00634A4E" w:rsidP="000E3676">
            <w:pPr>
              <w:pStyle w:val="naisf"/>
              <w:spacing w:before="0" w:after="0"/>
              <w:ind w:firstLine="0"/>
              <w:jc w:val="center"/>
              <w:rPr>
                <w:sz w:val="23"/>
                <w:szCs w:val="23"/>
              </w:rPr>
            </w:pPr>
          </w:p>
        </w:tc>
        <w:tc>
          <w:tcPr>
            <w:tcW w:w="1380" w:type="dxa"/>
            <w:vAlign w:val="center"/>
          </w:tcPr>
          <w:p w:rsidR="00634A4E" w:rsidRPr="00A82DF7" w:rsidRDefault="00634A4E" w:rsidP="000E3676">
            <w:pPr>
              <w:pStyle w:val="naisf"/>
              <w:spacing w:before="0" w:after="0"/>
              <w:ind w:firstLine="0"/>
              <w:jc w:val="center"/>
              <w:rPr>
                <w:sz w:val="23"/>
                <w:szCs w:val="23"/>
              </w:rPr>
            </w:pPr>
          </w:p>
        </w:tc>
        <w:tc>
          <w:tcPr>
            <w:tcW w:w="1223" w:type="dxa"/>
            <w:vAlign w:val="center"/>
          </w:tcPr>
          <w:p w:rsidR="00634A4E" w:rsidRPr="00A82DF7" w:rsidRDefault="00634A4E" w:rsidP="000E3676">
            <w:pPr>
              <w:pStyle w:val="naisf"/>
              <w:spacing w:before="0" w:after="0"/>
              <w:ind w:firstLine="0"/>
              <w:jc w:val="center"/>
              <w:rPr>
                <w:sz w:val="23"/>
                <w:szCs w:val="23"/>
              </w:rPr>
            </w:pPr>
          </w:p>
        </w:tc>
      </w:tr>
      <w:tr w:rsidR="00634A4E" w:rsidRPr="00A82DF7" w:rsidTr="00EA5573">
        <w:trPr>
          <w:jc w:val="center"/>
        </w:trPr>
        <w:tc>
          <w:tcPr>
            <w:tcW w:w="3034" w:type="dxa"/>
          </w:tcPr>
          <w:p w:rsidR="00634A4E" w:rsidRPr="00A82DF7" w:rsidRDefault="00634A4E" w:rsidP="00EA5573">
            <w:pPr>
              <w:pStyle w:val="naisnod"/>
              <w:numPr>
                <w:ilvl w:val="2"/>
                <w:numId w:val="19"/>
              </w:numPr>
              <w:spacing w:before="0" w:after="0"/>
              <w:jc w:val="both"/>
              <w:rPr>
                <w:b w:val="0"/>
                <w:i/>
              </w:rPr>
            </w:pPr>
            <w:r w:rsidRPr="00A82DF7">
              <w:rPr>
                <w:b w:val="0"/>
                <w:i/>
              </w:rPr>
              <w:t>ieņēmumi no EK par apkarošanas pasākumiem</w:t>
            </w:r>
          </w:p>
        </w:tc>
        <w:tc>
          <w:tcPr>
            <w:tcW w:w="1262" w:type="dxa"/>
            <w:vAlign w:val="center"/>
          </w:tcPr>
          <w:p w:rsidR="00634A4E" w:rsidRPr="00A82DF7" w:rsidRDefault="00634A4E" w:rsidP="000E3676">
            <w:pPr>
              <w:pStyle w:val="naisf"/>
              <w:spacing w:before="0" w:after="0"/>
              <w:ind w:firstLine="0"/>
              <w:jc w:val="center"/>
              <w:rPr>
                <w:sz w:val="23"/>
                <w:szCs w:val="23"/>
              </w:rPr>
            </w:pPr>
            <w:r w:rsidRPr="00A82DF7">
              <w:rPr>
                <w:sz w:val="23"/>
                <w:szCs w:val="23"/>
              </w:rPr>
              <w:t>80,4</w:t>
            </w:r>
          </w:p>
        </w:tc>
        <w:tc>
          <w:tcPr>
            <w:tcW w:w="1365" w:type="dxa"/>
            <w:vAlign w:val="center"/>
          </w:tcPr>
          <w:p w:rsidR="00634A4E" w:rsidRPr="00A82DF7" w:rsidRDefault="00634A4E" w:rsidP="000E3676">
            <w:pPr>
              <w:pStyle w:val="naisf"/>
              <w:spacing w:before="0" w:after="0"/>
              <w:ind w:firstLine="0"/>
              <w:jc w:val="center"/>
              <w:rPr>
                <w:sz w:val="23"/>
                <w:szCs w:val="23"/>
              </w:rPr>
            </w:pPr>
            <w:r w:rsidRPr="00A82DF7">
              <w:rPr>
                <w:sz w:val="23"/>
                <w:szCs w:val="23"/>
              </w:rPr>
              <w:t>0,0</w:t>
            </w:r>
          </w:p>
        </w:tc>
        <w:tc>
          <w:tcPr>
            <w:tcW w:w="1264" w:type="dxa"/>
            <w:vAlign w:val="center"/>
          </w:tcPr>
          <w:p w:rsidR="00634A4E" w:rsidRPr="00A82DF7" w:rsidRDefault="00634A4E" w:rsidP="000E3676">
            <w:pPr>
              <w:jc w:val="center"/>
              <w:rPr>
                <w:sz w:val="23"/>
                <w:szCs w:val="23"/>
              </w:rPr>
            </w:pPr>
            <w:r w:rsidRPr="00A82DF7">
              <w:rPr>
                <w:sz w:val="23"/>
                <w:szCs w:val="23"/>
              </w:rPr>
              <w:t>1,5</w:t>
            </w:r>
          </w:p>
        </w:tc>
        <w:tc>
          <w:tcPr>
            <w:tcW w:w="1380" w:type="dxa"/>
            <w:vAlign w:val="center"/>
          </w:tcPr>
          <w:p w:rsidR="00634A4E" w:rsidRPr="00A82DF7" w:rsidRDefault="00634A4E" w:rsidP="000E3676">
            <w:pPr>
              <w:jc w:val="center"/>
              <w:rPr>
                <w:sz w:val="23"/>
                <w:szCs w:val="23"/>
              </w:rPr>
            </w:pPr>
            <w:r w:rsidRPr="00A82DF7">
              <w:rPr>
                <w:sz w:val="23"/>
                <w:szCs w:val="23"/>
              </w:rPr>
              <w:t>1,5</w:t>
            </w:r>
          </w:p>
        </w:tc>
        <w:tc>
          <w:tcPr>
            <w:tcW w:w="1223" w:type="dxa"/>
            <w:vAlign w:val="center"/>
          </w:tcPr>
          <w:p w:rsidR="00634A4E" w:rsidRPr="00A82DF7" w:rsidRDefault="00634A4E" w:rsidP="000E3676">
            <w:pPr>
              <w:jc w:val="center"/>
              <w:rPr>
                <w:sz w:val="23"/>
                <w:szCs w:val="23"/>
              </w:rPr>
            </w:pPr>
            <w:r w:rsidRPr="00A82DF7">
              <w:rPr>
                <w:sz w:val="23"/>
                <w:szCs w:val="23"/>
              </w:rPr>
              <w:t>1,5</w:t>
            </w:r>
          </w:p>
        </w:tc>
      </w:tr>
      <w:tr w:rsidR="00634A4E" w:rsidRPr="00A82DF7" w:rsidTr="00EA5573">
        <w:trPr>
          <w:jc w:val="center"/>
        </w:trPr>
        <w:tc>
          <w:tcPr>
            <w:tcW w:w="3034" w:type="dxa"/>
          </w:tcPr>
          <w:p w:rsidR="00634A4E" w:rsidRPr="00A82DF7" w:rsidRDefault="00634A4E" w:rsidP="003F7666">
            <w:pPr>
              <w:pStyle w:val="naisf"/>
              <w:spacing w:before="0" w:after="0"/>
              <w:ind w:firstLine="0"/>
            </w:pPr>
            <w:r w:rsidRPr="00A82DF7">
              <w:t>1.2. valsts speciālais budžets</w:t>
            </w:r>
          </w:p>
        </w:tc>
        <w:tc>
          <w:tcPr>
            <w:tcW w:w="1262" w:type="dxa"/>
            <w:vAlign w:val="center"/>
          </w:tcPr>
          <w:p w:rsidR="00634A4E" w:rsidRPr="00A82DF7" w:rsidRDefault="00634A4E" w:rsidP="000E3676">
            <w:pPr>
              <w:jc w:val="center"/>
              <w:rPr>
                <w:sz w:val="23"/>
                <w:szCs w:val="23"/>
              </w:rPr>
            </w:pPr>
          </w:p>
        </w:tc>
        <w:tc>
          <w:tcPr>
            <w:tcW w:w="1365" w:type="dxa"/>
            <w:vAlign w:val="center"/>
          </w:tcPr>
          <w:p w:rsidR="00634A4E" w:rsidRPr="00A82DF7" w:rsidRDefault="00634A4E" w:rsidP="000E3676">
            <w:pPr>
              <w:jc w:val="center"/>
              <w:rPr>
                <w:sz w:val="23"/>
                <w:szCs w:val="23"/>
              </w:rPr>
            </w:pPr>
          </w:p>
        </w:tc>
        <w:tc>
          <w:tcPr>
            <w:tcW w:w="1264" w:type="dxa"/>
            <w:vAlign w:val="center"/>
          </w:tcPr>
          <w:p w:rsidR="00634A4E" w:rsidRPr="00A82DF7" w:rsidRDefault="00634A4E" w:rsidP="000E3676">
            <w:pPr>
              <w:jc w:val="center"/>
              <w:rPr>
                <w:sz w:val="23"/>
                <w:szCs w:val="23"/>
              </w:rPr>
            </w:pPr>
          </w:p>
        </w:tc>
        <w:tc>
          <w:tcPr>
            <w:tcW w:w="1380" w:type="dxa"/>
            <w:vAlign w:val="center"/>
          </w:tcPr>
          <w:p w:rsidR="00634A4E" w:rsidRPr="00A82DF7" w:rsidRDefault="00634A4E" w:rsidP="000E3676">
            <w:pPr>
              <w:jc w:val="center"/>
              <w:rPr>
                <w:sz w:val="23"/>
                <w:szCs w:val="23"/>
              </w:rPr>
            </w:pPr>
          </w:p>
        </w:tc>
        <w:tc>
          <w:tcPr>
            <w:tcW w:w="1223" w:type="dxa"/>
            <w:vAlign w:val="center"/>
          </w:tcPr>
          <w:p w:rsidR="00634A4E" w:rsidRPr="00A82DF7" w:rsidRDefault="00634A4E" w:rsidP="000E3676">
            <w:pPr>
              <w:jc w:val="center"/>
              <w:rPr>
                <w:sz w:val="23"/>
                <w:szCs w:val="23"/>
              </w:rPr>
            </w:pPr>
          </w:p>
        </w:tc>
      </w:tr>
      <w:tr w:rsidR="00634A4E" w:rsidRPr="00A82DF7" w:rsidTr="00EA5573">
        <w:trPr>
          <w:jc w:val="center"/>
        </w:trPr>
        <w:tc>
          <w:tcPr>
            <w:tcW w:w="3034" w:type="dxa"/>
          </w:tcPr>
          <w:p w:rsidR="00634A4E" w:rsidRPr="00A82DF7" w:rsidRDefault="00634A4E" w:rsidP="003F7666">
            <w:pPr>
              <w:pStyle w:val="naisf"/>
              <w:spacing w:before="0" w:after="0"/>
              <w:ind w:firstLine="0"/>
            </w:pPr>
            <w:r w:rsidRPr="00A82DF7">
              <w:t>1.3. pašvaldību budžets</w:t>
            </w:r>
          </w:p>
        </w:tc>
        <w:tc>
          <w:tcPr>
            <w:tcW w:w="1262" w:type="dxa"/>
            <w:vAlign w:val="center"/>
          </w:tcPr>
          <w:p w:rsidR="00634A4E" w:rsidRPr="00A82DF7" w:rsidRDefault="00634A4E" w:rsidP="000E3676">
            <w:pPr>
              <w:jc w:val="center"/>
              <w:rPr>
                <w:sz w:val="23"/>
                <w:szCs w:val="23"/>
              </w:rPr>
            </w:pPr>
          </w:p>
        </w:tc>
        <w:tc>
          <w:tcPr>
            <w:tcW w:w="1365" w:type="dxa"/>
            <w:vAlign w:val="center"/>
          </w:tcPr>
          <w:p w:rsidR="00634A4E" w:rsidRPr="00A82DF7" w:rsidRDefault="00634A4E" w:rsidP="000E3676">
            <w:pPr>
              <w:jc w:val="center"/>
              <w:rPr>
                <w:sz w:val="23"/>
                <w:szCs w:val="23"/>
              </w:rPr>
            </w:pPr>
          </w:p>
        </w:tc>
        <w:tc>
          <w:tcPr>
            <w:tcW w:w="1264" w:type="dxa"/>
            <w:vAlign w:val="center"/>
          </w:tcPr>
          <w:p w:rsidR="00634A4E" w:rsidRPr="00A82DF7" w:rsidRDefault="00634A4E" w:rsidP="000E3676">
            <w:pPr>
              <w:jc w:val="center"/>
              <w:rPr>
                <w:sz w:val="23"/>
                <w:szCs w:val="23"/>
              </w:rPr>
            </w:pPr>
          </w:p>
        </w:tc>
        <w:tc>
          <w:tcPr>
            <w:tcW w:w="1380" w:type="dxa"/>
            <w:vAlign w:val="center"/>
          </w:tcPr>
          <w:p w:rsidR="00634A4E" w:rsidRPr="00A82DF7" w:rsidRDefault="00634A4E" w:rsidP="000E3676">
            <w:pPr>
              <w:jc w:val="center"/>
              <w:rPr>
                <w:sz w:val="23"/>
                <w:szCs w:val="23"/>
              </w:rPr>
            </w:pPr>
          </w:p>
        </w:tc>
        <w:tc>
          <w:tcPr>
            <w:tcW w:w="1223" w:type="dxa"/>
            <w:vAlign w:val="center"/>
          </w:tcPr>
          <w:p w:rsidR="00634A4E" w:rsidRPr="00A82DF7" w:rsidRDefault="00634A4E" w:rsidP="000E3676">
            <w:pPr>
              <w:jc w:val="center"/>
              <w:rPr>
                <w:sz w:val="23"/>
                <w:szCs w:val="23"/>
              </w:rPr>
            </w:pPr>
          </w:p>
        </w:tc>
      </w:tr>
      <w:tr w:rsidR="00634A4E" w:rsidRPr="00A82DF7" w:rsidTr="00EA5573">
        <w:trPr>
          <w:jc w:val="center"/>
        </w:trPr>
        <w:tc>
          <w:tcPr>
            <w:tcW w:w="3034" w:type="dxa"/>
          </w:tcPr>
          <w:p w:rsidR="00634A4E" w:rsidRPr="00A82DF7" w:rsidRDefault="00634A4E" w:rsidP="003F7666">
            <w:pPr>
              <w:jc w:val="both"/>
            </w:pPr>
            <w:r w:rsidRPr="00A82DF7">
              <w:t>2. Budžeta izdevumi:</w:t>
            </w:r>
          </w:p>
        </w:tc>
        <w:tc>
          <w:tcPr>
            <w:tcW w:w="1262" w:type="dxa"/>
            <w:vAlign w:val="center"/>
          </w:tcPr>
          <w:p w:rsidR="00634A4E" w:rsidRPr="00A82DF7" w:rsidRDefault="00634A4E" w:rsidP="000E3676">
            <w:pPr>
              <w:jc w:val="center"/>
              <w:rPr>
                <w:sz w:val="23"/>
                <w:szCs w:val="23"/>
              </w:rPr>
            </w:pPr>
          </w:p>
        </w:tc>
        <w:tc>
          <w:tcPr>
            <w:tcW w:w="1365" w:type="dxa"/>
            <w:vAlign w:val="center"/>
          </w:tcPr>
          <w:p w:rsidR="00634A4E" w:rsidRPr="00A82DF7" w:rsidRDefault="00634A4E" w:rsidP="000E3676">
            <w:pPr>
              <w:jc w:val="center"/>
              <w:rPr>
                <w:sz w:val="23"/>
                <w:szCs w:val="23"/>
              </w:rPr>
            </w:pPr>
          </w:p>
        </w:tc>
        <w:tc>
          <w:tcPr>
            <w:tcW w:w="1264" w:type="dxa"/>
            <w:vAlign w:val="center"/>
          </w:tcPr>
          <w:p w:rsidR="00634A4E" w:rsidRPr="00A82DF7" w:rsidRDefault="00634A4E" w:rsidP="000E3676">
            <w:pPr>
              <w:jc w:val="center"/>
              <w:rPr>
                <w:b/>
                <w:sz w:val="23"/>
                <w:szCs w:val="23"/>
              </w:rPr>
            </w:pPr>
          </w:p>
        </w:tc>
        <w:tc>
          <w:tcPr>
            <w:tcW w:w="1380" w:type="dxa"/>
            <w:vAlign w:val="center"/>
          </w:tcPr>
          <w:p w:rsidR="00634A4E" w:rsidRPr="00A82DF7" w:rsidRDefault="00634A4E" w:rsidP="000E3676">
            <w:pPr>
              <w:jc w:val="center"/>
              <w:rPr>
                <w:b/>
                <w:sz w:val="23"/>
                <w:szCs w:val="23"/>
              </w:rPr>
            </w:pPr>
          </w:p>
        </w:tc>
        <w:tc>
          <w:tcPr>
            <w:tcW w:w="1223" w:type="dxa"/>
            <w:vAlign w:val="center"/>
          </w:tcPr>
          <w:p w:rsidR="00634A4E" w:rsidRPr="00A82DF7" w:rsidRDefault="00634A4E" w:rsidP="000E3676">
            <w:pPr>
              <w:jc w:val="center"/>
              <w:rPr>
                <w:b/>
                <w:sz w:val="23"/>
                <w:szCs w:val="23"/>
              </w:rPr>
            </w:pPr>
          </w:p>
        </w:tc>
      </w:tr>
      <w:tr w:rsidR="00634A4E" w:rsidRPr="00A82DF7" w:rsidTr="00EA5573">
        <w:trPr>
          <w:jc w:val="center"/>
        </w:trPr>
        <w:tc>
          <w:tcPr>
            <w:tcW w:w="3034" w:type="dxa"/>
          </w:tcPr>
          <w:p w:rsidR="00634A4E" w:rsidRPr="00A82DF7" w:rsidRDefault="00634A4E" w:rsidP="003F7666">
            <w:pPr>
              <w:jc w:val="both"/>
            </w:pPr>
            <w:r w:rsidRPr="00A82DF7">
              <w:t>2.1. valsts pamatbudžets</w:t>
            </w:r>
          </w:p>
        </w:tc>
        <w:tc>
          <w:tcPr>
            <w:tcW w:w="1262" w:type="dxa"/>
            <w:vAlign w:val="center"/>
          </w:tcPr>
          <w:p w:rsidR="00634A4E" w:rsidRPr="00A82DF7" w:rsidRDefault="00634A4E" w:rsidP="000E3676">
            <w:pPr>
              <w:jc w:val="center"/>
              <w:rPr>
                <w:b/>
                <w:sz w:val="23"/>
                <w:szCs w:val="23"/>
              </w:rPr>
            </w:pPr>
            <w:r w:rsidRPr="00A82DF7">
              <w:rPr>
                <w:b/>
                <w:sz w:val="23"/>
                <w:szCs w:val="23"/>
              </w:rPr>
              <w:t>194,0</w:t>
            </w:r>
          </w:p>
        </w:tc>
        <w:tc>
          <w:tcPr>
            <w:tcW w:w="1365" w:type="dxa"/>
            <w:vAlign w:val="center"/>
          </w:tcPr>
          <w:p w:rsidR="00634A4E" w:rsidRPr="00A82DF7" w:rsidRDefault="00634A4E" w:rsidP="000E3676">
            <w:pPr>
              <w:jc w:val="center"/>
              <w:rPr>
                <w:b/>
                <w:sz w:val="23"/>
                <w:szCs w:val="23"/>
              </w:rPr>
            </w:pPr>
            <w:r w:rsidRPr="00A82DF7">
              <w:rPr>
                <w:b/>
                <w:sz w:val="23"/>
                <w:szCs w:val="23"/>
              </w:rPr>
              <w:t>0,0</w:t>
            </w:r>
          </w:p>
        </w:tc>
        <w:tc>
          <w:tcPr>
            <w:tcW w:w="1264" w:type="dxa"/>
            <w:vAlign w:val="center"/>
          </w:tcPr>
          <w:p w:rsidR="00634A4E" w:rsidRPr="00A82DF7" w:rsidRDefault="00634A4E" w:rsidP="000E3676">
            <w:pPr>
              <w:jc w:val="center"/>
              <w:rPr>
                <w:b/>
                <w:sz w:val="23"/>
                <w:szCs w:val="23"/>
              </w:rPr>
            </w:pPr>
            <w:r w:rsidRPr="00A82DF7">
              <w:rPr>
                <w:b/>
                <w:sz w:val="23"/>
                <w:szCs w:val="23"/>
              </w:rPr>
              <w:t>4,5</w:t>
            </w:r>
          </w:p>
        </w:tc>
        <w:tc>
          <w:tcPr>
            <w:tcW w:w="1380" w:type="dxa"/>
            <w:vAlign w:val="center"/>
          </w:tcPr>
          <w:p w:rsidR="00634A4E" w:rsidRPr="00A82DF7" w:rsidRDefault="00634A4E" w:rsidP="000E3676">
            <w:pPr>
              <w:jc w:val="center"/>
              <w:rPr>
                <w:b/>
                <w:sz w:val="23"/>
                <w:szCs w:val="23"/>
              </w:rPr>
            </w:pPr>
            <w:r w:rsidRPr="00A82DF7">
              <w:rPr>
                <w:b/>
                <w:sz w:val="23"/>
                <w:szCs w:val="23"/>
              </w:rPr>
              <w:t>4,5</w:t>
            </w:r>
          </w:p>
        </w:tc>
        <w:tc>
          <w:tcPr>
            <w:tcW w:w="1223" w:type="dxa"/>
            <w:vAlign w:val="center"/>
          </w:tcPr>
          <w:p w:rsidR="00634A4E" w:rsidRPr="00A82DF7" w:rsidRDefault="00634A4E" w:rsidP="000E3676">
            <w:pPr>
              <w:jc w:val="center"/>
              <w:rPr>
                <w:b/>
                <w:sz w:val="23"/>
                <w:szCs w:val="23"/>
              </w:rPr>
            </w:pPr>
            <w:r w:rsidRPr="00A82DF7">
              <w:rPr>
                <w:b/>
                <w:sz w:val="23"/>
                <w:szCs w:val="23"/>
              </w:rPr>
              <w:t>4,5</w:t>
            </w:r>
          </w:p>
        </w:tc>
      </w:tr>
      <w:tr w:rsidR="00634A4E" w:rsidRPr="00A82DF7" w:rsidTr="00EA5573">
        <w:trPr>
          <w:jc w:val="center"/>
        </w:trPr>
        <w:tc>
          <w:tcPr>
            <w:tcW w:w="3034" w:type="dxa"/>
          </w:tcPr>
          <w:p w:rsidR="00634A4E" w:rsidRPr="00A82DF7" w:rsidRDefault="00634A4E" w:rsidP="003F7666">
            <w:pPr>
              <w:jc w:val="both"/>
              <w:rPr>
                <w:i/>
              </w:rPr>
            </w:pPr>
            <w:r w:rsidRPr="00A82DF7">
              <w:rPr>
                <w:i/>
              </w:rPr>
              <w:t xml:space="preserve">2.1.1. Zemkopības ministrijas valsts budžeta programmā 70.00.00. „Citu Eiropas Savienības politiku instrumentu projektu un </w:t>
            </w:r>
            <w:r w:rsidRPr="00A82DF7">
              <w:rPr>
                <w:i/>
              </w:rPr>
              <w:lastRenderedPageBreak/>
              <w:t xml:space="preserve">pasākumu īstenošana” </w:t>
            </w:r>
          </w:p>
        </w:tc>
        <w:tc>
          <w:tcPr>
            <w:tcW w:w="1262" w:type="dxa"/>
            <w:vAlign w:val="center"/>
          </w:tcPr>
          <w:p w:rsidR="00634A4E" w:rsidRPr="00A82DF7" w:rsidRDefault="00634A4E" w:rsidP="000E3676">
            <w:pPr>
              <w:jc w:val="center"/>
              <w:rPr>
                <w:sz w:val="23"/>
                <w:szCs w:val="23"/>
              </w:rPr>
            </w:pPr>
            <w:r w:rsidRPr="00A82DF7">
              <w:rPr>
                <w:sz w:val="23"/>
                <w:szCs w:val="23"/>
              </w:rPr>
              <w:lastRenderedPageBreak/>
              <w:t>194,0</w:t>
            </w:r>
          </w:p>
        </w:tc>
        <w:tc>
          <w:tcPr>
            <w:tcW w:w="1365" w:type="dxa"/>
            <w:vAlign w:val="center"/>
          </w:tcPr>
          <w:p w:rsidR="00634A4E" w:rsidRPr="00A82DF7" w:rsidRDefault="00634A4E" w:rsidP="000E3676">
            <w:pPr>
              <w:jc w:val="center"/>
              <w:rPr>
                <w:sz w:val="23"/>
                <w:szCs w:val="23"/>
              </w:rPr>
            </w:pPr>
            <w:r w:rsidRPr="00A82DF7">
              <w:rPr>
                <w:sz w:val="23"/>
                <w:szCs w:val="23"/>
              </w:rPr>
              <w:t>0,0</w:t>
            </w:r>
          </w:p>
        </w:tc>
        <w:tc>
          <w:tcPr>
            <w:tcW w:w="1264" w:type="dxa"/>
            <w:vAlign w:val="center"/>
          </w:tcPr>
          <w:p w:rsidR="00634A4E" w:rsidRPr="00A82DF7" w:rsidRDefault="00634A4E" w:rsidP="000E3676">
            <w:pPr>
              <w:pStyle w:val="Galvene"/>
              <w:jc w:val="center"/>
              <w:rPr>
                <w:i/>
                <w:sz w:val="23"/>
                <w:szCs w:val="23"/>
              </w:rPr>
            </w:pPr>
            <w:r w:rsidRPr="00A82DF7">
              <w:rPr>
                <w:i/>
                <w:sz w:val="23"/>
                <w:szCs w:val="23"/>
              </w:rPr>
              <w:t>4,5</w:t>
            </w:r>
          </w:p>
        </w:tc>
        <w:tc>
          <w:tcPr>
            <w:tcW w:w="1380" w:type="dxa"/>
            <w:vAlign w:val="center"/>
          </w:tcPr>
          <w:p w:rsidR="00634A4E" w:rsidRPr="00A82DF7" w:rsidRDefault="00634A4E" w:rsidP="000E3676">
            <w:pPr>
              <w:pStyle w:val="Galvene"/>
              <w:jc w:val="center"/>
              <w:rPr>
                <w:i/>
                <w:sz w:val="23"/>
                <w:szCs w:val="23"/>
              </w:rPr>
            </w:pPr>
            <w:r w:rsidRPr="00A82DF7">
              <w:rPr>
                <w:i/>
                <w:sz w:val="23"/>
                <w:szCs w:val="23"/>
              </w:rPr>
              <w:t>4,5</w:t>
            </w:r>
          </w:p>
        </w:tc>
        <w:tc>
          <w:tcPr>
            <w:tcW w:w="1223" w:type="dxa"/>
            <w:vAlign w:val="center"/>
          </w:tcPr>
          <w:p w:rsidR="00634A4E" w:rsidRPr="00A82DF7" w:rsidRDefault="00634A4E" w:rsidP="000E3676">
            <w:pPr>
              <w:pStyle w:val="Galvene"/>
              <w:jc w:val="center"/>
              <w:rPr>
                <w:i/>
                <w:sz w:val="23"/>
                <w:szCs w:val="23"/>
              </w:rPr>
            </w:pPr>
            <w:r w:rsidRPr="00A82DF7">
              <w:rPr>
                <w:i/>
                <w:sz w:val="23"/>
                <w:szCs w:val="23"/>
              </w:rPr>
              <w:t>4,5</w:t>
            </w:r>
          </w:p>
        </w:tc>
      </w:tr>
      <w:tr w:rsidR="00634A4E" w:rsidRPr="00A82DF7" w:rsidTr="00EA5573">
        <w:trPr>
          <w:jc w:val="center"/>
        </w:trPr>
        <w:tc>
          <w:tcPr>
            <w:tcW w:w="3034" w:type="dxa"/>
          </w:tcPr>
          <w:p w:rsidR="00634A4E" w:rsidRPr="00A82DF7" w:rsidRDefault="00634A4E" w:rsidP="003F7666">
            <w:pPr>
              <w:jc w:val="both"/>
            </w:pPr>
            <w:r w:rsidRPr="00A82DF7">
              <w:lastRenderedPageBreak/>
              <w:t>2.2. valsts speciālais budžets</w:t>
            </w:r>
          </w:p>
        </w:tc>
        <w:tc>
          <w:tcPr>
            <w:tcW w:w="1262" w:type="dxa"/>
            <w:vAlign w:val="center"/>
          </w:tcPr>
          <w:p w:rsidR="00634A4E" w:rsidRPr="00A82DF7" w:rsidRDefault="00634A4E" w:rsidP="000E3676">
            <w:pPr>
              <w:jc w:val="center"/>
              <w:rPr>
                <w:sz w:val="23"/>
                <w:szCs w:val="23"/>
              </w:rPr>
            </w:pPr>
          </w:p>
        </w:tc>
        <w:tc>
          <w:tcPr>
            <w:tcW w:w="1365" w:type="dxa"/>
            <w:vAlign w:val="center"/>
          </w:tcPr>
          <w:p w:rsidR="00634A4E" w:rsidRPr="00A82DF7" w:rsidRDefault="00634A4E" w:rsidP="000E3676">
            <w:pPr>
              <w:jc w:val="center"/>
              <w:rPr>
                <w:sz w:val="23"/>
                <w:szCs w:val="23"/>
              </w:rPr>
            </w:pPr>
          </w:p>
        </w:tc>
        <w:tc>
          <w:tcPr>
            <w:tcW w:w="1264" w:type="dxa"/>
            <w:vAlign w:val="center"/>
          </w:tcPr>
          <w:p w:rsidR="00634A4E" w:rsidRPr="00A82DF7" w:rsidRDefault="00634A4E" w:rsidP="000E3676">
            <w:pPr>
              <w:pStyle w:val="Galvene"/>
              <w:jc w:val="center"/>
              <w:rPr>
                <w:sz w:val="23"/>
                <w:szCs w:val="23"/>
              </w:rPr>
            </w:pPr>
          </w:p>
        </w:tc>
        <w:tc>
          <w:tcPr>
            <w:tcW w:w="1380" w:type="dxa"/>
            <w:vAlign w:val="center"/>
          </w:tcPr>
          <w:p w:rsidR="00634A4E" w:rsidRPr="00A82DF7" w:rsidRDefault="00634A4E" w:rsidP="000E3676">
            <w:pPr>
              <w:pStyle w:val="Galvene"/>
              <w:jc w:val="center"/>
              <w:rPr>
                <w:sz w:val="23"/>
                <w:szCs w:val="23"/>
              </w:rPr>
            </w:pPr>
          </w:p>
        </w:tc>
        <w:tc>
          <w:tcPr>
            <w:tcW w:w="1223" w:type="dxa"/>
            <w:vAlign w:val="center"/>
          </w:tcPr>
          <w:p w:rsidR="00634A4E" w:rsidRPr="00A82DF7" w:rsidRDefault="00634A4E" w:rsidP="000E3676">
            <w:pPr>
              <w:pStyle w:val="Galvene"/>
              <w:jc w:val="center"/>
              <w:rPr>
                <w:sz w:val="23"/>
                <w:szCs w:val="23"/>
              </w:rPr>
            </w:pPr>
          </w:p>
        </w:tc>
      </w:tr>
      <w:tr w:rsidR="00634A4E" w:rsidRPr="00A82DF7" w:rsidTr="00EA5573">
        <w:trPr>
          <w:jc w:val="center"/>
        </w:trPr>
        <w:tc>
          <w:tcPr>
            <w:tcW w:w="3034" w:type="dxa"/>
          </w:tcPr>
          <w:p w:rsidR="00634A4E" w:rsidRPr="00A82DF7" w:rsidRDefault="00634A4E" w:rsidP="003F7666">
            <w:pPr>
              <w:jc w:val="both"/>
            </w:pPr>
            <w:r w:rsidRPr="00A82DF7">
              <w:t xml:space="preserve">2.3. pašvaldību budžets </w:t>
            </w:r>
          </w:p>
        </w:tc>
        <w:tc>
          <w:tcPr>
            <w:tcW w:w="1262" w:type="dxa"/>
            <w:vAlign w:val="center"/>
          </w:tcPr>
          <w:p w:rsidR="00634A4E" w:rsidRPr="00A82DF7" w:rsidRDefault="00634A4E" w:rsidP="000E3676">
            <w:pPr>
              <w:jc w:val="center"/>
              <w:rPr>
                <w:sz w:val="23"/>
                <w:szCs w:val="23"/>
              </w:rPr>
            </w:pPr>
          </w:p>
        </w:tc>
        <w:tc>
          <w:tcPr>
            <w:tcW w:w="1365" w:type="dxa"/>
            <w:vAlign w:val="center"/>
          </w:tcPr>
          <w:p w:rsidR="00634A4E" w:rsidRPr="00A82DF7" w:rsidRDefault="00634A4E" w:rsidP="000E3676">
            <w:pPr>
              <w:jc w:val="center"/>
              <w:rPr>
                <w:sz w:val="23"/>
                <w:szCs w:val="23"/>
              </w:rPr>
            </w:pPr>
          </w:p>
        </w:tc>
        <w:tc>
          <w:tcPr>
            <w:tcW w:w="1264" w:type="dxa"/>
            <w:vAlign w:val="center"/>
          </w:tcPr>
          <w:p w:rsidR="00634A4E" w:rsidRPr="00A82DF7" w:rsidRDefault="00634A4E" w:rsidP="000E3676">
            <w:pPr>
              <w:pStyle w:val="Galvene"/>
              <w:jc w:val="center"/>
              <w:rPr>
                <w:sz w:val="23"/>
                <w:szCs w:val="23"/>
              </w:rPr>
            </w:pPr>
          </w:p>
        </w:tc>
        <w:tc>
          <w:tcPr>
            <w:tcW w:w="1380" w:type="dxa"/>
            <w:vAlign w:val="center"/>
          </w:tcPr>
          <w:p w:rsidR="00634A4E" w:rsidRPr="00A82DF7" w:rsidRDefault="00634A4E" w:rsidP="000E3676">
            <w:pPr>
              <w:pStyle w:val="Galvene"/>
              <w:jc w:val="center"/>
              <w:rPr>
                <w:sz w:val="23"/>
                <w:szCs w:val="23"/>
              </w:rPr>
            </w:pPr>
          </w:p>
        </w:tc>
        <w:tc>
          <w:tcPr>
            <w:tcW w:w="1223" w:type="dxa"/>
            <w:vAlign w:val="center"/>
          </w:tcPr>
          <w:p w:rsidR="00634A4E" w:rsidRPr="00A82DF7" w:rsidRDefault="00634A4E" w:rsidP="000E3676">
            <w:pPr>
              <w:pStyle w:val="Galvene"/>
              <w:jc w:val="center"/>
              <w:rPr>
                <w:sz w:val="23"/>
                <w:szCs w:val="23"/>
              </w:rPr>
            </w:pPr>
          </w:p>
        </w:tc>
      </w:tr>
      <w:tr w:rsidR="00634A4E" w:rsidRPr="00A82DF7" w:rsidTr="00EA5573">
        <w:trPr>
          <w:jc w:val="center"/>
        </w:trPr>
        <w:tc>
          <w:tcPr>
            <w:tcW w:w="3034" w:type="dxa"/>
          </w:tcPr>
          <w:p w:rsidR="00634A4E" w:rsidRPr="00A82DF7" w:rsidRDefault="00634A4E" w:rsidP="003F7666">
            <w:pPr>
              <w:jc w:val="both"/>
            </w:pPr>
            <w:r w:rsidRPr="00A82DF7">
              <w:t>3. Finansiālā ietekme:</w:t>
            </w:r>
          </w:p>
        </w:tc>
        <w:tc>
          <w:tcPr>
            <w:tcW w:w="1262" w:type="dxa"/>
            <w:vAlign w:val="center"/>
          </w:tcPr>
          <w:p w:rsidR="00634A4E" w:rsidRPr="00A82DF7" w:rsidRDefault="00634A4E" w:rsidP="000E3676">
            <w:pPr>
              <w:jc w:val="center"/>
              <w:rPr>
                <w:b/>
                <w:sz w:val="23"/>
                <w:szCs w:val="23"/>
              </w:rPr>
            </w:pPr>
            <w:r w:rsidRPr="00A82DF7">
              <w:rPr>
                <w:b/>
                <w:sz w:val="23"/>
                <w:szCs w:val="23"/>
              </w:rPr>
              <w:t>-113,6</w:t>
            </w:r>
          </w:p>
        </w:tc>
        <w:tc>
          <w:tcPr>
            <w:tcW w:w="1365" w:type="dxa"/>
            <w:vAlign w:val="center"/>
          </w:tcPr>
          <w:p w:rsidR="00634A4E" w:rsidRPr="00A82DF7" w:rsidRDefault="00634A4E" w:rsidP="000E3676">
            <w:pPr>
              <w:jc w:val="center"/>
              <w:rPr>
                <w:b/>
                <w:sz w:val="23"/>
                <w:szCs w:val="23"/>
              </w:rPr>
            </w:pPr>
            <w:r w:rsidRPr="00A82DF7">
              <w:rPr>
                <w:b/>
                <w:sz w:val="23"/>
                <w:szCs w:val="23"/>
              </w:rPr>
              <w:t>0,0</w:t>
            </w:r>
          </w:p>
        </w:tc>
        <w:tc>
          <w:tcPr>
            <w:tcW w:w="1264" w:type="dxa"/>
            <w:vAlign w:val="center"/>
          </w:tcPr>
          <w:p w:rsidR="00634A4E" w:rsidRPr="00A82DF7" w:rsidRDefault="00634A4E" w:rsidP="000E3676">
            <w:pPr>
              <w:pStyle w:val="Galvene"/>
              <w:jc w:val="center"/>
              <w:rPr>
                <w:b/>
                <w:sz w:val="23"/>
                <w:szCs w:val="23"/>
              </w:rPr>
            </w:pPr>
            <w:r w:rsidRPr="00A82DF7">
              <w:rPr>
                <w:b/>
                <w:sz w:val="23"/>
                <w:szCs w:val="23"/>
              </w:rPr>
              <w:t>-3,0</w:t>
            </w:r>
          </w:p>
        </w:tc>
        <w:tc>
          <w:tcPr>
            <w:tcW w:w="1380" w:type="dxa"/>
            <w:vAlign w:val="center"/>
          </w:tcPr>
          <w:p w:rsidR="00634A4E" w:rsidRPr="00A82DF7" w:rsidRDefault="00634A4E" w:rsidP="000E3676">
            <w:pPr>
              <w:pStyle w:val="Galvene"/>
              <w:jc w:val="center"/>
              <w:rPr>
                <w:b/>
                <w:sz w:val="23"/>
                <w:szCs w:val="23"/>
              </w:rPr>
            </w:pPr>
            <w:r w:rsidRPr="00A82DF7">
              <w:rPr>
                <w:b/>
                <w:sz w:val="23"/>
                <w:szCs w:val="23"/>
              </w:rPr>
              <w:t>-3,0</w:t>
            </w:r>
          </w:p>
        </w:tc>
        <w:tc>
          <w:tcPr>
            <w:tcW w:w="1223" w:type="dxa"/>
            <w:vAlign w:val="center"/>
          </w:tcPr>
          <w:p w:rsidR="00634A4E" w:rsidRPr="00A82DF7" w:rsidRDefault="00634A4E" w:rsidP="000E3676">
            <w:pPr>
              <w:pStyle w:val="Galvene"/>
              <w:jc w:val="center"/>
              <w:rPr>
                <w:b/>
                <w:sz w:val="23"/>
                <w:szCs w:val="23"/>
              </w:rPr>
            </w:pPr>
            <w:r w:rsidRPr="00A82DF7">
              <w:rPr>
                <w:b/>
                <w:sz w:val="23"/>
                <w:szCs w:val="23"/>
              </w:rPr>
              <w:t>-3,0</w:t>
            </w:r>
          </w:p>
        </w:tc>
      </w:tr>
      <w:tr w:rsidR="00634A4E" w:rsidRPr="00A82DF7" w:rsidTr="00EA5573">
        <w:trPr>
          <w:jc w:val="center"/>
        </w:trPr>
        <w:tc>
          <w:tcPr>
            <w:tcW w:w="3034" w:type="dxa"/>
          </w:tcPr>
          <w:p w:rsidR="00634A4E" w:rsidRPr="00A82DF7" w:rsidRDefault="00634A4E" w:rsidP="003F7666">
            <w:pPr>
              <w:jc w:val="both"/>
            </w:pPr>
            <w:r w:rsidRPr="00A82DF7">
              <w:t>3.1. valsts pamatbudžets</w:t>
            </w:r>
          </w:p>
        </w:tc>
        <w:tc>
          <w:tcPr>
            <w:tcW w:w="1262" w:type="dxa"/>
            <w:vAlign w:val="center"/>
          </w:tcPr>
          <w:p w:rsidR="00634A4E" w:rsidRPr="00A82DF7" w:rsidRDefault="00634A4E" w:rsidP="000E3676">
            <w:pPr>
              <w:jc w:val="center"/>
              <w:rPr>
                <w:sz w:val="23"/>
                <w:szCs w:val="23"/>
              </w:rPr>
            </w:pPr>
            <w:r w:rsidRPr="00A82DF7">
              <w:rPr>
                <w:sz w:val="23"/>
                <w:szCs w:val="23"/>
              </w:rPr>
              <w:t>-113,6</w:t>
            </w:r>
          </w:p>
        </w:tc>
        <w:tc>
          <w:tcPr>
            <w:tcW w:w="1365" w:type="dxa"/>
            <w:vAlign w:val="center"/>
          </w:tcPr>
          <w:p w:rsidR="00634A4E" w:rsidRPr="00A82DF7" w:rsidRDefault="00634A4E" w:rsidP="000E3676">
            <w:pPr>
              <w:jc w:val="center"/>
              <w:rPr>
                <w:sz w:val="23"/>
                <w:szCs w:val="23"/>
              </w:rPr>
            </w:pPr>
            <w:r w:rsidRPr="00A82DF7">
              <w:rPr>
                <w:sz w:val="23"/>
                <w:szCs w:val="23"/>
              </w:rPr>
              <w:t>0,0</w:t>
            </w:r>
          </w:p>
        </w:tc>
        <w:tc>
          <w:tcPr>
            <w:tcW w:w="1264" w:type="dxa"/>
            <w:vAlign w:val="center"/>
          </w:tcPr>
          <w:p w:rsidR="00634A4E" w:rsidRPr="00A82DF7" w:rsidRDefault="00634A4E" w:rsidP="000E3676">
            <w:pPr>
              <w:pStyle w:val="Galvene"/>
              <w:jc w:val="center"/>
              <w:rPr>
                <w:i/>
                <w:sz w:val="23"/>
                <w:szCs w:val="23"/>
              </w:rPr>
            </w:pPr>
            <w:r w:rsidRPr="00A82DF7">
              <w:rPr>
                <w:i/>
                <w:sz w:val="23"/>
                <w:szCs w:val="23"/>
              </w:rPr>
              <w:t>-3,0</w:t>
            </w:r>
          </w:p>
        </w:tc>
        <w:tc>
          <w:tcPr>
            <w:tcW w:w="1380" w:type="dxa"/>
            <w:vAlign w:val="center"/>
          </w:tcPr>
          <w:p w:rsidR="00634A4E" w:rsidRPr="00A82DF7" w:rsidRDefault="00634A4E" w:rsidP="000E3676">
            <w:pPr>
              <w:pStyle w:val="Galvene"/>
              <w:jc w:val="center"/>
              <w:rPr>
                <w:i/>
                <w:sz w:val="23"/>
                <w:szCs w:val="23"/>
              </w:rPr>
            </w:pPr>
            <w:r w:rsidRPr="00A82DF7">
              <w:rPr>
                <w:i/>
                <w:sz w:val="23"/>
                <w:szCs w:val="23"/>
              </w:rPr>
              <w:t>-3,0</w:t>
            </w:r>
          </w:p>
        </w:tc>
        <w:tc>
          <w:tcPr>
            <w:tcW w:w="1223" w:type="dxa"/>
            <w:vAlign w:val="center"/>
          </w:tcPr>
          <w:p w:rsidR="00634A4E" w:rsidRPr="00A82DF7" w:rsidRDefault="00634A4E" w:rsidP="000E3676">
            <w:pPr>
              <w:pStyle w:val="Galvene"/>
              <w:jc w:val="center"/>
              <w:rPr>
                <w:i/>
                <w:sz w:val="23"/>
                <w:szCs w:val="23"/>
              </w:rPr>
            </w:pPr>
            <w:r w:rsidRPr="00A82DF7">
              <w:rPr>
                <w:i/>
                <w:sz w:val="23"/>
                <w:szCs w:val="23"/>
              </w:rPr>
              <w:t>-3,0</w:t>
            </w:r>
          </w:p>
        </w:tc>
      </w:tr>
      <w:tr w:rsidR="00634A4E" w:rsidRPr="00A82DF7" w:rsidTr="00EA5573">
        <w:trPr>
          <w:jc w:val="center"/>
        </w:trPr>
        <w:tc>
          <w:tcPr>
            <w:tcW w:w="3034" w:type="dxa"/>
          </w:tcPr>
          <w:p w:rsidR="00634A4E" w:rsidRPr="00A82DF7" w:rsidRDefault="00634A4E" w:rsidP="003F7666">
            <w:pPr>
              <w:jc w:val="both"/>
            </w:pPr>
            <w:r w:rsidRPr="00A82DF7">
              <w:t>3.2. speciālais budžets</w:t>
            </w:r>
          </w:p>
        </w:tc>
        <w:tc>
          <w:tcPr>
            <w:tcW w:w="1262" w:type="dxa"/>
            <w:vAlign w:val="center"/>
          </w:tcPr>
          <w:p w:rsidR="00634A4E" w:rsidRPr="00A82DF7" w:rsidRDefault="00634A4E" w:rsidP="003F7666">
            <w:pPr>
              <w:pStyle w:val="naisf"/>
              <w:spacing w:before="0" w:after="0"/>
              <w:ind w:firstLine="0"/>
              <w:jc w:val="center"/>
            </w:pPr>
          </w:p>
        </w:tc>
        <w:tc>
          <w:tcPr>
            <w:tcW w:w="1365" w:type="dxa"/>
            <w:vAlign w:val="center"/>
          </w:tcPr>
          <w:p w:rsidR="00634A4E" w:rsidRPr="00A82DF7" w:rsidRDefault="00634A4E" w:rsidP="003F7666">
            <w:pPr>
              <w:pStyle w:val="naisf"/>
              <w:spacing w:before="0" w:after="0"/>
              <w:ind w:firstLine="0"/>
              <w:jc w:val="center"/>
            </w:pPr>
          </w:p>
        </w:tc>
        <w:tc>
          <w:tcPr>
            <w:tcW w:w="1264" w:type="dxa"/>
            <w:vAlign w:val="center"/>
          </w:tcPr>
          <w:p w:rsidR="00634A4E" w:rsidRPr="00A82DF7" w:rsidRDefault="00634A4E" w:rsidP="003F7666">
            <w:pPr>
              <w:pStyle w:val="Galvene"/>
              <w:jc w:val="center"/>
            </w:pPr>
          </w:p>
        </w:tc>
        <w:tc>
          <w:tcPr>
            <w:tcW w:w="1380" w:type="dxa"/>
            <w:vAlign w:val="center"/>
          </w:tcPr>
          <w:p w:rsidR="00634A4E" w:rsidRPr="00A82DF7" w:rsidRDefault="00634A4E" w:rsidP="003F7666">
            <w:pPr>
              <w:pStyle w:val="Galvene"/>
              <w:jc w:val="center"/>
            </w:pPr>
          </w:p>
        </w:tc>
        <w:tc>
          <w:tcPr>
            <w:tcW w:w="1223" w:type="dxa"/>
            <w:vAlign w:val="center"/>
          </w:tcPr>
          <w:p w:rsidR="00634A4E" w:rsidRPr="00A82DF7" w:rsidRDefault="00634A4E" w:rsidP="003F7666">
            <w:pPr>
              <w:pStyle w:val="Galvene"/>
              <w:jc w:val="center"/>
            </w:pPr>
          </w:p>
        </w:tc>
      </w:tr>
      <w:tr w:rsidR="00634A4E" w:rsidRPr="00A82DF7" w:rsidTr="00EA5573">
        <w:trPr>
          <w:jc w:val="center"/>
        </w:trPr>
        <w:tc>
          <w:tcPr>
            <w:tcW w:w="3034" w:type="dxa"/>
          </w:tcPr>
          <w:p w:rsidR="00634A4E" w:rsidRPr="00A82DF7" w:rsidRDefault="00634A4E" w:rsidP="003F7666">
            <w:pPr>
              <w:jc w:val="both"/>
            </w:pPr>
            <w:r w:rsidRPr="00A82DF7">
              <w:t xml:space="preserve">3.3. pašvaldību budžets </w:t>
            </w:r>
          </w:p>
        </w:tc>
        <w:tc>
          <w:tcPr>
            <w:tcW w:w="1262" w:type="dxa"/>
            <w:vAlign w:val="center"/>
          </w:tcPr>
          <w:p w:rsidR="00634A4E" w:rsidRPr="00A82DF7" w:rsidRDefault="00634A4E" w:rsidP="003F7666">
            <w:pPr>
              <w:pStyle w:val="naisf"/>
              <w:spacing w:before="0" w:after="0"/>
              <w:ind w:firstLine="0"/>
              <w:jc w:val="center"/>
            </w:pPr>
          </w:p>
        </w:tc>
        <w:tc>
          <w:tcPr>
            <w:tcW w:w="1365" w:type="dxa"/>
            <w:vAlign w:val="center"/>
          </w:tcPr>
          <w:p w:rsidR="00634A4E" w:rsidRPr="00A82DF7" w:rsidRDefault="00634A4E" w:rsidP="003F7666">
            <w:pPr>
              <w:pStyle w:val="naisf"/>
              <w:spacing w:before="0" w:after="0"/>
              <w:ind w:firstLine="0"/>
              <w:jc w:val="center"/>
            </w:pPr>
          </w:p>
        </w:tc>
        <w:tc>
          <w:tcPr>
            <w:tcW w:w="1264" w:type="dxa"/>
            <w:vAlign w:val="center"/>
          </w:tcPr>
          <w:p w:rsidR="00634A4E" w:rsidRPr="00A82DF7" w:rsidRDefault="00634A4E" w:rsidP="003F7666">
            <w:pPr>
              <w:pStyle w:val="Galvene"/>
              <w:jc w:val="center"/>
            </w:pPr>
          </w:p>
        </w:tc>
        <w:tc>
          <w:tcPr>
            <w:tcW w:w="1380" w:type="dxa"/>
            <w:vAlign w:val="center"/>
          </w:tcPr>
          <w:p w:rsidR="00634A4E" w:rsidRPr="00A82DF7" w:rsidRDefault="00634A4E" w:rsidP="003F7666">
            <w:pPr>
              <w:pStyle w:val="Galvene"/>
              <w:jc w:val="center"/>
            </w:pPr>
          </w:p>
        </w:tc>
        <w:tc>
          <w:tcPr>
            <w:tcW w:w="1223" w:type="dxa"/>
            <w:vAlign w:val="center"/>
          </w:tcPr>
          <w:p w:rsidR="00634A4E" w:rsidRPr="00A82DF7" w:rsidRDefault="00634A4E" w:rsidP="003F7666">
            <w:pPr>
              <w:pStyle w:val="Galvene"/>
              <w:jc w:val="center"/>
            </w:pPr>
          </w:p>
        </w:tc>
      </w:tr>
      <w:tr w:rsidR="00634A4E" w:rsidRPr="00A82DF7" w:rsidTr="00EA5573">
        <w:trPr>
          <w:jc w:val="center"/>
        </w:trPr>
        <w:tc>
          <w:tcPr>
            <w:tcW w:w="3034" w:type="dxa"/>
            <w:vMerge w:val="restart"/>
          </w:tcPr>
          <w:p w:rsidR="00634A4E" w:rsidRPr="00A82DF7" w:rsidRDefault="00634A4E" w:rsidP="003F7666">
            <w:pPr>
              <w:jc w:val="both"/>
            </w:pPr>
            <w:r w:rsidRPr="00A82DF7">
              <w:t>4. Finanšu līdzekļi papildu izde</w:t>
            </w:r>
            <w:r w:rsidRPr="00A82DF7">
              <w:softHyphen/>
              <w:t>vumu finansēšanai (kompensējošu izdevumu samazinājumu norāda ar "+" zīmi)</w:t>
            </w:r>
          </w:p>
        </w:tc>
        <w:tc>
          <w:tcPr>
            <w:tcW w:w="1262" w:type="dxa"/>
            <w:vMerge w:val="restart"/>
            <w:vAlign w:val="center"/>
          </w:tcPr>
          <w:p w:rsidR="00634A4E" w:rsidRPr="00A82DF7" w:rsidRDefault="00634A4E" w:rsidP="003F7666">
            <w:pPr>
              <w:pStyle w:val="naisf"/>
              <w:spacing w:before="0" w:after="0"/>
              <w:ind w:firstLine="0"/>
              <w:jc w:val="center"/>
            </w:pPr>
          </w:p>
        </w:tc>
        <w:tc>
          <w:tcPr>
            <w:tcW w:w="1365" w:type="dxa"/>
            <w:vAlign w:val="center"/>
          </w:tcPr>
          <w:p w:rsidR="00634A4E" w:rsidRPr="00A82DF7" w:rsidRDefault="00634A4E" w:rsidP="003F7666">
            <w:pPr>
              <w:pStyle w:val="naisf"/>
              <w:spacing w:before="0" w:after="0"/>
              <w:ind w:firstLine="0"/>
              <w:jc w:val="center"/>
            </w:pPr>
          </w:p>
        </w:tc>
        <w:tc>
          <w:tcPr>
            <w:tcW w:w="1264" w:type="dxa"/>
            <w:vAlign w:val="center"/>
          </w:tcPr>
          <w:p w:rsidR="00634A4E" w:rsidRPr="00A82DF7" w:rsidRDefault="00634A4E" w:rsidP="003F7666">
            <w:pPr>
              <w:pStyle w:val="Galvene"/>
              <w:jc w:val="center"/>
            </w:pPr>
          </w:p>
        </w:tc>
        <w:tc>
          <w:tcPr>
            <w:tcW w:w="1380" w:type="dxa"/>
            <w:vAlign w:val="center"/>
          </w:tcPr>
          <w:p w:rsidR="00634A4E" w:rsidRPr="00A82DF7" w:rsidRDefault="00634A4E" w:rsidP="003F7666">
            <w:pPr>
              <w:pStyle w:val="Galvene"/>
              <w:jc w:val="center"/>
            </w:pPr>
          </w:p>
        </w:tc>
        <w:tc>
          <w:tcPr>
            <w:tcW w:w="1223" w:type="dxa"/>
            <w:vAlign w:val="center"/>
          </w:tcPr>
          <w:p w:rsidR="00634A4E" w:rsidRPr="00A82DF7" w:rsidRDefault="00634A4E" w:rsidP="003F7666">
            <w:pPr>
              <w:pStyle w:val="Galvene"/>
              <w:jc w:val="center"/>
            </w:pPr>
          </w:p>
        </w:tc>
      </w:tr>
      <w:tr w:rsidR="00634A4E" w:rsidRPr="00A82DF7" w:rsidTr="00EA5573">
        <w:trPr>
          <w:jc w:val="center"/>
        </w:trPr>
        <w:tc>
          <w:tcPr>
            <w:tcW w:w="3034" w:type="dxa"/>
            <w:vMerge/>
          </w:tcPr>
          <w:p w:rsidR="00634A4E" w:rsidRPr="00A82DF7" w:rsidRDefault="00634A4E" w:rsidP="003F7666">
            <w:pPr>
              <w:jc w:val="both"/>
            </w:pPr>
          </w:p>
        </w:tc>
        <w:tc>
          <w:tcPr>
            <w:tcW w:w="1262" w:type="dxa"/>
            <w:vMerge/>
            <w:vAlign w:val="center"/>
          </w:tcPr>
          <w:p w:rsidR="00634A4E" w:rsidRPr="00A82DF7" w:rsidRDefault="00634A4E" w:rsidP="003F7666">
            <w:pPr>
              <w:pStyle w:val="naisf"/>
              <w:spacing w:before="0" w:after="0"/>
              <w:ind w:firstLine="0"/>
              <w:jc w:val="center"/>
            </w:pPr>
          </w:p>
        </w:tc>
        <w:tc>
          <w:tcPr>
            <w:tcW w:w="1365" w:type="dxa"/>
            <w:vAlign w:val="center"/>
          </w:tcPr>
          <w:p w:rsidR="00634A4E" w:rsidRPr="00A82DF7" w:rsidRDefault="00634A4E" w:rsidP="003F7666">
            <w:pPr>
              <w:pStyle w:val="naisf"/>
              <w:spacing w:before="0" w:after="0"/>
              <w:ind w:firstLine="0"/>
              <w:jc w:val="center"/>
            </w:pPr>
          </w:p>
        </w:tc>
        <w:tc>
          <w:tcPr>
            <w:tcW w:w="1264" w:type="dxa"/>
            <w:vAlign w:val="center"/>
          </w:tcPr>
          <w:p w:rsidR="00634A4E" w:rsidRPr="00A82DF7" w:rsidRDefault="00634A4E" w:rsidP="003F7666">
            <w:pPr>
              <w:pStyle w:val="Galvene"/>
              <w:jc w:val="center"/>
            </w:pPr>
          </w:p>
        </w:tc>
        <w:tc>
          <w:tcPr>
            <w:tcW w:w="1380" w:type="dxa"/>
            <w:vAlign w:val="center"/>
          </w:tcPr>
          <w:p w:rsidR="00634A4E" w:rsidRPr="00A82DF7" w:rsidRDefault="00634A4E" w:rsidP="003F7666">
            <w:pPr>
              <w:pStyle w:val="Galvene"/>
              <w:jc w:val="center"/>
            </w:pPr>
          </w:p>
        </w:tc>
        <w:tc>
          <w:tcPr>
            <w:tcW w:w="1223" w:type="dxa"/>
            <w:vAlign w:val="center"/>
          </w:tcPr>
          <w:p w:rsidR="00634A4E" w:rsidRPr="00A82DF7" w:rsidRDefault="00634A4E" w:rsidP="003F7666">
            <w:pPr>
              <w:pStyle w:val="Galvene"/>
              <w:jc w:val="center"/>
            </w:pPr>
          </w:p>
        </w:tc>
      </w:tr>
      <w:tr w:rsidR="00634A4E" w:rsidRPr="00A82DF7" w:rsidTr="00EA5573">
        <w:trPr>
          <w:jc w:val="center"/>
        </w:trPr>
        <w:tc>
          <w:tcPr>
            <w:tcW w:w="3034" w:type="dxa"/>
            <w:vMerge/>
          </w:tcPr>
          <w:p w:rsidR="00634A4E" w:rsidRPr="00A82DF7" w:rsidRDefault="00634A4E" w:rsidP="003F7666">
            <w:pPr>
              <w:jc w:val="both"/>
            </w:pPr>
          </w:p>
        </w:tc>
        <w:tc>
          <w:tcPr>
            <w:tcW w:w="1262" w:type="dxa"/>
            <w:vMerge/>
            <w:vAlign w:val="center"/>
          </w:tcPr>
          <w:p w:rsidR="00634A4E" w:rsidRPr="00A82DF7" w:rsidRDefault="00634A4E" w:rsidP="003F7666">
            <w:pPr>
              <w:pStyle w:val="naisf"/>
              <w:spacing w:before="0" w:after="0"/>
              <w:ind w:firstLine="0"/>
              <w:jc w:val="center"/>
            </w:pPr>
          </w:p>
        </w:tc>
        <w:tc>
          <w:tcPr>
            <w:tcW w:w="1365" w:type="dxa"/>
            <w:vAlign w:val="center"/>
          </w:tcPr>
          <w:p w:rsidR="00634A4E" w:rsidRPr="00A82DF7" w:rsidRDefault="00634A4E" w:rsidP="003F7666">
            <w:pPr>
              <w:pStyle w:val="naisf"/>
              <w:spacing w:before="0" w:after="0"/>
              <w:ind w:firstLine="0"/>
              <w:jc w:val="center"/>
            </w:pPr>
          </w:p>
        </w:tc>
        <w:tc>
          <w:tcPr>
            <w:tcW w:w="1264" w:type="dxa"/>
            <w:vAlign w:val="center"/>
          </w:tcPr>
          <w:p w:rsidR="00634A4E" w:rsidRPr="00A82DF7" w:rsidRDefault="00634A4E" w:rsidP="003F7666">
            <w:pPr>
              <w:pStyle w:val="Galvene"/>
              <w:jc w:val="center"/>
            </w:pPr>
          </w:p>
        </w:tc>
        <w:tc>
          <w:tcPr>
            <w:tcW w:w="1380" w:type="dxa"/>
            <w:vAlign w:val="center"/>
          </w:tcPr>
          <w:p w:rsidR="00634A4E" w:rsidRPr="00A82DF7" w:rsidRDefault="00634A4E" w:rsidP="003F7666">
            <w:pPr>
              <w:pStyle w:val="Galvene"/>
              <w:jc w:val="center"/>
            </w:pPr>
          </w:p>
        </w:tc>
        <w:tc>
          <w:tcPr>
            <w:tcW w:w="1223" w:type="dxa"/>
            <w:vAlign w:val="center"/>
          </w:tcPr>
          <w:p w:rsidR="00634A4E" w:rsidRPr="00A82DF7" w:rsidRDefault="00634A4E" w:rsidP="003F7666">
            <w:pPr>
              <w:pStyle w:val="Galvene"/>
              <w:jc w:val="center"/>
            </w:pPr>
          </w:p>
        </w:tc>
      </w:tr>
      <w:tr w:rsidR="00634A4E" w:rsidRPr="00A82DF7" w:rsidTr="00EA5573">
        <w:trPr>
          <w:jc w:val="center"/>
        </w:trPr>
        <w:tc>
          <w:tcPr>
            <w:tcW w:w="3034" w:type="dxa"/>
          </w:tcPr>
          <w:p w:rsidR="00634A4E" w:rsidRPr="00A82DF7" w:rsidRDefault="00634A4E" w:rsidP="003F7666">
            <w:pPr>
              <w:jc w:val="both"/>
            </w:pPr>
            <w:r w:rsidRPr="00A82DF7">
              <w:t>5. Precizēta finansiālā ietekme:</w:t>
            </w:r>
          </w:p>
        </w:tc>
        <w:tc>
          <w:tcPr>
            <w:tcW w:w="1262" w:type="dxa"/>
            <w:vMerge w:val="restart"/>
            <w:vAlign w:val="center"/>
          </w:tcPr>
          <w:p w:rsidR="00634A4E" w:rsidRPr="00A82DF7" w:rsidRDefault="00634A4E" w:rsidP="003F7666">
            <w:pPr>
              <w:pStyle w:val="naisf"/>
              <w:spacing w:before="0" w:after="0"/>
              <w:ind w:firstLine="0"/>
              <w:jc w:val="center"/>
            </w:pPr>
          </w:p>
        </w:tc>
        <w:tc>
          <w:tcPr>
            <w:tcW w:w="1365" w:type="dxa"/>
            <w:vAlign w:val="center"/>
          </w:tcPr>
          <w:p w:rsidR="00634A4E" w:rsidRPr="00A82DF7" w:rsidRDefault="00634A4E" w:rsidP="003F7666">
            <w:pPr>
              <w:pStyle w:val="naisf"/>
              <w:spacing w:before="0" w:after="0"/>
              <w:ind w:firstLine="0"/>
              <w:jc w:val="center"/>
            </w:pPr>
          </w:p>
        </w:tc>
        <w:tc>
          <w:tcPr>
            <w:tcW w:w="1264" w:type="dxa"/>
            <w:vAlign w:val="center"/>
          </w:tcPr>
          <w:p w:rsidR="00634A4E" w:rsidRPr="00A82DF7" w:rsidRDefault="00634A4E" w:rsidP="003F7666">
            <w:pPr>
              <w:pStyle w:val="Galvene"/>
              <w:jc w:val="center"/>
              <w:rPr>
                <w:b/>
              </w:rPr>
            </w:pPr>
          </w:p>
        </w:tc>
        <w:tc>
          <w:tcPr>
            <w:tcW w:w="1380" w:type="dxa"/>
            <w:vAlign w:val="center"/>
          </w:tcPr>
          <w:p w:rsidR="00634A4E" w:rsidRPr="00A82DF7" w:rsidRDefault="00634A4E" w:rsidP="003F7666">
            <w:pPr>
              <w:pStyle w:val="Galvene"/>
              <w:jc w:val="center"/>
              <w:rPr>
                <w:b/>
              </w:rPr>
            </w:pPr>
          </w:p>
        </w:tc>
        <w:tc>
          <w:tcPr>
            <w:tcW w:w="1223" w:type="dxa"/>
            <w:vAlign w:val="center"/>
          </w:tcPr>
          <w:p w:rsidR="00634A4E" w:rsidRPr="00A82DF7" w:rsidRDefault="00634A4E" w:rsidP="003F7666">
            <w:pPr>
              <w:pStyle w:val="Galvene"/>
              <w:jc w:val="center"/>
              <w:rPr>
                <w:b/>
              </w:rPr>
            </w:pPr>
          </w:p>
        </w:tc>
      </w:tr>
      <w:tr w:rsidR="00634A4E" w:rsidRPr="00A82DF7" w:rsidTr="00EA5573">
        <w:trPr>
          <w:jc w:val="center"/>
        </w:trPr>
        <w:tc>
          <w:tcPr>
            <w:tcW w:w="3034" w:type="dxa"/>
          </w:tcPr>
          <w:p w:rsidR="00634A4E" w:rsidRPr="00A82DF7" w:rsidRDefault="00634A4E" w:rsidP="003F7666">
            <w:pPr>
              <w:jc w:val="both"/>
            </w:pPr>
            <w:r w:rsidRPr="00A82DF7">
              <w:t>5.1. valsts pamatbudžets</w:t>
            </w:r>
          </w:p>
        </w:tc>
        <w:tc>
          <w:tcPr>
            <w:tcW w:w="1262" w:type="dxa"/>
            <w:vMerge/>
            <w:vAlign w:val="center"/>
          </w:tcPr>
          <w:p w:rsidR="00634A4E" w:rsidRPr="00A82DF7" w:rsidRDefault="00634A4E" w:rsidP="003F7666">
            <w:pPr>
              <w:pStyle w:val="naisf"/>
              <w:spacing w:before="0" w:after="0"/>
              <w:ind w:firstLine="0"/>
              <w:jc w:val="center"/>
            </w:pPr>
          </w:p>
        </w:tc>
        <w:tc>
          <w:tcPr>
            <w:tcW w:w="1365" w:type="dxa"/>
            <w:vAlign w:val="center"/>
          </w:tcPr>
          <w:p w:rsidR="00634A4E" w:rsidRPr="00A82DF7" w:rsidRDefault="00634A4E" w:rsidP="003F7666">
            <w:pPr>
              <w:pStyle w:val="naisf"/>
              <w:spacing w:before="0" w:after="0"/>
              <w:ind w:firstLine="0"/>
              <w:jc w:val="center"/>
            </w:pPr>
          </w:p>
        </w:tc>
        <w:tc>
          <w:tcPr>
            <w:tcW w:w="1264" w:type="dxa"/>
            <w:vAlign w:val="center"/>
          </w:tcPr>
          <w:p w:rsidR="00634A4E" w:rsidRPr="00A82DF7" w:rsidRDefault="00634A4E" w:rsidP="003F7666">
            <w:pPr>
              <w:pStyle w:val="Galvene"/>
              <w:jc w:val="center"/>
              <w:rPr>
                <w:i/>
              </w:rPr>
            </w:pPr>
          </w:p>
        </w:tc>
        <w:tc>
          <w:tcPr>
            <w:tcW w:w="1380" w:type="dxa"/>
            <w:vAlign w:val="center"/>
          </w:tcPr>
          <w:p w:rsidR="00634A4E" w:rsidRPr="00A82DF7" w:rsidRDefault="00634A4E" w:rsidP="003F7666">
            <w:pPr>
              <w:pStyle w:val="Galvene"/>
              <w:jc w:val="center"/>
              <w:rPr>
                <w:i/>
              </w:rPr>
            </w:pPr>
          </w:p>
        </w:tc>
        <w:tc>
          <w:tcPr>
            <w:tcW w:w="1223" w:type="dxa"/>
            <w:vAlign w:val="center"/>
          </w:tcPr>
          <w:p w:rsidR="00634A4E" w:rsidRPr="00A82DF7" w:rsidRDefault="00634A4E" w:rsidP="003F7666">
            <w:pPr>
              <w:pStyle w:val="Galvene"/>
              <w:jc w:val="center"/>
              <w:rPr>
                <w:i/>
              </w:rPr>
            </w:pPr>
          </w:p>
        </w:tc>
      </w:tr>
      <w:tr w:rsidR="00634A4E" w:rsidRPr="00A82DF7" w:rsidTr="00EA5573">
        <w:trPr>
          <w:jc w:val="center"/>
        </w:trPr>
        <w:tc>
          <w:tcPr>
            <w:tcW w:w="3034" w:type="dxa"/>
          </w:tcPr>
          <w:p w:rsidR="00634A4E" w:rsidRPr="00A82DF7" w:rsidRDefault="00634A4E" w:rsidP="003F7666">
            <w:pPr>
              <w:jc w:val="both"/>
            </w:pPr>
            <w:r w:rsidRPr="00A82DF7">
              <w:t>5.2. speciālais budžets</w:t>
            </w:r>
          </w:p>
        </w:tc>
        <w:tc>
          <w:tcPr>
            <w:tcW w:w="1262" w:type="dxa"/>
            <w:vMerge/>
            <w:vAlign w:val="center"/>
          </w:tcPr>
          <w:p w:rsidR="00634A4E" w:rsidRPr="00A82DF7" w:rsidRDefault="00634A4E" w:rsidP="003F7666">
            <w:pPr>
              <w:pStyle w:val="naisf"/>
              <w:spacing w:before="0" w:after="0"/>
              <w:ind w:firstLine="0"/>
              <w:jc w:val="center"/>
            </w:pPr>
          </w:p>
        </w:tc>
        <w:tc>
          <w:tcPr>
            <w:tcW w:w="1365" w:type="dxa"/>
            <w:vAlign w:val="center"/>
          </w:tcPr>
          <w:p w:rsidR="00634A4E" w:rsidRPr="00A82DF7" w:rsidRDefault="00634A4E" w:rsidP="003F7666">
            <w:pPr>
              <w:pStyle w:val="naisf"/>
              <w:spacing w:before="0" w:after="0"/>
              <w:ind w:firstLine="0"/>
              <w:jc w:val="center"/>
            </w:pPr>
          </w:p>
        </w:tc>
        <w:tc>
          <w:tcPr>
            <w:tcW w:w="1264" w:type="dxa"/>
            <w:vAlign w:val="center"/>
          </w:tcPr>
          <w:p w:rsidR="00634A4E" w:rsidRPr="00A82DF7" w:rsidRDefault="00634A4E" w:rsidP="003F7666">
            <w:pPr>
              <w:pStyle w:val="naisf"/>
              <w:spacing w:before="0" w:after="0"/>
              <w:ind w:firstLine="0"/>
              <w:jc w:val="center"/>
            </w:pPr>
          </w:p>
        </w:tc>
        <w:tc>
          <w:tcPr>
            <w:tcW w:w="1380" w:type="dxa"/>
            <w:vAlign w:val="center"/>
          </w:tcPr>
          <w:p w:rsidR="00634A4E" w:rsidRPr="00A82DF7" w:rsidRDefault="00634A4E" w:rsidP="003F7666">
            <w:pPr>
              <w:pStyle w:val="naisf"/>
              <w:spacing w:before="0" w:after="0"/>
              <w:ind w:firstLine="0"/>
              <w:jc w:val="center"/>
            </w:pPr>
          </w:p>
        </w:tc>
        <w:tc>
          <w:tcPr>
            <w:tcW w:w="1223" w:type="dxa"/>
            <w:vAlign w:val="center"/>
          </w:tcPr>
          <w:p w:rsidR="00634A4E" w:rsidRPr="00A82DF7" w:rsidRDefault="00634A4E" w:rsidP="003F7666">
            <w:pPr>
              <w:pStyle w:val="naisf"/>
              <w:spacing w:before="0" w:after="0"/>
              <w:ind w:firstLine="0"/>
              <w:jc w:val="center"/>
            </w:pPr>
          </w:p>
        </w:tc>
      </w:tr>
      <w:tr w:rsidR="00634A4E" w:rsidRPr="00A82DF7" w:rsidTr="00EA5573">
        <w:trPr>
          <w:jc w:val="center"/>
        </w:trPr>
        <w:tc>
          <w:tcPr>
            <w:tcW w:w="3034" w:type="dxa"/>
          </w:tcPr>
          <w:p w:rsidR="00634A4E" w:rsidRPr="00A82DF7" w:rsidRDefault="00634A4E" w:rsidP="003F7666">
            <w:pPr>
              <w:jc w:val="both"/>
            </w:pPr>
            <w:r w:rsidRPr="00A82DF7">
              <w:t xml:space="preserve">5.3. pašvaldību budžets </w:t>
            </w:r>
          </w:p>
        </w:tc>
        <w:tc>
          <w:tcPr>
            <w:tcW w:w="1262" w:type="dxa"/>
            <w:vMerge/>
            <w:vAlign w:val="center"/>
          </w:tcPr>
          <w:p w:rsidR="00634A4E" w:rsidRPr="00A82DF7" w:rsidRDefault="00634A4E" w:rsidP="003F7666">
            <w:pPr>
              <w:pStyle w:val="naisf"/>
              <w:spacing w:before="0" w:after="0"/>
              <w:ind w:firstLine="0"/>
              <w:jc w:val="center"/>
            </w:pPr>
          </w:p>
        </w:tc>
        <w:tc>
          <w:tcPr>
            <w:tcW w:w="1365" w:type="dxa"/>
            <w:vAlign w:val="center"/>
          </w:tcPr>
          <w:p w:rsidR="00634A4E" w:rsidRPr="00A82DF7" w:rsidRDefault="00634A4E" w:rsidP="003F7666">
            <w:pPr>
              <w:pStyle w:val="naisf"/>
              <w:spacing w:before="0" w:after="0"/>
              <w:ind w:firstLine="0"/>
              <w:jc w:val="center"/>
            </w:pPr>
          </w:p>
        </w:tc>
        <w:tc>
          <w:tcPr>
            <w:tcW w:w="1264" w:type="dxa"/>
            <w:vAlign w:val="center"/>
          </w:tcPr>
          <w:p w:rsidR="00634A4E" w:rsidRPr="00A82DF7" w:rsidRDefault="00634A4E" w:rsidP="003F7666">
            <w:pPr>
              <w:pStyle w:val="naisf"/>
              <w:spacing w:before="0" w:after="0"/>
              <w:ind w:firstLine="0"/>
              <w:jc w:val="center"/>
            </w:pPr>
          </w:p>
        </w:tc>
        <w:tc>
          <w:tcPr>
            <w:tcW w:w="1380" w:type="dxa"/>
            <w:vAlign w:val="center"/>
          </w:tcPr>
          <w:p w:rsidR="00634A4E" w:rsidRPr="00A82DF7" w:rsidRDefault="00634A4E" w:rsidP="003F7666">
            <w:pPr>
              <w:pStyle w:val="naisf"/>
              <w:spacing w:before="0" w:after="0"/>
              <w:ind w:firstLine="0"/>
              <w:jc w:val="center"/>
            </w:pPr>
          </w:p>
        </w:tc>
        <w:tc>
          <w:tcPr>
            <w:tcW w:w="1223" w:type="dxa"/>
            <w:vAlign w:val="center"/>
          </w:tcPr>
          <w:p w:rsidR="00634A4E" w:rsidRPr="00A82DF7" w:rsidRDefault="00634A4E" w:rsidP="003F7666">
            <w:pPr>
              <w:pStyle w:val="naisf"/>
              <w:spacing w:before="0" w:after="0"/>
              <w:ind w:firstLine="0"/>
              <w:jc w:val="center"/>
            </w:pPr>
          </w:p>
        </w:tc>
      </w:tr>
      <w:tr w:rsidR="00634A4E" w:rsidRPr="00A82DF7" w:rsidTr="00EA5573">
        <w:trPr>
          <w:trHeight w:val="1971"/>
          <w:jc w:val="center"/>
        </w:trPr>
        <w:tc>
          <w:tcPr>
            <w:tcW w:w="3034" w:type="dxa"/>
          </w:tcPr>
          <w:p w:rsidR="00634A4E" w:rsidRPr="00A82DF7" w:rsidRDefault="00634A4E" w:rsidP="003F7666">
            <w:pPr>
              <w:jc w:val="both"/>
            </w:pPr>
            <w:r w:rsidRPr="00A82DF7">
              <w:t>6. Detalizēts ieņēmumu un izdevu</w:t>
            </w:r>
            <w:r w:rsidRPr="00A82DF7">
              <w:softHyphen/>
              <w:t>mu aprēķins (ja nepieciešams, detalizētu ieņēmumu un izdevumu aprēķinu var pievienot anotācijas pielikumā):</w:t>
            </w:r>
          </w:p>
        </w:tc>
        <w:tc>
          <w:tcPr>
            <w:tcW w:w="6494" w:type="dxa"/>
            <w:gridSpan w:val="5"/>
          </w:tcPr>
          <w:p w:rsidR="00634A4E" w:rsidRPr="00A82DF7" w:rsidRDefault="00634A4E" w:rsidP="003F7666">
            <w:pPr>
              <w:rPr>
                <w:b/>
              </w:rPr>
            </w:pPr>
            <w:r w:rsidRPr="00A82DF7">
              <w:rPr>
                <w:b/>
              </w:rPr>
              <w:t>Izdevumu aprēķins 2013.gadā un turpmāk:</w:t>
            </w:r>
          </w:p>
          <w:p w:rsidR="00634A4E" w:rsidRPr="00A82DF7" w:rsidRDefault="00634A4E" w:rsidP="003F7666">
            <w:pPr>
              <w:rPr>
                <w:b/>
                <w:u w:val="single"/>
              </w:rPr>
            </w:pPr>
            <w:r w:rsidRPr="00A82DF7">
              <w:rPr>
                <w:b/>
                <w:u w:val="single"/>
              </w:rPr>
              <w:t xml:space="preserve">Kopā izdevumi programmai: </w:t>
            </w:r>
            <w:smartTag w:uri="schemas-tilde-lv/tildestengine" w:element="currency2">
              <w:smartTagPr>
                <w:attr w:name="currency_id" w:val="48"/>
                <w:attr w:name="currency_key" w:val="LVL"/>
                <w:attr w:name="currency_value" w:val="198"/>
                <w:attr w:name="currency_text" w:val="Ls"/>
              </w:smartTagPr>
              <w:r w:rsidRPr="00A82DF7">
                <w:rPr>
                  <w:b/>
                  <w:u w:val="single"/>
                </w:rPr>
                <w:t>Ls 198</w:t>
              </w:r>
            </w:smartTag>
            <w:r w:rsidRPr="00A82DF7">
              <w:rPr>
                <w:b/>
                <w:u w:val="single"/>
              </w:rPr>
              <w:t xml:space="preserve"> 480 </w:t>
            </w:r>
          </w:p>
          <w:p w:rsidR="00634A4E" w:rsidRPr="00A82DF7" w:rsidRDefault="00634A4E" w:rsidP="003F7666">
            <w:r w:rsidRPr="00A82DF7">
              <w:t xml:space="preserve">Izdevumi vakcīnām </w:t>
            </w:r>
            <w:smartTag w:uri="schemas-tilde-lv/tildestengine" w:element="currency2">
              <w:smartTagPr>
                <w:attr w:name="currency_id" w:val="48"/>
                <w:attr w:name="currency_key" w:val="LVL"/>
                <w:attr w:name="currency_value" w:val="196"/>
                <w:attr w:name="currency_text" w:val="Ls"/>
              </w:smartTagPr>
              <w:r w:rsidRPr="00A82DF7">
                <w:t>Ls 196</w:t>
              </w:r>
            </w:smartTag>
            <w:r w:rsidRPr="00A82DF7">
              <w:t xml:space="preserve"> 800: </w:t>
            </w:r>
          </w:p>
          <w:p w:rsidR="00634A4E" w:rsidRPr="00A82DF7" w:rsidRDefault="00634A4E" w:rsidP="003F7666">
            <w:smartTag w:uri="schemas-tilde-lv/tildestengine" w:element="currency2">
              <w:smartTagPr>
                <w:attr w:name="currency_id" w:val="48"/>
                <w:attr w:name="currency_key" w:val="LVL"/>
                <w:attr w:name="currency_value" w:val="0.024"/>
                <w:attr w:name="currency_text" w:val="Ls"/>
              </w:smartTagPr>
              <w:r w:rsidRPr="00A82DF7">
                <w:t>Ls 0,024</w:t>
              </w:r>
            </w:smartTag>
            <w:r w:rsidRPr="00A82DF7">
              <w:t xml:space="preserve">/deva * 7 000 000 devas = </w:t>
            </w:r>
            <w:smartTag w:uri="schemas-tilde-lv/tildestengine" w:element="currency2">
              <w:smartTagPr>
                <w:attr w:name="currency_id" w:val="48"/>
                <w:attr w:name="currency_key" w:val="LVL"/>
                <w:attr w:name="currency_value" w:val="168"/>
                <w:attr w:name="currency_text" w:val="Ls"/>
              </w:smartTagPr>
              <w:r w:rsidRPr="00A82DF7">
                <w:t>Ls 168</w:t>
              </w:r>
            </w:smartTag>
            <w:r w:rsidRPr="00A82DF7">
              <w:t xml:space="preserve"> 000</w:t>
            </w:r>
          </w:p>
          <w:p w:rsidR="00634A4E" w:rsidRPr="00A82DF7" w:rsidRDefault="00634A4E" w:rsidP="003F7666">
            <w:smartTag w:uri="schemas-tilde-lv/tildestengine" w:element="currency2">
              <w:smartTagPr>
                <w:attr w:name="currency_id" w:val="48"/>
                <w:attr w:name="currency_key" w:val="LVL"/>
                <w:attr w:name="currency_value" w:val="0.08"/>
                <w:attr w:name="currency_text" w:val="Ls"/>
              </w:smartTagPr>
              <w:r w:rsidRPr="00A82DF7">
                <w:t>Ls 0,08</w:t>
              </w:r>
            </w:smartTag>
            <w:r w:rsidRPr="00A82DF7">
              <w:t xml:space="preserve">/deva * 360 000 devas = </w:t>
            </w:r>
            <w:smartTag w:uri="schemas-tilde-lv/tildestengine" w:element="currency2">
              <w:smartTagPr>
                <w:attr w:name="currency_id" w:val="48"/>
                <w:attr w:name="currency_key" w:val="LVL"/>
                <w:attr w:name="currency_value" w:val="28"/>
                <w:attr w:name="currency_text" w:val="Ls"/>
              </w:smartTagPr>
              <w:r w:rsidRPr="00A82DF7">
                <w:t>Ls 28</w:t>
              </w:r>
            </w:smartTag>
            <w:r w:rsidRPr="00A82DF7">
              <w:t> 800</w:t>
            </w:r>
          </w:p>
          <w:p w:rsidR="00634A4E" w:rsidRPr="00A82DF7" w:rsidRDefault="00634A4E" w:rsidP="003F7666">
            <w:r w:rsidRPr="00A82DF7">
              <w:t xml:space="preserve">Izdevumi salmonelozes kontroles programmas nodrošināšanai: </w:t>
            </w:r>
            <w:smartTag w:uri="schemas-tilde-lv/tildestengine" w:element="currency2">
              <w:smartTagPr>
                <w:attr w:name="currency_id" w:val="48"/>
                <w:attr w:name="currency_key" w:val="LVL"/>
                <w:attr w:name="currency_value" w:val="1680."/>
                <w:attr w:name="currency_text" w:val="Ls"/>
              </w:smartTagPr>
              <w:r w:rsidRPr="00A82DF7">
                <w:t>Ls 1680.</w:t>
              </w:r>
            </w:smartTag>
          </w:p>
          <w:p w:rsidR="00634A4E" w:rsidRPr="00A82DF7" w:rsidRDefault="00634A4E" w:rsidP="003F7666">
            <w:pPr>
              <w:jc w:val="both"/>
              <w:rPr>
                <w:b/>
              </w:rPr>
            </w:pPr>
            <w:r w:rsidRPr="00A82DF7">
              <w:rPr>
                <w:b/>
              </w:rPr>
              <w:t>Ieņēmumu aprēķins:</w:t>
            </w:r>
          </w:p>
          <w:p w:rsidR="00634A4E" w:rsidRPr="00A82DF7" w:rsidRDefault="00634A4E" w:rsidP="003F7666">
            <w:pPr>
              <w:jc w:val="both"/>
            </w:pPr>
            <w:r w:rsidRPr="00A82DF7">
              <w:t xml:space="preserve">vakcinācija pret salmonelozi ir viena no salmonelozes apkarošanas programmām, kurā plānots, ka pēc programmas īstenošanas ieguldītie līdzekļi no Eiropas Savienības valsts budžetā atgriezīsies līdz 50% apmērā no vakcīnas iegādes izdevumiem bez PVN, jo maksimālā summa, ko Eiropas Savienības atmaksā, ir </w:t>
            </w:r>
            <w:smartTag w:uri="schemas-tilde-lv/tildestengine" w:element="currency2">
              <w:smartTagPr>
                <w:attr w:name="currency_id" w:val="48"/>
                <w:attr w:name="currency_key" w:val="LVL"/>
                <w:attr w:name="currency_value" w:val="0.035"/>
                <w:attr w:name="currency_text" w:val="Ls"/>
              </w:smartTagPr>
              <w:r w:rsidRPr="00A82DF7">
                <w:t>Ls 0,035</w:t>
              </w:r>
            </w:smartTag>
            <w:r w:rsidRPr="00A82DF7">
              <w:t>/deva (</w:t>
            </w:r>
            <w:r w:rsidRPr="00A82DF7">
              <w:rPr>
                <w:i/>
              </w:rPr>
              <w:t xml:space="preserve">EUR </w:t>
            </w:r>
            <w:r w:rsidRPr="00A82DF7">
              <w:t>0,05/deva).</w:t>
            </w:r>
          </w:p>
          <w:p w:rsidR="00634A4E" w:rsidRPr="00A82DF7" w:rsidRDefault="00634A4E" w:rsidP="00E975E8">
            <w:pPr>
              <w:jc w:val="both"/>
            </w:pPr>
            <w:r w:rsidRPr="00A82DF7">
              <w:t xml:space="preserve">Tāpēc plānots, ka 2013.gadā un turpmākajos gados no Eiropas Savienības atpakaļ tiks saņemti </w:t>
            </w:r>
            <w:smartTag w:uri="schemas-tilde-lv/tildestengine" w:element="currency2">
              <w:smartTagPr>
                <w:attr w:name="currency_id" w:val="48"/>
                <w:attr w:name="currency_key" w:val="LVL"/>
                <w:attr w:name="currency_value" w:val="81"/>
                <w:attr w:name="currency_text" w:val="Ls"/>
              </w:smartTagPr>
              <w:r w:rsidRPr="00A82DF7">
                <w:t>Ls 81</w:t>
              </w:r>
            </w:smartTag>
            <w:r w:rsidRPr="00A82DF7">
              <w:t> 880 gadā.</w:t>
            </w:r>
          </w:p>
        </w:tc>
      </w:tr>
      <w:tr w:rsidR="00634A4E" w:rsidRPr="00A82DF7" w:rsidTr="00EA5573">
        <w:trPr>
          <w:jc w:val="center"/>
        </w:trPr>
        <w:tc>
          <w:tcPr>
            <w:tcW w:w="3034" w:type="dxa"/>
          </w:tcPr>
          <w:p w:rsidR="00634A4E" w:rsidRPr="00A82DF7" w:rsidRDefault="00634A4E" w:rsidP="003F7666">
            <w:pPr>
              <w:jc w:val="both"/>
            </w:pPr>
            <w:r w:rsidRPr="00A82DF7">
              <w:t>7. Cita informācija</w:t>
            </w:r>
          </w:p>
        </w:tc>
        <w:tc>
          <w:tcPr>
            <w:tcW w:w="6494" w:type="dxa"/>
            <w:gridSpan w:val="5"/>
          </w:tcPr>
          <w:p w:rsidR="00634A4E" w:rsidRPr="00A82DF7" w:rsidRDefault="00634A4E" w:rsidP="00143E84">
            <w:pPr>
              <w:jc w:val="both"/>
            </w:pPr>
            <w:r w:rsidRPr="00A82DF7">
              <w:t>2013.gadā un turpmākajos gados plānotais finansējums dienestam</w:t>
            </w:r>
            <w:r w:rsidRPr="00A82DF7">
              <w:rPr>
                <w:bCs/>
              </w:rPr>
              <w:t xml:space="preserve"> </w:t>
            </w:r>
            <w:smartTag w:uri="schemas-tilde-lv/tildestengine" w:element="currency2">
              <w:smartTagPr>
                <w:attr w:name="currency_id" w:val="48"/>
                <w:attr w:name="currency_key" w:val="LVL"/>
                <w:attr w:name="currency_value" w:val="198"/>
                <w:attr w:name="currency_text" w:val="Ls"/>
              </w:smartTagPr>
              <w:r w:rsidRPr="00A82DF7">
                <w:rPr>
                  <w:bCs/>
                </w:rPr>
                <w:t>Ls 198</w:t>
              </w:r>
            </w:smartTag>
            <w:r w:rsidRPr="00A82DF7">
              <w:rPr>
                <w:bCs/>
              </w:rPr>
              <w:t xml:space="preserve"> 480 </w:t>
            </w:r>
            <w:r w:rsidRPr="00A82DF7">
              <w:t>apmērā nepieciešams, lai vistu ganāmpulku īpašniekiem vai turētājiem,</w:t>
            </w:r>
            <w:r w:rsidRPr="00A82DF7">
              <w:rPr>
                <w:bCs/>
              </w:rPr>
              <w:t xml:space="preserve"> kas ražo svaigas olas vai inkubējamās olas Eiropas Savienības iekšējam tirgum,</w:t>
            </w:r>
            <w:r w:rsidRPr="00A82DF7">
              <w:t xml:space="preserve"> segtu izdevumus pret salmonelozes vakcīnas iegādei.</w:t>
            </w:r>
          </w:p>
          <w:p w:rsidR="00634A4E" w:rsidRPr="00A82DF7" w:rsidRDefault="00634A4E" w:rsidP="00143E84">
            <w:pPr>
              <w:jc w:val="both"/>
            </w:pPr>
            <w:r w:rsidRPr="00A82DF7">
              <w:t xml:space="preserve">Pasākums mudinās arī turpmāk vistu ganāmpulka īpašniekus un turētājus vakcinēt pret salmonelozi </w:t>
            </w:r>
            <w:r w:rsidRPr="00A82DF7">
              <w:rPr>
                <w:i/>
              </w:rPr>
              <w:t xml:space="preserve">Gallus </w:t>
            </w:r>
            <w:proofErr w:type="spellStart"/>
            <w:r w:rsidRPr="00A82DF7">
              <w:rPr>
                <w:i/>
              </w:rPr>
              <w:t>gallus</w:t>
            </w:r>
            <w:proofErr w:type="spellEnd"/>
            <w:r w:rsidRPr="00A82DF7">
              <w:t xml:space="preserve"> sugas vistas, tā ilgtermiņā pasargājot valsti no salmonelozes uzliesmojuma.</w:t>
            </w:r>
          </w:p>
          <w:p w:rsidR="00634A4E" w:rsidRPr="00A82DF7" w:rsidRDefault="00634A4E" w:rsidP="00143E84">
            <w:pPr>
              <w:pStyle w:val="ParastaisWeb"/>
              <w:spacing w:before="0" w:beforeAutospacing="0" w:after="0" w:afterAutospacing="0"/>
              <w:jc w:val="both"/>
              <w:rPr>
                <w:rFonts w:ascii="Times New Roman" w:hAnsi="Times New Roman"/>
                <w:sz w:val="24"/>
                <w:szCs w:val="24"/>
              </w:rPr>
            </w:pPr>
            <w:r w:rsidRPr="00A82DF7">
              <w:rPr>
                <w:rFonts w:ascii="Times New Roman" w:hAnsi="Times New Roman"/>
                <w:sz w:val="24"/>
                <w:szCs w:val="24"/>
              </w:rPr>
              <w:t xml:space="preserve">Zemkopības ministrijai 2013.gada budžeta projektā jau ir daļēji paredzēts finansējums šim pasākumam, taču papildus nepieciešamo finansējumu Ls 28 800 apmērā 2013.gadam un turpmākajiem gadiem Zemkopības ministrija pieprasīs atbilstoši normatīvajos aktos noteiktajai kārtībai no valsts budžeta programmas 80.00.00.  </w:t>
            </w:r>
          </w:p>
        </w:tc>
      </w:tr>
    </w:tbl>
    <w:p w:rsidR="00634A4E" w:rsidRPr="00A82DF7" w:rsidRDefault="00634A4E" w:rsidP="00143E84">
      <w:pPr>
        <w:ind w:firstLine="851"/>
        <w:jc w:val="both"/>
        <w:rPr>
          <w:sz w:val="20"/>
        </w:rPr>
      </w:pPr>
      <w:r w:rsidRPr="00A82DF7">
        <w:t xml:space="preserve"> </w:t>
      </w:r>
    </w:p>
    <w:p w:rsidR="00634A4E" w:rsidRPr="00A82DF7" w:rsidRDefault="00634A4E" w:rsidP="00C86DDE">
      <w:pPr>
        <w:pStyle w:val="ParastaisWeb"/>
        <w:spacing w:before="0" w:beforeAutospacing="0" w:after="0" w:afterAutospacing="0"/>
        <w:rPr>
          <w:rFonts w:ascii="Times New Roman" w:hAnsi="Times New Roman"/>
          <w:i/>
          <w:sz w:val="24"/>
          <w:szCs w:val="24"/>
        </w:rPr>
      </w:pPr>
      <w:r w:rsidRPr="00A82DF7">
        <w:rPr>
          <w:rFonts w:ascii="Times New Roman" w:hAnsi="Times New Roman"/>
          <w:i/>
          <w:sz w:val="24"/>
          <w:szCs w:val="24"/>
        </w:rPr>
        <w:t>Anotācijas IV sadaļa – projekts šo jomu neskar.</w:t>
      </w:r>
    </w:p>
    <w:p w:rsidR="00634A4E" w:rsidRPr="00A82DF7" w:rsidRDefault="00634A4E" w:rsidP="00C86DDE">
      <w:pPr>
        <w:pStyle w:val="ParastaisWeb"/>
        <w:spacing w:before="0" w:beforeAutospacing="0" w:after="0" w:afterAutospacing="0"/>
        <w:rPr>
          <w:rFonts w:ascii="Times New Roman" w:hAnsi="Times New Roman"/>
          <w:i/>
          <w:sz w:val="24"/>
          <w:szCs w:val="24"/>
        </w:rPr>
      </w:pPr>
    </w:p>
    <w:tbl>
      <w:tblPr>
        <w:tblW w:w="9356"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851"/>
        <w:gridCol w:w="3118"/>
        <w:gridCol w:w="5387"/>
      </w:tblGrid>
      <w:tr w:rsidR="00634A4E" w:rsidRPr="00A82DF7" w:rsidTr="00EB33C6">
        <w:tc>
          <w:tcPr>
            <w:tcW w:w="9356" w:type="dxa"/>
            <w:gridSpan w:val="3"/>
            <w:tcBorders>
              <w:top w:val="outset" w:sz="6" w:space="0" w:color="auto"/>
              <w:bottom w:val="outset" w:sz="6" w:space="0" w:color="auto"/>
            </w:tcBorders>
            <w:vAlign w:val="center"/>
          </w:tcPr>
          <w:p w:rsidR="00634A4E" w:rsidRPr="00A82DF7" w:rsidRDefault="00634A4E" w:rsidP="004724D1">
            <w:pPr>
              <w:jc w:val="center"/>
              <w:rPr>
                <w:b/>
              </w:rPr>
            </w:pPr>
            <w:r w:rsidRPr="00A82DF7">
              <w:rPr>
                <w:b/>
              </w:rPr>
              <w:lastRenderedPageBreak/>
              <w:t>V. Tiesību akta projekta atbilstība Latvijas Republikas starptautiskajām saistībām</w:t>
            </w:r>
          </w:p>
        </w:tc>
      </w:tr>
      <w:tr w:rsidR="00634A4E" w:rsidRPr="00A82DF7" w:rsidTr="00EB33C6">
        <w:tc>
          <w:tcPr>
            <w:tcW w:w="851" w:type="dxa"/>
            <w:tcBorders>
              <w:top w:val="outset" w:sz="6" w:space="0" w:color="auto"/>
              <w:bottom w:val="outset" w:sz="6" w:space="0" w:color="auto"/>
              <w:right w:val="outset" w:sz="6" w:space="0" w:color="auto"/>
            </w:tcBorders>
          </w:tcPr>
          <w:p w:rsidR="00634A4E" w:rsidRPr="00A82DF7" w:rsidRDefault="00634A4E" w:rsidP="004724D1">
            <w:pPr>
              <w:ind w:left="57"/>
            </w:pPr>
            <w:r w:rsidRPr="00A82DF7">
              <w:t>1.</w:t>
            </w:r>
          </w:p>
        </w:tc>
        <w:tc>
          <w:tcPr>
            <w:tcW w:w="3118" w:type="dxa"/>
            <w:tcBorders>
              <w:top w:val="outset" w:sz="6" w:space="0" w:color="auto"/>
              <w:left w:val="outset" w:sz="6" w:space="0" w:color="auto"/>
              <w:bottom w:val="outset" w:sz="6" w:space="0" w:color="auto"/>
              <w:right w:val="outset" w:sz="6" w:space="0" w:color="auto"/>
            </w:tcBorders>
          </w:tcPr>
          <w:p w:rsidR="00634A4E" w:rsidRPr="00A82DF7" w:rsidRDefault="00634A4E" w:rsidP="004724D1">
            <w:pPr>
              <w:ind w:left="57"/>
            </w:pPr>
            <w:r w:rsidRPr="00A82DF7">
              <w:t>Saistības pret Eiropas Savienību</w:t>
            </w:r>
          </w:p>
        </w:tc>
        <w:tc>
          <w:tcPr>
            <w:tcW w:w="5387" w:type="dxa"/>
            <w:tcBorders>
              <w:top w:val="outset" w:sz="6" w:space="0" w:color="auto"/>
              <w:left w:val="outset" w:sz="6" w:space="0" w:color="auto"/>
              <w:bottom w:val="outset" w:sz="6" w:space="0" w:color="auto"/>
            </w:tcBorders>
          </w:tcPr>
          <w:p w:rsidR="00634A4E" w:rsidRPr="00A82DF7" w:rsidRDefault="00634A4E" w:rsidP="00BE52D5">
            <w:pPr>
              <w:jc w:val="both"/>
            </w:pPr>
            <w:r w:rsidRPr="00A82DF7">
              <w:rPr>
                <w:bCs/>
              </w:rPr>
              <w:t xml:space="preserve">Eiropas Parlamenta un Padomes 2003.gada 17.novembra Regula (EK) Nr.2160/2003 par salmonellas un dažu citu pārtikā sastopamu </w:t>
            </w:r>
            <w:proofErr w:type="spellStart"/>
            <w:r w:rsidRPr="00A82DF7">
              <w:rPr>
                <w:bCs/>
              </w:rPr>
              <w:t>zoonozes</w:t>
            </w:r>
            <w:proofErr w:type="spellEnd"/>
            <w:r w:rsidRPr="00A82DF7">
              <w:rPr>
                <w:bCs/>
              </w:rPr>
              <w:t xml:space="preserve"> īpašu izraisītāju kontroli.</w:t>
            </w:r>
          </w:p>
        </w:tc>
      </w:tr>
      <w:tr w:rsidR="00634A4E" w:rsidRPr="00A82DF7" w:rsidTr="00EB33C6">
        <w:tc>
          <w:tcPr>
            <w:tcW w:w="851" w:type="dxa"/>
            <w:tcBorders>
              <w:top w:val="outset" w:sz="6" w:space="0" w:color="auto"/>
              <w:bottom w:val="outset" w:sz="6" w:space="0" w:color="auto"/>
              <w:right w:val="outset" w:sz="6" w:space="0" w:color="auto"/>
            </w:tcBorders>
          </w:tcPr>
          <w:p w:rsidR="00634A4E" w:rsidRPr="00A82DF7" w:rsidRDefault="00634A4E" w:rsidP="004724D1">
            <w:pPr>
              <w:ind w:left="57"/>
            </w:pPr>
            <w:r w:rsidRPr="00A82DF7">
              <w:t>2.</w:t>
            </w:r>
          </w:p>
        </w:tc>
        <w:tc>
          <w:tcPr>
            <w:tcW w:w="3118" w:type="dxa"/>
            <w:tcBorders>
              <w:top w:val="outset" w:sz="6" w:space="0" w:color="auto"/>
              <w:left w:val="outset" w:sz="6" w:space="0" w:color="auto"/>
              <w:bottom w:val="outset" w:sz="6" w:space="0" w:color="auto"/>
              <w:right w:val="outset" w:sz="6" w:space="0" w:color="auto"/>
            </w:tcBorders>
          </w:tcPr>
          <w:p w:rsidR="00634A4E" w:rsidRPr="00A82DF7" w:rsidRDefault="00634A4E" w:rsidP="004724D1">
            <w:pPr>
              <w:ind w:left="57"/>
            </w:pPr>
            <w:r w:rsidRPr="00A82DF7">
              <w:t>Citas starptautiskās saistības</w:t>
            </w:r>
          </w:p>
        </w:tc>
        <w:tc>
          <w:tcPr>
            <w:tcW w:w="5387" w:type="dxa"/>
            <w:tcBorders>
              <w:top w:val="outset" w:sz="6" w:space="0" w:color="auto"/>
              <w:left w:val="outset" w:sz="6" w:space="0" w:color="auto"/>
              <w:bottom w:val="outset" w:sz="6" w:space="0" w:color="auto"/>
            </w:tcBorders>
          </w:tcPr>
          <w:p w:rsidR="00634A4E" w:rsidRPr="00A82DF7" w:rsidRDefault="00634A4E" w:rsidP="004724D1">
            <w:pPr>
              <w:jc w:val="both"/>
            </w:pPr>
            <w:r w:rsidRPr="00A82DF7">
              <w:t>Projekts šo jomu neskar.</w:t>
            </w:r>
          </w:p>
        </w:tc>
      </w:tr>
      <w:tr w:rsidR="00634A4E" w:rsidRPr="00A82DF7" w:rsidTr="00EB33C6">
        <w:tc>
          <w:tcPr>
            <w:tcW w:w="851" w:type="dxa"/>
            <w:tcBorders>
              <w:top w:val="outset" w:sz="6" w:space="0" w:color="auto"/>
              <w:bottom w:val="outset" w:sz="6" w:space="0" w:color="auto"/>
              <w:right w:val="outset" w:sz="6" w:space="0" w:color="auto"/>
            </w:tcBorders>
          </w:tcPr>
          <w:p w:rsidR="00634A4E" w:rsidRPr="00A82DF7" w:rsidRDefault="00634A4E" w:rsidP="004724D1">
            <w:pPr>
              <w:ind w:left="57"/>
            </w:pPr>
            <w:r w:rsidRPr="00A82DF7">
              <w:t>3.</w:t>
            </w:r>
          </w:p>
        </w:tc>
        <w:tc>
          <w:tcPr>
            <w:tcW w:w="3118" w:type="dxa"/>
            <w:tcBorders>
              <w:top w:val="outset" w:sz="6" w:space="0" w:color="auto"/>
              <w:left w:val="outset" w:sz="6" w:space="0" w:color="auto"/>
              <w:bottom w:val="outset" w:sz="6" w:space="0" w:color="auto"/>
              <w:right w:val="outset" w:sz="6" w:space="0" w:color="auto"/>
            </w:tcBorders>
          </w:tcPr>
          <w:p w:rsidR="00634A4E" w:rsidRPr="00A82DF7" w:rsidRDefault="00634A4E" w:rsidP="004724D1">
            <w:pPr>
              <w:ind w:left="57"/>
            </w:pPr>
            <w:r w:rsidRPr="00A82DF7">
              <w:t>Cita informācija</w:t>
            </w:r>
          </w:p>
        </w:tc>
        <w:tc>
          <w:tcPr>
            <w:tcW w:w="5387" w:type="dxa"/>
            <w:tcBorders>
              <w:top w:val="outset" w:sz="6" w:space="0" w:color="auto"/>
              <w:left w:val="outset" w:sz="6" w:space="0" w:color="auto"/>
              <w:bottom w:val="outset" w:sz="6" w:space="0" w:color="auto"/>
            </w:tcBorders>
          </w:tcPr>
          <w:p w:rsidR="00634A4E" w:rsidRPr="00A82DF7" w:rsidRDefault="00634A4E" w:rsidP="004724D1">
            <w:pPr>
              <w:jc w:val="both"/>
            </w:pPr>
            <w:r w:rsidRPr="00A82DF7">
              <w:t>Nav</w:t>
            </w:r>
          </w:p>
        </w:tc>
      </w:tr>
    </w:tbl>
    <w:p w:rsidR="00634A4E" w:rsidRPr="00A82DF7" w:rsidRDefault="00634A4E" w:rsidP="00BE52D5"/>
    <w:p w:rsidR="00634A4E" w:rsidRPr="00A82DF7" w:rsidRDefault="00634A4E" w:rsidP="00BE52D5">
      <w:pPr>
        <w:rPr>
          <w:sz w:val="2"/>
          <w:szCs w:val="2"/>
        </w:rPr>
      </w:pPr>
    </w:p>
    <w:tbl>
      <w:tblPr>
        <w:tblW w:w="9356"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1966"/>
        <w:gridCol w:w="1852"/>
        <w:gridCol w:w="2719"/>
        <w:gridCol w:w="2819"/>
      </w:tblGrid>
      <w:tr w:rsidR="00634A4E" w:rsidRPr="00A82DF7" w:rsidTr="00EB33C6">
        <w:trPr>
          <w:cantSplit/>
          <w:trHeight w:val="523"/>
        </w:trPr>
        <w:tc>
          <w:tcPr>
            <w:tcW w:w="9356" w:type="dxa"/>
            <w:gridSpan w:val="4"/>
            <w:tcBorders>
              <w:top w:val="outset" w:sz="6" w:space="0" w:color="auto"/>
              <w:bottom w:val="outset" w:sz="6" w:space="0" w:color="auto"/>
            </w:tcBorders>
            <w:vAlign w:val="center"/>
          </w:tcPr>
          <w:p w:rsidR="00634A4E" w:rsidRPr="00A82DF7" w:rsidRDefault="00634A4E" w:rsidP="004724D1">
            <w:pPr>
              <w:ind w:left="57"/>
              <w:jc w:val="center"/>
              <w:rPr>
                <w:b/>
              </w:rPr>
            </w:pPr>
            <w:r w:rsidRPr="00A82DF7">
              <w:rPr>
                <w:b/>
              </w:rPr>
              <w:t>1.tabula</w:t>
            </w:r>
          </w:p>
          <w:p w:rsidR="00634A4E" w:rsidRPr="00A82DF7" w:rsidRDefault="00634A4E" w:rsidP="004724D1">
            <w:pPr>
              <w:ind w:left="57"/>
              <w:jc w:val="center"/>
            </w:pPr>
            <w:r w:rsidRPr="00A82DF7">
              <w:rPr>
                <w:b/>
              </w:rPr>
              <w:t>Tiesību akta projekta atbilstība ES tiesību aktiem</w:t>
            </w:r>
          </w:p>
        </w:tc>
      </w:tr>
      <w:tr w:rsidR="00634A4E" w:rsidRPr="00A82DF7" w:rsidTr="00EB33C6">
        <w:trPr>
          <w:cantSplit/>
        </w:trPr>
        <w:tc>
          <w:tcPr>
            <w:tcW w:w="1966" w:type="dxa"/>
            <w:tcBorders>
              <w:top w:val="outset" w:sz="6" w:space="0" w:color="auto"/>
              <w:bottom w:val="outset" w:sz="6" w:space="0" w:color="auto"/>
              <w:right w:val="outset" w:sz="6" w:space="0" w:color="auto"/>
            </w:tcBorders>
          </w:tcPr>
          <w:p w:rsidR="00634A4E" w:rsidRPr="00A82DF7" w:rsidRDefault="00634A4E" w:rsidP="004724D1">
            <w:pPr>
              <w:ind w:left="57"/>
            </w:pPr>
            <w:r w:rsidRPr="00A82DF7">
              <w:t>Attiecīgā ES tiesību akta datums, numurs un nosaukums</w:t>
            </w:r>
          </w:p>
        </w:tc>
        <w:tc>
          <w:tcPr>
            <w:tcW w:w="7390" w:type="dxa"/>
            <w:gridSpan w:val="3"/>
            <w:tcBorders>
              <w:top w:val="outset" w:sz="6" w:space="0" w:color="auto"/>
              <w:left w:val="outset" w:sz="6" w:space="0" w:color="auto"/>
              <w:bottom w:val="outset" w:sz="6" w:space="0" w:color="auto"/>
            </w:tcBorders>
          </w:tcPr>
          <w:p w:rsidR="00634A4E" w:rsidRPr="00A82DF7" w:rsidRDefault="00634A4E" w:rsidP="009519C5">
            <w:pPr>
              <w:ind w:left="16"/>
              <w:jc w:val="both"/>
            </w:pPr>
            <w:r w:rsidRPr="00A82DF7">
              <w:rPr>
                <w:bCs/>
              </w:rPr>
              <w:t xml:space="preserve">Eiropas Parlamenta un Padomes 2003.gada 17.novembra Regula (EK) Nr.2160/2003 par salmonellas un dažu citu pārtikā sastopamu </w:t>
            </w:r>
            <w:proofErr w:type="spellStart"/>
            <w:r w:rsidRPr="00A82DF7">
              <w:rPr>
                <w:bCs/>
              </w:rPr>
              <w:t>zoonozes</w:t>
            </w:r>
            <w:proofErr w:type="spellEnd"/>
            <w:r w:rsidRPr="00A82DF7">
              <w:rPr>
                <w:bCs/>
              </w:rPr>
              <w:t xml:space="preserve"> īpašu izraisītāju kontroli.</w:t>
            </w:r>
          </w:p>
        </w:tc>
      </w:tr>
      <w:tr w:rsidR="00634A4E" w:rsidRPr="00A82DF7" w:rsidTr="00EB33C6">
        <w:trPr>
          <w:cantSplit/>
        </w:trPr>
        <w:tc>
          <w:tcPr>
            <w:tcW w:w="1966" w:type="dxa"/>
            <w:tcBorders>
              <w:top w:val="outset" w:sz="6" w:space="0" w:color="auto"/>
              <w:bottom w:val="outset" w:sz="6" w:space="0" w:color="auto"/>
              <w:right w:val="outset" w:sz="6" w:space="0" w:color="auto"/>
            </w:tcBorders>
            <w:vAlign w:val="center"/>
          </w:tcPr>
          <w:p w:rsidR="00634A4E" w:rsidRPr="00A82DF7" w:rsidRDefault="00634A4E" w:rsidP="004724D1">
            <w:pPr>
              <w:ind w:left="57"/>
              <w:jc w:val="center"/>
            </w:pPr>
            <w:r w:rsidRPr="00A82DF7">
              <w:t>A</w:t>
            </w:r>
          </w:p>
        </w:tc>
        <w:tc>
          <w:tcPr>
            <w:tcW w:w="1852" w:type="dxa"/>
            <w:tcBorders>
              <w:top w:val="outset" w:sz="6" w:space="0" w:color="auto"/>
              <w:left w:val="outset" w:sz="6" w:space="0" w:color="auto"/>
              <w:bottom w:val="outset" w:sz="6" w:space="0" w:color="auto"/>
              <w:right w:val="outset" w:sz="6" w:space="0" w:color="auto"/>
            </w:tcBorders>
            <w:vAlign w:val="center"/>
          </w:tcPr>
          <w:p w:rsidR="00634A4E" w:rsidRPr="00A82DF7" w:rsidRDefault="00634A4E" w:rsidP="004724D1">
            <w:pPr>
              <w:ind w:left="57"/>
              <w:jc w:val="center"/>
            </w:pPr>
            <w:r w:rsidRPr="00A82DF7">
              <w:t>B</w:t>
            </w:r>
          </w:p>
        </w:tc>
        <w:tc>
          <w:tcPr>
            <w:tcW w:w="2719" w:type="dxa"/>
            <w:tcBorders>
              <w:top w:val="outset" w:sz="6" w:space="0" w:color="auto"/>
              <w:left w:val="outset" w:sz="6" w:space="0" w:color="auto"/>
              <w:bottom w:val="outset" w:sz="6" w:space="0" w:color="auto"/>
              <w:right w:val="outset" w:sz="6" w:space="0" w:color="auto"/>
            </w:tcBorders>
            <w:vAlign w:val="center"/>
          </w:tcPr>
          <w:p w:rsidR="00634A4E" w:rsidRPr="00A82DF7" w:rsidRDefault="00634A4E" w:rsidP="004724D1">
            <w:pPr>
              <w:ind w:left="57"/>
              <w:jc w:val="center"/>
            </w:pPr>
            <w:r w:rsidRPr="00A82DF7">
              <w:t>C</w:t>
            </w:r>
          </w:p>
        </w:tc>
        <w:tc>
          <w:tcPr>
            <w:tcW w:w="2819" w:type="dxa"/>
            <w:tcBorders>
              <w:top w:val="outset" w:sz="6" w:space="0" w:color="auto"/>
              <w:left w:val="outset" w:sz="6" w:space="0" w:color="auto"/>
              <w:bottom w:val="outset" w:sz="6" w:space="0" w:color="auto"/>
            </w:tcBorders>
            <w:vAlign w:val="center"/>
          </w:tcPr>
          <w:p w:rsidR="00634A4E" w:rsidRPr="00A82DF7" w:rsidRDefault="00634A4E" w:rsidP="004724D1">
            <w:pPr>
              <w:ind w:left="57"/>
              <w:jc w:val="center"/>
            </w:pPr>
            <w:r w:rsidRPr="00A82DF7">
              <w:t>D</w:t>
            </w:r>
          </w:p>
        </w:tc>
      </w:tr>
      <w:tr w:rsidR="00634A4E" w:rsidRPr="00A82DF7" w:rsidTr="00EB33C6">
        <w:trPr>
          <w:cantSplit/>
          <w:trHeight w:val="3550"/>
        </w:trPr>
        <w:tc>
          <w:tcPr>
            <w:tcW w:w="1966" w:type="dxa"/>
            <w:tcBorders>
              <w:top w:val="outset" w:sz="6" w:space="0" w:color="auto"/>
              <w:bottom w:val="outset" w:sz="6" w:space="0" w:color="auto"/>
              <w:right w:val="outset" w:sz="6" w:space="0" w:color="auto"/>
            </w:tcBorders>
          </w:tcPr>
          <w:p w:rsidR="00634A4E" w:rsidRPr="00A82DF7" w:rsidRDefault="00634A4E" w:rsidP="004724D1">
            <w:pPr>
              <w:spacing w:after="120"/>
              <w:ind w:left="57"/>
              <w:rPr>
                <w:spacing w:val="-3"/>
                <w:szCs w:val="20"/>
              </w:rPr>
            </w:pPr>
            <w:r w:rsidRPr="00A82DF7">
              <w:rPr>
                <w:spacing w:val="-3"/>
                <w:szCs w:val="20"/>
              </w:rPr>
              <w:t>Attiecīgā ES tiesību akta panta numurs (uzskaitot katru tiesību akta vienību – pantu, daļu, punktu, apakšpunktu)</w:t>
            </w:r>
          </w:p>
        </w:tc>
        <w:tc>
          <w:tcPr>
            <w:tcW w:w="1852" w:type="dxa"/>
            <w:tcBorders>
              <w:top w:val="outset" w:sz="6" w:space="0" w:color="auto"/>
              <w:left w:val="outset" w:sz="6" w:space="0" w:color="auto"/>
              <w:bottom w:val="outset" w:sz="6" w:space="0" w:color="auto"/>
              <w:right w:val="outset" w:sz="6" w:space="0" w:color="auto"/>
            </w:tcBorders>
          </w:tcPr>
          <w:p w:rsidR="00634A4E" w:rsidRPr="00A82DF7" w:rsidRDefault="00634A4E" w:rsidP="004724D1">
            <w:pPr>
              <w:spacing w:after="120"/>
              <w:ind w:left="57"/>
              <w:rPr>
                <w:spacing w:val="-3"/>
                <w:szCs w:val="20"/>
              </w:rPr>
            </w:pPr>
            <w:r w:rsidRPr="00A82DF7">
              <w:rPr>
                <w:spacing w:val="-3"/>
                <w:szCs w:val="20"/>
              </w:rPr>
              <w:t>Projekta vienība, kas pārņem vai ievieš katru šīs tabulas A ailē minēto ES tiesību akta vienību, vai tiesību akts, kur attiecīgā ES tiesību akta vienība pārņemta vai ieviesta</w:t>
            </w:r>
          </w:p>
        </w:tc>
        <w:tc>
          <w:tcPr>
            <w:tcW w:w="2719" w:type="dxa"/>
            <w:tcBorders>
              <w:top w:val="outset" w:sz="6" w:space="0" w:color="auto"/>
              <w:left w:val="outset" w:sz="6" w:space="0" w:color="auto"/>
              <w:bottom w:val="outset" w:sz="6" w:space="0" w:color="auto"/>
              <w:right w:val="outset" w:sz="6" w:space="0" w:color="auto"/>
            </w:tcBorders>
          </w:tcPr>
          <w:p w:rsidR="00634A4E" w:rsidRPr="00A82DF7" w:rsidRDefault="00634A4E" w:rsidP="004724D1">
            <w:pPr>
              <w:spacing w:after="120"/>
              <w:ind w:left="57"/>
              <w:rPr>
                <w:spacing w:val="-3"/>
                <w:szCs w:val="20"/>
              </w:rPr>
            </w:pPr>
            <w:r w:rsidRPr="00A82DF7">
              <w:rPr>
                <w:spacing w:val="-3"/>
                <w:szCs w:val="20"/>
              </w:rPr>
              <w:t>Informācija par to, vai šīs tabulas A ailē minētās ES tiesību akta vienības tiek pārņemtas vai ieviestas pilnībā vai daļēji.</w:t>
            </w:r>
          </w:p>
          <w:p w:rsidR="00634A4E" w:rsidRPr="00A82DF7" w:rsidRDefault="00634A4E" w:rsidP="004724D1">
            <w:pPr>
              <w:spacing w:after="120"/>
              <w:ind w:left="57"/>
              <w:rPr>
                <w:spacing w:val="-3"/>
                <w:szCs w:val="20"/>
              </w:rPr>
            </w:pPr>
            <w:r w:rsidRPr="00A82DF7">
              <w:rPr>
                <w:spacing w:val="-3"/>
                <w:szCs w:val="20"/>
              </w:rPr>
              <w:t>Ja attiecīgā ES tiesību akta vienība tiek pārņemta vai ieviesta daļēji, sniedz attiecīgu skaidrojumu, kā arī precīzi norāda, kad un kādā veidā ES tiesību akta vienība tiks pārņemta vai ieviesta pilnībā.</w:t>
            </w:r>
          </w:p>
          <w:p w:rsidR="00634A4E" w:rsidRPr="00A82DF7" w:rsidRDefault="00634A4E" w:rsidP="004724D1">
            <w:pPr>
              <w:spacing w:after="120"/>
              <w:ind w:left="57"/>
              <w:rPr>
                <w:spacing w:val="-3"/>
                <w:szCs w:val="20"/>
              </w:rPr>
            </w:pPr>
            <w:r w:rsidRPr="00A82DF7">
              <w:rPr>
                <w:spacing w:val="-3"/>
                <w:szCs w:val="20"/>
              </w:rPr>
              <w:t>Norāda institūciju, kas ir atbildīga par šo saistību izpildi pilnībā</w:t>
            </w:r>
          </w:p>
        </w:tc>
        <w:tc>
          <w:tcPr>
            <w:tcW w:w="2819" w:type="dxa"/>
            <w:tcBorders>
              <w:top w:val="outset" w:sz="6" w:space="0" w:color="auto"/>
              <w:left w:val="outset" w:sz="6" w:space="0" w:color="auto"/>
              <w:bottom w:val="outset" w:sz="6" w:space="0" w:color="auto"/>
            </w:tcBorders>
          </w:tcPr>
          <w:p w:rsidR="00634A4E" w:rsidRPr="00A82DF7" w:rsidRDefault="00634A4E" w:rsidP="004724D1">
            <w:pPr>
              <w:spacing w:after="120"/>
              <w:ind w:left="57"/>
              <w:rPr>
                <w:szCs w:val="20"/>
              </w:rPr>
            </w:pPr>
            <w:r w:rsidRPr="00A82DF7">
              <w:rPr>
                <w:spacing w:val="-3"/>
                <w:szCs w:val="20"/>
              </w:rPr>
              <w:t xml:space="preserve">Informācija par to, vai šīs </w:t>
            </w:r>
            <w:r w:rsidRPr="00A82DF7">
              <w:rPr>
                <w:szCs w:val="20"/>
              </w:rPr>
              <w:t>tabulas B ailē minētās projekta vienības paredz stingrākas prasības nekā šīs tabulas A ailē minētās ES tiesību akta vienības.</w:t>
            </w:r>
          </w:p>
          <w:p w:rsidR="00634A4E" w:rsidRPr="00A82DF7" w:rsidRDefault="00634A4E" w:rsidP="004724D1">
            <w:pPr>
              <w:spacing w:after="120"/>
              <w:ind w:left="57"/>
              <w:rPr>
                <w:szCs w:val="20"/>
              </w:rPr>
            </w:pPr>
            <w:r w:rsidRPr="00A82DF7">
              <w:rPr>
                <w:szCs w:val="20"/>
              </w:rPr>
              <w:t>Ja projekts satur stingrākas prasības nekā attiecīgais ES tiesību akts, norāda pamatojumu un samērīgumu.</w:t>
            </w:r>
          </w:p>
          <w:p w:rsidR="00634A4E" w:rsidRPr="00A82DF7" w:rsidRDefault="00634A4E" w:rsidP="004724D1">
            <w:pPr>
              <w:ind w:left="57"/>
              <w:rPr>
                <w:spacing w:val="-3"/>
                <w:szCs w:val="20"/>
              </w:rPr>
            </w:pPr>
            <w:r w:rsidRPr="00A82DF7">
              <w:rPr>
                <w:szCs w:val="20"/>
              </w:rPr>
              <w:t>Norāda iespējamās alternatīvas (t.sk. alternatīvas, kas neparedz tiesiskā regulējuma izstrādi) – kādos gadījumos būtu iespējams izvairīties no stingrāku prasību</w:t>
            </w:r>
            <w:r w:rsidRPr="00A82DF7">
              <w:rPr>
                <w:spacing w:val="-3"/>
                <w:szCs w:val="20"/>
              </w:rPr>
              <w:t xml:space="preserve"> noteikšanas, nekā paredzēts attiecīgajos ES tiesību aktos</w:t>
            </w:r>
          </w:p>
        </w:tc>
      </w:tr>
      <w:tr w:rsidR="00634A4E" w:rsidRPr="00A82DF7" w:rsidTr="00EB33C6">
        <w:trPr>
          <w:cantSplit/>
          <w:trHeight w:val="496"/>
        </w:trPr>
        <w:tc>
          <w:tcPr>
            <w:tcW w:w="1966" w:type="dxa"/>
            <w:tcBorders>
              <w:top w:val="outset" w:sz="6" w:space="0" w:color="auto"/>
              <w:bottom w:val="outset" w:sz="6" w:space="0" w:color="auto"/>
              <w:right w:val="outset" w:sz="6" w:space="0" w:color="auto"/>
            </w:tcBorders>
          </w:tcPr>
          <w:p w:rsidR="00634A4E" w:rsidRPr="00A82DF7" w:rsidRDefault="00634A4E" w:rsidP="00B03EEE">
            <w:pPr>
              <w:ind w:left="57"/>
              <w:rPr>
                <w:spacing w:val="-2"/>
              </w:rPr>
            </w:pPr>
            <w:r w:rsidRPr="00A82DF7">
              <w:t xml:space="preserve">Regula </w:t>
            </w:r>
            <w:r w:rsidRPr="00A82DF7">
              <w:rPr>
                <w:bCs/>
              </w:rPr>
              <w:t>Nr.2160/2003 8.pants pirmā daļa</w:t>
            </w:r>
          </w:p>
        </w:tc>
        <w:tc>
          <w:tcPr>
            <w:tcW w:w="1852" w:type="dxa"/>
            <w:tcBorders>
              <w:top w:val="outset" w:sz="6" w:space="0" w:color="auto"/>
              <w:left w:val="outset" w:sz="6" w:space="0" w:color="auto"/>
              <w:bottom w:val="outset" w:sz="6" w:space="0" w:color="auto"/>
              <w:right w:val="outset" w:sz="6" w:space="0" w:color="auto"/>
            </w:tcBorders>
          </w:tcPr>
          <w:p w:rsidR="00634A4E" w:rsidRPr="00A82DF7" w:rsidRDefault="00634A4E" w:rsidP="004724D1">
            <w:pPr>
              <w:ind w:left="57"/>
              <w:rPr>
                <w:spacing w:val="-2"/>
              </w:rPr>
            </w:pPr>
            <w:r w:rsidRPr="00A82DF7">
              <w:t>1.1.apakšpunkts</w:t>
            </w:r>
          </w:p>
        </w:tc>
        <w:tc>
          <w:tcPr>
            <w:tcW w:w="2719" w:type="dxa"/>
            <w:tcBorders>
              <w:top w:val="outset" w:sz="6" w:space="0" w:color="auto"/>
              <w:left w:val="outset" w:sz="6" w:space="0" w:color="auto"/>
              <w:bottom w:val="outset" w:sz="6" w:space="0" w:color="auto"/>
              <w:right w:val="outset" w:sz="6" w:space="0" w:color="auto"/>
            </w:tcBorders>
          </w:tcPr>
          <w:p w:rsidR="00634A4E" w:rsidRPr="00A82DF7" w:rsidRDefault="00634A4E" w:rsidP="004724D1">
            <w:pPr>
              <w:jc w:val="both"/>
            </w:pPr>
            <w:r w:rsidRPr="00A82DF7">
              <w:t>Ieviests pilnībā.</w:t>
            </w:r>
          </w:p>
          <w:p w:rsidR="00634A4E" w:rsidRPr="00A82DF7" w:rsidRDefault="00634A4E" w:rsidP="004724D1">
            <w:pPr>
              <w:jc w:val="both"/>
              <w:rPr>
                <w:spacing w:val="-2"/>
              </w:rPr>
            </w:pPr>
          </w:p>
        </w:tc>
        <w:tc>
          <w:tcPr>
            <w:tcW w:w="2819" w:type="dxa"/>
            <w:tcBorders>
              <w:top w:val="outset" w:sz="6" w:space="0" w:color="auto"/>
              <w:left w:val="outset" w:sz="6" w:space="0" w:color="auto"/>
              <w:bottom w:val="outset" w:sz="6" w:space="0" w:color="auto"/>
            </w:tcBorders>
          </w:tcPr>
          <w:p w:rsidR="00634A4E" w:rsidRPr="00A82DF7" w:rsidRDefault="00634A4E" w:rsidP="004724D1">
            <w:pPr>
              <w:spacing w:after="120"/>
              <w:ind w:left="57"/>
              <w:rPr>
                <w:spacing w:val="-2"/>
              </w:rPr>
            </w:pPr>
            <w:r w:rsidRPr="00A82DF7">
              <w:rPr>
                <w:szCs w:val="22"/>
              </w:rPr>
              <w:t>Neparedz stingrākas prasības.</w:t>
            </w:r>
          </w:p>
        </w:tc>
      </w:tr>
      <w:tr w:rsidR="00634A4E" w:rsidRPr="00A82DF7" w:rsidTr="00EB33C6">
        <w:trPr>
          <w:cantSplit/>
          <w:trHeight w:val="281"/>
        </w:trPr>
        <w:tc>
          <w:tcPr>
            <w:tcW w:w="1966" w:type="dxa"/>
            <w:tcBorders>
              <w:top w:val="outset" w:sz="6" w:space="0" w:color="auto"/>
              <w:bottom w:val="outset" w:sz="6" w:space="0" w:color="auto"/>
              <w:right w:val="outset" w:sz="6" w:space="0" w:color="auto"/>
            </w:tcBorders>
          </w:tcPr>
          <w:p w:rsidR="00634A4E" w:rsidRPr="00A82DF7" w:rsidRDefault="00634A4E" w:rsidP="004724D1">
            <w:pPr>
              <w:ind w:left="57"/>
              <w:rPr>
                <w:spacing w:val="-3"/>
              </w:rPr>
            </w:pPr>
            <w:r w:rsidRPr="00A82DF7">
              <w:rPr>
                <w:spacing w:val="-3"/>
              </w:rPr>
              <w:t>Kā ir izmantota ES tiesību aktā paredzētā rīcības brīvība dalībvalstij pārņemt vai ieviest noteiktas ES tiesību akta normas?</w:t>
            </w:r>
          </w:p>
          <w:p w:rsidR="00634A4E" w:rsidRPr="00A82DF7" w:rsidRDefault="00634A4E" w:rsidP="004724D1">
            <w:pPr>
              <w:ind w:left="57"/>
              <w:rPr>
                <w:spacing w:val="-3"/>
              </w:rPr>
            </w:pPr>
            <w:r w:rsidRPr="00A82DF7">
              <w:rPr>
                <w:spacing w:val="-3"/>
              </w:rPr>
              <w:t>Kādēļ?</w:t>
            </w:r>
          </w:p>
        </w:tc>
        <w:tc>
          <w:tcPr>
            <w:tcW w:w="7390" w:type="dxa"/>
            <w:gridSpan w:val="3"/>
            <w:tcBorders>
              <w:top w:val="outset" w:sz="6" w:space="0" w:color="auto"/>
              <w:left w:val="outset" w:sz="6" w:space="0" w:color="auto"/>
              <w:bottom w:val="outset" w:sz="6" w:space="0" w:color="auto"/>
            </w:tcBorders>
          </w:tcPr>
          <w:p w:rsidR="00634A4E" w:rsidRPr="00A82DF7" w:rsidRDefault="00634A4E" w:rsidP="004724D1">
            <w:pPr>
              <w:ind w:left="57"/>
            </w:pPr>
            <w:r w:rsidRPr="00A82DF7">
              <w:t>Projekts šo jomu neskar.</w:t>
            </w:r>
          </w:p>
        </w:tc>
      </w:tr>
      <w:tr w:rsidR="00634A4E" w:rsidRPr="00A82DF7" w:rsidTr="00EB33C6">
        <w:trPr>
          <w:cantSplit/>
          <w:trHeight w:val="913"/>
        </w:trPr>
        <w:tc>
          <w:tcPr>
            <w:tcW w:w="1966" w:type="dxa"/>
            <w:tcBorders>
              <w:top w:val="outset" w:sz="6" w:space="0" w:color="auto"/>
              <w:bottom w:val="outset" w:sz="6" w:space="0" w:color="auto"/>
              <w:right w:val="outset" w:sz="6" w:space="0" w:color="auto"/>
            </w:tcBorders>
          </w:tcPr>
          <w:p w:rsidR="00634A4E" w:rsidRPr="00A82DF7" w:rsidRDefault="00634A4E" w:rsidP="004724D1">
            <w:pPr>
              <w:ind w:left="57"/>
              <w:rPr>
                <w:spacing w:val="-3"/>
              </w:rPr>
            </w:pPr>
            <w:r w:rsidRPr="00A82DF7">
              <w:rPr>
                <w:spacing w:val="-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390" w:type="dxa"/>
            <w:gridSpan w:val="3"/>
            <w:tcBorders>
              <w:top w:val="outset" w:sz="6" w:space="0" w:color="auto"/>
              <w:left w:val="outset" w:sz="6" w:space="0" w:color="auto"/>
              <w:bottom w:val="outset" w:sz="6" w:space="0" w:color="auto"/>
            </w:tcBorders>
          </w:tcPr>
          <w:p w:rsidR="00634A4E" w:rsidRPr="00A82DF7" w:rsidRDefault="00634A4E" w:rsidP="004724D1">
            <w:pPr>
              <w:jc w:val="both"/>
            </w:pPr>
            <w:r w:rsidRPr="00A82DF7">
              <w:t>Projekts šo jomu neskar</w:t>
            </w:r>
            <w:r w:rsidRPr="00A82DF7">
              <w:rPr>
                <w:iCs/>
              </w:rPr>
              <w:t>.</w:t>
            </w:r>
          </w:p>
        </w:tc>
      </w:tr>
      <w:tr w:rsidR="00634A4E" w:rsidRPr="00A82DF7" w:rsidTr="00EB33C6">
        <w:trPr>
          <w:cantSplit/>
          <w:trHeight w:val="346"/>
        </w:trPr>
        <w:tc>
          <w:tcPr>
            <w:tcW w:w="1966" w:type="dxa"/>
            <w:tcBorders>
              <w:top w:val="outset" w:sz="6" w:space="0" w:color="auto"/>
              <w:bottom w:val="outset" w:sz="6" w:space="0" w:color="auto"/>
              <w:right w:val="outset" w:sz="6" w:space="0" w:color="auto"/>
            </w:tcBorders>
          </w:tcPr>
          <w:p w:rsidR="00634A4E" w:rsidRPr="00A82DF7" w:rsidRDefault="00634A4E" w:rsidP="004724D1">
            <w:pPr>
              <w:ind w:left="57"/>
            </w:pPr>
            <w:r w:rsidRPr="00A82DF7">
              <w:t>Cita informācija</w:t>
            </w:r>
          </w:p>
        </w:tc>
        <w:tc>
          <w:tcPr>
            <w:tcW w:w="7390" w:type="dxa"/>
            <w:gridSpan w:val="3"/>
            <w:tcBorders>
              <w:top w:val="outset" w:sz="6" w:space="0" w:color="auto"/>
              <w:left w:val="outset" w:sz="6" w:space="0" w:color="auto"/>
              <w:bottom w:val="outset" w:sz="6" w:space="0" w:color="auto"/>
            </w:tcBorders>
          </w:tcPr>
          <w:p w:rsidR="00634A4E" w:rsidRPr="00A82DF7" w:rsidRDefault="00634A4E" w:rsidP="004724D1">
            <w:pPr>
              <w:jc w:val="both"/>
              <w:rPr>
                <w:iCs/>
              </w:rPr>
            </w:pPr>
            <w:r w:rsidRPr="00A82DF7">
              <w:t>Nav</w:t>
            </w:r>
          </w:p>
        </w:tc>
      </w:tr>
    </w:tbl>
    <w:p w:rsidR="00634A4E" w:rsidRPr="00A82DF7" w:rsidRDefault="00634A4E" w:rsidP="00BE52D5">
      <w:pPr>
        <w:pStyle w:val="naisf"/>
        <w:spacing w:before="0" w:after="0"/>
        <w:rPr>
          <w:i/>
        </w:rPr>
      </w:pPr>
    </w:p>
    <w:p w:rsidR="00634A4E" w:rsidRPr="00A82DF7" w:rsidRDefault="00634A4E" w:rsidP="002027E5">
      <w:pPr>
        <w:pStyle w:val="naisf"/>
        <w:spacing w:before="0" w:after="0"/>
        <w:rPr>
          <w:i/>
        </w:rPr>
      </w:pPr>
      <w:r w:rsidRPr="00A82DF7">
        <w:rPr>
          <w:i/>
        </w:rPr>
        <w:t>Anotācijas V sadaļas 2.tabula – projekts šo jomu neskar.</w:t>
      </w:r>
    </w:p>
    <w:p w:rsidR="00634A4E" w:rsidRPr="00A82DF7" w:rsidRDefault="00634A4E" w:rsidP="00C31E36">
      <w:pPr>
        <w:rPr>
          <w:sz w:val="16"/>
          <w:szCs w:val="16"/>
        </w:rPr>
      </w:pPr>
    </w:p>
    <w:tbl>
      <w:tblPr>
        <w:tblW w:w="9328"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1"/>
        <w:gridCol w:w="4492"/>
        <w:gridCol w:w="4385"/>
      </w:tblGrid>
      <w:tr w:rsidR="00634A4E" w:rsidRPr="00A82DF7" w:rsidTr="00EB33C6">
        <w:trPr>
          <w:jc w:val="center"/>
        </w:trPr>
        <w:tc>
          <w:tcPr>
            <w:tcW w:w="9328" w:type="dxa"/>
            <w:gridSpan w:val="3"/>
          </w:tcPr>
          <w:p w:rsidR="00634A4E" w:rsidRPr="00A82DF7" w:rsidRDefault="00634A4E" w:rsidP="007D099D">
            <w:pPr>
              <w:pStyle w:val="naisnod"/>
              <w:spacing w:before="0" w:after="0"/>
              <w:ind w:left="57" w:right="57"/>
            </w:pPr>
            <w:r w:rsidRPr="00A82DF7">
              <w:t>VI. Sabiedrības līdzdalība un šīs līdzdalības rezultāti</w:t>
            </w:r>
          </w:p>
        </w:tc>
      </w:tr>
      <w:tr w:rsidR="00634A4E" w:rsidRPr="00A82DF7" w:rsidTr="00EB33C6">
        <w:trPr>
          <w:trHeight w:val="553"/>
          <w:jc w:val="center"/>
        </w:trPr>
        <w:tc>
          <w:tcPr>
            <w:tcW w:w="451" w:type="dxa"/>
          </w:tcPr>
          <w:p w:rsidR="00634A4E" w:rsidRPr="00A82DF7" w:rsidRDefault="00634A4E" w:rsidP="007D099D">
            <w:pPr>
              <w:pStyle w:val="naiskr"/>
              <w:spacing w:before="0" w:after="0"/>
              <w:ind w:left="57" w:right="57"/>
              <w:rPr>
                <w:bCs/>
              </w:rPr>
            </w:pPr>
            <w:r w:rsidRPr="00A82DF7">
              <w:rPr>
                <w:bCs/>
                <w:sz w:val="22"/>
                <w:szCs w:val="22"/>
              </w:rPr>
              <w:t>1.</w:t>
            </w:r>
          </w:p>
        </w:tc>
        <w:tc>
          <w:tcPr>
            <w:tcW w:w="4492" w:type="dxa"/>
          </w:tcPr>
          <w:p w:rsidR="00634A4E" w:rsidRPr="00A82DF7" w:rsidRDefault="00634A4E" w:rsidP="007D099D">
            <w:pPr>
              <w:pStyle w:val="naiskr"/>
              <w:tabs>
                <w:tab w:val="left" w:pos="170"/>
              </w:tabs>
              <w:spacing w:before="0" w:after="0"/>
              <w:ind w:left="57" w:right="57"/>
            </w:pPr>
            <w:r w:rsidRPr="00A82DF7">
              <w:t>Sabiedrības informēšana par projekta izstrādes uzsākšanu</w:t>
            </w:r>
          </w:p>
        </w:tc>
        <w:tc>
          <w:tcPr>
            <w:tcW w:w="4385" w:type="dxa"/>
          </w:tcPr>
          <w:p w:rsidR="00634A4E" w:rsidRPr="00A82DF7" w:rsidRDefault="00634A4E" w:rsidP="002027E5">
            <w:pPr>
              <w:jc w:val="both"/>
              <w:rPr>
                <w:iCs/>
              </w:rPr>
            </w:pPr>
            <w:r w:rsidRPr="00A82DF7">
              <w:t xml:space="preserve">Noteikumu projekts tika elektroniski 2012.gada 9.oktobrī nosūtīts izskatīšanai un atzinumu sniegšanai biedrībām </w:t>
            </w:r>
            <w:r w:rsidRPr="00A82DF7">
              <w:rPr>
                <w:bCs/>
              </w:rPr>
              <w:t>„Zemnieku Saeima”, „Lauksaimnieku organizācijas sadarbības padome” un</w:t>
            </w:r>
            <w:r w:rsidRPr="00A82DF7">
              <w:t xml:space="preserve"> „Latvijas olu ražotāju asociācija”</w:t>
            </w:r>
            <w:r w:rsidRPr="00A82DF7">
              <w:rPr>
                <w:bCs/>
              </w:rPr>
              <w:t>.</w:t>
            </w:r>
          </w:p>
          <w:p w:rsidR="00634A4E" w:rsidRPr="00A82DF7" w:rsidRDefault="00634A4E" w:rsidP="005D4C52">
            <w:pPr>
              <w:jc w:val="both"/>
              <w:rPr>
                <w:highlight w:val="red"/>
              </w:rPr>
            </w:pPr>
            <w:r w:rsidRPr="00A82DF7">
              <w:rPr>
                <w:iCs/>
              </w:rPr>
              <w:t xml:space="preserve">Noteikumu projekts tika ievietots Zemkopības ministrijas tīmekļa vietnē 2012.gada 9.oktobrī. Noteikumu projekts saskaņots ar biedrību </w:t>
            </w:r>
            <w:r w:rsidRPr="00A82DF7">
              <w:rPr>
                <w:bCs/>
              </w:rPr>
              <w:t xml:space="preserve">„Lauksaimnieku organizācijas sadarbības padome”, un par to 2012.gada 16.oktobrī elektroniski ir </w:t>
            </w:r>
            <w:bookmarkStart w:id="2" w:name="_GoBack"/>
            <w:bookmarkEnd w:id="2"/>
            <w:r w:rsidRPr="00A82DF7">
              <w:rPr>
                <w:bCs/>
              </w:rPr>
              <w:t>saņemts atzinums.</w:t>
            </w:r>
          </w:p>
        </w:tc>
      </w:tr>
      <w:tr w:rsidR="00634A4E" w:rsidRPr="00A82DF7" w:rsidTr="00EB33C6">
        <w:trPr>
          <w:trHeight w:val="339"/>
          <w:jc w:val="center"/>
        </w:trPr>
        <w:tc>
          <w:tcPr>
            <w:tcW w:w="451" w:type="dxa"/>
          </w:tcPr>
          <w:p w:rsidR="00634A4E" w:rsidRPr="00A82DF7" w:rsidRDefault="00634A4E" w:rsidP="007D099D">
            <w:pPr>
              <w:pStyle w:val="Galvene"/>
              <w:ind w:left="57" w:right="57"/>
              <w:rPr>
                <w:bCs/>
              </w:rPr>
            </w:pPr>
            <w:r w:rsidRPr="00A82DF7">
              <w:rPr>
                <w:bCs/>
                <w:sz w:val="22"/>
                <w:szCs w:val="22"/>
              </w:rPr>
              <w:t>2.</w:t>
            </w:r>
          </w:p>
        </w:tc>
        <w:tc>
          <w:tcPr>
            <w:tcW w:w="4492" w:type="dxa"/>
          </w:tcPr>
          <w:p w:rsidR="00634A4E" w:rsidRPr="00A82DF7" w:rsidRDefault="00634A4E" w:rsidP="007D099D">
            <w:pPr>
              <w:pStyle w:val="Galvene"/>
              <w:ind w:left="57" w:right="57"/>
            </w:pPr>
            <w:r w:rsidRPr="00A82DF7">
              <w:t xml:space="preserve">Sabiedrības līdzdalība projekta izstrādē </w:t>
            </w:r>
          </w:p>
        </w:tc>
        <w:tc>
          <w:tcPr>
            <w:tcW w:w="4385" w:type="dxa"/>
          </w:tcPr>
          <w:p w:rsidR="00634A4E" w:rsidRPr="00A82DF7" w:rsidRDefault="00634A4E" w:rsidP="004724D1">
            <w:pPr>
              <w:jc w:val="both"/>
              <w:rPr>
                <w:highlight w:val="red"/>
              </w:rPr>
            </w:pPr>
            <w:r w:rsidRPr="00A82DF7">
              <w:t>Par sagatavoto noteikumu projektu speciālisti</w:t>
            </w:r>
            <w:r w:rsidRPr="00A82DF7">
              <w:rPr>
                <w:bCs/>
              </w:rPr>
              <w:t xml:space="preserve"> izteica priekšlikumus un papildinājumus sanāksmē š.g. 21.septembrī.</w:t>
            </w:r>
          </w:p>
        </w:tc>
      </w:tr>
      <w:tr w:rsidR="00634A4E" w:rsidRPr="00A82DF7" w:rsidTr="00EB33C6">
        <w:trPr>
          <w:trHeight w:val="375"/>
          <w:jc w:val="center"/>
        </w:trPr>
        <w:tc>
          <w:tcPr>
            <w:tcW w:w="451" w:type="dxa"/>
          </w:tcPr>
          <w:p w:rsidR="00634A4E" w:rsidRPr="00A82DF7" w:rsidRDefault="00634A4E" w:rsidP="007D099D">
            <w:pPr>
              <w:pStyle w:val="ListParagraph1"/>
              <w:ind w:left="57" w:right="57"/>
              <w:rPr>
                <w:bCs/>
              </w:rPr>
            </w:pPr>
            <w:r w:rsidRPr="00A82DF7">
              <w:rPr>
                <w:bCs/>
                <w:sz w:val="22"/>
                <w:szCs w:val="22"/>
              </w:rPr>
              <w:t>3.</w:t>
            </w:r>
          </w:p>
        </w:tc>
        <w:tc>
          <w:tcPr>
            <w:tcW w:w="4492" w:type="dxa"/>
          </w:tcPr>
          <w:p w:rsidR="00634A4E" w:rsidRPr="00A82DF7" w:rsidRDefault="00634A4E" w:rsidP="007D099D">
            <w:pPr>
              <w:pStyle w:val="ListParagraph1"/>
              <w:ind w:left="57" w:right="57"/>
            </w:pPr>
            <w:proofErr w:type="spellStart"/>
            <w:r w:rsidRPr="00A82DF7">
              <w:t>Sabiedrības</w:t>
            </w:r>
            <w:proofErr w:type="spellEnd"/>
            <w:r w:rsidRPr="00A82DF7">
              <w:t xml:space="preserve"> </w:t>
            </w:r>
            <w:proofErr w:type="spellStart"/>
            <w:r w:rsidRPr="00A82DF7">
              <w:t>līdzdalības</w:t>
            </w:r>
            <w:proofErr w:type="spellEnd"/>
            <w:r w:rsidRPr="00A82DF7">
              <w:t xml:space="preserve"> </w:t>
            </w:r>
            <w:proofErr w:type="spellStart"/>
            <w:r w:rsidRPr="00A82DF7">
              <w:t>rezultāti</w:t>
            </w:r>
            <w:proofErr w:type="spellEnd"/>
            <w:r w:rsidRPr="00A82DF7">
              <w:t xml:space="preserve"> </w:t>
            </w:r>
          </w:p>
        </w:tc>
        <w:tc>
          <w:tcPr>
            <w:tcW w:w="4385" w:type="dxa"/>
          </w:tcPr>
          <w:p w:rsidR="00634A4E" w:rsidRPr="00A82DF7" w:rsidRDefault="00634A4E" w:rsidP="004724D1">
            <w:pPr>
              <w:jc w:val="both"/>
            </w:pPr>
          </w:p>
        </w:tc>
      </w:tr>
      <w:tr w:rsidR="00634A4E" w:rsidRPr="00A82DF7" w:rsidTr="00EB33C6">
        <w:trPr>
          <w:trHeight w:val="397"/>
          <w:jc w:val="center"/>
        </w:trPr>
        <w:tc>
          <w:tcPr>
            <w:tcW w:w="451" w:type="dxa"/>
          </w:tcPr>
          <w:p w:rsidR="00634A4E" w:rsidRPr="00A82DF7" w:rsidRDefault="00634A4E" w:rsidP="007D099D">
            <w:pPr>
              <w:pStyle w:val="Kjene"/>
              <w:ind w:left="57" w:right="57"/>
              <w:rPr>
                <w:bCs/>
                <w:szCs w:val="24"/>
              </w:rPr>
            </w:pPr>
            <w:r w:rsidRPr="00A82DF7">
              <w:rPr>
                <w:bCs/>
                <w:sz w:val="22"/>
                <w:szCs w:val="22"/>
              </w:rPr>
              <w:t>4.</w:t>
            </w:r>
          </w:p>
        </w:tc>
        <w:tc>
          <w:tcPr>
            <w:tcW w:w="4492" w:type="dxa"/>
          </w:tcPr>
          <w:p w:rsidR="00634A4E" w:rsidRPr="00A82DF7" w:rsidRDefault="00634A4E" w:rsidP="007D099D">
            <w:pPr>
              <w:pStyle w:val="naiskr"/>
              <w:spacing w:before="0" w:after="0"/>
              <w:ind w:left="57" w:right="57"/>
            </w:pPr>
            <w:r w:rsidRPr="00A82DF7">
              <w:t>Saeimas un ekspertu līdzdalība</w:t>
            </w:r>
          </w:p>
        </w:tc>
        <w:tc>
          <w:tcPr>
            <w:tcW w:w="4385" w:type="dxa"/>
          </w:tcPr>
          <w:p w:rsidR="00634A4E" w:rsidRPr="00A82DF7" w:rsidRDefault="00634A4E" w:rsidP="004724D1">
            <w:pPr>
              <w:jc w:val="both"/>
            </w:pPr>
            <w:r w:rsidRPr="00A82DF7">
              <w:t>Projekts šo jomu neskar</w:t>
            </w:r>
            <w:r w:rsidRPr="00A82DF7">
              <w:rPr>
                <w:sz w:val="22"/>
                <w:szCs w:val="22"/>
              </w:rPr>
              <w:t>.</w:t>
            </w:r>
          </w:p>
        </w:tc>
      </w:tr>
      <w:tr w:rsidR="00634A4E" w:rsidRPr="00A82DF7" w:rsidTr="00EB33C6">
        <w:trPr>
          <w:trHeight w:val="476"/>
          <w:jc w:val="center"/>
        </w:trPr>
        <w:tc>
          <w:tcPr>
            <w:tcW w:w="451" w:type="dxa"/>
          </w:tcPr>
          <w:p w:rsidR="00634A4E" w:rsidRPr="00A82DF7" w:rsidRDefault="00634A4E" w:rsidP="007D099D">
            <w:pPr>
              <w:pStyle w:val="naiskr"/>
              <w:spacing w:before="0" w:after="0"/>
              <w:ind w:left="57" w:right="57"/>
              <w:rPr>
                <w:bCs/>
              </w:rPr>
            </w:pPr>
            <w:r w:rsidRPr="00A82DF7">
              <w:rPr>
                <w:bCs/>
                <w:sz w:val="22"/>
                <w:szCs w:val="22"/>
              </w:rPr>
              <w:t>5.</w:t>
            </w:r>
          </w:p>
        </w:tc>
        <w:tc>
          <w:tcPr>
            <w:tcW w:w="4492" w:type="dxa"/>
          </w:tcPr>
          <w:p w:rsidR="00634A4E" w:rsidRPr="00A82DF7" w:rsidRDefault="00634A4E" w:rsidP="007D099D">
            <w:pPr>
              <w:pStyle w:val="naiskr"/>
              <w:spacing w:before="0" w:after="0"/>
              <w:ind w:left="57" w:right="57"/>
            </w:pPr>
            <w:r w:rsidRPr="00A82DF7">
              <w:t>Cita informācija</w:t>
            </w:r>
          </w:p>
          <w:p w:rsidR="00634A4E" w:rsidRPr="00A82DF7" w:rsidRDefault="00634A4E" w:rsidP="007D099D">
            <w:pPr>
              <w:pStyle w:val="naiskr"/>
              <w:spacing w:before="0" w:after="0"/>
              <w:ind w:left="57" w:right="57"/>
            </w:pPr>
          </w:p>
        </w:tc>
        <w:tc>
          <w:tcPr>
            <w:tcW w:w="4385" w:type="dxa"/>
          </w:tcPr>
          <w:p w:rsidR="00634A4E" w:rsidRPr="00A82DF7" w:rsidRDefault="00634A4E" w:rsidP="004724D1">
            <w:pPr>
              <w:jc w:val="both"/>
            </w:pPr>
            <w:r w:rsidRPr="00A82DF7">
              <w:t>Nav</w:t>
            </w:r>
          </w:p>
        </w:tc>
      </w:tr>
    </w:tbl>
    <w:p w:rsidR="00634A4E" w:rsidRPr="00A82DF7" w:rsidRDefault="00634A4E" w:rsidP="006C4607">
      <w:pPr>
        <w:pStyle w:val="naisf"/>
        <w:spacing w:before="0" w:after="0"/>
        <w:rPr>
          <w:sz w:val="28"/>
          <w:szCs w:val="28"/>
        </w:rPr>
      </w:pPr>
    </w:p>
    <w:tbl>
      <w:tblPr>
        <w:tblW w:w="9407"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619"/>
        <w:gridCol w:w="4343"/>
        <w:gridCol w:w="4445"/>
      </w:tblGrid>
      <w:tr w:rsidR="00634A4E" w:rsidRPr="00A82DF7" w:rsidTr="00EB33C6">
        <w:tc>
          <w:tcPr>
            <w:tcW w:w="9407" w:type="dxa"/>
            <w:gridSpan w:val="3"/>
          </w:tcPr>
          <w:p w:rsidR="00634A4E" w:rsidRPr="00A82DF7" w:rsidRDefault="00634A4E" w:rsidP="007D099D">
            <w:pPr>
              <w:pStyle w:val="naisnod"/>
              <w:spacing w:before="0" w:after="0"/>
              <w:ind w:left="57" w:right="57"/>
            </w:pPr>
            <w:r w:rsidRPr="00A82DF7">
              <w:t>VII. Tiesību akta projekta izpildes nodrošināšana un tās ietekme uz institūcijām</w:t>
            </w:r>
          </w:p>
        </w:tc>
      </w:tr>
      <w:tr w:rsidR="00634A4E" w:rsidRPr="00A82DF7" w:rsidTr="00EB33C6">
        <w:trPr>
          <w:trHeight w:val="427"/>
        </w:trPr>
        <w:tc>
          <w:tcPr>
            <w:tcW w:w="619" w:type="dxa"/>
          </w:tcPr>
          <w:p w:rsidR="00634A4E" w:rsidRPr="00A82DF7" w:rsidRDefault="00634A4E" w:rsidP="006671F3">
            <w:pPr>
              <w:pStyle w:val="naisnod"/>
              <w:spacing w:before="0" w:after="0"/>
              <w:ind w:left="57" w:right="57"/>
              <w:jc w:val="left"/>
              <w:rPr>
                <w:b w:val="0"/>
              </w:rPr>
            </w:pPr>
            <w:r w:rsidRPr="00A82DF7">
              <w:rPr>
                <w:b w:val="0"/>
              </w:rPr>
              <w:t>1.</w:t>
            </w:r>
          </w:p>
        </w:tc>
        <w:tc>
          <w:tcPr>
            <w:tcW w:w="4343" w:type="dxa"/>
          </w:tcPr>
          <w:p w:rsidR="00634A4E" w:rsidRPr="00A82DF7" w:rsidRDefault="00634A4E" w:rsidP="006671F3">
            <w:pPr>
              <w:pStyle w:val="naisf"/>
              <w:spacing w:before="0" w:after="0"/>
              <w:ind w:left="57" w:right="57" w:firstLine="0"/>
              <w:jc w:val="left"/>
            </w:pPr>
            <w:r w:rsidRPr="00A82DF7">
              <w:t xml:space="preserve">Projekta izpildē iesaistītās institūcijas </w:t>
            </w:r>
          </w:p>
        </w:tc>
        <w:tc>
          <w:tcPr>
            <w:tcW w:w="4445" w:type="dxa"/>
          </w:tcPr>
          <w:p w:rsidR="00634A4E" w:rsidRPr="00A82DF7" w:rsidRDefault="00634A4E" w:rsidP="0010109C">
            <w:r w:rsidRPr="00A82DF7">
              <w:t>Pārtikas un veterinārais dienests</w:t>
            </w:r>
          </w:p>
        </w:tc>
      </w:tr>
      <w:tr w:rsidR="00634A4E" w:rsidRPr="00A82DF7" w:rsidTr="00EB33C6">
        <w:trPr>
          <w:trHeight w:val="463"/>
        </w:trPr>
        <w:tc>
          <w:tcPr>
            <w:tcW w:w="619" w:type="dxa"/>
          </w:tcPr>
          <w:p w:rsidR="00634A4E" w:rsidRPr="00A82DF7" w:rsidRDefault="00634A4E" w:rsidP="006671F3">
            <w:pPr>
              <w:pStyle w:val="naisc"/>
              <w:spacing w:before="0" w:after="0"/>
              <w:ind w:left="57" w:right="57"/>
              <w:jc w:val="left"/>
            </w:pPr>
            <w:r w:rsidRPr="00A82DF7">
              <w:t>2.</w:t>
            </w:r>
          </w:p>
        </w:tc>
        <w:tc>
          <w:tcPr>
            <w:tcW w:w="4343" w:type="dxa"/>
          </w:tcPr>
          <w:p w:rsidR="00634A4E" w:rsidRPr="00A82DF7" w:rsidRDefault="00634A4E" w:rsidP="006671F3">
            <w:pPr>
              <w:pStyle w:val="naislab"/>
              <w:spacing w:before="0" w:after="0"/>
              <w:ind w:left="57" w:right="57"/>
              <w:jc w:val="left"/>
            </w:pPr>
            <w:r w:rsidRPr="00A82DF7">
              <w:t xml:space="preserve">Projekta izpildes ietekme uz pārvaldes funkcijām </w:t>
            </w:r>
          </w:p>
        </w:tc>
        <w:tc>
          <w:tcPr>
            <w:tcW w:w="4445" w:type="dxa"/>
          </w:tcPr>
          <w:p w:rsidR="00634A4E" w:rsidRPr="00A82DF7" w:rsidRDefault="00634A4E" w:rsidP="00076400">
            <w:r w:rsidRPr="00A82DF7">
              <w:t>Pārtikas un veterinārā dienesta funkcijas noteikumu projekts neietekmē.</w:t>
            </w:r>
          </w:p>
        </w:tc>
      </w:tr>
      <w:tr w:rsidR="00634A4E" w:rsidRPr="00A82DF7" w:rsidTr="00EB33C6">
        <w:trPr>
          <w:trHeight w:val="725"/>
        </w:trPr>
        <w:tc>
          <w:tcPr>
            <w:tcW w:w="619" w:type="dxa"/>
          </w:tcPr>
          <w:p w:rsidR="00634A4E" w:rsidRPr="00A82DF7" w:rsidRDefault="00634A4E" w:rsidP="006671F3">
            <w:pPr>
              <w:pStyle w:val="naisc"/>
              <w:spacing w:before="0" w:after="0"/>
              <w:ind w:left="57" w:right="57"/>
              <w:jc w:val="left"/>
            </w:pPr>
            <w:r w:rsidRPr="00A82DF7">
              <w:lastRenderedPageBreak/>
              <w:t>3.</w:t>
            </w:r>
          </w:p>
        </w:tc>
        <w:tc>
          <w:tcPr>
            <w:tcW w:w="4343" w:type="dxa"/>
          </w:tcPr>
          <w:p w:rsidR="00634A4E" w:rsidRPr="00A82DF7" w:rsidRDefault="00634A4E" w:rsidP="006671F3">
            <w:pPr>
              <w:pStyle w:val="naislab"/>
              <w:spacing w:before="0" w:after="0"/>
              <w:ind w:left="57" w:right="57"/>
              <w:jc w:val="left"/>
            </w:pPr>
            <w:r w:rsidRPr="00A82DF7">
              <w:t>Projekta izpildes ietekme uz pārvaldes institucionālo struktūru.</w:t>
            </w:r>
          </w:p>
          <w:p w:rsidR="00634A4E" w:rsidRPr="00A82DF7" w:rsidRDefault="00634A4E" w:rsidP="006671F3">
            <w:pPr>
              <w:pStyle w:val="naislab"/>
              <w:spacing w:before="0" w:after="0"/>
              <w:ind w:left="57" w:right="57"/>
              <w:jc w:val="left"/>
            </w:pPr>
            <w:r w:rsidRPr="00A82DF7">
              <w:t>Jaunu institūciju izveide</w:t>
            </w:r>
          </w:p>
        </w:tc>
        <w:tc>
          <w:tcPr>
            <w:tcW w:w="4445" w:type="dxa"/>
          </w:tcPr>
          <w:p w:rsidR="00634A4E" w:rsidRPr="00A82DF7" w:rsidRDefault="00634A4E" w:rsidP="006671F3">
            <w:pPr>
              <w:jc w:val="both"/>
            </w:pPr>
            <w:r w:rsidRPr="00A82DF7">
              <w:t>Projekts šo jomu neskar.</w:t>
            </w:r>
          </w:p>
        </w:tc>
      </w:tr>
      <w:tr w:rsidR="00634A4E" w:rsidRPr="00A82DF7" w:rsidTr="00EB33C6">
        <w:trPr>
          <w:trHeight w:val="780"/>
        </w:trPr>
        <w:tc>
          <w:tcPr>
            <w:tcW w:w="619" w:type="dxa"/>
          </w:tcPr>
          <w:p w:rsidR="00634A4E" w:rsidRPr="00A82DF7" w:rsidRDefault="00634A4E" w:rsidP="006671F3">
            <w:pPr>
              <w:pStyle w:val="naisc"/>
              <w:spacing w:before="0" w:after="0"/>
              <w:ind w:left="57" w:right="57"/>
              <w:jc w:val="left"/>
            </w:pPr>
            <w:r w:rsidRPr="00A82DF7">
              <w:t>4.</w:t>
            </w:r>
          </w:p>
        </w:tc>
        <w:tc>
          <w:tcPr>
            <w:tcW w:w="4343" w:type="dxa"/>
          </w:tcPr>
          <w:p w:rsidR="00634A4E" w:rsidRPr="00A82DF7" w:rsidRDefault="00634A4E" w:rsidP="006671F3">
            <w:pPr>
              <w:pStyle w:val="naisf"/>
              <w:spacing w:before="0" w:after="0"/>
              <w:ind w:left="57" w:right="57" w:firstLine="0"/>
              <w:jc w:val="left"/>
            </w:pPr>
            <w:r w:rsidRPr="00A82DF7">
              <w:t>Projekta izpildes ietekme uz pārvaldes institucionālo struktūru.</w:t>
            </w:r>
          </w:p>
          <w:p w:rsidR="00634A4E" w:rsidRPr="00A82DF7" w:rsidRDefault="00634A4E" w:rsidP="006671F3">
            <w:pPr>
              <w:pStyle w:val="naisf"/>
              <w:spacing w:before="0" w:after="0"/>
              <w:ind w:left="57" w:right="57" w:firstLine="0"/>
              <w:jc w:val="left"/>
            </w:pPr>
            <w:r w:rsidRPr="00A82DF7">
              <w:t>Esošu institūciju likvidācija</w:t>
            </w:r>
          </w:p>
        </w:tc>
        <w:tc>
          <w:tcPr>
            <w:tcW w:w="4445" w:type="dxa"/>
          </w:tcPr>
          <w:p w:rsidR="00634A4E" w:rsidRPr="00A82DF7" w:rsidRDefault="00634A4E" w:rsidP="006671F3">
            <w:pPr>
              <w:jc w:val="both"/>
            </w:pPr>
            <w:r w:rsidRPr="00A82DF7">
              <w:t>Projekts šo jomu neskar.</w:t>
            </w:r>
          </w:p>
        </w:tc>
      </w:tr>
      <w:tr w:rsidR="00634A4E" w:rsidRPr="00A82DF7" w:rsidTr="00EB33C6">
        <w:trPr>
          <w:trHeight w:val="703"/>
        </w:trPr>
        <w:tc>
          <w:tcPr>
            <w:tcW w:w="619" w:type="dxa"/>
          </w:tcPr>
          <w:p w:rsidR="00634A4E" w:rsidRPr="00A82DF7" w:rsidRDefault="00634A4E" w:rsidP="006671F3">
            <w:pPr>
              <w:pStyle w:val="naisnod"/>
              <w:spacing w:before="0" w:after="0"/>
              <w:ind w:left="57" w:right="57"/>
              <w:jc w:val="left"/>
              <w:rPr>
                <w:b w:val="0"/>
              </w:rPr>
            </w:pPr>
            <w:r w:rsidRPr="00A82DF7">
              <w:rPr>
                <w:b w:val="0"/>
              </w:rPr>
              <w:t>5.</w:t>
            </w:r>
          </w:p>
        </w:tc>
        <w:tc>
          <w:tcPr>
            <w:tcW w:w="4343" w:type="dxa"/>
          </w:tcPr>
          <w:p w:rsidR="00634A4E" w:rsidRPr="00A82DF7" w:rsidRDefault="00634A4E" w:rsidP="006671F3">
            <w:pPr>
              <w:pStyle w:val="naisf"/>
              <w:spacing w:before="0" w:after="0"/>
              <w:ind w:left="57" w:right="57" w:firstLine="0"/>
              <w:jc w:val="left"/>
            </w:pPr>
            <w:r w:rsidRPr="00A82DF7">
              <w:t>Projekta izpildes ietekme uz pārvaldes institucionālo struktūru.</w:t>
            </w:r>
          </w:p>
          <w:p w:rsidR="00634A4E" w:rsidRPr="00A82DF7" w:rsidRDefault="00634A4E" w:rsidP="006671F3">
            <w:pPr>
              <w:pStyle w:val="naisf"/>
              <w:spacing w:before="0" w:after="0"/>
              <w:ind w:left="57" w:right="57" w:firstLine="0"/>
              <w:jc w:val="left"/>
            </w:pPr>
            <w:r w:rsidRPr="00A82DF7">
              <w:t>Esošu institūciju reorganizācija</w:t>
            </w:r>
          </w:p>
        </w:tc>
        <w:tc>
          <w:tcPr>
            <w:tcW w:w="4445" w:type="dxa"/>
          </w:tcPr>
          <w:p w:rsidR="00634A4E" w:rsidRPr="00A82DF7" w:rsidRDefault="00634A4E" w:rsidP="006671F3">
            <w:pPr>
              <w:jc w:val="both"/>
            </w:pPr>
            <w:r w:rsidRPr="00A82DF7">
              <w:t>Projekts šo jomu neskar.</w:t>
            </w:r>
          </w:p>
        </w:tc>
      </w:tr>
      <w:tr w:rsidR="00634A4E" w:rsidRPr="00A82DF7" w:rsidTr="00EB33C6">
        <w:trPr>
          <w:trHeight w:val="476"/>
        </w:trPr>
        <w:tc>
          <w:tcPr>
            <w:tcW w:w="619" w:type="dxa"/>
          </w:tcPr>
          <w:p w:rsidR="00634A4E" w:rsidRPr="00A82DF7" w:rsidRDefault="00634A4E" w:rsidP="006671F3">
            <w:pPr>
              <w:pStyle w:val="naiskr"/>
              <w:spacing w:before="0" w:after="0"/>
              <w:ind w:left="57" w:right="57"/>
            </w:pPr>
            <w:r w:rsidRPr="00A82DF7">
              <w:t>6.</w:t>
            </w:r>
          </w:p>
        </w:tc>
        <w:tc>
          <w:tcPr>
            <w:tcW w:w="4343" w:type="dxa"/>
          </w:tcPr>
          <w:p w:rsidR="00634A4E" w:rsidRPr="00A82DF7" w:rsidRDefault="00634A4E" w:rsidP="006671F3">
            <w:pPr>
              <w:pStyle w:val="naiskr"/>
              <w:spacing w:before="0" w:after="0"/>
              <w:ind w:left="57" w:right="57"/>
            </w:pPr>
            <w:r w:rsidRPr="00A82DF7">
              <w:t>Cita informācija</w:t>
            </w:r>
          </w:p>
        </w:tc>
        <w:tc>
          <w:tcPr>
            <w:tcW w:w="4445" w:type="dxa"/>
          </w:tcPr>
          <w:p w:rsidR="00634A4E" w:rsidRPr="00A82DF7" w:rsidRDefault="00634A4E" w:rsidP="006671F3">
            <w:pPr>
              <w:jc w:val="both"/>
            </w:pPr>
            <w:r w:rsidRPr="00A82DF7">
              <w:t>Nav</w:t>
            </w:r>
          </w:p>
        </w:tc>
      </w:tr>
    </w:tbl>
    <w:p w:rsidR="00634A4E" w:rsidRPr="00A82DF7" w:rsidRDefault="00634A4E" w:rsidP="00823BFE">
      <w:pPr>
        <w:jc w:val="center"/>
        <w:rPr>
          <w:sz w:val="16"/>
          <w:szCs w:val="16"/>
        </w:rPr>
      </w:pPr>
    </w:p>
    <w:p w:rsidR="00634A4E" w:rsidRPr="00A82DF7" w:rsidRDefault="00634A4E" w:rsidP="00823BFE">
      <w:pPr>
        <w:jc w:val="center"/>
        <w:rPr>
          <w:sz w:val="28"/>
          <w:szCs w:val="28"/>
        </w:rPr>
      </w:pPr>
    </w:p>
    <w:p w:rsidR="00634A4E" w:rsidRPr="00A82DF7" w:rsidRDefault="00634A4E" w:rsidP="00823BFE">
      <w:pPr>
        <w:jc w:val="center"/>
        <w:rPr>
          <w:sz w:val="28"/>
          <w:szCs w:val="28"/>
        </w:rPr>
      </w:pPr>
    </w:p>
    <w:p w:rsidR="00634A4E" w:rsidRPr="00A82DF7" w:rsidRDefault="00634A4E" w:rsidP="00823BFE">
      <w:pPr>
        <w:jc w:val="center"/>
        <w:rPr>
          <w:sz w:val="28"/>
          <w:szCs w:val="28"/>
        </w:rPr>
      </w:pPr>
      <w:r w:rsidRPr="00A82DF7">
        <w:rPr>
          <w:sz w:val="28"/>
          <w:szCs w:val="28"/>
        </w:rPr>
        <w:t>Zemkopības ministre </w:t>
      </w:r>
      <w:r w:rsidRPr="00A82DF7">
        <w:rPr>
          <w:sz w:val="28"/>
          <w:szCs w:val="28"/>
        </w:rPr>
        <w:tab/>
      </w:r>
      <w:r w:rsidRPr="00A82DF7">
        <w:rPr>
          <w:sz w:val="28"/>
          <w:szCs w:val="28"/>
        </w:rPr>
        <w:tab/>
      </w:r>
      <w:r w:rsidRPr="00A82DF7">
        <w:rPr>
          <w:sz w:val="28"/>
          <w:szCs w:val="28"/>
        </w:rPr>
        <w:tab/>
      </w:r>
      <w:r w:rsidRPr="00A82DF7">
        <w:rPr>
          <w:sz w:val="28"/>
          <w:szCs w:val="28"/>
        </w:rPr>
        <w:tab/>
      </w:r>
      <w:r w:rsidRPr="00A82DF7">
        <w:rPr>
          <w:sz w:val="28"/>
          <w:szCs w:val="28"/>
        </w:rPr>
        <w:tab/>
      </w:r>
      <w:r w:rsidRPr="00A82DF7">
        <w:rPr>
          <w:sz w:val="28"/>
          <w:szCs w:val="28"/>
        </w:rPr>
        <w:tab/>
        <w:t>L.Straujuma</w:t>
      </w:r>
    </w:p>
    <w:p w:rsidR="00634A4E" w:rsidRPr="00A82DF7" w:rsidRDefault="00634A4E" w:rsidP="00823BFE">
      <w:pPr>
        <w:jc w:val="center"/>
        <w:rPr>
          <w:sz w:val="28"/>
          <w:szCs w:val="28"/>
        </w:rPr>
      </w:pPr>
    </w:p>
    <w:p w:rsidR="00634A4E" w:rsidRDefault="00634A4E" w:rsidP="00BA64E2">
      <w:pPr>
        <w:jc w:val="both"/>
      </w:pPr>
    </w:p>
    <w:p w:rsidR="006D25A5" w:rsidRDefault="006D25A5" w:rsidP="00BA64E2">
      <w:pPr>
        <w:jc w:val="both"/>
      </w:pPr>
    </w:p>
    <w:p w:rsidR="006D25A5" w:rsidRDefault="006D25A5" w:rsidP="00BA64E2">
      <w:pPr>
        <w:jc w:val="both"/>
      </w:pPr>
    </w:p>
    <w:p w:rsidR="006D25A5" w:rsidRDefault="006D25A5" w:rsidP="00BA64E2">
      <w:pPr>
        <w:jc w:val="both"/>
      </w:pPr>
    </w:p>
    <w:p w:rsidR="006D25A5" w:rsidRDefault="006D25A5" w:rsidP="00BA64E2">
      <w:pPr>
        <w:jc w:val="both"/>
      </w:pPr>
    </w:p>
    <w:p w:rsidR="006D25A5" w:rsidRDefault="006D25A5" w:rsidP="00BA64E2">
      <w:pPr>
        <w:jc w:val="both"/>
      </w:pPr>
    </w:p>
    <w:p w:rsidR="006D25A5" w:rsidRDefault="006D25A5" w:rsidP="00BA64E2">
      <w:pPr>
        <w:jc w:val="both"/>
      </w:pPr>
    </w:p>
    <w:p w:rsidR="006D25A5" w:rsidRDefault="006D25A5" w:rsidP="00BA64E2">
      <w:pPr>
        <w:jc w:val="both"/>
      </w:pPr>
    </w:p>
    <w:p w:rsidR="006D25A5" w:rsidRDefault="006D25A5" w:rsidP="00BA64E2">
      <w:pPr>
        <w:jc w:val="both"/>
      </w:pPr>
    </w:p>
    <w:p w:rsidR="006D25A5" w:rsidRDefault="006D25A5" w:rsidP="00BA64E2">
      <w:pPr>
        <w:jc w:val="both"/>
      </w:pPr>
    </w:p>
    <w:p w:rsidR="006D25A5" w:rsidRDefault="006D25A5" w:rsidP="00BA64E2">
      <w:pPr>
        <w:jc w:val="both"/>
      </w:pPr>
    </w:p>
    <w:p w:rsidR="006D25A5" w:rsidRDefault="006D25A5" w:rsidP="00BA64E2">
      <w:pPr>
        <w:jc w:val="both"/>
      </w:pPr>
    </w:p>
    <w:p w:rsidR="006D25A5" w:rsidRDefault="006D25A5" w:rsidP="00BA64E2">
      <w:pPr>
        <w:jc w:val="both"/>
      </w:pPr>
    </w:p>
    <w:p w:rsidR="006D25A5" w:rsidRDefault="006D25A5" w:rsidP="00BA64E2">
      <w:pPr>
        <w:jc w:val="both"/>
      </w:pPr>
    </w:p>
    <w:p w:rsidR="006D25A5" w:rsidRDefault="006D25A5" w:rsidP="00BA64E2">
      <w:pPr>
        <w:jc w:val="both"/>
      </w:pPr>
    </w:p>
    <w:p w:rsidR="006D25A5" w:rsidRDefault="006D25A5" w:rsidP="00BA64E2">
      <w:pPr>
        <w:jc w:val="both"/>
      </w:pPr>
    </w:p>
    <w:p w:rsidR="006D25A5" w:rsidRDefault="006D25A5" w:rsidP="00BA64E2">
      <w:pPr>
        <w:jc w:val="both"/>
      </w:pPr>
    </w:p>
    <w:p w:rsidR="006D25A5" w:rsidRDefault="006D25A5" w:rsidP="00BA64E2">
      <w:pPr>
        <w:jc w:val="both"/>
      </w:pPr>
    </w:p>
    <w:p w:rsidR="006D25A5" w:rsidRDefault="006D25A5" w:rsidP="00BA64E2">
      <w:pPr>
        <w:jc w:val="both"/>
      </w:pPr>
    </w:p>
    <w:p w:rsidR="006D25A5" w:rsidRDefault="006D25A5" w:rsidP="00BA64E2">
      <w:pPr>
        <w:jc w:val="both"/>
      </w:pPr>
    </w:p>
    <w:p w:rsidR="006D25A5" w:rsidRDefault="006D25A5" w:rsidP="00BA64E2">
      <w:pPr>
        <w:jc w:val="both"/>
      </w:pPr>
    </w:p>
    <w:p w:rsidR="006D25A5" w:rsidRDefault="006D25A5" w:rsidP="00BA64E2">
      <w:pPr>
        <w:jc w:val="both"/>
      </w:pPr>
    </w:p>
    <w:p w:rsidR="006D25A5" w:rsidRDefault="006D25A5" w:rsidP="00BA64E2">
      <w:pPr>
        <w:jc w:val="both"/>
      </w:pPr>
    </w:p>
    <w:p w:rsidR="006D25A5" w:rsidRDefault="006D25A5" w:rsidP="00BA64E2">
      <w:pPr>
        <w:jc w:val="both"/>
      </w:pPr>
    </w:p>
    <w:p w:rsidR="006D25A5" w:rsidRDefault="006D25A5" w:rsidP="00BA64E2">
      <w:pPr>
        <w:jc w:val="both"/>
      </w:pPr>
    </w:p>
    <w:p w:rsidR="006D25A5" w:rsidRDefault="006D25A5" w:rsidP="00BA64E2">
      <w:pPr>
        <w:jc w:val="both"/>
      </w:pPr>
    </w:p>
    <w:p w:rsidR="006D25A5" w:rsidRDefault="006D25A5" w:rsidP="00BA64E2">
      <w:pPr>
        <w:jc w:val="both"/>
      </w:pPr>
    </w:p>
    <w:p w:rsidR="006D25A5" w:rsidRDefault="006D25A5" w:rsidP="00BA64E2">
      <w:pPr>
        <w:jc w:val="both"/>
        <w:rPr>
          <w:sz w:val="20"/>
        </w:rPr>
      </w:pPr>
      <w:r>
        <w:rPr>
          <w:sz w:val="20"/>
        </w:rPr>
        <w:t>2012.10.19. 11:37</w:t>
      </w:r>
    </w:p>
    <w:p w:rsidR="006D25A5" w:rsidRDefault="006D25A5" w:rsidP="00BA64E2">
      <w:pPr>
        <w:jc w:val="both"/>
        <w:rPr>
          <w:sz w:val="20"/>
          <w:szCs w:val="20"/>
        </w:rPr>
      </w:pPr>
      <w:fldSimple w:instr=" NUMWORDS   \* MERGEFORMAT ">
        <w:r>
          <w:rPr>
            <w:noProof/>
            <w:sz w:val="20"/>
            <w:szCs w:val="20"/>
          </w:rPr>
          <w:t>1628</w:t>
        </w:r>
      </w:fldSimple>
    </w:p>
    <w:p w:rsidR="00634A4E" w:rsidRPr="00A82DF7" w:rsidRDefault="00634A4E" w:rsidP="00BA64E2">
      <w:pPr>
        <w:jc w:val="both"/>
        <w:rPr>
          <w:sz w:val="20"/>
        </w:rPr>
      </w:pPr>
      <w:r w:rsidRPr="00A82DF7">
        <w:rPr>
          <w:sz w:val="20"/>
        </w:rPr>
        <w:t>S.Rubene</w:t>
      </w:r>
    </w:p>
    <w:p w:rsidR="00634A4E" w:rsidRPr="00A82DF7" w:rsidRDefault="00634A4E" w:rsidP="00032504">
      <w:pPr>
        <w:jc w:val="both"/>
      </w:pPr>
      <w:r w:rsidRPr="00A82DF7">
        <w:rPr>
          <w:sz w:val="20"/>
        </w:rPr>
        <w:t>67027064, Sigita.Rubene@zm.gov.lv</w:t>
      </w:r>
    </w:p>
    <w:sectPr w:rsidR="00634A4E" w:rsidRPr="00A82DF7" w:rsidSect="006D25A5">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CB2" w:rsidRDefault="003C0CB2">
      <w:r>
        <w:separator/>
      </w:r>
    </w:p>
  </w:endnote>
  <w:endnote w:type="continuationSeparator" w:id="0">
    <w:p w:rsidR="003C0CB2" w:rsidRDefault="003C0C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80000000" w:usb2="00000008" w:usb3="00000000" w:csb0="000001FF" w:csb1="00000000"/>
  </w:font>
  <w:font w:name="Comic Sans MS">
    <w:panose1 w:val="030F0702030302020204"/>
    <w:charset w:val="BA"/>
    <w:family w:val="script"/>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A4E" w:rsidRPr="005143E9" w:rsidRDefault="00634A4E" w:rsidP="007B2519">
    <w:pPr>
      <w:pStyle w:val="Pamatteksts2"/>
      <w:jc w:val="both"/>
      <w:rPr>
        <w:b/>
        <w:sz w:val="20"/>
        <w:szCs w:val="20"/>
      </w:rPr>
    </w:pPr>
    <w:r w:rsidRPr="00163F7B">
      <w:rPr>
        <w:sz w:val="20"/>
        <w:szCs w:val="20"/>
      </w:rPr>
      <w:t>ZMNot_</w:t>
    </w:r>
    <w:r>
      <w:rPr>
        <w:sz w:val="20"/>
        <w:szCs w:val="20"/>
      </w:rPr>
      <w:t>1810</w:t>
    </w:r>
    <w:r w:rsidRPr="00163F7B">
      <w:rPr>
        <w:sz w:val="20"/>
        <w:szCs w:val="20"/>
      </w:rPr>
      <w:t>12_salmonelapkar; Ministru kabineta noteikumu projekts „Grozījumi Ministru kabineta 2011.gada 21.jūnija noteikumos Nr.477 „Kārtība, kādā veic salmonelozes profilakses un apkarošanas pasākumus, vakcinējot vistas pret salmonelozi”</w:t>
    </w:r>
    <w:r>
      <w:rPr>
        <w:sz w:val="20"/>
        <w:szCs w:val="20"/>
      </w:rPr>
      <w:t xml:space="preserve"> </w:t>
    </w:r>
    <w:r w:rsidRPr="00A94122">
      <w:rPr>
        <w:sz w:val="20"/>
        <w:szCs w:val="20"/>
      </w:rPr>
      <w:t>anotācija</w:t>
    </w:r>
    <w:r>
      <w:rPr>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A4E" w:rsidRPr="005143E9" w:rsidRDefault="00634A4E" w:rsidP="00BA64E2">
    <w:pPr>
      <w:pStyle w:val="Pamatteksts2"/>
      <w:jc w:val="both"/>
      <w:rPr>
        <w:b/>
        <w:sz w:val="20"/>
        <w:szCs w:val="20"/>
      </w:rPr>
    </w:pPr>
    <w:r w:rsidRPr="00163F7B">
      <w:rPr>
        <w:sz w:val="20"/>
        <w:szCs w:val="20"/>
      </w:rPr>
      <w:t>ZMNot_</w:t>
    </w:r>
    <w:r>
      <w:rPr>
        <w:sz w:val="20"/>
        <w:szCs w:val="20"/>
      </w:rPr>
      <w:t>1810</w:t>
    </w:r>
    <w:r w:rsidRPr="00163F7B">
      <w:rPr>
        <w:sz w:val="20"/>
        <w:szCs w:val="20"/>
      </w:rPr>
      <w:t>12_salmonelapkar; Ministru kabineta noteikumu projekts „Grozījumi Ministru kabineta 2011.gada 21.jūnija noteikumos Nr.477 „Kārtība, kādā veic salmonelozes profilakses un apkarošanas pasākumus, vakcinējot vistas pret salmonelozi”</w:t>
    </w:r>
    <w:r>
      <w:rPr>
        <w:sz w:val="20"/>
        <w:szCs w:val="20"/>
      </w:rPr>
      <w:t xml:space="preserve"> </w:t>
    </w:r>
    <w:r w:rsidRPr="00A94122">
      <w:rPr>
        <w:sz w:val="20"/>
        <w:szCs w:val="20"/>
      </w:rPr>
      <w:t>anotācija</w:t>
    </w:r>
    <w:r>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CB2" w:rsidRDefault="003C0CB2">
      <w:r>
        <w:separator/>
      </w:r>
    </w:p>
  </w:footnote>
  <w:footnote w:type="continuationSeparator" w:id="0">
    <w:p w:rsidR="003C0CB2" w:rsidRDefault="003C0C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A4E" w:rsidRDefault="00205AA2" w:rsidP="003C449B">
    <w:pPr>
      <w:pStyle w:val="Galvene"/>
      <w:framePr w:wrap="around" w:vAnchor="text" w:hAnchor="margin" w:xAlign="center" w:y="1"/>
      <w:rPr>
        <w:rStyle w:val="Lappusesnumurs"/>
      </w:rPr>
    </w:pPr>
    <w:r>
      <w:rPr>
        <w:rStyle w:val="Lappusesnumurs"/>
      </w:rPr>
      <w:fldChar w:fldCharType="begin"/>
    </w:r>
    <w:r w:rsidR="00634A4E">
      <w:rPr>
        <w:rStyle w:val="Lappusesnumurs"/>
      </w:rPr>
      <w:instrText xml:space="preserve">PAGE  </w:instrText>
    </w:r>
    <w:r>
      <w:rPr>
        <w:rStyle w:val="Lappusesnumurs"/>
      </w:rPr>
      <w:fldChar w:fldCharType="end"/>
    </w:r>
  </w:p>
  <w:p w:rsidR="00634A4E" w:rsidRDefault="00634A4E">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A4E" w:rsidRDefault="00205AA2" w:rsidP="003C449B">
    <w:pPr>
      <w:pStyle w:val="Galvene"/>
      <w:framePr w:wrap="around" w:vAnchor="text" w:hAnchor="margin" w:xAlign="center" w:y="1"/>
      <w:rPr>
        <w:rStyle w:val="Lappusesnumurs"/>
      </w:rPr>
    </w:pPr>
    <w:r>
      <w:rPr>
        <w:rStyle w:val="Lappusesnumurs"/>
      </w:rPr>
      <w:fldChar w:fldCharType="begin"/>
    </w:r>
    <w:r w:rsidR="00634A4E">
      <w:rPr>
        <w:rStyle w:val="Lappusesnumurs"/>
      </w:rPr>
      <w:instrText xml:space="preserve">PAGE  </w:instrText>
    </w:r>
    <w:r>
      <w:rPr>
        <w:rStyle w:val="Lappusesnumurs"/>
      </w:rPr>
      <w:fldChar w:fldCharType="separate"/>
    </w:r>
    <w:r w:rsidR="006D25A5">
      <w:rPr>
        <w:rStyle w:val="Lappusesnumurs"/>
        <w:noProof/>
      </w:rPr>
      <w:t>7</w:t>
    </w:r>
    <w:r>
      <w:rPr>
        <w:rStyle w:val="Lappusesnumurs"/>
      </w:rPr>
      <w:fldChar w:fldCharType="end"/>
    </w:r>
  </w:p>
  <w:p w:rsidR="00634A4E" w:rsidRDefault="00634A4E">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2627"/>
    <w:multiLevelType w:val="hybridMultilevel"/>
    <w:tmpl w:val="D7485FA4"/>
    <w:lvl w:ilvl="0" w:tplc="ECD07C4C">
      <w:start w:val="2"/>
      <w:numFmt w:val="bullet"/>
      <w:lvlText w:val="–"/>
      <w:lvlJc w:val="left"/>
      <w:pPr>
        <w:tabs>
          <w:tab w:val="num" w:pos="810"/>
        </w:tabs>
        <w:ind w:left="810" w:hanging="45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5084C8E"/>
    <w:multiLevelType w:val="multilevel"/>
    <w:tmpl w:val="3DA67706"/>
    <w:lvl w:ilvl="0">
      <w:start w:val="1"/>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
    <w:nsid w:val="34084B45"/>
    <w:multiLevelType w:val="hybridMultilevel"/>
    <w:tmpl w:val="4FCE184C"/>
    <w:lvl w:ilvl="0" w:tplc="C276D116">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3DD42DD3"/>
    <w:multiLevelType w:val="hybridMultilevel"/>
    <w:tmpl w:val="40CEAC6A"/>
    <w:lvl w:ilvl="0" w:tplc="84C271A4">
      <w:start w:val="1"/>
      <w:numFmt w:val="decimal"/>
      <w:lvlText w:val="%1)"/>
      <w:lvlJc w:val="left"/>
      <w:pPr>
        <w:tabs>
          <w:tab w:val="num" w:pos="720"/>
        </w:tabs>
        <w:ind w:left="720" w:hanging="360"/>
      </w:pPr>
      <w:rPr>
        <w:rFonts w:cs="Times New Roman"/>
        <w:color w:val="auto"/>
      </w:rPr>
    </w:lvl>
    <w:lvl w:ilvl="1" w:tplc="CC321E5A">
      <w:start w:val="1"/>
      <w:numFmt w:val="decimal"/>
      <w:lvlText w:val="%2)"/>
      <w:lvlJc w:val="left"/>
      <w:pPr>
        <w:tabs>
          <w:tab w:val="num" w:pos="1440"/>
        </w:tabs>
        <w:ind w:left="1440" w:hanging="360"/>
      </w:pPr>
      <w:rPr>
        <w:rFonts w:cs="Times New Roman"/>
        <w:color w:val="auto"/>
      </w:rPr>
    </w:lvl>
    <w:lvl w:ilvl="2" w:tplc="0DCE11FA">
      <w:numFmt w:val="bullet"/>
      <w:lvlText w:val="-"/>
      <w:lvlJc w:val="left"/>
      <w:pPr>
        <w:tabs>
          <w:tab w:val="num" w:pos="2340"/>
        </w:tabs>
        <w:ind w:left="2340" w:hanging="360"/>
      </w:pPr>
      <w:rPr>
        <w:rFonts w:ascii="Times New Roman" w:eastAsia="Times New Roman" w:hAnsi="Times New Roman" w:hint="default"/>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nsid w:val="4E4D291F"/>
    <w:multiLevelType w:val="hybridMultilevel"/>
    <w:tmpl w:val="EA823BF4"/>
    <w:lvl w:ilvl="0" w:tplc="086EAD04">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6DA2D73"/>
    <w:multiLevelType w:val="hybridMultilevel"/>
    <w:tmpl w:val="7E04E5B4"/>
    <w:lvl w:ilvl="0" w:tplc="A13861F6">
      <w:start w:val="1"/>
      <w:numFmt w:val="decimal"/>
      <w:lvlText w:val="%1)"/>
      <w:lvlJc w:val="left"/>
      <w:pPr>
        <w:tabs>
          <w:tab w:val="num" w:pos="1080"/>
        </w:tabs>
        <w:ind w:left="1080" w:hanging="360"/>
      </w:pPr>
      <w:rPr>
        <w:rFonts w:cs="Times New Roman" w:hint="default"/>
        <w:color w:val="auto"/>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5">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7">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BF0216E"/>
    <w:multiLevelType w:val="hybridMultilevel"/>
    <w:tmpl w:val="62D4C8F4"/>
    <w:lvl w:ilvl="0" w:tplc="2C88AB8A">
      <w:start w:val="1"/>
      <w:numFmt w:val="decimal"/>
      <w:lvlText w:val="%1)"/>
      <w:lvlJc w:val="left"/>
      <w:pPr>
        <w:tabs>
          <w:tab w:val="num" w:pos="360"/>
        </w:tabs>
        <w:ind w:left="360" w:hanging="360"/>
      </w:pPr>
      <w:rPr>
        <w:rFonts w:eastAsia="Times New Roman" w:cs="Times New Roman" w:hint="default"/>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17"/>
  </w:num>
  <w:num w:numId="3">
    <w:abstractNumId w:val="4"/>
  </w:num>
  <w:num w:numId="4">
    <w:abstractNumId w:val="2"/>
  </w:num>
  <w:num w:numId="5">
    <w:abstractNumId w:val="1"/>
  </w:num>
  <w:num w:numId="6">
    <w:abstractNumId w:val="13"/>
  </w:num>
  <w:num w:numId="7">
    <w:abstractNumId w:val="18"/>
  </w:num>
  <w:num w:numId="8">
    <w:abstractNumId w:val="9"/>
  </w:num>
  <w:num w:numId="9">
    <w:abstractNumId w:val="3"/>
  </w:num>
  <w:num w:numId="10">
    <w:abstractNumId w:val="10"/>
  </w:num>
  <w:num w:numId="11">
    <w:abstractNumId w:val="11"/>
  </w:num>
  <w:num w:numId="12">
    <w:abstractNumId w:val="15"/>
  </w:num>
  <w:num w:numId="13">
    <w:abstractNumId w:val="16"/>
  </w:num>
  <w:num w:numId="14">
    <w:abstractNumId w:val="7"/>
  </w:num>
  <w:num w:numId="15">
    <w:abstractNumId w:val="0"/>
  </w:num>
  <w:num w:numId="16">
    <w:abstractNumId w:val="14"/>
  </w:num>
  <w:num w:numId="17">
    <w:abstractNumId w:val="12"/>
  </w:num>
  <w:num w:numId="18">
    <w:abstractNumId w:val="19"/>
  </w:num>
  <w:num w:numId="19">
    <w:abstractNumId w:val="5"/>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5649"/>
    <w:rsid w:val="00000508"/>
    <w:rsid w:val="00010492"/>
    <w:rsid w:val="00011D24"/>
    <w:rsid w:val="00011ED5"/>
    <w:rsid w:val="00013BEC"/>
    <w:rsid w:val="00013FF4"/>
    <w:rsid w:val="00016842"/>
    <w:rsid w:val="000169DA"/>
    <w:rsid w:val="00020FE1"/>
    <w:rsid w:val="00022E13"/>
    <w:rsid w:val="00032388"/>
    <w:rsid w:val="00032504"/>
    <w:rsid w:val="00035CE2"/>
    <w:rsid w:val="00052111"/>
    <w:rsid w:val="0005553B"/>
    <w:rsid w:val="0006005F"/>
    <w:rsid w:val="000604D2"/>
    <w:rsid w:val="00065654"/>
    <w:rsid w:val="00076400"/>
    <w:rsid w:val="00076405"/>
    <w:rsid w:val="0009005E"/>
    <w:rsid w:val="000941C5"/>
    <w:rsid w:val="000A6451"/>
    <w:rsid w:val="000B064E"/>
    <w:rsid w:val="000B69CF"/>
    <w:rsid w:val="000C280B"/>
    <w:rsid w:val="000C790C"/>
    <w:rsid w:val="000D0527"/>
    <w:rsid w:val="000E331E"/>
    <w:rsid w:val="000E3676"/>
    <w:rsid w:val="000E4B14"/>
    <w:rsid w:val="000E50C4"/>
    <w:rsid w:val="000E632F"/>
    <w:rsid w:val="000F061D"/>
    <w:rsid w:val="000F4794"/>
    <w:rsid w:val="0010109C"/>
    <w:rsid w:val="00104BAF"/>
    <w:rsid w:val="00110D5D"/>
    <w:rsid w:val="001159D9"/>
    <w:rsid w:val="001249B3"/>
    <w:rsid w:val="00124F12"/>
    <w:rsid w:val="001367F0"/>
    <w:rsid w:val="00143E84"/>
    <w:rsid w:val="00144E3A"/>
    <w:rsid w:val="0015060C"/>
    <w:rsid w:val="001514B0"/>
    <w:rsid w:val="001547DB"/>
    <w:rsid w:val="00156BA3"/>
    <w:rsid w:val="001573C2"/>
    <w:rsid w:val="0016018A"/>
    <w:rsid w:val="00161F0E"/>
    <w:rsid w:val="00163F7B"/>
    <w:rsid w:val="00170E2A"/>
    <w:rsid w:val="00173B48"/>
    <w:rsid w:val="00175E4E"/>
    <w:rsid w:val="00177394"/>
    <w:rsid w:val="00182C18"/>
    <w:rsid w:val="00183CC2"/>
    <w:rsid w:val="00185322"/>
    <w:rsid w:val="001900E4"/>
    <w:rsid w:val="00190F88"/>
    <w:rsid w:val="001929EC"/>
    <w:rsid w:val="001A4066"/>
    <w:rsid w:val="001A6AE4"/>
    <w:rsid w:val="001B01FD"/>
    <w:rsid w:val="001B4A71"/>
    <w:rsid w:val="001D5B54"/>
    <w:rsid w:val="001E0157"/>
    <w:rsid w:val="001E03EB"/>
    <w:rsid w:val="001E1CFD"/>
    <w:rsid w:val="001E1DBF"/>
    <w:rsid w:val="001E4639"/>
    <w:rsid w:val="001E4A7D"/>
    <w:rsid w:val="001F43A8"/>
    <w:rsid w:val="001F5CD6"/>
    <w:rsid w:val="001F75F0"/>
    <w:rsid w:val="002027E5"/>
    <w:rsid w:val="00205AA2"/>
    <w:rsid w:val="0021263D"/>
    <w:rsid w:val="00213F0C"/>
    <w:rsid w:val="00214094"/>
    <w:rsid w:val="0021592D"/>
    <w:rsid w:val="00222D76"/>
    <w:rsid w:val="00223EB1"/>
    <w:rsid w:val="00227822"/>
    <w:rsid w:val="00231344"/>
    <w:rsid w:val="0023436E"/>
    <w:rsid w:val="002347C0"/>
    <w:rsid w:val="00234A31"/>
    <w:rsid w:val="00241A6C"/>
    <w:rsid w:val="00242D2B"/>
    <w:rsid w:val="00247DB0"/>
    <w:rsid w:val="00250629"/>
    <w:rsid w:val="00255853"/>
    <w:rsid w:val="00262E2B"/>
    <w:rsid w:val="00270429"/>
    <w:rsid w:val="002722A0"/>
    <w:rsid w:val="002723E9"/>
    <w:rsid w:val="00273BCB"/>
    <w:rsid w:val="00277929"/>
    <w:rsid w:val="00283B82"/>
    <w:rsid w:val="002846E9"/>
    <w:rsid w:val="00284C34"/>
    <w:rsid w:val="002872DD"/>
    <w:rsid w:val="0029066C"/>
    <w:rsid w:val="00293441"/>
    <w:rsid w:val="002A170F"/>
    <w:rsid w:val="002A571A"/>
    <w:rsid w:val="002B50DB"/>
    <w:rsid w:val="002C12AB"/>
    <w:rsid w:val="002C6730"/>
    <w:rsid w:val="002C7CAC"/>
    <w:rsid w:val="002D3306"/>
    <w:rsid w:val="002D35B6"/>
    <w:rsid w:val="002D48AA"/>
    <w:rsid w:val="002D6B78"/>
    <w:rsid w:val="002D7BAA"/>
    <w:rsid w:val="002D7F54"/>
    <w:rsid w:val="002E34E2"/>
    <w:rsid w:val="002E3FF4"/>
    <w:rsid w:val="002E6AAD"/>
    <w:rsid w:val="002F3456"/>
    <w:rsid w:val="002F78C8"/>
    <w:rsid w:val="00301CF3"/>
    <w:rsid w:val="00304F22"/>
    <w:rsid w:val="003161D2"/>
    <w:rsid w:val="003241DC"/>
    <w:rsid w:val="003270C9"/>
    <w:rsid w:val="0032715C"/>
    <w:rsid w:val="003360DA"/>
    <w:rsid w:val="00337CA5"/>
    <w:rsid w:val="00341EBE"/>
    <w:rsid w:val="00344D6D"/>
    <w:rsid w:val="00362478"/>
    <w:rsid w:val="00363AEA"/>
    <w:rsid w:val="00367E8E"/>
    <w:rsid w:val="00371BF5"/>
    <w:rsid w:val="00372E70"/>
    <w:rsid w:val="00375B25"/>
    <w:rsid w:val="003851AF"/>
    <w:rsid w:val="00387E6B"/>
    <w:rsid w:val="00395EEB"/>
    <w:rsid w:val="00396542"/>
    <w:rsid w:val="0039685B"/>
    <w:rsid w:val="003A142F"/>
    <w:rsid w:val="003A31A6"/>
    <w:rsid w:val="003A6C32"/>
    <w:rsid w:val="003A7F0C"/>
    <w:rsid w:val="003A7F79"/>
    <w:rsid w:val="003B6404"/>
    <w:rsid w:val="003C0CB2"/>
    <w:rsid w:val="003C449B"/>
    <w:rsid w:val="003C7CBD"/>
    <w:rsid w:val="003D21FF"/>
    <w:rsid w:val="003D595B"/>
    <w:rsid w:val="003E2B87"/>
    <w:rsid w:val="003E407C"/>
    <w:rsid w:val="003E5985"/>
    <w:rsid w:val="003F0112"/>
    <w:rsid w:val="003F0372"/>
    <w:rsid w:val="003F071A"/>
    <w:rsid w:val="003F160B"/>
    <w:rsid w:val="003F49EE"/>
    <w:rsid w:val="003F6146"/>
    <w:rsid w:val="003F7666"/>
    <w:rsid w:val="00400032"/>
    <w:rsid w:val="00400B5B"/>
    <w:rsid w:val="00405A00"/>
    <w:rsid w:val="00405E55"/>
    <w:rsid w:val="00420870"/>
    <w:rsid w:val="00425D85"/>
    <w:rsid w:val="0043791B"/>
    <w:rsid w:val="00441483"/>
    <w:rsid w:val="00441BCB"/>
    <w:rsid w:val="0044634D"/>
    <w:rsid w:val="0045176A"/>
    <w:rsid w:val="004559FA"/>
    <w:rsid w:val="00456332"/>
    <w:rsid w:val="00457661"/>
    <w:rsid w:val="00457EFD"/>
    <w:rsid w:val="00461826"/>
    <w:rsid w:val="0046700F"/>
    <w:rsid w:val="004724D1"/>
    <w:rsid w:val="00477D29"/>
    <w:rsid w:val="004800F9"/>
    <w:rsid w:val="00487C51"/>
    <w:rsid w:val="0049134A"/>
    <w:rsid w:val="004A58CB"/>
    <w:rsid w:val="004A62AD"/>
    <w:rsid w:val="004B1795"/>
    <w:rsid w:val="004B56DD"/>
    <w:rsid w:val="004B7447"/>
    <w:rsid w:val="004C020F"/>
    <w:rsid w:val="004C1AFD"/>
    <w:rsid w:val="004C1C18"/>
    <w:rsid w:val="004C558B"/>
    <w:rsid w:val="004D0277"/>
    <w:rsid w:val="004D0C07"/>
    <w:rsid w:val="004E1199"/>
    <w:rsid w:val="004F1F88"/>
    <w:rsid w:val="004F2D82"/>
    <w:rsid w:val="004F37A5"/>
    <w:rsid w:val="004F5F1B"/>
    <w:rsid w:val="004F6260"/>
    <w:rsid w:val="00502374"/>
    <w:rsid w:val="005060A1"/>
    <w:rsid w:val="005071ED"/>
    <w:rsid w:val="0050778C"/>
    <w:rsid w:val="005143E9"/>
    <w:rsid w:val="00516072"/>
    <w:rsid w:val="005200D1"/>
    <w:rsid w:val="00521E25"/>
    <w:rsid w:val="005332EC"/>
    <w:rsid w:val="00534418"/>
    <w:rsid w:val="005353AB"/>
    <w:rsid w:val="00540612"/>
    <w:rsid w:val="00541069"/>
    <w:rsid w:val="00545862"/>
    <w:rsid w:val="005560BC"/>
    <w:rsid w:val="0055639A"/>
    <w:rsid w:val="00556DC0"/>
    <w:rsid w:val="005573BE"/>
    <w:rsid w:val="00572700"/>
    <w:rsid w:val="00573020"/>
    <w:rsid w:val="005750E5"/>
    <w:rsid w:val="00580468"/>
    <w:rsid w:val="00582231"/>
    <w:rsid w:val="0058603B"/>
    <w:rsid w:val="00591F07"/>
    <w:rsid w:val="0059431B"/>
    <w:rsid w:val="005955EC"/>
    <w:rsid w:val="005A39CC"/>
    <w:rsid w:val="005A5D4B"/>
    <w:rsid w:val="005A602A"/>
    <w:rsid w:val="005B17CA"/>
    <w:rsid w:val="005B4730"/>
    <w:rsid w:val="005B4E4B"/>
    <w:rsid w:val="005C1B2F"/>
    <w:rsid w:val="005C2A8B"/>
    <w:rsid w:val="005C47A6"/>
    <w:rsid w:val="005D213B"/>
    <w:rsid w:val="005D4C52"/>
    <w:rsid w:val="005D7CE1"/>
    <w:rsid w:val="005E05D7"/>
    <w:rsid w:val="005E41E7"/>
    <w:rsid w:val="005E450F"/>
    <w:rsid w:val="005F53E8"/>
    <w:rsid w:val="005F62F9"/>
    <w:rsid w:val="005F7EDE"/>
    <w:rsid w:val="006040BB"/>
    <w:rsid w:val="00612B4E"/>
    <w:rsid w:val="006151ED"/>
    <w:rsid w:val="0061787B"/>
    <w:rsid w:val="00621997"/>
    <w:rsid w:val="0062298A"/>
    <w:rsid w:val="00623D3B"/>
    <w:rsid w:val="00623F77"/>
    <w:rsid w:val="00626514"/>
    <w:rsid w:val="00626589"/>
    <w:rsid w:val="006339A0"/>
    <w:rsid w:val="00634A4E"/>
    <w:rsid w:val="006377E5"/>
    <w:rsid w:val="00640BB8"/>
    <w:rsid w:val="006413A8"/>
    <w:rsid w:val="00642183"/>
    <w:rsid w:val="00642E56"/>
    <w:rsid w:val="00651E00"/>
    <w:rsid w:val="00661BA9"/>
    <w:rsid w:val="006635F1"/>
    <w:rsid w:val="00664232"/>
    <w:rsid w:val="00665C48"/>
    <w:rsid w:val="006664AC"/>
    <w:rsid w:val="006671F3"/>
    <w:rsid w:val="00674572"/>
    <w:rsid w:val="00686470"/>
    <w:rsid w:val="00687763"/>
    <w:rsid w:val="00692B0D"/>
    <w:rsid w:val="00693E0E"/>
    <w:rsid w:val="00694957"/>
    <w:rsid w:val="006A1AE3"/>
    <w:rsid w:val="006B0E7E"/>
    <w:rsid w:val="006B23D8"/>
    <w:rsid w:val="006C30E1"/>
    <w:rsid w:val="006C4607"/>
    <w:rsid w:val="006D25A5"/>
    <w:rsid w:val="006D48F1"/>
    <w:rsid w:val="006E17E0"/>
    <w:rsid w:val="006E2E1B"/>
    <w:rsid w:val="006F45BE"/>
    <w:rsid w:val="006F45CE"/>
    <w:rsid w:val="006F6C2E"/>
    <w:rsid w:val="007004FC"/>
    <w:rsid w:val="007046A5"/>
    <w:rsid w:val="007059A2"/>
    <w:rsid w:val="0070621B"/>
    <w:rsid w:val="00706670"/>
    <w:rsid w:val="00711F59"/>
    <w:rsid w:val="00713B8B"/>
    <w:rsid w:val="0071461D"/>
    <w:rsid w:val="00714BD6"/>
    <w:rsid w:val="00717313"/>
    <w:rsid w:val="0072417C"/>
    <w:rsid w:val="0073040C"/>
    <w:rsid w:val="0073283A"/>
    <w:rsid w:val="00734450"/>
    <w:rsid w:val="00743C7D"/>
    <w:rsid w:val="00745F67"/>
    <w:rsid w:val="0075039E"/>
    <w:rsid w:val="00752D9D"/>
    <w:rsid w:val="00754784"/>
    <w:rsid w:val="00757C6E"/>
    <w:rsid w:val="00760CBD"/>
    <w:rsid w:val="00762BDA"/>
    <w:rsid w:val="007805FD"/>
    <w:rsid w:val="00780BE0"/>
    <w:rsid w:val="00784422"/>
    <w:rsid w:val="00785E91"/>
    <w:rsid w:val="00793A6A"/>
    <w:rsid w:val="0079672D"/>
    <w:rsid w:val="007A2BB6"/>
    <w:rsid w:val="007A40B2"/>
    <w:rsid w:val="007B2519"/>
    <w:rsid w:val="007B3B54"/>
    <w:rsid w:val="007B3FA0"/>
    <w:rsid w:val="007C0F2C"/>
    <w:rsid w:val="007C25B6"/>
    <w:rsid w:val="007C2BCC"/>
    <w:rsid w:val="007C2D14"/>
    <w:rsid w:val="007C4589"/>
    <w:rsid w:val="007C4EF0"/>
    <w:rsid w:val="007C5890"/>
    <w:rsid w:val="007C739D"/>
    <w:rsid w:val="007D099D"/>
    <w:rsid w:val="007E2664"/>
    <w:rsid w:val="007E3ABF"/>
    <w:rsid w:val="007E3C7D"/>
    <w:rsid w:val="007E5BFA"/>
    <w:rsid w:val="007E6689"/>
    <w:rsid w:val="007E6FCF"/>
    <w:rsid w:val="007E731C"/>
    <w:rsid w:val="007F0A03"/>
    <w:rsid w:val="007F2DEA"/>
    <w:rsid w:val="008026FA"/>
    <w:rsid w:val="008042DB"/>
    <w:rsid w:val="00807880"/>
    <w:rsid w:val="00810040"/>
    <w:rsid w:val="00810165"/>
    <w:rsid w:val="00811345"/>
    <w:rsid w:val="00811C76"/>
    <w:rsid w:val="00812B80"/>
    <w:rsid w:val="0082023A"/>
    <w:rsid w:val="00821A7A"/>
    <w:rsid w:val="00822F45"/>
    <w:rsid w:val="00823BFE"/>
    <w:rsid w:val="008253F8"/>
    <w:rsid w:val="008264E8"/>
    <w:rsid w:val="008300D3"/>
    <w:rsid w:val="00831E2C"/>
    <w:rsid w:val="008325E4"/>
    <w:rsid w:val="00832A2B"/>
    <w:rsid w:val="00834BAD"/>
    <w:rsid w:val="00845811"/>
    <w:rsid w:val="00846994"/>
    <w:rsid w:val="00850451"/>
    <w:rsid w:val="00851D3F"/>
    <w:rsid w:val="00852042"/>
    <w:rsid w:val="008534C9"/>
    <w:rsid w:val="00854687"/>
    <w:rsid w:val="0085599D"/>
    <w:rsid w:val="008628D5"/>
    <w:rsid w:val="0087179B"/>
    <w:rsid w:val="00873994"/>
    <w:rsid w:val="0087510C"/>
    <w:rsid w:val="00893316"/>
    <w:rsid w:val="008968D2"/>
    <w:rsid w:val="00896EDD"/>
    <w:rsid w:val="0089738E"/>
    <w:rsid w:val="008A3893"/>
    <w:rsid w:val="008A3AE1"/>
    <w:rsid w:val="008B00C9"/>
    <w:rsid w:val="008B5FDB"/>
    <w:rsid w:val="008C39F4"/>
    <w:rsid w:val="008C50F4"/>
    <w:rsid w:val="008C5649"/>
    <w:rsid w:val="008E0629"/>
    <w:rsid w:val="008E12B9"/>
    <w:rsid w:val="008E44A2"/>
    <w:rsid w:val="008E697D"/>
    <w:rsid w:val="008F50A1"/>
    <w:rsid w:val="00903263"/>
    <w:rsid w:val="00905AD3"/>
    <w:rsid w:val="009068B2"/>
    <w:rsid w:val="00906A21"/>
    <w:rsid w:val="009079C3"/>
    <w:rsid w:val="00910462"/>
    <w:rsid w:val="00915AB1"/>
    <w:rsid w:val="00917532"/>
    <w:rsid w:val="009235BA"/>
    <w:rsid w:val="00924023"/>
    <w:rsid w:val="00924CE2"/>
    <w:rsid w:val="00925B9F"/>
    <w:rsid w:val="00927667"/>
    <w:rsid w:val="00931AED"/>
    <w:rsid w:val="00935C02"/>
    <w:rsid w:val="009363CA"/>
    <w:rsid w:val="009415F6"/>
    <w:rsid w:val="009476A3"/>
    <w:rsid w:val="009519C5"/>
    <w:rsid w:val="0095334F"/>
    <w:rsid w:val="00955BBC"/>
    <w:rsid w:val="00965897"/>
    <w:rsid w:val="0096765C"/>
    <w:rsid w:val="0097131F"/>
    <w:rsid w:val="009727E4"/>
    <w:rsid w:val="00976704"/>
    <w:rsid w:val="00980D5C"/>
    <w:rsid w:val="00980EEA"/>
    <w:rsid w:val="00985C8F"/>
    <w:rsid w:val="009934C5"/>
    <w:rsid w:val="00994804"/>
    <w:rsid w:val="00994C0F"/>
    <w:rsid w:val="009A2996"/>
    <w:rsid w:val="009A3307"/>
    <w:rsid w:val="009A7AD8"/>
    <w:rsid w:val="009B22D7"/>
    <w:rsid w:val="009B72ED"/>
    <w:rsid w:val="009C6AE5"/>
    <w:rsid w:val="009C6DEB"/>
    <w:rsid w:val="009D5A0E"/>
    <w:rsid w:val="009D6504"/>
    <w:rsid w:val="009D6725"/>
    <w:rsid w:val="009E12D7"/>
    <w:rsid w:val="009E661A"/>
    <w:rsid w:val="00A00DE6"/>
    <w:rsid w:val="00A03F66"/>
    <w:rsid w:val="00A06781"/>
    <w:rsid w:val="00A074C3"/>
    <w:rsid w:val="00A1509C"/>
    <w:rsid w:val="00A16996"/>
    <w:rsid w:val="00A17411"/>
    <w:rsid w:val="00A258CA"/>
    <w:rsid w:val="00A30162"/>
    <w:rsid w:val="00A32D0D"/>
    <w:rsid w:val="00A3312F"/>
    <w:rsid w:val="00A34260"/>
    <w:rsid w:val="00A42724"/>
    <w:rsid w:val="00A60D9D"/>
    <w:rsid w:val="00A64A48"/>
    <w:rsid w:val="00A70CFD"/>
    <w:rsid w:val="00A70D36"/>
    <w:rsid w:val="00A7171F"/>
    <w:rsid w:val="00A72A0B"/>
    <w:rsid w:val="00A7404D"/>
    <w:rsid w:val="00A81E42"/>
    <w:rsid w:val="00A82DF7"/>
    <w:rsid w:val="00A864FE"/>
    <w:rsid w:val="00A86787"/>
    <w:rsid w:val="00A86F41"/>
    <w:rsid w:val="00A87D04"/>
    <w:rsid w:val="00A94122"/>
    <w:rsid w:val="00A950C5"/>
    <w:rsid w:val="00A96E87"/>
    <w:rsid w:val="00AA1D25"/>
    <w:rsid w:val="00AB2B1A"/>
    <w:rsid w:val="00AB397F"/>
    <w:rsid w:val="00AB5832"/>
    <w:rsid w:val="00AB680D"/>
    <w:rsid w:val="00AC4EA3"/>
    <w:rsid w:val="00AC51F2"/>
    <w:rsid w:val="00AD29BE"/>
    <w:rsid w:val="00AD2DCE"/>
    <w:rsid w:val="00AD6476"/>
    <w:rsid w:val="00AE4DDA"/>
    <w:rsid w:val="00AE5066"/>
    <w:rsid w:val="00AE5E24"/>
    <w:rsid w:val="00AE61B7"/>
    <w:rsid w:val="00AE6CBA"/>
    <w:rsid w:val="00AE79AD"/>
    <w:rsid w:val="00AF35E4"/>
    <w:rsid w:val="00AF5CDE"/>
    <w:rsid w:val="00B03EEE"/>
    <w:rsid w:val="00B11A57"/>
    <w:rsid w:val="00B1780E"/>
    <w:rsid w:val="00B211C3"/>
    <w:rsid w:val="00B2328C"/>
    <w:rsid w:val="00B24C51"/>
    <w:rsid w:val="00B25597"/>
    <w:rsid w:val="00B25972"/>
    <w:rsid w:val="00B267B9"/>
    <w:rsid w:val="00B33E09"/>
    <w:rsid w:val="00B34786"/>
    <w:rsid w:val="00B34BB2"/>
    <w:rsid w:val="00B471C1"/>
    <w:rsid w:val="00B47413"/>
    <w:rsid w:val="00B5012C"/>
    <w:rsid w:val="00B50708"/>
    <w:rsid w:val="00B50C68"/>
    <w:rsid w:val="00B51293"/>
    <w:rsid w:val="00B52B1E"/>
    <w:rsid w:val="00B53C29"/>
    <w:rsid w:val="00B55481"/>
    <w:rsid w:val="00B56C32"/>
    <w:rsid w:val="00B57ACF"/>
    <w:rsid w:val="00B64BB1"/>
    <w:rsid w:val="00B73166"/>
    <w:rsid w:val="00B7663A"/>
    <w:rsid w:val="00B81777"/>
    <w:rsid w:val="00B83C7C"/>
    <w:rsid w:val="00B8426C"/>
    <w:rsid w:val="00B91B8D"/>
    <w:rsid w:val="00B94059"/>
    <w:rsid w:val="00B94E90"/>
    <w:rsid w:val="00BA13E1"/>
    <w:rsid w:val="00BA2C5F"/>
    <w:rsid w:val="00BA56F0"/>
    <w:rsid w:val="00BA64E2"/>
    <w:rsid w:val="00BB0A82"/>
    <w:rsid w:val="00BB1A98"/>
    <w:rsid w:val="00BB7C94"/>
    <w:rsid w:val="00BC0A9D"/>
    <w:rsid w:val="00BC277F"/>
    <w:rsid w:val="00BD61C9"/>
    <w:rsid w:val="00BE2B17"/>
    <w:rsid w:val="00BE52D5"/>
    <w:rsid w:val="00BF40ED"/>
    <w:rsid w:val="00BF5BC2"/>
    <w:rsid w:val="00C042F8"/>
    <w:rsid w:val="00C05BFF"/>
    <w:rsid w:val="00C0609F"/>
    <w:rsid w:val="00C1133D"/>
    <w:rsid w:val="00C11715"/>
    <w:rsid w:val="00C127DE"/>
    <w:rsid w:val="00C12FAE"/>
    <w:rsid w:val="00C142EE"/>
    <w:rsid w:val="00C14827"/>
    <w:rsid w:val="00C23969"/>
    <w:rsid w:val="00C27A08"/>
    <w:rsid w:val="00C31312"/>
    <w:rsid w:val="00C31E36"/>
    <w:rsid w:val="00C326C6"/>
    <w:rsid w:val="00C35295"/>
    <w:rsid w:val="00C36ADD"/>
    <w:rsid w:val="00C36E74"/>
    <w:rsid w:val="00C40595"/>
    <w:rsid w:val="00C41621"/>
    <w:rsid w:val="00C446BD"/>
    <w:rsid w:val="00C449FA"/>
    <w:rsid w:val="00C45186"/>
    <w:rsid w:val="00C5384F"/>
    <w:rsid w:val="00C53876"/>
    <w:rsid w:val="00C54A67"/>
    <w:rsid w:val="00C550D6"/>
    <w:rsid w:val="00C56964"/>
    <w:rsid w:val="00C63AE8"/>
    <w:rsid w:val="00C640DB"/>
    <w:rsid w:val="00C656D5"/>
    <w:rsid w:val="00C67103"/>
    <w:rsid w:val="00C713ED"/>
    <w:rsid w:val="00C71BB9"/>
    <w:rsid w:val="00C71DAC"/>
    <w:rsid w:val="00C746F1"/>
    <w:rsid w:val="00C75142"/>
    <w:rsid w:val="00C86DDE"/>
    <w:rsid w:val="00C879AB"/>
    <w:rsid w:val="00C94C28"/>
    <w:rsid w:val="00C958CB"/>
    <w:rsid w:val="00CA0EFD"/>
    <w:rsid w:val="00CB0247"/>
    <w:rsid w:val="00CB3440"/>
    <w:rsid w:val="00CC1692"/>
    <w:rsid w:val="00CD138B"/>
    <w:rsid w:val="00CD3E31"/>
    <w:rsid w:val="00CD3F20"/>
    <w:rsid w:val="00CD74A3"/>
    <w:rsid w:val="00CE0527"/>
    <w:rsid w:val="00CE5B23"/>
    <w:rsid w:val="00CF70AD"/>
    <w:rsid w:val="00CF7729"/>
    <w:rsid w:val="00D00059"/>
    <w:rsid w:val="00D07A11"/>
    <w:rsid w:val="00D107FA"/>
    <w:rsid w:val="00D11F63"/>
    <w:rsid w:val="00D12275"/>
    <w:rsid w:val="00D12766"/>
    <w:rsid w:val="00D20FF4"/>
    <w:rsid w:val="00D2238D"/>
    <w:rsid w:val="00D228B5"/>
    <w:rsid w:val="00D24D2C"/>
    <w:rsid w:val="00D25AFF"/>
    <w:rsid w:val="00D35881"/>
    <w:rsid w:val="00D359A4"/>
    <w:rsid w:val="00D362D1"/>
    <w:rsid w:val="00D47368"/>
    <w:rsid w:val="00D55133"/>
    <w:rsid w:val="00D66194"/>
    <w:rsid w:val="00D7323D"/>
    <w:rsid w:val="00D816F5"/>
    <w:rsid w:val="00D95A1B"/>
    <w:rsid w:val="00D95B66"/>
    <w:rsid w:val="00D960C0"/>
    <w:rsid w:val="00DA31D0"/>
    <w:rsid w:val="00DA7667"/>
    <w:rsid w:val="00DA7DA5"/>
    <w:rsid w:val="00DB073B"/>
    <w:rsid w:val="00DB7829"/>
    <w:rsid w:val="00DB78F0"/>
    <w:rsid w:val="00DC2E43"/>
    <w:rsid w:val="00DC637A"/>
    <w:rsid w:val="00DD095C"/>
    <w:rsid w:val="00DD1020"/>
    <w:rsid w:val="00DD1330"/>
    <w:rsid w:val="00DD204C"/>
    <w:rsid w:val="00DE0B83"/>
    <w:rsid w:val="00DE1A81"/>
    <w:rsid w:val="00DE1C13"/>
    <w:rsid w:val="00DE4E10"/>
    <w:rsid w:val="00E02ABF"/>
    <w:rsid w:val="00E06572"/>
    <w:rsid w:val="00E10B09"/>
    <w:rsid w:val="00E11183"/>
    <w:rsid w:val="00E114E4"/>
    <w:rsid w:val="00E12AEF"/>
    <w:rsid w:val="00E14995"/>
    <w:rsid w:val="00E179CD"/>
    <w:rsid w:val="00E2248E"/>
    <w:rsid w:val="00E23E8D"/>
    <w:rsid w:val="00E24B69"/>
    <w:rsid w:val="00E374BE"/>
    <w:rsid w:val="00E37F98"/>
    <w:rsid w:val="00E409EC"/>
    <w:rsid w:val="00E450EA"/>
    <w:rsid w:val="00E453E2"/>
    <w:rsid w:val="00E46559"/>
    <w:rsid w:val="00E46CA5"/>
    <w:rsid w:val="00E47815"/>
    <w:rsid w:val="00E53843"/>
    <w:rsid w:val="00E53A36"/>
    <w:rsid w:val="00E55167"/>
    <w:rsid w:val="00E55595"/>
    <w:rsid w:val="00E62AA9"/>
    <w:rsid w:val="00E6670C"/>
    <w:rsid w:val="00E670A5"/>
    <w:rsid w:val="00E7345D"/>
    <w:rsid w:val="00E74C52"/>
    <w:rsid w:val="00E776E8"/>
    <w:rsid w:val="00E92C1F"/>
    <w:rsid w:val="00E95D4B"/>
    <w:rsid w:val="00E975E8"/>
    <w:rsid w:val="00EA3D10"/>
    <w:rsid w:val="00EA5573"/>
    <w:rsid w:val="00EA5BDE"/>
    <w:rsid w:val="00EA65E7"/>
    <w:rsid w:val="00EB199F"/>
    <w:rsid w:val="00EB1A32"/>
    <w:rsid w:val="00EB33C6"/>
    <w:rsid w:val="00EC23F7"/>
    <w:rsid w:val="00EC4BD8"/>
    <w:rsid w:val="00EC63EB"/>
    <w:rsid w:val="00ED412F"/>
    <w:rsid w:val="00EE3062"/>
    <w:rsid w:val="00EF36B2"/>
    <w:rsid w:val="00F00535"/>
    <w:rsid w:val="00F00922"/>
    <w:rsid w:val="00F01316"/>
    <w:rsid w:val="00F06D06"/>
    <w:rsid w:val="00F1246B"/>
    <w:rsid w:val="00F1666A"/>
    <w:rsid w:val="00F201EC"/>
    <w:rsid w:val="00F208A9"/>
    <w:rsid w:val="00F24B91"/>
    <w:rsid w:val="00F41D75"/>
    <w:rsid w:val="00F45E06"/>
    <w:rsid w:val="00F5139D"/>
    <w:rsid w:val="00F52833"/>
    <w:rsid w:val="00F60CFC"/>
    <w:rsid w:val="00F62FEC"/>
    <w:rsid w:val="00F63DAC"/>
    <w:rsid w:val="00F65357"/>
    <w:rsid w:val="00F66C33"/>
    <w:rsid w:val="00F714D0"/>
    <w:rsid w:val="00F71E0F"/>
    <w:rsid w:val="00F7454F"/>
    <w:rsid w:val="00F76577"/>
    <w:rsid w:val="00F7699C"/>
    <w:rsid w:val="00F77988"/>
    <w:rsid w:val="00F77F48"/>
    <w:rsid w:val="00F80396"/>
    <w:rsid w:val="00F82FCF"/>
    <w:rsid w:val="00F84AA4"/>
    <w:rsid w:val="00F87214"/>
    <w:rsid w:val="00F940F1"/>
    <w:rsid w:val="00F95152"/>
    <w:rsid w:val="00FA49DF"/>
    <w:rsid w:val="00FB30F1"/>
    <w:rsid w:val="00FB53E7"/>
    <w:rsid w:val="00FB7D9B"/>
    <w:rsid w:val="00FC6BDB"/>
    <w:rsid w:val="00FD2A8A"/>
    <w:rsid w:val="00FE53D6"/>
    <w:rsid w:val="00FE7D07"/>
    <w:rsid w:val="00FF1008"/>
    <w:rsid w:val="00FF4234"/>
    <w:rsid w:val="00FF669D"/>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urn:schemas-microsoft-com:office:smarttags" w:name="PersonName"/>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8C5649"/>
    <w:pPr>
      <w:tabs>
        <w:tab w:val="center" w:pos="4153"/>
        <w:tab w:val="right" w:pos="8306"/>
      </w:tabs>
    </w:pPr>
  </w:style>
  <w:style w:type="character" w:customStyle="1" w:styleId="GalveneRakstz">
    <w:name w:val="Galvene Rakstz."/>
    <w:basedOn w:val="Noklusjumarindkopasfonts"/>
    <w:link w:val="Galvene"/>
    <w:uiPriority w:val="99"/>
    <w:semiHidden/>
    <w:locked/>
    <w:rsid w:val="00065654"/>
    <w:rPr>
      <w:sz w:val="24"/>
    </w:rPr>
  </w:style>
  <w:style w:type="character" w:styleId="Lappusesnumurs">
    <w:name w:val="page number"/>
    <w:basedOn w:val="Noklusjumarindkopasfonts"/>
    <w:uiPriority w:val="99"/>
    <w:rsid w:val="008C5649"/>
    <w:rPr>
      <w:rFonts w:cs="Times New Roman"/>
    </w:rPr>
  </w:style>
  <w:style w:type="paragraph" w:customStyle="1" w:styleId="naisf">
    <w:name w:val="naisf"/>
    <w:basedOn w:val="Parastais"/>
    <w:uiPriority w:val="99"/>
    <w:rsid w:val="008C5649"/>
    <w:pPr>
      <w:spacing w:before="75" w:after="75"/>
      <w:ind w:firstLine="375"/>
      <w:jc w:val="both"/>
    </w:pPr>
  </w:style>
  <w:style w:type="paragraph" w:customStyle="1" w:styleId="naisnod">
    <w:name w:val="naisnod"/>
    <w:basedOn w:val="Parastais"/>
    <w:uiPriority w:val="99"/>
    <w:rsid w:val="008C5649"/>
    <w:pPr>
      <w:spacing w:before="150" w:after="150"/>
      <w:jc w:val="center"/>
    </w:pPr>
    <w:rPr>
      <w:b/>
      <w:bCs/>
    </w:rPr>
  </w:style>
  <w:style w:type="paragraph" w:customStyle="1" w:styleId="naislab">
    <w:name w:val="naislab"/>
    <w:basedOn w:val="Parastais"/>
    <w:uiPriority w:val="99"/>
    <w:rsid w:val="008C5649"/>
    <w:pPr>
      <w:spacing w:before="75" w:after="75"/>
      <w:jc w:val="right"/>
    </w:pPr>
  </w:style>
  <w:style w:type="paragraph" w:customStyle="1" w:styleId="naiskr">
    <w:name w:val="naiskr"/>
    <w:basedOn w:val="Parastais"/>
    <w:uiPriority w:val="99"/>
    <w:rsid w:val="008C5649"/>
    <w:pPr>
      <w:spacing w:before="75" w:after="75"/>
    </w:pPr>
  </w:style>
  <w:style w:type="paragraph" w:customStyle="1" w:styleId="naisc">
    <w:name w:val="naisc"/>
    <w:basedOn w:val="Parastais"/>
    <w:uiPriority w:val="99"/>
    <w:rsid w:val="008C5649"/>
    <w:pPr>
      <w:spacing w:before="75" w:after="75"/>
      <w:jc w:val="center"/>
    </w:pPr>
  </w:style>
  <w:style w:type="character" w:customStyle="1" w:styleId="th1">
    <w:name w:val="th1"/>
    <w:uiPriority w:val="99"/>
    <w:rsid w:val="008C5649"/>
    <w:rPr>
      <w:b/>
      <w:color w:val="333333"/>
    </w:rPr>
  </w:style>
  <w:style w:type="character" w:styleId="Komentraatsauce">
    <w:name w:val="annotation reference"/>
    <w:basedOn w:val="Noklusjumarindkopasfonts"/>
    <w:uiPriority w:val="99"/>
    <w:semiHidden/>
    <w:rsid w:val="008C5649"/>
    <w:rPr>
      <w:rFonts w:cs="Times New Roman"/>
      <w:sz w:val="16"/>
    </w:rPr>
  </w:style>
  <w:style w:type="paragraph" w:styleId="Komentrateksts">
    <w:name w:val="annotation text"/>
    <w:basedOn w:val="Parastais"/>
    <w:link w:val="KomentratekstsRakstz"/>
    <w:uiPriority w:val="99"/>
    <w:semiHidden/>
    <w:rsid w:val="008C5649"/>
    <w:rPr>
      <w:sz w:val="20"/>
      <w:szCs w:val="20"/>
    </w:rPr>
  </w:style>
  <w:style w:type="character" w:customStyle="1" w:styleId="KomentratekstsRakstz">
    <w:name w:val="Komentāra teksts Rakstz."/>
    <w:basedOn w:val="Noklusjumarindkopasfonts"/>
    <w:link w:val="Komentrateksts"/>
    <w:uiPriority w:val="99"/>
    <w:semiHidden/>
    <w:locked/>
    <w:rsid w:val="008C5649"/>
    <w:rPr>
      <w:lang w:val="lv-LV" w:eastAsia="lv-LV"/>
    </w:rPr>
  </w:style>
  <w:style w:type="paragraph" w:styleId="Balonteksts">
    <w:name w:val="Balloon Text"/>
    <w:basedOn w:val="Parastais"/>
    <w:link w:val="BalontekstsRakstz"/>
    <w:uiPriority w:val="99"/>
    <w:semiHidden/>
    <w:rsid w:val="008C5649"/>
    <w:rPr>
      <w:sz w:val="2"/>
      <w:szCs w:val="20"/>
    </w:rPr>
  </w:style>
  <w:style w:type="character" w:customStyle="1" w:styleId="BalontekstsRakstz">
    <w:name w:val="Balonteksts Rakstz."/>
    <w:basedOn w:val="Noklusjumarindkopasfonts"/>
    <w:link w:val="Balonteksts"/>
    <w:uiPriority w:val="99"/>
    <w:semiHidden/>
    <w:locked/>
    <w:rsid w:val="00065654"/>
    <w:rPr>
      <w:sz w:val="2"/>
    </w:rPr>
  </w:style>
  <w:style w:type="table" w:styleId="Reatabula">
    <w:name w:val="Table Grid"/>
    <w:basedOn w:val="Parastatabula"/>
    <w:uiPriority w:val="9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link w:val="VrestekstsRakstz"/>
    <w:uiPriority w:val="99"/>
    <w:semiHidden/>
    <w:rsid w:val="008C5649"/>
    <w:rPr>
      <w:sz w:val="20"/>
      <w:szCs w:val="20"/>
    </w:rPr>
  </w:style>
  <w:style w:type="character" w:customStyle="1" w:styleId="VrestekstsRakstz">
    <w:name w:val="Vēres teksts Rakstz."/>
    <w:basedOn w:val="Noklusjumarindkopasfonts"/>
    <w:link w:val="Vresteksts"/>
    <w:uiPriority w:val="99"/>
    <w:semiHidden/>
    <w:locked/>
    <w:rsid w:val="00065654"/>
    <w:rPr>
      <w:sz w:val="20"/>
    </w:rPr>
  </w:style>
  <w:style w:type="character" w:styleId="Vresatsauce">
    <w:name w:val="footnote reference"/>
    <w:basedOn w:val="Noklusjumarindkopasfonts"/>
    <w:uiPriority w:val="99"/>
    <w:semiHidden/>
    <w:rsid w:val="008C5649"/>
    <w:rPr>
      <w:rFonts w:cs="Times New Roman"/>
      <w:vertAlign w:val="superscript"/>
    </w:rPr>
  </w:style>
  <w:style w:type="paragraph" w:styleId="Komentratma">
    <w:name w:val="annotation subject"/>
    <w:basedOn w:val="Komentrateksts"/>
    <w:next w:val="Komentrateksts"/>
    <w:link w:val="KomentratmaRakstz"/>
    <w:uiPriority w:val="99"/>
    <w:semiHidden/>
    <w:rsid w:val="00262E2B"/>
    <w:rPr>
      <w:b/>
      <w:bCs/>
    </w:rPr>
  </w:style>
  <w:style w:type="character" w:customStyle="1" w:styleId="KomentratmaRakstz">
    <w:name w:val="Komentāra tēma Rakstz."/>
    <w:basedOn w:val="KomentratekstsRakstz"/>
    <w:link w:val="Komentratma"/>
    <w:uiPriority w:val="99"/>
    <w:semiHidden/>
    <w:locked/>
    <w:rsid w:val="00065654"/>
    <w:rPr>
      <w:b/>
      <w:sz w:val="20"/>
    </w:rPr>
  </w:style>
  <w:style w:type="paragraph" w:styleId="Kjene">
    <w:name w:val="footer"/>
    <w:basedOn w:val="Parastais"/>
    <w:link w:val="KjeneRakstz"/>
    <w:uiPriority w:val="99"/>
    <w:rsid w:val="00262E2B"/>
    <w:pPr>
      <w:tabs>
        <w:tab w:val="center" w:pos="4153"/>
        <w:tab w:val="right" w:pos="8306"/>
      </w:tabs>
    </w:pPr>
    <w:rPr>
      <w:szCs w:val="20"/>
    </w:rPr>
  </w:style>
  <w:style w:type="character" w:customStyle="1" w:styleId="KjeneRakstz">
    <w:name w:val="Kājene Rakstz."/>
    <w:basedOn w:val="Noklusjumarindkopasfonts"/>
    <w:link w:val="Kjene"/>
    <w:uiPriority w:val="99"/>
    <w:semiHidden/>
    <w:locked/>
    <w:rsid w:val="00231344"/>
    <w:rPr>
      <w:sz w:val="24"/>
      <w:lang w:val="lv-LV" w:eastAsia="lv-LV"/>
    </w:rPr>
  </w:style>
  <w:style w:type="character" w:styleId="Hipersaite">
    <w:name w:val="Hyperlink"/>
    <w:basedOn w:val="Noklusjumarindkopasfonts"/>
    <w:uiPriority w:val="99"/>
    <w:rsid w:val="007004FC"/>
    <w:rPr>
      <w:rFonts w:cs="Times New Roman"/>
      <w:color w:val="0000FF"/>
      <w:u w:val="single"/>
    </w:rPr>
  </w:style>
  <w:style w:type="paragraph" w:styleId="Dokumentakarte">
    <w:name w:val="Document Map"/>
    <w:basedOn w:val="Parastais"/>
    <w:link w:val="DokumentakarteRakstz"/>
    <w:uiPriority w:val="99"/>
    <w:semiHidden/>
    <w:rsid w:val="00846994"/>
    <w:pPr>
      <w:shd w:val="clear" w:color="auto" w:fill="000080"/>
    </w:pPr>
    <w:rPr>
      <w:sz w:val="2"/>
      <w:szCs w:val="20"/>
    </w:rPr>
  </w:style>
  <w:style w:type="character" w:customStyle="1" w:styleId="DokumentakarteRakstz">
    <w:name w:val="Dokumenta karte Rakstz."/>
    <w:basedOn w:val="Noklusjumarindkopasfonts"/>
    <w:link w:val="Dokumentakarte"/>
    <w:uiPriority w:val="99"/>
    <w:semiHidden/>
    <w:locked/>
    <w:rsid w:val="00065654"/>
    <w:rPr>
      <w:sz w:val="2"/>
    </w:rPr>
  </w:style>
  <w:style w:type="paragraph" w:styleId="Pamatteksts2">
    <w:name w:val="Body Text 2"/>
    <w:basedOn w:val="Parastais"/>
    <w:link w:val="Pamatteksts2Rakstz"/>
    <w:uiPriority w:val="99"/>
    <w:rsid w:val="00F76577"/>
    <w:pPr>
      <w:jc w:val="center"/>
    </w:pPr>
  </w:style>
  <w:style w:type="character" w:customStyle="1" w:styleId="Pamatteksts2Rakstz">
    <w:name w:val="Pamatteksts 2 Rakstz."/>
    <w:basedOn w:val="Noklusjumarindkopasfonts"/>
    <w:link w:val="Pamatteksts2"/>
    <w:uiPriority w:val="99"/>
    <w:semiHidden/>
    <w:locked/>
    <w:rsid w:val="00065654"/>
    <w:rPr>
      <w:sz w:val="24"/>
    </w:rPr>
  </w:style>
  <w:style w:type="paragraph" w:customStyle="1" w:styleId="Default">
    <w:name w:val="Default"/>
    <w:uiPriority w:val="99"/>
    <w:rsid w:val="00521E25"/>
    <w:pPr>
      <w:autoSpaceDE w:val="0"/>
      <w:autoSpaceDN w:val="0"/>
      <w:adjustRightInd w:val="0"/>
    </w:pPr>
    <w:rPr>
      <w:rFonts w:ascii="EUAlbertina" w:hAnsi="EUAlbertina" w:cs="EUAlbertina"/>
      <w:color w:val="000000"/>
      <w:sz w:val="24"/>
      <w:szCs w:val="24"/>
    </w:rPr>
  </w:style>
  <w:style w:type="paragraph" w:styleId="Pamattekstsaratkpi">
    <w:name w:val="Body Text Indent"/>
    <w:basedOn w:val="Parastais"/>
    <w:link w:val="PamattekstsaratkpiRakstz"/>
    <w:uiPriority w:val="99"/>
    <w:rsid w:val="00521E25"/>
    <w:pPr>
      <w:spacing w:after="120"/>
      <w:ind w:left="283"/>
    </w:pPr>
  </w:style>
  <w:style w:type="character" w:customStyle="1" w:styleId="PamattekstsaratkpiRakstz">
    <w:name w:val="Pamatteksts ar atkāpi Rakstz."/>
    <w:basedOn w:val="Noklusjumarindkopasfonts"/>
    <w:link w:val="Pamattekstsaratkpi"/>
    <w:uiPriority w:val="99"/>
    <w:semiHidden/>
    <w:locked/>
    <w:rsid w:val="00065654"/>
    <w:rPr>
      <w:sz w:val="24"/>
    </w:rPr>
  </w:style>
  <w:style w:type="paragraph" w:styleId="Pamatteksts">
    <w:name w:val="Body Text"/>
    <w:basedOn w:val="Parastais"/>
    <w:link w:val="PamattekstsRakstz"/>
    <w:uiPriority w:val="99"/>
    <w:rsid w:val="00BA13E1"/>
    <w:pPr>
      <w:spacing w:after="120"/>
    </w:pPr>
  </w:style>
  <w:style w:type="character" w:customStyle="1" w:styleId="PamattekstsRakstz">
    <w:name w:val="Pamatteksts Rakstz."/>
    <w:basedOn w:val="Noklusjumarindkopasfonts"/>
    <w:link w:val="Pamatteksts"/>
    <w:uiPriority w:val="99"/>
    <w:semiHidden/>
    <w:locked/>
    <w:rsid w:val="00065654"/>
    <w:rPr>
      <w:sz w:val="24"/>
    </w:rPr>
  </w:style>
  <w:style w:type="paragraph" w:customStyle="1" w:styleId="CharChar1">
    <w:name w:val="Char Char1"/>
    <w:basedOn w:val="Parastais"/>
    <w:uiPriority w:val="99"/>
    <w:rsid w:val="00FE53D6"/>
    <w:pPr>
      <w:spacing w:before="40"/>
    </w:pPr>
    <w:rPr>
      <w:lang w:val="pl-PL" w:eastAsia="pl-PL"/>
    </w:rPr>
  </w:style>
  <w:style w:type="paragraph" w:styleId="ParastaisWeb">
    <w:name w:val="Normal (Web)"/>
    <w:basedOn w:val="Parastais"/>
    <w:uiPriority w:val="99"/>
    <w:rsid w:val="00FE7D07"/>
    <w:pPr>
      <w:spacing w:before="100" w:beforeAutospacing="1" w:after="100" w:afterAutospacing="1"/>
    </w:pPr>
    <w:rPr>
      <w:rFonts w:ascii="Verdana" w:hAnsi="Verdana"/>
      <w:sz w:val="18"/>
      <w:szCs w:val="18"/>
    </w:rPr>
  </w:style>
  <w:style w:type="character" w:customStyle="1" w:styleId="epastastils17">
    <w:name w:val="epastastils17"/>
    <w:uiPriority w:val="99"/>
    <w:semiHidden/>
    <w:rsid w:val="002E6AAD"/>
    <w:rPr>
      <w:rFonts w:ascii="Arial" w:hAnsi="Arial"/>
      <w:color w:val="auto"/>
      <w:sz w:val="20"/>
    </w:rPr>
  </w:style>
  <w:style w:type="paragraph" w:customStyle="1" w:styleId="CM4">
    <w:name w:val="CM4"/>
    <w:basedOn w:val="Parastais"/>
    <w:next w:val="Parastais"/>
    <w:uiPriority w:val="99"/>
    <w:rsid w:val="007C739D"/>
    <w:pPr>
      <w:autoSpaceDE w:val="0"/>
      <w:autoSpaceDN w:val="0"/>
      <w:adjustRightInd w:val="0"/>
    </w:pPr>
  </w:style>
  <w:style w:type="character" w:customStyle="1" w:styleId="EmailStyle51">
    <w:name w:val="EmailStyle51"/>
    <w:uiPriority w:val="99"/>
    <w:semiHidden/>
    <w:rsid w:val="00623D3B"/>
    <w:rPr>
      <w:rFonts w:ascii="Comic Sans MS" w:hAnsi="Comic Sans MS"/>
      <w:color w:val="auto"/>
      <w:sz w:val="24"/>
      <w:u w:val="none"/>
    </w:rPr>
  </w:style>
  <w:style w:type="paragraph" w:customStyle="1" w:styleId="ListParagraph1">
    <w:name w:val="List Paragraph1"/>
    <w:basedOn w:val="Parastais"/>
    <w:uiPriority w:val="99"/>
    <w:rsid w:val="005D213B"/>
    <w:pPr>
      <w:ind w:left="720"/>
      <w:contextualSpacing/>
    </w:pPr>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1663</Words>
  <Characters>11345</Characters>
  <Application>Microsoft Office Word</Application>
  <DocSecurity>0</DocSecurity>
  <Lines>630</Lines>
  <Paragraphs>245</Paragraphs>
  <ScaleCrop>false</ScaleCrop>
  <Company>Valsts kanceleja, Politikas koordinācijas departaments</Company>
  <LinksUpToDate>false</LinksUpToDate>
  <CharactersWithSpaces>12763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projekts “Tiesību akta projekta sākotnējās ietekmes izvērtēšanas kārtība”</dc:title>
  <dc:subject>Instrukcijas pielikums</dc:subject>
  <dc:creator>Ieva Bloma</dc:creator>
  <cp:keywords/>
  <dc:description>67082972Ieva.Bloma@mk.gov.lv</dc:description>
  <cp:lastModifiedBy>Renārs Žagars</cp:lastModifiedBy>
  <cp:revision>7</cp:revision>
  <cp:lastPrinted>2012-10-05T09:31:00Z</cp:lastPrinted>
  <dcterms:created xsi:type="dcterms:W3CDTF">2012-10-18T09:11:00Z</dcterms:created>
  <dcterms:modified xsi:type="dcterms:W3CDTF">2012-10-19T08:38:00Z</dcterms:modified>
</cp:coreProperties>
</file>