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37" w:rsidRDefault="00C17E37" w:rsidP="00C17E37">
      <w:pPr>
        <w:jc w:val="center"/>
        <w:rPr>
          <w:b/>
          <w:sz w:val="28"/>
          <w:szCs w:val="28"/>
        </w:rPr>
      </w:pPr>
    </w:p>
    <w:p w:rsidR="003C36CF" w:rsidRPr="007D632D" w:rsidRDefault="003C36CF" w:rsidP="00C17E37">
      <w:pPr>
        <w:jc w:val="center"/>
        <w:rPr>
          <w:b/>
          <w:sz w:val="28"/>
          <w:szCs w:val="28"/>
        </w:rPr>
      </w:pPr>
      <w:r w:rsidRPr="007D632D">
        <w:rPr>
          <w:b/>
          <w:sz w:val="28"/>
          <w:szCs w:val="28"/>
        </w:rPr>
        <w:t xml:space="preserve">Ministru kabineta noteikumu projekta „Grozījumi Ministru kabineta 2011.gada 25.janvāra noteikumos Nr.74 „Kārtība, kādā tiek administrēti un uzraudzīti tirgus intervences pasākumi augkopības un lopkopības produktu tirgū”” sākotnējās ietekmes novērtējuma </w:t>
      </w:r>
      <w:smartTag w:uri="schemas-tilde-lv/tildestengine" w:element="veidnes">
        <w:smartTagPr>
          <w:attr w:name="text" w:val="ziņojums"/>
          <w:attr w:name="baseform" w:val="ziņojums"/>
          <w:attr w:name="id" w:val="-1"/>
        </w:smartTagPr>
        <w:r w:rsidRPr="007D632D">
          <w:rPr>
            <w:b/>
            <w:sz w:val="28"/>
            <w:szCs w:val="28"/>
          </w:rPr>
          <w:t>ziņojums</w:t>
        </w:r>
      </w:smartTag>
      <w:r w:rsidRPr="007D632D">
        <w:rPr>
          <w:b/>
          <w:sz w:val="28"/>
          <w:szCs w:val="28"/>
        </w:rPr>
        <w:t xml:space="preserve"> (anotācija)</w:t>
      </w:r>
    </w:p>
    <w:p w:rsidR="003C36CF" w:rsidRDefault="003C36CF" w:rsidP="00CA37D3">
      <w:pPr>
        <w:jc w:val="center"/>
        <w:rPr>
          <w:b/>
          <w:sz w:val="28"/>
          <w:szCs w:val="28"/>
        </w:rPr>
      </w:pPr>
    </w:p>
    <w:p w:rsidR="00C17E37" w:rsidRPr="007D632D" w:rsidRDefault="00C17E37" w:rsidP="00CA37D3">
      <w:pPr>
        <w:jc w:val="center"/>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8"/>
        <w:gridCol w:w="2989"/>
        <w:gridCol w:w="5670"/>
      </w:tblGrid>
      <w:tr w:rsidR="003C36CF" w:rsidRPr="00A8521C" w:rsidTr="005B5913">
        <w:tc>
          <w:tcPr>
            <w:tcW w:w="9077" w:type="dxa"/>
            <w:gridSpan w:val="3"/>
            <w:vAlign w:val="center"/>
          </w:tcPr>
          <w:p w:rsidR="003C36CF" w:rsidRPr="00A8521C" w:rsidRDefault="003C36CF" w:rsidP="006C4607">
            <w:pPr>
              <w:pStyle w:val="naisnod"/>
              <w:spacing w:before="0" w:after="0"/>
            </w:pPr>
            <w:r w:rsidRPr="00A8521C">
              <w:t>I. Tiesību akta projekta izstrādes nepieciešamība</w:t>
            </w:r>
          </w:p>
        </w:tc>
      </w:tr>
      <w:tr w:rsidR="003C36CF" w:rsidRPr="00A8521C" w:rsidTr="005B5913">
        <w:trPr>
          <w:trHeight w:val="630"/>
        </w:trPr>
        <w:tc>
          <w:tcPr>
            <w:tcW w:w="418" w:type="dxa"/>
          </w:tcPr>
          <w:p w:rsidR="003C36CF" w:rsidRPr="00A8521C" w:rsidRDefault="003C36CF" w:rsidP="006C4607">
            <w:pPr>
              <w:pStyle w:val="naiskr"/>
              <w:spacing w:before="0" w:after="0"/>
            </w:pPr>
            <w:r w:rsidRPr="00A8521C">
              <w:t>1.</w:t>
            </w:r>
          </w:p>
        </w:tc>
        <w:tc>
          <w:tcPr>
            <w:tcW w:w="2989" w:type="dxa"/>
          </w:tcPr>
          <w:p w:rsidR="003C36CF" w:rsidRPr="00A8521C" w:rsidRDefault="003C36CF" w:rsidP="006C4607">
            <w:pPr>
              <w:pStyle w:val="naiskr"/>
              <w:spacing w:before="0" w:after="0"/>
              <w:ind w:hanging="10"/>
            </w:pPr>
            <w:r w:rsidRPr="00A8521C">
              <w:t>Pamatojums</w:t>
            </w:r>
          </w:p>
        </w:tc>
        <w:tc>
          <w:tcPr>
            <w:tcW w:w="5670" w:type="dxa"/>
          </w:tcPr>
          <w:p w:rsidR="003C36CF" w:rsidRDefault="003C36CF" w:rsidP="00E75DC1">
            <w:pPr>
              <w:ind w:left="142" w:right="141"/>
              <w:jc w:val="both"/>
            </w:pPr>
            <w:proofErr w:type="spellStart"/>
            <w:r w:rsidRPr="00A8521C">
              <w:rPr>
                <w:i/>
                <w:iCs/>
              </w:rPr>
              <w:t>Euro</w:t>
            </w:r>
            <w:proofErr w:type="spellEnd"/>
            <w:r w:rsidRPr="00A8521C">
              <w:rPr>
                <w:i/>
                <w:iCs/>
              </w:rPr>
              <w:t xml:space="preserve"> </w:t>
            </w:r>
            <w:r w:rsidRPr="00A8521C">
              <w:t>ieviešanas kārtības likuma 30.panta pirmā daļa un Ministru kabineta 2012.gada 27.jūnija rīkojuma Nr.282 „Par „Koncepciju par normatīvo aktu sakārtošanu saistībā ar eiro ieviešanu Latvijā”” 7.1.apakšpunkts.</w:t>
            </w:r>
          </w:p>
          <w:p w:rsidR="003C36CF" w:rsidRPr="00E07AB3" w:rsidRDefault="003C36CF" w:rsidP="00E07AB3">
            <w:pPr>
              <w:ind w:left="142"/>
              <w:jc w:val="both"/>
              <w:rPr>
                <w:iCs/>
              </w:rPr>
            </w:pPr>
            <w:r w:rsidRPr="00E07AB3">
              <w:rPr>
                <w:iCs/>
              </w:rPr>
              <w:t>Lauksaimniecības un lauku attīstības likuma 6.panta otr</w:t>
            </w:r>
            <w:r>
              <w:rPr>
                <w:iCs/>
              </w:rPr>
              <w:t>ā daļa.</w:t>
            </w:r>
          </w:p>
        </w:tc>
      </w:tr>
      <w:tr w:rsidR="003C36CF" w:rsidRPr="00A8521C" w:rsidTr="005B5913">
        <w:trPr>
          <w:trHeight w:val="472"/>
        </w:trPr>
        <w:tc>
          <w:tcPr>
            <w:tcW w:w="418" w:type="dxa"/>
          </w:tcPr>
          <w:p w:rsidR="003C36CF" w:rsidRPr="00A8521C" w:rsidRDefault="003C36CF" w:rsidP="006C4607">
            <w:pPr>
              <w:pStyle w:val="naiskr"/>
              <w:spacing w:before="0" w:after="0"/>
            </w:pPr>
            <w:r w:rsidRPr="00A8521C">
              <w:t>2.</w:t>
            </w:r>
          </w:p>
        </w:tc>
        <w:tc>
          <w:tcPr>
            <w:tcW w:w="2989" w:type="dxa"/>
          </w:tcPr>
          <w:p w:rsidR="003C36CF" w:rsidRPr="00A8521C" w:rsidRDefault="003C36CF" w:rsidP="006C4607">
            <w:pPr>
              <w:pStyle w:val="naiskr"/>
              <w:tabs>
                <w:tab w:val="left" w:pos="170"/>
              </w:tabs>
              <w:spacing w:before="0" w:after="0"/>
            </w:pPr>
            <w:r w:rsidRPr="00A8521C">
              <w:t>Pašreizējā situācija un problēmas</w:t>
            </w:r>
          </w:p>
        </w:tc>
        <w:tc>
          <w:tcPr>
            <w:tcW w:w="5670" w:type="dxa"/>
          </w:tcPr>
          <w:p w:rsidR="003C36CF" w:rsidRDefault="003C36CF" w:rsidP="00A8521C">
            <w:pPr>
              <w:pStyle w:val="Default"/>
              <w:jc w:val="both"/>
              <w:rPr>
                <w:i/>
                <w:iCs/>
              </w:rPr>
            </w:pPr>
            <w:r w:rsidRPr="00A8521C">
              <w:t xml:space="preserve">Ņemot vērā, ka ar 2014.gada 1.janvāri Latvijā plānots ieviest </w:t>
            </w:r>
            <w:proofErr w:type="spellStart"/>
            <w:r w:rsidRPr="00A8521C">
              <w:rPr>
                <w:i/>
                <w:iCs/>
              </w:rPr>
              <w:t>euro</w:t>
            </w:r>
            <w:proofErr w:type="spellEnd"/>
            <w:r w:rsidRPr="00A8521C">
              <w:t xml:space="preserve">, ir nepieciešams veikt grozījumus </w:t>
            </w:r>
            <w:r>
              <w:rPr>
                <w:szCs w:val="28"/>
              </w:rPr>
              <w:t>Ministru kabineta 2011.gada 25.janvāra noteikumos Nr.74 „</w:t>
            </w:r>
            <w:r w:rsidRPr="00EE550E">
              <w:rPr>
                <w:color w:val="auto"/>
                <w:szCs w:val="28"/>
              </w:rPr>
              <w:t>Kārtība, kādā tiek administrēti un uzraudzīti tirgus intervences pasākumi augkopības un lopkopības produktu tirgū</w:t>
            </w:r>
            <w:r w:rsidRPr="00EE550E">
              <w:rPr>
                <w:szCs w:val="28"/>
              </w:rPr>
              <w:t>”</w:t>
            </w:r>
            <w:r>
              <w:rPr>
                <w:szCs w:val="28"/>
              </w:rPr>
              <w:t xml:space="preserve"> (turpmāk – noteikumi Nr.74) </w:t>
            </w:r>
            <w:r w:rsidRPr="00A8521C">
              <w:t>, aizstājot t</w:t>
            </w:r>
            <w:r>
              <w:t>o tekstā</w:t>
            </w:r>
            <w:r w:rsidRPr="00A8521C">
              <w:t xml:space="preserve"> latus ar </w:t>
            </w:r>
            <w:proofErr w:type="spellStart"/>
            <w:r w:rsidRPr="00A8521C">
              <w:rPr>
                <w:i/>
                <w:iCs/>
              </w:rPr>
              <w:t>euro</w:t>
            </w:r>
            <w:proofErr w:type="spellEnd"/>
            <w:r w:rsidRPr="00A8521C">
              <w:rPr>
                <w:i/>
                <w:iCs/>
              </w:rPr>
              <w:t>.</w:t>
            </w:r>
            <w:r>
              <w:rPr>
                <w:i/>
                <w:iCs/>
              </w:rPr>
              <w:t xml:space="preserve"> </w:t>
            </w:r>
          </w:p>
          <w:p w:rsidR="003C36CF" w:rsidRPr="00AA063A" w:rsidRDefault="003C36CF" w:rsidP="00AA063A">
            <w:pPr>
              <w:pStyle w:val="Default"/>
              <w:jc w:val="both"/>
            </w:pPr>
            <w:r>
              <w:rPr>
                <w:iCs/>
              </w:rPr>
              <w:t xml:space="preserve">Turklāt, pamatojoties uz </w:t>
            </w:r>
            <w:r>
              <w:t xml:space="preserve">Ministru kabineta 2012.gada 3.augusta rīkojumu Nr.369 „Grozījums Ministru kabineta 2009.gada 19.oktobra rīkojumā Nr.714 „Par Pārtikas un veterinārā dienesta un valsts aģentūras „Latvijas zivju resursu aģentūra” reorganizāciju un valsts zinātniskā institūta „Pārtikas drošības, dzīvnieku veselības un vides zinātniskais institūts” izveidi”, noteikumos Nr.74 ir jāprecizē Pārtikas drošības, dzīvnieku veselības un vides zinātniskā institūta nosaukums. </w:t>
            </w:r>
          </w:p>
        </w:tc>
      </w:tr>
      <w:tr w:rsidR="003C36CF" w:rsidRPr="00A8521C" w:rsidTr="005B5913">
        <w:trPr>
          <w:trHeight w:val="649"/>
        </w:trPr>
        <w:tc>
          <w:tcPr>
            <w:tcW w:w="418" w:type="dxa"/>
          </w:tcPr>
          <w:p w:rsidR="003C36CF" w:rsidRPr="00A8521C" w:rsidRDefault="003C36CF" w:rsidP="006C4607">
            <w:pPr>
              <w:pStyle w:val="naiskr"/>
              <w:spacing w:before="0" w:after="0"/>
            </w:pPr>
            <w:r w:rsidRPr="00A8521C">
              <w:t>3.</w:t>
            </w:r>
          </w:p>
        </w:tc>
        <w:tc>
          <w:tcPr>
            <w:tcW w:w="2989" w:type="dxa"/>
          </w:tcPr>
          <w:p w:rsidR="003C36CF" w:rsidRPr="00A8521C" w:rsidRDefault="003C36CF" w:rsidP="006C4607">
            <w:pPr>
              <w:pStyle w:val="naiskr"/>
              <w:spacing w:before="0" w:after="0"/>
            </w:pPr>
            <w:r w:rsidRPr="00A8521C">
              <w:t>Saistītie politikas ietekmes novērtējumi un pētījumi</w:t>
            </w:r>
          </w:p>
        </w:tc>
        <w:tc>
          <w:tcPr>
            <w:tcW w:w="5670" w:type="dxa"/>
          </w:tcPr>
          <w:p w:rsidR="003C36CF" w:rsidRPr="00A8521C" w:rsidRDefault="003C36CF" w:rsidP="00A72B83">
            <w:pPr>
              <w:pStyle w:val="Vresteksts"/>
              <w:ind w:firstLine="142"/>
              <w:rPr>
                <w:sz w:val="24"/>
                <w:szCs w:val="24"/>
              </w:rPr>
            </w:pPr>
            <w:r w:rsidRPr="00A8521C">
              <w:rPr>
                <w:sz w:val="24"/>
                <w:szCs w:val="24"/>
              </w:rPr>
              <w:t>Nav attiecināms.</w:t>
            </w:r>
          </w:p>
        </w:tc>
      </w:tr>
      <w:tr w:rsidR="003C36CF" w:rsidRPr="00A8521C" w:rsidTr="005B5913">
        <w:trPr>
          <w:trHeight w:val="384"/>
        </w:trPr>
        <w:tc>
          <w:tcPr>
            <w:tcW w:w="418" w:type="dxa"/>
          </w:tcPr>
          <w:p w:rsidR="003C36CF" w:rsidRPr="00A8521C" w:rsidRDefault="003C36CF" w:rsidP="006C4607">
            <w:pPr>
              <w:pStyle w:val="naiskr"/>
              <w:spacing w:before="0" w:after="0"/>
            </w:pPr>
            <w:r w:rsidRPr="00A8521C">
              <w:t>4.</w:t>
            </w:r>
          </w:p>
        </w:tc>
        <w:tc>
          <w:tcPr>
            <w:tcW w:w="2989" w:type="dxa"/>
          </w:tcPr>
          <w:p w:rsidR="003C36CF" w:rsidRPr="00A8521C" w:rsidRDefault="003C36CF" w:rsidP="006C4607">
            <w:pPr>
              <w:pStyle w:val="naiskr"/>
              <w:spacing w:before="0" w:after="0"/>
            </w:pPr>
            <w:r w:rsidRPr="00A8521C">
              <w:t>Tiesiskā regulējuma mērķis un būtība</w:t>
            </w:r>
          </w:p>
          <w:p w:rsidR="003C36CF" w:rsidRPr="00A8521C" w:rsidRDefault="003C36CF" w:rsidP="00124F58"/>
          <w:p w:rsidR="003C36CF" w:rsidRPr="00A8521C" w:rsidRDefault="003C36CF" w:rsidP="00124F58"/>
        </w:tc>
        <w:tc>
          <w:tcPr>
            <w:tcW w:w="5670" w:type="dxa"/>
          </w:tcPr>
          <w:p w:rsidR="003C36CF" w:rsidRPr="00A8521C" w:rsidRDefault="003C36CF" w:rsidP="00CA37D3">
            <w:pPr>
              <w:pStyle w:val="Default"/>
              <w:jc w:val="both"/>
              <w:rPr>
                <w:strike/>
              </w:rPr>
            </w:pPr>
            <w:r w:rsidRPr="00A8521C">
              <w:rPr>
                <w:bCs/>
              </w:rPr>
              <w:t xml:space="preserve">Šī projekta mērķis ir pielāgot </w:t>
            </w:r>
            <w:r>
              <w:rPr>
                <w:szCs w:val="28"/>
              </w:rPr>
              <w:t xml:space="preserve">noteikumus Nr.74 </w:t>
            </w:r>
            <w:proofErr w:type="spellStart"/>
            <w:r w:rsidRPr="00A8521C">
              <w:rPr>
                <w:i/>
                <w:iCs/>
              </w:rPr>
              <w:t>euro</w:t>
            </w:r>
            <w:proofErr w:type="spellEnd"/>
            <w:r w:rsidRPr="00A8521C">
              <w:rPr>
                <w:i/>
                <w:iCs/>
              </w:rPr>
              <w:t xml:space="preserve"> </w:t>
            </w:r>
            <w:r w:rsidRPr="00A8521C">
              <w:t xml:space="preserve">ieviešanai, </w:t>
            </w:r>
            <w:r>
              <w:t>aizstājot to tekstā</w:t>
            </w:r>
            <w:r w:rsidRPr="00A8521C">
              <w:t xml:space="preserve"> latus ar </w:t>
            </w:r>
            <w:proofErr w:type="spellStart"/>
            <w:r w:rsidRPr="00A8521C">
              <w:rPr>
                <w:i/>
                <w:iCs/>
              </w:rPr>
              <w:t>euro</w:t>
            </w:r>
            <w:proofErr w:type="spellEnd"/>
            <w:r w:rsidRPr="00A8521C">
              <w:rPr>
                <w:i/>
                <w:iCs/>
              </w:rPr>
              <w:t>.</w:t>
            </w:r>
          </w:p>
          <w:p w:rsidR="003C36CF" w:rsidRPr="00B54580" w:rsidRDefault="003C36CF" w:rsidP="00CA37D3">
            <w:pPr>
              <w:pStyle w:val="Default"/>
              <w:jc w:val="both"/>
              <w:rPr>
                <w:b/>
              </w:rPr>
            </w:pPr>
            <w:r>
              <w:t>P</w:t>
            </w:r>
            <w:r w:rsidRPr="00A8521C">
              <w:t xml:space="preserve">rojekts paredz aizstāt attiecīgajā normatīvajā aktā </w:t>
            </w:r>
            <w:r>
              <w:t>vārdu „lati”</w:t>
            </w:r>
            <w:r w:rsidRPr="00A8521C">
              <w:t xml:space="preserve"> ar vārdu „</w:t>
            </w:r>
            <w:proofErr w:type="spellStart"/>
            <w:r w:rsidRPr="00A8521C">
              <w:rPr>
                <w:i/>
                <w:iCs/>
              </w:rPr>
              <w:t>euro</w:t>
            </w:r>
            <w:proofErr w:type="spellEnd"/>
            <w:r w:rsidRPr="00A8521C">
              <w:rPr>
                <w:i/>
                <w:iCs/>
              </w:rPr>
              <w:t xml:space="preserve">” </w:t>
            </w:r>
            <w:r w:rsidRPr="00A8521C">
              <w:t xml:space="preserve">atbilstoši </w:t>
            </w:r>
            <w:proofErr w:type="spellStart"/>
            <w:r w:rsidRPr="00A8521C">
              <w:rPr>
                <w:i/>
                <w:iCs/>
              </w:rPr>
              <w:t>Euro</w:t>
            </w:r>
            <w:proofErr w:type="spellEnd"/>
            <w:r w:rsidRPr="00A8521C">
              <w:rPr>
                <w:i/>
                <w:iCs/>
              </w:rPr>
              <w:t xml:space="preserve"> </w:t>
            </w:r>
            <w:r w:rsidRPr="00A8521C">
              <w:t xml:space="preserve">ieviešanas kārtības likuma 6.pantā paredzētajiem principiem. </w:t>
            </w:r>
            <w:r w:rsidRPr="00B54580">
              <w:rPr>
                <w:b/>
              </w:rPr>
              <w:t xml:space="preserve">Proti, projekts paredz noteikumu Nr.74 15.punktā pārvērst </w:t>
            </w:r>
            <w:proofErr w:type="spellStart"/>
            <w:r w:rsidRPr="00B54580">
              <w:rPr>
                <w:b/>
                <w:i/>
              </w:rPr>
              <w:t>euro</w:t>
            </w:r>
            <w:proofErr w:type="spellEnd"/>
            <w:r w:rsidRPr="00B54580">
              <w:rPr>
                <w:b/>
              </w:rPr>
              <w:t xml:space="preserve"> valūtā likmi, pēc k</w:t>
            </w:r>
            <w:r w:rsidR="00A271ED" w:rsidRPr="00B54580">
              <w:rPr>
                <w:b/>
              </w:rPr>
              <w:t>ur</w:t>
            </w:r>
            <w:r w:rsidRPr="00B54580">
              <w:rPr>
                <w:b/>
              </w:rPr>
              <w:t>as Lauku atbalsta dienests apmaksās intervencē iepirktās labības transportēšanu līdz glabāšanas vietai, ja transportēšanas attālums pārsniegs 100 km, kā tas paredzēts Komisijas Regulas (ES) Nr. 1272/2009 (2009. gada 11. decembris), ar ko nosaka sīki izstrādātus kopīgus noteikumus Padomes Regulas (EK) Nr. 1234/2007 īstenošanai attiecībā uz lauksaimniecības produktu iepirkšanu un pārdošanu valsts intervencē</w:t>
            </w:r>
            <w:r w:rsidR="00A271ED" w:rsidRPr="00B54580">
              <w:rPr>
                <w:b/>
              </w:rPr>
              <w:t>,</w:t>
            </w:r>
            <w:r w:rsidRPr="00B54580">
              <w:rPr>
                <w:b/>
              </w:rPr>
              <w:t xml:space="preserve"> 29.pantā. Lauku atbalsta dienesta izdevumus vēlāk apmaksā Eiropas Komisija. </w:t>
            </w:r>
          </w:p>
          <w:p w:rsidR="003C36CF" w:rsidRPr="00A8521C" w:rsidRDefault="003C36CF" w:rsidP="00CA37D3">
            <w:pPr>
              <w:pStyle w:val="Default"/>
              <w:jc w:val="both"/>
            </w:pPr>
            <w:r>
              <w:t xml:space="preserve">Turklāt projekts paredz izdarīt tehnisku grozījumu </w:t>
            </w:r>
            <w:r>
              <w:lastRenderedPageBreak/>
              <w:t>noteikumu Nr.74 6.punktā, precizējot Pārtikas drošības, dzīvnieku veselības un vides zinātniskā institūta „BIOR” nosaukumu.</w:t>
            </w:r>
          </w:p>
          <w:p w:rsidR="003C36CF" w:rsidRPr="00A8521C" w:rsidRDefault="003C36CF" w:rsidP="00A271ED">
            <w:pPr>
              <w:jc w:val="both"/>
            </w:pPr>
            <w:r w:rsidRPr="00A8521C">
              <w:t xml:space="preserve">Grozītās tiesību normas </w:t>
            </w:r>
            <w:proofErr w:type="spellStart"/>
            <w:r w:rsidRPr="00A8521C">
              <w:rPr>
                <w:i/>
                <w:iCs/>
              </w:rPr>
              <w:t>euro</w:t>
            </w:r>
            <w:proofErr w:type="spellEnd"/>
            <w:r w:rsidRPr="00A8521C">
              <w:rPr>
                <w:i/>
                <w:iCs/>
              </w:rPr>
              <w:t xml:space="preserve"> </w:t>
            </w:r>
            <w:r w:rsidRPr="00A8521C">
              <w:t>valūtā nav personām nelabvēlīgākas par sākotnējo tiesību normu latos un nerada vērā ņemamu negatīvu ietekmi uz valsts budžetu.</w:t>
            </w:r>
            <w:r>
              <w:t xml:space="preserve"> </w:t>
            </w:r>
            <w:r w:rsidRPr="00B54580">
              <w:rPr>
                <w:b/>
              </w:rPr>
              <w:t xml:space="preserve">Noteikumu Nr.74 15.punkts pašreiz paredz transportēšanas izmaksu noteikšanai izmantot likmi 0,02 lati (bez PVN) par tonnkilometru, savukārt, pārvēršot </w:t>
            </w:r>
            <w:proofErr w:type="spellStart"/>
            <w:r w:rsidRPr="00B54580">
              <w:rPr>
                <w:b/>
                <w:i/>
              </w:rPr>
              <w:t>euro</w:t>
            </w:r>
            <w:proofErr w:type="spellEnd"/>
            <w:r w:rsidRPr="00B54580">
              <w:rPr>
                <w:b/>
              </w:rPr>
              <w:t xml:space="preserve"> valūtā atbilstoši</w:t>
            </w:r>
            <w:r w:rsidRPr="00B54580">
              <w:rPr>
                <w:b/>
                <w:i/>
                <w:iCs/>
              </w:rPr>
              <w:t xml:space="preserve"> </w:t>
            </w:r>
            <w:proofErr w:type="spellStart"/>
            <w:r w:rsidRPr="00B54580">
              <w:rPr>
                <w:b/>
                <w:i/>
                <w:iCs/>
              </w:rPr>
              <w:t>Euro</w:t>
            </w:r>
            <w:proofErr w:type="spellEnd"/>
            <w:r w:rsidRPr="00B54580">
              <w:rPr>
                <w:b/>
                <w:i/>
                <w:iCs/>
              </w:rPr>
              <w:t xml:space="preserve"> </w:t>
            </w:r>
            <w:r w:rsidRPr="00B54580">
              <w:rPr>
                <w:b/>
              </w:rPr>
              <w:t>ieviešanas kārtības likuma 6.pantā paredzētajiem principiem, šī likme, noapaļo</w:t>
            </w:r>
            <w:r w:rsidR="00A271ED" w:rsidRPr="00B54580">
              <w:rPr>
                <w:b/>
              </w:rPr>
              <w:t>jot</w:t>
            </w:r>
            <w:r w:rsidRPr="00B54580">
              <w:rPr>
                <w:b/>
              </w:rPr>
              <w:t xml:space="preserve"> uz augšu, noteikta 0,03 </w:t>
            </w:r>
            <w:proofErr w:type="spellStart"/>
            <w:r w:rsidRPr="00B54580">
              <w:rPr>
                <w:b/>
                <w:i/>
              </w:rPr>
              <w:t>euro</w:t>
            </w:r>
            <w:proofErr w:type="spellEnd"/>
            <w:r w:rsidRPr="00B54580">
              <w:rPr>
                <w:b/>
              </w:rPr>
              <w:t xml:space="preserve"> (bez PVN) par tonnkilometru.</w:t>
            </w:r>
          </w:p>
        </w:tc>
      </w:tr>
      <w:tr w:rsidR="003C36CF" w:rsidRPr="00A8521C" w:rsidTr="005B5913">
        <w:trPr>
          <w:trHeight w:val="476"/>
        </w:trPr>
        <w:tc>
          <w:tcPr>
            <w:tcW w:w="418" w:type="dxa"/>
          </w:tcPr>
          <w:p w:rsidR="003C36CF" w:rsidRPr="00A8521C" w:rsidRDefault="003C36CF" w:rsidP="006C4607">
            <w:pPr>
              <w:pStyle w:val="naiskr"/>
              <w:spacing w:before="0" w:after="0"/>
            </w:pPr>
            <w:r w:rsidRPr="00A8521C">
              <w:lastRenderedPageBreak/>
              <w:t>5.</w:t>
            </w:r>
          </w:p>
        </w:tc>
        <w:tc>
          <w:tcPr>
            <w:tcW w:w="2989" w:type="dxa"/>
          </w:tcPr>
          <w:p w:rsidR="003C36CF" w:rsidRPr="00A8521C" w:rsidRDefault="003C36CF" w:rsidP="006C4607">
            <w:pPr>
              <w:pStyle w:val="naiskr"/>
              <w:spacing w:before="0" w:after="0"/>
            </w:pPr>
            <w:r w:rsidRPr="00A8521C">
              <w:t>Projekta izstrādē iesaistītās institūcijas</w:t>
            </w:r>
          </w:p>
        </w:tc>
        <w:tc>
          <w:tcPr>
            <w:tcW w:w="5670" w:type="dxa"/>
          </w:tcPr>
          <w:p w:rsidR="003C36CF" w:rsidRDefault="003C36CF" w:rsidP="00A8521C">
            <w:pPr>
              <w:pStyle w:val="naiskr"/>
              <w:spacing w:before="0" w:after="0"/>
              <w:ind w:left="142"/>
              <w:jc w:val="both"/>
            </w:pPr>
            <w:r w:rsidRPr="00A8521C">
              <w:t>Lauku atbalsta dienests</w:t>
            </w:r>
          </w:p>
          <w:p w:rsidR="00C17E37" w:rsidRDefault="00C17E37" w:rsidP="00A8521C">
            <w:pPr>
              <w:pStyle w:val="naiskr"/>
              <w:spacing w:before="0" w:after="0"/>
              <w:ind w:left="142"/>
              <w:jc w:val="both"/>
            </w:pPr>
          </w:p>
          <w:p w:rsidR="00C17E37" w:rsidRPr="00A8521C" w:rsidRDefault="00C17E37" w:rsidP="00A8521C">
            <w:pPr>
              <w:pStyle w:val="naiskr"/>
              <w:spacing w:before="0" w:after="0"/>
              <w:ind w:left="142"/>
              <w:jc w:val="both"/>
            </w:pPr>
          </w:p>
        </w:tc>
      </w:tr>
      <w:tr w:rsidR="003C36CF" w:rsidRPr="00A8521C" w:rsidTr="005B5913">
        <w:trPr>
          <w:trHeight w:val="699"/>
        </w:trPr>
        <w:tc>
          <w:tcPr>
            <w:tcW w:w="418" w:type="dxa"/>
          </w:tcPr>
          <w:p w:rsidR="003C36CF" w:rsidRPr="00A8521C" w:rsidRDefault="003C36CF" w:rsidP="006C4607">
            <w:pPr>
              <w:pStyle w:val="naiskr"/>
              <w:spacing w:before="0" w:after="0"/>
            </w:pPr>
            <w:r w:rsidRPr="00A8521C">
              <w:t>6.</w:t>
            </w:r>
          </w:p>
        </w:tc>
        <w:tc>
          <w:tcPr>
            <w:tcW w:w="2989" w:type="dxa"/>
          </w:tcPr>
          <w:p w:rsidR="003C36CF" w:rsidRPr="00A8521C" w:rsidRDefault="003C36CF" w:rsidP="006C4607">
            <w:pPr>
              <w:pStyle w:val="naiskr"/>
              <w:spacing w:before="0" w:after="0"/>
              <w:rPr>
                <w:i/>
                <w:highlight w:val="yellow"/>
              </w:rPr>
            </w:pPr>
            <w:r w:rsidRPr="00A8521C">
              <w:t>Iemesli, kādēļ netika nodrošināta sabiedrības līdzdalība</w:t>
            </w:r>
          </w:p>
        </w:tc>
        <w:tc>
          <w:tcPr>
            <w:tcW w:w="5670" w:type="dxa"/>
          </w:tcPr>
          <w:p w:rsidR="003C36CF" w:rsidRDefault="003C36CF" w:rsidP="00A8521C">
            <w:pPr>
              <w:pStyle w:val="Default"/>
              <w:jc w:val="both"/>
            </w:pPr>
            <w:r w:rsidRPr="00A8521C">
              <w:t>Sabiedrības līdzdalība projekta izstrādē netika nodrošināta, jo projekts nemaina pastāvošo tiesisko regulējumu pēc būtības</w:t>
            </w:r>
            <w:r>
              <w:t>.</w:t>
            </w:r>
            <w:r w:rsidRPr="00A8521C">
              <w:t xml:space="preserve"> </w:t>
            </w:r>
          </w:p>
          <w:p w:rsidR="00C17E37" w:rsidRPr="00A8521C" w:rsidRDefault="00C17E37" w:rsidP="00A8521C">
            <w:pPr>
              <w:pStyle w:val="Default"/>
              <w:jc w:val="both"/>
            </w:pPr>
          </w:p>
        </w:tc>
      </w:tr>
      <w:tr w:rsidR="003C36CF" w:rsidRPr="00A8521C" w:rsidTr="005B5913">
        <w:tc>
          <w:tcPr>
            <w:tcW w:w="418" w:type="dxa"/>
          </w:tcPr>
          <w:p w:rsidR="003C36CF" w:rsidRPr="00A8521C" w:rsidRDefault="003C36CF" w:rsidP="006C4607">
            <w:pPr>
              <w:pStyle w:val="naiskr"/>
              <w:spacing w:before="0" w:after="0"/>
            </w:pPr>
            <w:r w:rsidRPr="00A8521C">
              <w:t>7.</w:t>
            </w:r>
          </w:p>
        </w:tc>
        <w:tc>
          <w:tcPr>
            <w:tcW w:w="2989" w:type="dxa"/>
          </w:tcPr>
          <w:p w:rsidR="003C36CF" w:rsidRPr="00A8521C" w:rsidRDefault="003C36CF" w:rsidP="006C4607">
            <w:pPr>
              <w:pStyle w:val="naiskr"/>
              <w:spacing w:before="0" w:after="0"/>
            </w:pPr>
            <w:r w:rsidRPr="00A8521C">
              <w:t>Cita informācija</w:t>
            </w:r>
          </w:p>
        </w:tc>
        <w:tc>
          <w:tcPr>
            <w:tcW w:w="5670" w:type="dxa"/>
          </w:tcPr>
          <w:p w:rsidR="00C17E37" w:rsidRPr="00A8521C" w:rsidRDefault="003C36CF" w:rsidP="0004049A">
            <w:pPr>
              <w:pStyle w:val="naiskr"/>
              <w:spacing w:before="0" w:after="0"/>
              <w:jc w:val="both"/>
            </w:pPr>
            <w:r w:rsidRPr="00A8521C">
              <w:t>Šis projekts tiks virzīts izskatīšanai Ministru kabinetā pēc tam, kad Eiropas Savienības Padomē saskaņā ar Līguma par Eiropas Savienības darbību 140.panta 2.punktu tiks pieņemts lēmums par izņēmuma statusa atcelšanu Latvijas Republikai.</w:t>
            </w:r>
          </w:p>
        </w:tc>
      </w:tr>
    </w:tbl>
    <w:p w:rsidR="003C36CF" w:rsidRDefault="003C36CF" w:rsidP="006B2B43">
      <w:pPr>
        <w:pStyle w:val="naisf"/>
        <w:spacing w:before="0" w:after="0"/>
      </w:pPr>
    </w:p>
    <w:p w:rsidR="00C17E37" w:rsidRDefault="00C17E37" w:rsidP="00CA37D3">
      <w:pPr>
        <w:pStyle w:val="naisf"/>
        <w:spacing w:before="0" w:after="0"/>
        <w:rPr>
          <w:i/>
        </w:rPr>
      </w:pPr>
    </w:p>
    <w:p w:rsidR="003C36CF" w:rsidRDefault="003C36CF" w:rsidP="00CA37D3">
      <w:pPr>
        <w:pStyle w:val="naisf"/>
        <w:spacing w:before="0" w:after="0"/>
        <w:rPr>
          <w:i/>
        </w:rPr>
      </w:pPr>
      <w:r w:rsidRPr="00634255">
        <w:rPr>
          <w:i/>
        </w:rPr>
        <w:t>Anotācijas II sadaļa – projekts šo jomu neskar.</w:t>
      </w:r>
    </w:p>
    <w:p w:rsidR="00C17E37" w:rsidRPr="00634255" w:rsidRDefault="00C17E37" w:rsidP="00CA37D3">
      <w:pPr>
        <w:pStyle w:val="naisf"/>
        <w:spacing w:before="0" w:after="0"/>
        <w:rPr>
          <w:i/>
        </w:rPr>
      </w:pPr>
    </w:p>
    <w:p w:rsidR="003C36CF" w:rsidRPr="00996A74" w:rsidRDefault="003C36CF" w:rsidP="006B2B43">
      <w:pPr>
        <w:pStyle w:val="naisf"/>
        <w:spacing w:before="0" w:after="0"/>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1320"/>
        <w:gridCol w:w="1346"/>
        <w:gridCol w:w="1349"/>
        <w:gridCol w:w="1350"/>
        <w:gridCol w:w="1223"/>
      </w:tblGrid>
      <w:tr w:rsidR="003C36CF" w:rsidRPr="005A3C61" w:rsidTr="0004049A">
        <w:trPr>
          <w:trHeight w:val="652"/>
          <w:jc w:val="center"/>
        </w:trPr>
        <w:tc>
          <w:tcPr>
            <w:tcW w:w="9416" w:type="dxa"/>
            <w:gridSpan w:val="6"/>
          </w:tcPr>
          <w:p w:rsidR="003C36CF" w:rsidRPr="005A3C61" w:rsidRDefault="003C36CF" w:rsidP="0004049A">
            <w:pPr>
              <w:pStyle w:val="naisnod"/>
              <w:spacing w:before="0" w:after="0"/>
              <w:rPr>
                <w:i/>
                <w:color w:val="000000"/>
              </w:rPr>
            </w:pPr>
            <w:r w:rsidRPr="005A3C61">
              <w:rPr>
                <w:color w:val="000000"/>
              </w:rPr>
              <w:br w:type="page"/>
              <w:t>III. Tiesību akta projekta ietekme uz valsts budžetu un pašvaldību budžetiem</w:t>
            </w:r>
          </w:p>
        </w:tc>
      </w:tr>
      <w:tr w:rsidR="003C36CF" w:rsidRPr="005A3C61" w:rsidTr="0004049A">
        <w:trPr>
          <w:jc w:val="center"/>
        </w:trPr>
        <w:tc>
          <w:tcPr>
            <w:tcW w:w="2873" w:type="dxa"/>
            <w:vMerge w:val="restart"/>
            <w:vAlign w:val="center"/>
          </w:tcPr>
          <w:p w:rsidR="003C36CF" w:rsidRPr="005A3C61" w:rsidRDefault="003C36CF" w:rsidP="0004049A">
            <w:pPr>
              <w:pStyle w:val="naisf"/>
              <w:spacing w:before="0" w:after="0"/>
              <w:ind w:firstLine="0"/>
              <w:jc w:val="center"/>
              <w:rPr>
                <w:b/>
                <w:color w:val="000000"/>
              </w:rPr>
            </w:pPr>
            <w:r w:rsidRPr="005A3C61">
              <w:rPr>
                <w:b/>
                <w:color w:val="000000"/>
              </w:rPr>
              <w:t>Rādītāji</w:t>
            </w:r>
          </w:p>
        </w:tc>
        <w:tc>
          <w:tcPr>
            <w:tcW w:w="2684" w:type="dxa"/>
            <w:gridSpan w:val="2"/>
            <w:vMerge w:val="restart"/>
            <w:vAlign w:val="center"/>
          </w:tcPr>
          <w:p w:rsidR="003C36CF" w:rsidRPr="005A3C61" w:rsidRDefault="003C36CF" w:rsidP="0004049A">
            <w:pPr>
              <w:pStyle w:val="naisf"/>
              <w:spacing w:before="0" w:after="0"/>
              <w:ind w:firstLine="0"/>
              <w:jc w:val="center"/>
              <w:rPr>
                <w:b/>
                <w:color w:val="000000"/>
              </w:rPr>
            </w:pPr>
            <w:r w:rsidRPr="005A3C61">
              <w:rPr>
                <w:b/>
                <w:color w:val="000000"/>
              </w:rPr>
              <w:t>2013.gads</w:t>
            </w:r>
          </w:p>
        </w:tc>
        <w:tc>
          <w:tcPr>
            <w:tcW w:w="3859" w:type="dxa"/>
            <w:gridSpan w:val="3"/>
            <w:vAlign w:val="center"/>
          </w:tcPr>
          <w:p w:rsidR="003C36CF" w:rsidRPr="005A3C61" w:rsidRDefault="003C36CF" w:rsidP="0004049A">
            <w:pPr>
              <w:pStyle w:val="naisf"/>
              <w:spacing w:before="0" w:after="0"/>
              <w:ind w:firstLine="0"/>
              <w:jc w:val="center"/>
              <w:rPr>
                <w:b/>
                <w:i/>
                <w:color w:val="000000"/>
              </w:rPr>
            </w:pPr>
            <w:r w:rsidRPr="005A3C61">
              <w:rPr>
                <w:color w:val="000000"/>
              </w:rPr>
              <w:t xml:space="preserve">Turpmākie trīs gadi (tūkst. </w:t>
            </w:r>
            <w:proofErr w:type="spellStart"/>
            <w:r w:rsidRPr="005A3C61">
              <w:rPr>
                <w:i/>
                <w:color w:val="000000"/>
              </w:rPr>
              <w:t>euro</w:t>
            </w:r>
            <w:proofErr w:type="spellEnd"/>
            <w:r w:rsidRPr="005A3C61">
              <w:rPr>
                <w:color w:val="000000"/>
              </w:rPr>
              <w:t>)</w:t>
            </w:r>
          </w:p>
        </w:tc>
      </w:tr>
      <w:tr w:rsidR="003C36CF" w:rsidRPr="005A3C61" w:rsidTr="0004049A">
        <w:trPr>
          <w:jc w:val="center"/>
        </w:trPr>
        <w:tc>
          <w:tcPr>
            <w:tcW w:w="2873" w:type="dxa"/>
            <w:vMerge/>
            <w:vAlign w:val="center"/>
          </w:tcPr>
          <w:p w:rsidR="003C36CF" w:rsidRPr="005A3C61" w:rsidRDefault="003C36CF" w:rsidP="0004049A">
            <w:pPr>
              <w:pStyle w:val="naisf"/>
              <w:spacing w:before="0" w:after="0"/>
              <w:ind w:firstLine="0"/>
              <w:jc w:val="center"/>
              <w:rPr>
                <w:b/>
                <w:i/>
                <w:color w:val="000000"/>
              </w:rPr>
            </w:pPr>
          </w:p>
        </w:tc>
        <w:tc>
          <w:tcPr>
            <w:tcW w:w="2684" w:type="dxa"/>
            <w:gridSpan w:val="2"/>
            <w:vMerge/>
            <w:vAlign w:val="center"/>
          </w:tcPr>
          <w:p w:rsidR="003C36CF" w:rsidRPr="005A3C61" w:rsidRDefault="003C36CF" w:rsidP="0004049A">
            <w:pPr>
              <w:pStyle w:val="naisf"/>
              <w:spacing w:before="0" w:after="0"/>
              <w:ind w:firstLine="0"/>
              <w:jc w:val="center"/>
              <w:rPr>
                <w:b/>
                <w:i/>
                <w:color w:val="000000"/>
              </w:rPr>
            </w:pPr>
          </w:p>
        </w:tc>
        <w:tc>
          <w:tcPr>
            <w:tcW w:w="1354" w:type="dxa"/>
            <w:vAlign w:val="center"/>
          </w:tcPr>
          <w:p w:rsidR="003C36CF" w:rsidRPr="005A3C61" w:rsidRDefault="003C36CF" w:rsidP="0004049A">
            <w:pPr>
              <w:pStyle w:val="naisf"/>
              <w:spacing w:before="0" w:after="0"/>
              <w:ind w:firstLine="0"/>
              <w:jc w:val="center"/>
              <w:rPr>
                <w:b/>
                <w:i/>
                <w:color w:val="000000"/>
              </w:rPr>
            </w:pPr>
            <w:r>
              <w:rPr>
                <w:b/>
                <w:color w:val="000000"/>
              </w:rPr>
              <w:t>2014.</w:t>
            </w:r>
            <w:r w:rsidRPr="005A3C61">
              <w:rPr>
                <w:b/>
                <w:color w:val="000000"/>
              </w:rPr>
              <w:t>gads</w:t>
            </w:r>
          </w:p>
        </w:tc>
        <w:tc>
          <w:tcPr>
            <w:tcW w:w="1355" w:type="dxa"/>
            <w:vAlign w:val="center"/>
          </w:tcPr>
          <w:p w:rsidR="003C36CF" w:rsidRPr="005A3C61" w:rsidRDefault="003C36CF" w:rsidP="0004049A">
            <w:pPr>
              <w:pStyle w:val="naisf"/>
              <w:spacing w:before="0" w:after="0"/>
              <w:ind w:firstLine="0"/>
              <w:jc w:val="center"/>
              <w:rPr>
                <w:b/>
                <w:i/>
                <w:color w:val="000000"/>
              </w:rPr>
            </w:pPr>
            <w:r>
              <w:rPr>
                <w:b/>
                <w:color w:val="000000"/>
              </w:rPr>
              <w:t>2015.</w:t>
            </w:r>
            <w:r w:rsidRPr="005A3C61">
              <w:rPr>
                <w:b/>
                <w:color w:val="000000"/>
              </w:rPr>
              <w:t>gads</w:t>
            </w:r>
          </w:p>
        </w:tc>
        <w:tc>
          <w:tcPr>
            <w:tcW w:w="1150" w:type="dxa"/>
            <w:vAlign w:val="center"/>
          </w:tcPr>
          <w:p w:rsidR="003C36CF" w:rsidRPr="005A3C61" w:rsidRDefault="003C36CF" w:rsidP="0004049A">
            <w:pPr>
              <w:pStyle w:val="naisf"/>
              <w:spacing w:before="0" w:after="0"/>
              <w:ind w:firstLine="0"/>
              <w:jc w:val="center"/>
              <w:rPr>
                <w:b/>
                <w:i/>
                <w:color w:val="000000"/>
              </w:rPr>
            </w:pPr>
            <w:r w:rsidRPr="005A3C61">
              <w:rPr>
                <w:b/>
                <w:color w:val="000000"/>
              </w:rPr>
              <w:t>2016.gads</w:t>
            </w:r>
          </w:p>
        </w:tc>
      </w:tr>
      <w:tr w:rsidR="003C36CF" w:rsidRPr="005A3C61" w:rsidTr="0004049A">
        <w:trPr>
          <w:jc w:val="center"/>
        </w:trPr>
        <w:tc>
          <w:tcPr>
            <w:tcW w:w="2873" w:type="dxa"/>
            <w:vMerge/>
            <w:vAlign w:val="center"/>
          </w:tcPr>
          <w:p w:rsidR="003C36CF" w:rsidRPr="005A3C61" w:rsidRDefault="003C36CF" w:rsidP="0004049A">
            <w:pPr>
              <w:pStyle w:val="naisf"/>
              <w:spacing w:before="0" w:after="0"/>
              <w:ind w:firstLine="0"/>
              <w:jc w:val="center"/>
              <w:rPr>
                <w:b/>
                <w:i/>
                <w:color w:val="000000"/>
              </w:rPr>
            </w:pPr>
          </w:p>
        </w:tc>
        <w:tc>
          <w:tcPr>
            <w:tcW w:w="1330" w:type="dxa"/>
            <w:vAlign w:val="center"/>
          </w:tcPr>
          <w:p w:rsidR="003C36CF" w:rsidRPr="005A3C61" w:rsidRDefault="003C36CF" w:rsidP="0004049A">
            <w:pPr>
              <w:pStyle w:val="naisf"/>
              <w:spacing w:before="0" w:after="0"/>
              <w:ind w:firstLine="0"/>
              <w:jc w:val="center"/>
              <w:rPr>
                <w:b/>
                <w:i/>
                <w:color w:val="000000"/>
              </w:rPr>
            </w:pPr>
            <w:r w:rsidRPr="005A3C61">
              <w:rPr>
                <w:color w:val="000000"/>
              </w:rPr>
              <w:t>Saskaņā ar valsts budžetu kārtējam gadam</w:t>
            </w:r>
          </w:p>
        </w:tc>
        <w:tc>
          <w:tcPr>
            <w:tcW w:w="1354" w:type="dxa"/>
            <w:vAlign w:val="center"/>
          </w:tcPr>
          <w:p w:rsidR="003C36CF" w:rsidRPr="005A3C61" w:rsidRDefault="003C36CF" w:rsidP="0004049A">
            <w:pPr>
              <w:pStyle w:val="naisf"/>
              <w:spacing w:before="0" w:after="0"/>
              <w:ind w:firstLine="0"/>
              <w:jc w:val="center"/>
              <w:rPr>
                <w:b/>
                <w:i/>
                <w:color w:val="000000"/>
              </w:rPr>
            </w:pPr>
            <w:r w:rsidRPr="005A3C61">
              <w:rPr>
                <w:color w:val="000000"/>
              </w:rPr>
              <w:t>Izmaiņas kārtējā gadā, salīdzinot ar budžetu kārtējam gadam</w:t>
            </w:r>
          </w:p>
        </w:tc>
        <w:tc>
          <w:tcPr>
            <w:tcW w:w="1354" w:type="dxa"/>
            <w:vAlign w:val="center"/>
          </w:tcPr>
          <w:p w:rsidR="003C36CF" w:rsidRPr="005A3C61" w:rsidRDefault="003C36CF" w:rsidP="0004049A">
            <w:pPr>
              <w:pStyle w:val="naisf"/>
              <w:spacing w:before="0" w:after="0"/>
              <w:ind w:firstLine="0"/>
              <w:jc w:val="center"/>
              <w:rPr>
                <w:b/>
                <w:i/>
                <w:color w:val="000000"/>
              </w:rPr>
            </w:pPr>
            <w:r w:rsidRPr="005A3C61">
              <w:rPr>
                <w:color w:val="000000"/>
              </w:rPr>
              <w:t>Izmaiņas, salīdzinot ar kārtējo 2013.gadu</w:t>
            </w:r>
          </w:p>
        </w:tc>
        <w:tc>
          <w:tcPr>
            <w:tcW w:w="1355" w:type="dxa"/>
            <w:vAlign w:val="center"/>
          </w:tcPr>
          <w:p w:rsidR="003C36CF" w:rsidRPr="005A3C61" w:rsidRDefault="003C36CF" w:rsidP="0004049A">
            <w:pPr>
              <w:pStyle w:val="naisf"/>
              <w:spacing w:before="0" w:after="0"/>
              <w:ind w:firstLine="0"/>
              <w:jc w:val="center"/>
              <w:rPr>
                <w:b/>
                <w:i/>
                <w:color w:val="000000"/>
              </w:rPr>
            </w:pPr>
            <w:r w:rsidRPr="005A3C61">
              <w:rPr>
                <w:color w:val="000000"/>
              </w:rPr>
              <w:t xml:space="preserve">Izmaiņas, salīdzinot ar kārtējo </w:t>
            </w:r>
            <w:r>
              <w:rPr>
                <w:color w:val="000000"/>
              </w:rPr>
              <w:t>2013.</w:t>
            </w:r>
            <w:r w:rsidRPr="005A3C61">
              <w:rPr>
                <w:color w:val="000000"/>
              </w:rPr>
              <w:t>gadu</w:t>
            </w:r>
          </w:p>
        </w:tc>
        <w:tc>
          <w:tcPr>
            <w:tcW w:w="1150" w:type="dxa"/>
            <w:vAlign w:val="center"/>
          </w:tcPr>
          <w:p w:rsidR="003C36CF" w:rsidRPr="005A3C61" w:rsidRDefault="003C36CF" w:rsidP="0004049A">
            <w:pPr>
              <w:pStyle w:val="naisf"/>
              <w:spacing w:before="0" w:after="0"/>
              <w:ind w:firstLine="0"/>
              <w:jc w:val="center"/>
              <w:rPr>
                <w:b/>
                <w:i/>
                <w:color w:val="000000"/>
              </w:rPr>
            </w:pPr>
            <w:r w:rsidRPr="005A3C61">
              <w:rPr>
                <w:color w:val="000000"/>
              </w:rPr>
              <w:t>Izmaiņas, salīdzinot ar kārtējo 2013.gadu</w:t>
            </w:r>
          </w:p>
        </w:tc>
      </w:tr>
      <w:tr w:rsidR="003C36CF" w:rsidRPr="005A3C61" w:rsidTr="0004049A">
        <w:trPr>
          <w:jc w:val="center"/>
        </w:trPr>
        <w:tc>
          <w:tcPr>
            <w:tcW w:w="2873"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1</w:t>
            </w:r>
          </w:p>
        </w:tc>
        <w:tc>
          <w:tcPr>
            <w:tcW w:w="1330"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2</w:t>
            </w:r>
          </w:p>
        </w:tc>
        <w:tc>
          <w:tcPr>
            <w:tcW w:w="1354"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3</w:t>
            </w:r>
          </w:p>
        </w:tc>
        <w:tc>
          <w:tcPr>
            <w:tcW w:w="1354"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4</w:t>
            </w:r>
          </w:p>
        </w:tc>
        <w:tc>
          <w:tcPr>
            <w:tcW w:w="1355"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5</w:t>
            </w:r>
          </w:p>
        </w:tc>
        <w:tc>
          <w:tcPr>
            <w:tcW w:w="1150" w:type="dxa"/>
            <w:vAlign w:val="center"/>
          </w:tcPr>
          <w:p w:rsidR="003C36CF" w:rsidRPr="005A3C61" w:rsidRDefault="003C36CF" w:rsidP="0004049A">
            <w:pPr>
              <w:pStyle w:val="naisf"/>
              <w:spacing w:before="0" w:after="0"/>
              <w:ind w:firstLine="0"/>
              <w:jc w:val="center"/>
              <w:rPr>
                <w:bCs/>
                <w:color w:val="000000"/>
              </w:rPr>
            </w:pPr>
            <w:r w:rsidRPr="005A3C61">
              <w:rPr>
                <w:bCs/>
                <w:color w:val="000000"/>
              </w:rPr>
              <w:t>6</w:t>
            </w:r>
          </w:p>
        </w:tc>
      </w:tr>
      <w:tr w:rsidR="003C36CF" w:rsidRPr="005A3C61" w:rsidTr="0004049A">
        <w:trPr>
          <w:jc w:val="center"/>
        </w:trPr>
        <w:tc>
          <w:tcPr>
            <w:tcW w:w="2873" w:type="dxa"/>
          </w:tcPr>
          <w:p w:rsidR="003C36CF" w:rsidRPr="005A3C61" w:rsidRDefault="003C36CF" w:rsidP="0004049A">
            <w:pPr>
              <w:pStyle w:val="naisf"/>
              <w:spacing w:before="0" w:after="0"/>
              <w:ind w:firstLine="0"/>
              <w:rPr>
                <w:i/>
                <w:color w:val="000000"/>
              </w:rPr>
            </w:pPr>
            <w:r w:rsidRPr="005A3C61">
              <w:rPr>
                <w:color w:val="000000"/>
              </w:rPr>
              <w:t>1. Budžeta ieņēmumi:</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pStyle w:val="naisf"/>
              <w:spacing w:before="0" w:after="0"/>
              <w:ind w:firstLine="0"/>
              <w:rPr>
                <w:i/>
                <w:color w:val="000000"/>
              </w:rPr>
            </w:pPr>
            <w:r w:rsidRPr="005A3C61">
              <w:rPr>
                <w:color w:val="000000"/>
              </w:rPr>
              <w:t>1.1. valsts pamatbudžets, tai skaitā ieņēmumi no maksas pakalpojumiem un citi pašu ieņēmumi</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pStyle w:val="naisf"/>
              <w:spacing w:before="0" w:after="0"/>
              <w:ind w:firstLine="0"/>
              <w:rPr>
                <w:i/>
                <w:color w:val="000000"/>
              </w:rPr>
            </w:pPr>
            <w:r w:rsidRPr="005A3C61">
              <w:rPr>
                <w:color w:val="000000"/>
              </w:rPr>
              <w:t>1.2. valsts speciālais budžets</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pStyle w:val="naisf"/>
              <w:spacing w:before="0" w:after="0"/>
              <w:ind w:firstLine="0"/>
              <w:rPr>
                <w:i/>
                <w:color w:val="000000"/>
              </w:rPr>
            </w:pPr>
            <w:r w:rsidRPr="005A3C61">
              <w:rPr>
                <w:color w:val="000000"/>
              </w:rPr>
              <w:lastRenderedPageBreak/>
              <w:t>1.3. pašvaldību budžets</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2. Budžeta izdevumi:</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2.1. valsts pamatbudžets</w:t>
            </w:r>
          </w:p>
        </w:tc>
        <w:tc>
          <w:tcPr>
            <w:tcW w:w="1330" w:type="dxa"/>
          </w:tcPr>
          <w:p w:rsidR="003C36CF" w:rsidRPr="005A3C61" w:rsidRDefault="003C36CF" w:rsidP="0004049A">
            <w:pPr>
              <w:pStyle w:val="naisf"/>
              <w:spacing w:before="0" w:after="0"/>
              <w:ind w:firstLine="0"/>
              <w:jc w:val="left"/>
              <w:rPr>
                <w:color w:val="000000"/>
              </w:rPr>
            </w:pPr>
          </w:p>
        </w:tc>
        <w:tc>
          <w:tcPr>
            <w:tcW w:w="1354" w:type="dxa"/>
          </w:tcPr>
          <w:p w:rsidR="003C36CF" w:rsidRPr="005A3C61" w:rsidRDefault="003C36CF" w:rsidP="0004049A">
            <w:pPr>
              <w:pStyle w:val="naisf"/>
              <w:spacing w:before="0" w:after="0"/>
              <w:ind w:firstLine="0"/>
              <w:jc w:val="left"/>
              <w:rPr>
                <w:color w:val="000000"/>
              </w:rPr>
            </w:pPr>
          </w:p>
        </w:tc>
        <w:tc>
          <w:tcPr>
            <w:tcW w:w="1354" w:type="dxa"/>
          </w:tcPr>
          <w:p w:rsidR="003C36CF" w:rsidRPr="005A3C61" w:rsidRDefault="003C36CF" w:rsidP="0004049A">
            <w:pPr>
              <w:pStyle w:val="naisf"/>
              <w:spacing w:before="0" w:after="0"/>
              <w:ind w:firstLine="0"/>
              <w:jc w:val="left"/>
              <w:rPr>
                <w:color w:val="000000"/>
              </w:rPr>
            </w:pPr>
          </w:p>
        </w:tc>
        <w:tc>
          <w:tcPr>
            <w:tcW w:w="1355" w:type="dxa"/>
          </w:tcPr>
          <w:p w:rsidR="003C36CF" w:rsidRPr="005A3C61" w:rsidRDefault="003C36CF" w:rsidP="0004049A">
            <w:pPr>
              <w:pStyle w:val="naisf"/>
              <w:spacing w:before="0" w:after="0"/>
              <w:ind w:firstLine="0"/>
              <w:jc w:val="left"/>
              <w:rPr>
                <w:color w:val="000000"/>
              </w:rPr>
            </w:pPr>
          </w:p>
        </w:tc>
        <w:tc>
          <w:tcPr>
            <w:tcW w:w="1150" w:type="dxa"/>
          </w:tcPr>
          <w:p w:rsidR="003C36CF" w:rsidRPr="005A3C61" w:rsidRDefault="003C36CF" w:rsidP="0004049A">
            <w:pPr>
              <w:pStyle w:val="naisf"/>
              <w:spacing w:before="0" w:after="0"/>
              <w:ind w:firstLine="0"/>
              <w:jc w:val="left"/>
              <w:rPr>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2.2. valsts speciālais budžets</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 xml:space="preserve">2.3. pašvaldību budžets </w:t>
            </w:r>
          </w:p>
        </w:tc>
        <w:tc>
          <w:tcPr>
            <w:tcW w:w="1330"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3. Finansiālā ietekme:</w:t>
            </w:r>
          </w:p>
        </w:tc>
        <w:tc>
          <w:tcPr>
            <w:tcW w:w="1330" w:type="dxa"/>
            <w:vAlign w:val="center"/>
          </w:tcPr>
          <w:p w:rsidR="003C36CF" w:rsidRPr="005A3C61" w:rsidRDefault="003C36CF" w:rsidP="0004049A">
            <w:pPr>
              <w:pStyle w:val="naisf"/>
              <w:spacing w:before="0" w:after="0"/>
              <w:ind w:firstLine="0"/>
              <w:jc w:val="center"/>
              <w:rPr>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3.1. valsts pamatbudžets</w:t>
            </w:r>
          </w:p>
        </w:tc>
        <w:tc>
          <w:tcPr>
            <w:tcW w:w="1330" w:type="dxa"/>
          </w:tcPr>
          <w:p w:rsidR="003C36CF" w:rsidRPr="005A3C61" w:rsidRDefault="003C36CF" w:rsidP="0004049A">
            <w:pPr>
              <w:pStyle w:val="naisf"/>
              <w:spacing w:before="0" w:after="0"/>
              <w:ind w:firstLine="0"/>
              <w:rPr>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3.2. speciālais budžets</w:t>
            </w:r>
          </w:p>
        </w:tc>
        <w:tc>
          <w:tcPr>
            <w:tcW w:w="1330" w:type="dxa"/>
          </w:tcPr>
          <w:p w:rsidR="003C36CF" w:rsidRPr="005A3C61" w:rsidRDefault="003C36CF" w:rsidP="0004049A">
            <w:pPr>
              <w:pStyle w:val="naisf"/>
              <w:spacing w:before="0" w:after="0"/>
              <w:ind w:firstLine="0"/>
              <w:rPr>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 xml:space="preserve">3.3. pašvaldību budžets </w:t>
            </w:r>
          </w:p>
        </w:tc>
        <w:tc>
          <w:tcPr>
            <w:tcW w:w="1330" w:type="dxa"/>
          </w:tcPr>
          <w:p w:rsidR="003C36CF" w:rsidRPr="005A3C61" w:rsidRDefault="003C36CF" w:rsidP="0004049A">
            <w:pPr>
              <w:pStyle w:val="naisf"/>
              <w:spacing w:before="0" w:after="0"/>
              <w:ind w:firstLine="0"/>
              <w:rPr>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vMerge w:val="restart"/>
          </w:tcPr>
          <w:p w:rsidR="003C36CF" w:rsidRPr="005A3C61" w:rsidRDefault="003C36CF" w:rsidP="0004049A">
            <w:pPr>
              <w:jc w:val="both"/>
              <w:rPr>
                <w:color w:val="000000"/>
              </w:rPr>
            </w:pPr>
            <w:r w:rsidRPr="005A3C61">
              <w:rPr>
                <w:color w:val="000000"/>
              </w:rPr>
              <w:t>4. Finanšu līdzekļi papildu izde</w:t>
            </w:r>
            <w:r w:rsidRPr="005A3C61">
              <w:rPr>
                <w:color w:val="000000"/>
              </w:rPr>
              <w:softHyphen/>
              <w:t>vumu finansēšanai (kompensējošu izdevumu samazinājumu norāda ar "+" zīmi)</w:t>
            </w:r>
          </w:p>
        </w:tc>
        <w:tc>
          <w:tcPr>
            <w:tcW w:w="1330" w:type="dxa"/>
            <w:vMerge w:val="restart"/>
          </w:tcPr>
          <w:p w:rsidR="003C36CF" w:rsidRPr="005A3C61" w:rsidRDefault="003C36CF" w:rsidP="0004049A">
            <w:pPr>
              <w:pStyle w:val="naisf"/>
              <w:spacing w:before="0" w:after="0"/>
              <w:ind w:firstLine="0"/>
              <w:jc w:val="center"/>
              <w:rPr>
                <w:i/>
                <w:color w:val="000000"/>
              </w:rPr>
            </w:pPr>
            <w:r w:rsidRPr="005A3C61">
              <w:rPr>
                <w:color w:val="000000"/>
              </w:rPr>
              <w:t>X</w:t>
            </w:r>
          </w:p>
        </w:tc>
        <w:tc>
          <w:tcPr>
            <w:tcW w:w="1354" w:type="dxa"/>
          </w:tcPr>
          <w:p w:rsidR="003C36CF" w:rsidRPr="005A3C61" w:rsidRDefault="003C36CF" w:rsidP="0004049A">
            <w:pPr>
              <w:pStyle w:val="naisf"/>
              <w:spacing w:before="0" w:after="0"/>
              <w:ind w:firstLine="0"/>
              <w:jc w:val="left"/>
              <w:rPr>
                <w:b/>
                <w:i/>
                <w:color w:val="000000"/>
              </w:rPr>
            </w:pPr>
          </w:p>
        </w:tc>
        <w:tc>
          <w:tcPr>
            <w:tcW w:w="1354" w:type="dxa"/>
          </w:tcPr>
          <w:p w:rsidR="003C36CF" w:rsidRPr="005A3C61" w:rsidRDefault="003C36CF" w:rsidP="0004049A">
            <w:pPr>
              <w:pStyle w:val="naisf"/>
              <w:spacing w:before="0" w:after="0"/>
              <w:ind w:firstLine="0"/>
              <w:jc w:val="left"/>
              <w:rPr>
                <w:b/>
                <w:i/>
                <w:color w:val="000000"/>
              </w:rPr>
            </w:pPr>
          </w:p>
        </w:tc>
        <w:tc>
          <w:tcPr>
            <w:tcW w:w="1355" w:type="dxa"/>
          </w:tcPr>
          <w:p w:rsidR="003C36CF" w:rsidRPr="005A3C61" w:rsidRDefault="003C36CF" w:rsidP="0004049A">
            <w:pPr>
              <w:pStyle w:val="naisf"/>
              <w:spacing w:before="0" w:after="0"/>
              <w:ind w:firstLine="0"/>
              <w:jc w:val="left"/>
              <w:rPr>
                <w:b/>
                <w:i/>
                <w:color w:val="000000"/>
              </w:rPr>
            </w:pPr>
          </w:p>
        </w:tc>
        <w:tc>
          <w:tcPr>
            <w:tcW w:w="1150" w:type="dxa"/>
          </w:tcPr>
          <w:p w:rsidR="003C36CF" w:rsidRPr="005A3C61" w:rsidRDefault="003C36CF" w:rsidP="0004049A">
            <w:pPr>
              <w:pStyle w:val="naisf"/>
              <w:spacing w:before="0" w:after="0"/>
              <w:ind w:firstLine="0"/>
              <w:jc w:val="left"/>
              <w:rPr>
                <w:b/>
                <w:i/>
                <w:color w:val="000000"/>
              </w:rPr>
            </w:pPr>
          </w:p>
        </w:tc>
      </w:tr>
      <w:tr w:rsidR="003C36CF" w:rsidRPr="005A3C61" w:rsidTr="0004049A">
        <w:trPr>
          <w:jc w:val="center"/>
        </w:trPr>
        <w:tc>
          <w:tcPr>
            <w:tcW w:w="2873" w:type="dxa"/>
            <w:vMerge/>
          </w:tcPr>
          <w:p w:rsidR="003C36CF" w:rsidRPr="005A3C61" w:rsidRDefault="003C36CF" w:rsidP="0004049A">
            <w:pPr>
              <w:jc w:val="both"/>
              <w:rPr>
                <w:color w:val="000000"/>
              </w:rPr>
            </w:pPr>
          </w:p>
        </w:tc>
        <w:tc>
          <w:tcPr>
            <w:tcW w:w="1330" w:type="dxa"/>
            <w:vMerge/>
          </w:tcPr>
          <w:p w:rsidR="003C36CF" w:rsidRPr="005A3C61" w:rsidRDefault="003C36CF" w:rsidP="0004049A">
            <w:pPr>
              <w:pStyle w:val="naisf"/>
              <w:spacing w:before="0" w:after="0"/>
              <w:ind w:firstLine="0"/>
              <w:jc w:val="center"/>
              <w:rPr>
                <w:i/>
                <w:color w:val="000000"/>
              </w:rPr>
            </w:pPr>
          </w:p>
        </w:tc>
        <w:tc>
          <w:tcPr>
            <w:tcW w:w="1354" w:type="dxa"/>
          </w:tcPr>
          <w:p w:rsidR="003C36CF" w:rsidRPr="005A3C61" w:rsidRDefault="003C36CF" w:rsidP="0004049A">
            <w:pPr>
              <w:pStyle w:val="naisf"/>
              <w:spacing w:before="0" w:after="0"/>
              <w:ind w:firstLine="0"/>
              <w:jc w:val="left"/>
              <w:rPr>
                <w:b/>
                <w:i/>
                <w:color w:val="000000"/>
              </w:rPr>
            </w:pPr>
          </w:p>
        </w:tc>
        <w:tc>
          <w:tcPr>
            <w:tcW w:w="1354" w:type="dxa"/>
          </w:tcPr>
          <w:p w:rsidR="003C36CF" w:rsidRPr="005A3C61" w:rsidRDefault="003C36CF" w:rsidP="0004049A">
            <w:pPr>
              <w:pStyle w:val="naisf"/>
              <w:spacing w:before="0" w:after="0"/>
              <w:ind w:firstLine="0"/>
              <w:jc w:val="left"/>
              <w:rPr>
                <w:b/>
                <w:i/>
                <w:color w:val="000000"/>
              </w:rPr>
            </w:pPr>
          </w:p>
        </w:tc>
        <w:tc>
          <w:tcPr>
            <w:tcW w:w="1355" w:type="dxa"/>
          </w:tcPr>
          <w:p w:rsidR="003C36CF" w:rsidRPr="005A3C61" w:rsidRDefault="003C36CF" w:rsidP="0004049A">
            <w:pPr>
              <w:pStyle w:val="naisf"/>
              <w:spacing w:before="0" w:after="0"/>
              <w:ind w:firstLine="0"/>
              <w:jc w:val="left"/>
              <w:rPr>
                <w:b/>
                <w:i/>
                <w:color w:val="000000"/>
              </w:rPr>
            </w:pPr>
          </w:p>
        </w:tc>
        <w:tc>
          <w:tcPr>
            <w:tcW w:w="1150" w:type="dxa"/>
          </w:tcPr>
          <w:p w:rsidR="003C36CF" w:rsidRPr="005A3C61" w:rsidRDefault="003C36CF" w:rsidP="0004049A">
            <w:pPr>
              <w:pStyle w:val="naisf"/>
              <w:spacing w:before="0" w:after="0"/>
              <w:ind w:firstLine="0"/>
              <w:jc w:val="left"/>
              <w:rPr>
                <w:b/>
                <w:i/>
                <w:color w:val="000000"/>
              </w:rPr>
            </w:pPr>
          </w:p>
        </w:tc>
      </w:tr>
      <w:tr w:rsidR="003C36CF" w:rsidRPr="005A3C61" w:rsidTr="0004049A">
        <w:trPr>
          <w:jc w:val="center"/>
        </w:trPr>
        <w:tc>
          <w:tcPr>
            <w:tcW w:w="2873" w:type="dxa"/>
            <w:vMerge/>
          </w:tcPr>
          <w:p w:rsidR="003C36CF" w:rsidRPr="005A3C61" w:rsidRDefault="003C36CF" w:rsidP="0004049A">
            <w:pPr>
              <w:jc w:val="both"/>
              <w:rPr>
                <w:color w:val="000000"/>
              </w:rPr>
            </w:pPr>
          </w:p>
        </w:tc>
        <w:tc>
          <w:tcPr>
            <w:tcW w:w="1330" w:type="dxa"/>
            <w:vMerge/>
          </w:tcPr>
          <w:p w:rsidR="003C36CF" w:rsidRPr="005A3C61" w:rsidRDefault="003C36CF" w:rsidP="0004049A">
            <w:pPr>
              <w:pStyle w:val="naisf"/>
              <w:spacing w:before="0" w:after="0"/>
              <w:ind w:firstLine="0"/>
              <w:jc w:val="center"/>
              <w:rPr>
                <w:i/>
                <w:color w:val="000000"/>
              </w:rPr>
            </w:pPr>
          </w:p>
        </w:tc>
        <w:tc>
          <w:tcPr>
            <w:tcW w:w="1354" w:type="dxa"/>
          </w:tcPr>
          <w:p w:rsidR="003C36CF" w:rsidRPr="005A3C61" w:rsidRDefault="003C36CF" w:rsidP="0004049A">
            <w:pPr>
              <w:pStyle w:val="naisf"/>
              <w:spacing w:before="0" w:after="0"/>
              <w:ind w:firstLine="0"/>
              <w:jc w:val="left"/>
              <w:rPr>
                <w:b/>
                <w:i/>
                <w:color w:val="000000"/>
              </w:rPr>
            </w:pPr>
          </w:p>
        </w:tc>
        <w:tc>
          <w:tcPr>
            <w:tcW w:w="1354" w:type="dxa"/>
          </w:tcPr>
          <w:p w:rsidR="003C36CF" w:rsidRPr="005A3C61" w:rsidRDefault="003C36CF" w:rsidP="0004049A">
            <w:pPr>
              <w:pStyle w:val="naisf"/>
              <w:spacing w:before="0" w:after="0"/>
              <w:ind w:firstLine="0"/>
              <w:jc w:val="left"/>
              <w:rPr>
                <w:b/>
                <w:i/>
                <w:color w:val="000000"/>
              </w:rPr>
            </w:pPr>
          </w:p>
        </w:tc>
        <w:tc>
          <w:tcPr>
            <w:tcW w:w="1355" w:type="dxa"/>
          </w:tcPr>
          <w:p w:rsidR="003C36CF" w:rsidRPr="005A3C61" w:rsidRDefault="003C36CF" w:rsidP="0004049A">
            <w:pPr>
              <w:pStyle w:val="naisf"/>
              <w:spacing w:before="0" w:after="0"/>
              <w:ind w:firstLine="0"/>
              <w:jc w:val="left"/>
              <w:rPr>
                <w:b/>
                <w:i/>
                <w:color w:val="000000"/>
              </w:rPr>
            </w:pPr>
          </w:p>
        </w:tc>
        <w:tc>
          <w:tcPr>
            <w:tcW w:w="1150" w:type="dxa"/>
          </w:tcPr>
          <w:p w:rsidR="003C36CF" w:rsidRPr="005A3C61" w:rsidRDefault="003C36CF" w:rsidP="0004049A">
            <w:pPr>
              <w:pStyle w:val="naisf"/>
              <w:spacing w:before="0" w:after="0"/>
              <w:ind w:firstLine="0"/>
              <w:jc w:val="left"/>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5. Precizēta finansiālā ietekme:</w:t>
            </w:r>
          </w:p>
        </w:tc>
        <w:tc>
          <w:tcPr>
            <w:tcW w:w="1330" w:type="dxa"/>
            <w:vMerge w:val="restart"/>
          </w:tcPr>
          <w:p w:rsidR="003C36CF" w:rsidRPr="005A3C61" w:rsidRDefault="003C36CF" w:rsidP="0004049A">
            <w:pPr>
              <w:pStyle w:val="naisf"/>
              <w:spacing w:before="0" w:after="0"/>
              <w:ind w:firstLine="0"/>
              <w:jc w:val="center"/>
              <w:rPr>
                <w:i/>
                <w:color w:val="000000"/>
              </w:rPr>
            </w:pPr>
            <w:r w:rsidRPr="005A3C61">
              <w:rPr>
                <w:color w:val="000000"/>
              </w:rPr>
              <w:t>X</w:t>
            </w:r>
          </w:p>
        </w:tc>
        <w:tc>
          <w:tcPr>
            <w:tcW w:w="1354" w:type="dxa"/>
          </w:tcPr>
          <w:p w:rsidR="003C36CF" w:rsidRPr="005A3C61" w:rsidRDefault="003C36CF" w:rsidP="0004049A">
            <w:pPr>
              <w:pStyle w:val="naisf"/>
              <w:spacing w:before="0" w:after="0"/>
              <w:ind w:firstLine="0"/>
              <w:rPr>
                <w:b/>
                <w:i/>
                <w:color w:val="000000"/>
              </w:rPr>
            </w:pPr>
          </w:p>
        </w:tc>
        <w:tc>
          <w:tcPr>
            <w:tcW w:w="1354" w:type="dxa"/>
          </w:tcPr>
          <w:p w:rsidR="003C36CF" w:rsidRPr="005A3C61" w:rsidRDefault="003C36CF" w:rsidP="0004049A">
            <w:pPr>
              <w:pStyle w:val="naisf"/>
              <w:spacing w:before="0" w:after="0"/>
              <w:ind w:firstLine="0"/>
              <w:rPr>
                <w:b/>
                <w:i/>
                <w:color w:val="000000"/>
              </w:rPr>
            </w:pPr>
          </w:p>
        </w:tc>
        <w:tc>
          <w:tcPr>
            <w:tcW w:w="1355" w:type="dxa"/>
          </w:tcPr>
          <w:p w:rsidR="003C36CF" w:rsidRPr="005A3C61" w:rsidRDefault="003C36CF" w:rsidP="0004049A">
            <w:pPr>
              <w:pStyle w:val="naisf"/>
              <w:spacing w:before="0" w:after="0"/>
              <w:ind w:firstLine="0"/>
              <w:rPr>
                <w:b/>
                <w:i/>
                <w:color w:val="000000"/>
              </w:rPr>
            </w:pPr>
          </w:p>
        </w:tc>
        <w:tc>
          <w:tcPr>
            <w:tcW w:w="1150" w:type="dxa"/>
          </w:tcPr>
          <w:p w:rsidR="003C36CF" w:rsidRPr="005A3C61" w:rsidRDefault="003C36CF"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5.1. valsts pamatbudžets</w:t>
            </w:r>
          </w:p>
        </w:tc>
        <w:tc>
          <w:tcPr>
            <w:tcW w:w="1330" w:type="dxa"/>
            <w:vMerge/>
            <w:vAlign w:val="center"/>
          </w:tcPr>
          <w:p w:rsidR="003C36CF" w:rsidRPr="005A3C61" w:rsidRDefault="003C36CF" w:rsidP="0004049A">
            <w:pPr>
              <w:pStyle w:val="naisf"/>
              <w:spacing w:before="0" w:after="0"/>
              <w:ind w:firstLine="0"/>
              <w:jc w:val="center"/>
              <w:rPr>
                <w:i/>
                <w:color w:val="000000"/>
              </w:rPr>
            </w:pP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5" w:type="dxa"/>
          </w:tcPr>
          <w:p w:rsidR="003C36CF" w:rsidRPr="00D10F81" w:rsidRDefault="003C36CF" w:rsidP="0004049A">
            <w:pPr>
              <w:pStyle w:val="naisf"/>
              <w:spacing w:before="0" w:after="0"/>
              <w:ind w:firstLine="0"/>
              <w:rPr>
                <w:color w:val="000000"/>
              </w:rPr>
            </w:pPr>
            <w:r w:rsidRPr="00D10F81">
              <w:rPr>
                <w:color w:val="000000"/>
              </w:rPr>
              <w:t>0</w:t>
            </w:r>
          </w:p>
        </w:tc>
        <w:tc>
          <w:tcPr>
            <w:tcW w:w="1150" w:type="dxa"/>
          </w:tcPr>
          <w:p w:rsidR="003C36CF" w:rsidRPr="00D10F81" w:rsidRDefault="003C36CF" w:rsidP="0004049A">
            <w:pPr>
              <w:pStyle w:val="naisf"/>
              <w:spacing w:before="0" w:after="0"/>
              <w:ind w:firstLine="0"/>
              <w:rPr>
                <w:color w:val="000000"/>
              </w:rPr>
            </w:pPr>
            <w:r w:rsidRPr="00D10F81">
              <w:rPr>
                <w:color w:val="000000"/>
              </w:rPr>
              <w:t>0</w:t>
            </w: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5.2. speciālais budžets</w:t>
            </w:r>
          </w:p>
        </w:tc>
        <w:tc>
          <w:tcPr>
            <w:tcW w:w="1330" w:type="dxa"/>
            <w:vMerge/>
            <w:vAlign w:val="center"/>
          </w:tcPr>
          <w:p w:rsidR="003C36CF" w:rsidRPr="005A3C61" w:rsidRDefault="003C36CF" w:rsidP="0004049A">
            <w:pPr>
              <w:pStyle w:val="naisf"/>
              <w:spacing w:before="0" w:after="0"/>
              <w:ind w:firstLine="0"/>
              <w:jc w:val="center"/>
              <w:rPr>
                <w:i/>
                <w:color w:val="000000"/>
              </w:rPr>
            </w:pP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5" w:type="dxa"/>
          </w:tcPr>
          <w:p w:rsidR="003C36CF" w:rsidRPr="00D10F81" w:rsidRDefault="003C36CF" w:rsidP="0004049A">
            <w:pPr>
              <w:pStyle w:val="naisf"/>
              <w:spacing w:before="0" w:after="0"/>
              <w:ind w:firstLine="0"/>
              <w:rPr>
                <w:color w:val="000000"/>
              </w:rPr>
            </w:pPr>
            <w:r w:rsidRPr="00D10F81">
              <w:rPr>
                <w:color w:val="000000"/>
              </w:rPr>
              <w:t>0</w:t>
            </w:r>
          </w:p>
        </w:tc>
        <w:tc>
          <w:tcPr>
            <w:tcW w:w="1150" w:type="dxa"/>
          </w:tcPr>
          <w:p w:rsidR="003C36CF" w:rsidRPr="00D10F81" w:rsidRDefault="003C36CF" w:rsidP="0004049A">
            <w:pPr>
              <w:pStyle w:val="naisf"/>
              <w:spacing w:before="0" w:after="0"/>
              <w:ind w:firstLine="0"/>
              <w:rPr>
                <w:color w:val="000000"/>
              </w:rPr>
            </w:pPr>
            <w:r w:rsidRPr="00D10F81">
              <w:rPr>
                <w:color w:val="000000"/>
              </w:rPr>
              <w:t>0</w:t>
            </w: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 xml:space="preserve">5.3. pašvaldību budžets </w:t>
            </w:r>
          </w:p>
        </w:tc>
        <w:tc>
          <w:tcPr>
            <w:tcW w:w="1330" w:type="dxa"/>
            <w:vMerge/>
            <w:vAlign w:val="center"/>
          </w:tcPr>
          <w:p w:rsidR="003C36CF" w:rsidRPr="005A3C61" w:rsidRDefault="003C36CF" w:rsidP="0004049A">
            <w:pPr>
              <w:pStyle w:val="naisf"/>
              <w:spacing w:before="0" w:after="0"/>
              <w:ind w:firstLine="0"/>
              <w:jc w:val="center"/>
              <w:rPr>
                <w:i/>
                <w:color w:val="000000"/>
              </w:rPr>
            </w:pP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4" w:type="dxa"/>
          </w:tcPr>
          <w:p w:rsidR="003C36CF" w:rsidRPr="00D10F81" w:rsidRDefault="003C36CF" w:rsidP="0004049A">
            <w:pPr>
              <w:pStyle w:val="naisf"/>
              <w:spacing w:before="0" w:after="0"/>
              <w:ind w:firstLine="0"/>
              <w:rPr>
                <w:color w:val="000000"/>
              </w:rPr>
            </w:pPr>
            <w:r w:rsidRPr="00D10F81">
              <w:rPr>
                <w:color w:val="000000"/>
              </w:rPr>
              <w:t>0</w:t>
            </w:r>
          </w:p>
        </w:tc>
        <w:tc>
          <w:tcPr>
            <w:tcW w:w="1355" w:type="dxa"/>
          </w:tcPr>
          <w:p w:rsidR="003C36CF" w:rsidRPr="00D10F81" w:rsidRDefault="003C36CF" w:rsidP="0004049A">
            <w:pPr>
              <w:pStyle w:val="naisf"/>
              <w:spacing w:before="0" w:after="0"/>
              <w:ind w:firstLine="0"/>
              <w:rPr>
                <w:color w:val="000000"/>
              </w:rPr>
            </w:pPr>
            <w:r w:rsidRPr="00D10F81">
              <w:rPr>
                <w:color w:val="000000"/>
              </w:rPr>
              <w:t>0</w:t>
            </w:r>
          </w:p>
        </w:tc>
        <w:tc>
          <w:tcPr>
            <w:tcW w:w="1150" w:type="dxa"/>
          </w:tcPr>
          <w:p w:rsidR="003C36CF" w:rsidRPr="00D10F81" w:rsidRDefault="003C36CF" w:rsidP="0004049A">
            <w:pPr>
              <w:pStyle w:val="naisf"/>
              <w:spacing w:before="0" w:after="0"/>
              <w:ind w:firstLine="0"/>
              <w:rPr>
                <w:color w:val="000000"/>
              </w:rPr>
            </w:pPr>
            <w:r w:rsidRPr="00D10F81">
              <w:rPr>
                <w:color w:val="000000"/>
              </w:rPr>
              <w:t>0</w:t>
            </w: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6. Detalizēts ieņēmumu un izdevu</w:t>
            </w:r>
            <w:r w:rsidRPr="005A3C61">
              <w:rPr>
                <w:color w:val="000000"/>
              </w:rPr>
              <w:softHyphen/>
              <w:t>mu aprēķins (ja nepieciešams, detalizētu ieņēmumu un izdevumu aprēķinu var pievienot anotācijas pielikumā):</w:t>
            </w:r>
          </w:p>
        </w:tc>
        <w:tc>
          <w:tcPr>
            <w:tcW w:w="6543" w:type="dxa"/>
            <w:gridSpan w:val="5"/>
          </w:tcPr>
          <w:p w:rsidR="003C36CF" w:rsidRDefault="003C36CF" w:rsidP="0004049A">
            <w:pPr>
              <w:pStyle w:val="naisf"/>
              <w:spacing w:before="0" w:after="0"/>
              <w:ind w:firstLine="452"/>
              <w:rPr>
                <w:color w:val="000000"/>
              </w:rPr>
            </w:pPr>
          </w:p>
          <w:p w:rsidR="00EE48FC" w:rsidRDefault="00EE48FC" w:rsidP="0004049A">
            <w:pPr>
              <w:pStyle w:val="naisf"/>
              <w:spacing w:before="0" w:after="0"/>
              <w:ind w:firstLine="452"/>
              <w:rPr>
                <w:color w:val="000000"/>
              </w:rPr>
            </w:pPr>
          </w:p>
          <w:p w:rsidR="00EE48FC" w:rsidRDefault="00EE48FC" w:rsidP="0004049A">
            <w:pPr>
              <w:pStyle w:val="naisf"/>
              <w:spacing w:before="0" w:after="0"/>
              <w:ind w:firstLine="452"/>
              <w:rPr>
                <w:color w:val="000000"/>
              </w:rPr>
            </w:pPr>
          </w:p>
          <w:p w:rsidR="00EE48FC" w:rsidRDefault="00EE48FC" w:rsidP="0004049A">
            <w:pPr>
              <w:pStyle w:val="naisf"/>
              <w:spacing w:before="0" w:after="0"/>
              <w:ind w:firstLine="452"/>
              <w:rPr>
                <w:color w:val="000000"/>
              </w:rPr>
            </w:pPr>
          </w:p>
          <w:p w:rsidR="00EE48FC" w:rsidRDefault="00EE48FC" w:rsidP="0004049A">
            <w:pPr>
              <w:pStyle w:val="naisf"/>
              <w:spacing w:before="0" w:after="0"/>
              <w:ind w:firstLine="452"/>
              <w:rPr>
                <w:color w:val="000000"/>
              </w:rPr>
            </w:pPr>
          </w:p>
          <w:p w:rsidR="00EE48FC" w:rsidRDefault="00EE48FC" w:rsidP="0004049A">
            <w:pPr>
              <w:pStyle w:val="naisf"/>
              <w:spacing w:before="0" w:after="0"/>
              <w:ind w:firstLine="452"/>
              <w:rPr>
                <w:color w:val="000000"/>
              </w:rPr>
            </w:pPr>
          </w:p>
          <w:p w:rsidR="00EE48FC" w:rsidRPr="005A3C61" w:rsidRDefault="00EE48FC" w:rsidP="0004049A">
            <w:pPr>
              <w:pStyle w:val="naisf"/>
              <w:spacing w:before="0" w:after="0"/>
              <w:ind w:firstLine="452"/>
              <w:rPr>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6.1. detalizēts ieņēmumu aprēķins</w:t>
            </w:r>
          </w:p>
        </w:tc>
        <w:tc>
          <w:tcPr>
            <w:tcW w:w="6543" w:type="dxa"/>
            <w:gridSpan w:val="5"/>
          </w:tcPr>
          <w:p w:rsidR="003C36CF" w:rsidRDefault="003C36CF" w:rsidP="0004049A">
            <w:pPr>
              <w:pStyle w:val="naisf"/>
              <w:spacing w:before="0" w:after="0"/>
              <w:ind w:firstLine="0"/>
              <w:rPr>
                <w:b/>
                <w:i/>
                <w:color w:val="000000"/>
              </w:rPr>
            </w:pPr>
          </w:p>
          <w:p w:rsidR="00C17E37" w:rsidRDefault="00C17E37" w:rsidP="0004049A">
            <w:pPr>
              <w:pStyle w:val="naisf"/>
              <w:spacing w:before="0" w:after="0"/>
              <w:ind w:firstLine="0"/>
              <w:rPr>
                <w:b/>
                <w:i/>
                <w:color w:val="000000"/>
              </w:rPr>
            </w:pPr>
          </w:p>
          <w:p w:rsidR="00C17E37" w:rsidRPr="005A3C61" w:rsidRDefault="00C17E37"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6.2. detalizēts izdevumu aprēķins</w:t>
            </w:r>
          </w:p>
        </w:tc>
        <w:tc>
          <w:tcPr>
            <w:tcW w:w="6543" w:type="dxa"/>
            <w:gridSpan w:val="5"/>
          </w:tcPr>
          <w:p w:rsidR="003C36CF" w:rsidRDefault="003C36CF" w:rsidP="0004049A">
            <w:pPr>
              <w:pStyle w:val="naisf"/>
              <w:spacing w:before="0" w:after="0"/>
              <w:ind w:firstLine="0"/>
              <w:rPr>
                <w:b/>
                <w:i/>
                <w:color w:val="000000"/>
              </w:rPr>
            </w:pPr>
          </w:p>
          <w:p w:rsidR="00C17E37" w:rsidRDefault="00C17E37" w:rsidP="0004049A">
            <w:pPr>
              <w:pStyle w:val="naisf"/>
              <w:spacing w:before="0" w:after="0"/>
              <w:ind w:firstLine="0"/>
              <w:rPr>
                <w:b/>
                <w:i/>
                <w:color w:val="000000"/>
              </w:rPr>
            </w:pPr>
          </w:p>
          <w:p w:rsidR="00C17E37" w:rsidRPr="005A3C61" w:rsidRDefault="00C17E37" w:rsidP="0004049A">
            <w:pPr>
              <w:pStyle w:val="naisf"/>
              <w:spacing w:before="0" w:after="0"/>
              <w:ind w:firstLine="0"/>
              <w:rPr>
                <w:b/>
                <w:i/>
                <w:color w:val="000000"/>
              </w:rPr>
            </w:pPr>
          </w:p>
        </w:tc>
      </w:tr>
      <w:tr w:rsidR="003C36CF" w:rsidRPr="005A3C61" w:rsidTr="0004049A">
        <w:trPr>
          <w:jc w:val="center"/>
        </w:trPr>
        <w:tc>
          <w:tcPr>
            <w:tcW w:w="2873" w:type="dxa"/>
          </w:tcPr>
          <w:p w:rsidR="003C36CF" w:rsidRPr="005A3C61" w:rsidRDefault="003C36CF" w:rsidP="0004049A">
            <w:pPr>
              <w:jc w:val="both"/>
              <w:rPr>
                <w:color w:val="000000"/>
              </w:rPr>
            </w:pPr>
            <w:r w:rsidRPr="005A3C61">
              <w:rPr>
                <w:color w:val="000000"/>
              </w:rPr>
              <w:t>7. Cita informācija</w:t>
            </w:r>
          </w:p>
        </w:tc>
        <w:tc>
          <w:tcPr>
            <w:tcW w:w="6543" w:type="dxa"/>
            <w:gridSpan w:val="5"/>
          </w:tcPr>
          <w:p w:rsidR="003C36CF" w:rsidRDefault="003C36CF" w:rsidP="00686998">
            <w:pPr>
              <w:pStyle w:val="naisf"/>
              <w:spacing w:before="0" w:after="0"/>
              <w:ind w:firstLine="0"/>
              <w:rPr>
                <w:iCs/>
                <w:sz w:val="23"/>
                <w:szCs w:val="23"/>
              </w:rPr>
            </w:pPr>
            <w:r w:rsidRPr="00706517">
              <w:rPr>
                <w:iCs/>
                <w:sz w:val="23"/>
                <w:szCs w:val="23"/>
              </w:rPr>
              <w:t>Grozījumu ietekmi (iespējamo ieņēmumu samazinājumu vai izdevumu palielinājumu) iespējams segt, nemainot attiecīgajās budžeta programmās vai apakšprogrammās finansējuma sadalījumu pa ieņēmumu, izdevumu vai finansēšanas klasifikācijas kodiem.</w:t>
            </w:r>
          </w:p>
          <w:p w:rsidR="003C36CF" w:rsidRDefault="003C36CF" w:rsidP="00A271ED">
            <w:pPr>
              <w:pStyle w:val="naisf"/>
              <w:spacing w:before="0" w:after="0"/>
              <w:ind w:firstLine="0"/>
              <w:rPr>
                <w:b/>
                <w:iCs/>
                <w:sz w:val="23"/>
                <w:szCs w:val="23"/>
              </w:rPr>
            </w:pPr>
            <w:r w:rsidRPr="00B54580">
              <w:rPr>
                <w:b/>
                <w:sz w:val="23"/>
                <w:szCs w:val="23"/>
              </w:rPr>
              <w:t xml:space="preserve">Izdevumus par intervencē iepirktās labības transportēšanu </w:t>
            </w:r>
            <w:r w:rsidRPr="00B54580">
              <w:rPr>
                <w:b/>
                <w:bCs/>
                <w:sz w:val="23"/>
                <w:szCs w:val="23"/>
              </w:rPr>
              <w:t xml:space="preserve">līdz intervences centram </w:t>
            </w:r>
            <w:r w:rsidRPr="00B54580">
              <w:rPr>
                <w:b/>
                <w:sz w:val="23"/>
                <w:szCs w:val="23"/>
              </w:rPr>
              <w:t>attālumā</w:t>
            </w:r>
            <w:r w:rsidRPr="00B54580">
              <w:rPr>
                <w:b/>
                <w:bCs/>
                <w:sz w:val="23"/>
                <w:szCs w:val="23"/>
              </w:rPr>
              <w:t xml:space="preserve">, kas pārsniedz 100 km, </w:t>
            </w:r>
            <w:r w:rsidRPr="00B54580">
              <w:rPr>
                <w:b/>
                <w:iCs/>
                <w:sz w:val="23"/>
                <w:szCs w:val="23"/>
              </w:rPr>
              <w:t>sākotnēji sedz Lauku atbalsta dienests, bet</w:t>
            </w:r>
            <w:r w:rsidR="00A271ED" w:rsidRPr="00B54580">
              <w:rPr>
                <w:b/>
                <w:iCs/>
                <w:sz w:val="23"/>
                <w:szCs w:val="23"/>
              </w:rPr>
              <w:t xml:space="preserve"> pēc</w:t>
            </w:r>
            <w:r w:rsidRPr="00B54580">
              <w:rPr>
                <w:b/>
                <w:iCs/>
                <w:sz w:val="23"/>
                <w:szCs w:val="23"/>
              </w:rPr>
              <w:t xml:space="preserve"> intervences perioda</w:t>
            </w:r>
            <w:r w:rsidR="00A271ED" w:rsidRPr="00B54580">
              <w:rPr>
                <w:b/>
                <w:iCs/>
                <w:sz w:val="23"/>
                <w:szCs w:val="23"/>
              </w:rPr>
              <w:t xml:space="preserve"> beigām</w:t>
            </w:r>
            <w:r w:rsidRPr="00B54580">
              <w:rPr>
                <w:b/>
                <w:iCs/>
                <w:sz w:val="23"/>
                <w:szCs w:val="23"/>
              </w:rPr>
              <w:t xml:space="preserve"> Lauku atbalsta dienests sagatavo finansējuma pieprasījumu Eiropas Komisijai.</w:t>
            </w:r>
          </w:p>
          <w:p w:rsidR="00DB333F" w:rsidRPr="00DB333F" w:rsidRDefault="00DB333F" w:rsidP="00DB333F">
            <w:pPr>
              <w:pStyle w:val="naisf"/>
              <w:spacing w:before="0" w:after="0"/>
              <w:ind w:firstLine="0"/>
              <w:rPr>
                <w:b/>
                <w:bCs/>
              </w:rPr>
            </w:pPr>
            <w:r w:rsidRPr="00DB333F">
              <w:rPr>
                <w:b/>
                <w:bCs/>
              </w:rPr>
              <w:t>Laikposmā no 2010. līdz 2013.gadam labības iepirkšana intervencē nav notikusi, līdz ar to, arī, nav bijusi nepieciešamība izmaksāt kompensācijas par labības transportēšanu</w:t>
            </w:r>
            <w:r w:rsidRPr="00DB333F">
              <w:rPr>
                <w:b/>
                <w:bCs/>
                <w:iCs/>
              </w:rPr>
              <w:t xml:space="preserve"> </w:t>
            </w:r>
            <w:r w:rsidRPr="00DB333F">
              <w:rPr>
                <w:b/>
                <w:bCs/>
              </w:rPr>
              <w:t>virs 100 km. Savukārt, 2005.gadā kompensācijām par intervencē iepirktās labības (kviešu un miežu) transportēšanu izmaksāti 34,9 tūkst. Ls.</w:t>
            </w:r>
          </w:p>
          <w:p w:rsidR="005E274E" w:rsidRPr="00DB333F" w:rsidRDefault="00DB333F" w:rsidP="00DB333F">
            <w:pPr>
              <w:jc w:val="both"/>
              <w:rPr>
                <w:b/>
                <w:bCs/>
                <w:color w:val="FF0000"/>
              </w:rPr>
            </w:pPr>
            <w:r w:rsidRPr="00DB333F">
              <w:rPr>
                <w:b/>
                <w:bCs/>
              </w:rPr>
              <w:t xml:space="preserve">Šīs kompensācijas tiek izmaksātas par intervencē iepirktas labības transportēšanu (pēc šā brīža regulējuma – tikai </w:t>
            </w:r>
            <w:r w:rsidRPr="00DB333F">
              <w:rPr>
                <w:b/>
                <w:bCs/>
              </w:rPr>
              <w:lastRenderedPageBreak/>
              <w:t>kviešu), bet intervence tiek uzsākta tikai nelabvēlīgos cenu un tirgus apstākļos, ko nav iespējams prognozēt, attiecīgi nav iespējams paredzēt, vai konkrētā gadā būs nepieciešams piešķirt kompensācijas par transportēšanu</w:t>
            </w:r>
            <w:r w:rsidRPr="00DB333F">
              <w:rPr>
                <w:b/>
                <w:bCs/>
                <w:iCs/>
              </w:rPr>
              <w:t xml:space="preserve"> </w:t>
            </w:r>
            <w:r>
              <w:rPr>
                <w:b/>
                <w:bCs/>
                <w:iCs/>
              </w:rPr>
              <w:t xml:space="preserve">kopējā </w:t>
            </w:r>
            <w:r w:rsidRPr="00DB333F">
              <w:rPr>
                <w:b/>
                <w:bCs/>
                <w:iCs/>
              </w:rPr>
              <w:t>piešķi</w:t>
            </w:r>
            <w:r>
              <w:rPr>
                <w:b/>
                <w:bCs/>
                <w:iCs/>
              </w:rPr>
              <w:t>rtā</w:t>
            </w:r>
            <w:r w:rsidRPr="00DB333F">
              <w:rPr>
                <w:b/>
                <w:bCs/>
                <w:iCs/>
              </w:rPr>
              <w:t xml:space="preserve"> tirgus intervences finansējuma ietvaros.</w:t>
            </w:r>
          </w:p>
        </w:tc>
      </w:tr>
    </w:tbl>
    <w:p w:rsidR="003C36CF" w:rsidRDefault="003C36CF" w:rsidP="006B2B43">
      <w:pPr>
        <w:pStyle w:val="naisf"/>
        <w:spacing w:before="0" w:after="0"/>
      </w:pPr>
    </w:p>
    <w:p w:rsidR="003C36CF" w:rsidRPr="0085394C" w:rsidRDefault="003C36CF" w:rsidP="006B2B43">
      <w:pPr>
        <w:pStyle w:val="naisf"/>
        <w:spacing w:before="0" w:after="0"/>
        <w:rPr>
          <w:i/>
        </w:rPr>
      </w:pPr>
      <w:r w:rsidRPr="0085394C">
        <w:rPr>
          <w:i/>
        </w:rPr>
        <w:t>Anotācijas IV</w:t>
      </w:r>
      <w:r>
        <w:rPr>
          <w:i/>
        </w:rPr>
        <w:t xml:space="preserve">, V, VI un VII </w:t>
      </w:r>
      <w:r w:rsidRPr="0085394C">
        <w:rPr>
          <w:i/>
        </w:rPr>
        <w:t xml:space="preserve">sadaļa – projekts šo jomu neskar. </w:t>
      </w:r>
    </w:p>
    <w:p w:rsidR="003C36CF" w:rsidRPr="00996A74" w:rsidRDefault="003C36CF" w:rsidP="006B2B43">
      <w:pPr>
        <w:pStyle w:val="naiskr"/>
        <w:tabs>
          <w:tab w:val="left" w:pos="2628"/>
        </w:tabs>
        <w:spacing w:before="0" w:after="0"/>
        <w:rPr>
          <w:sz w:val="22"/>
          <w:szCs w:val="22"/>
        </w:rPr>
      </w:pPr>
    </w:p>
    <w:p w:rsidR="003C36CF" w:rsidRPr="00996A74" w:rsidRDefault="003C36CF" w:rsidP="006C4607">
      <w:pPr>
        <w:pStyle w:val="naisf"/>
        <w:spacing w:before="0" w:after="0"/>
      </w:pPr>
    </w:p>
    <w:p w:rsidR="003C36CF" w:rsidRPr="00996A74" w:rsidRDefault="003C36CF" w:rsidP="003608D6">
      <w:pPr>
        <w:pStyle w:val="naisf"/>
        <w:spacing w:before="0" w:after="0"/>
        <w:ind w:firstLine="0"/>
        <w:rPr>
          <w:sz w:val="28"/>
          <w:szCs w:val="28"/>
        </w:rPr>
      </w:pPr>
    </w:p>
    <w:p w:rsidR="003C36CF" w:rsidRPr="00996A74" w:rsidRDefault="003C36CF" w:rsidP="00C10F85">
      <w:pPr>
        <w:ind w:firstLine="709"/>
        <w:jc w:val="both"/>
        <w:rPr>
          <w:sz w:val="28"/>
          <w:szCs w:val="28"/>
        </w:rPr>
      </w:pPr>
      <w:r w:rsidRPr="00996A74">
        <w:rPr>
          <w:sz w:val="28"/>
          <w:szCs w:val="28"/>
        </w:rPr>
        <w:t>Zemkopības ministr</w:t>
      </w:r>
      <w:r>
        <w:rPr>
          <w:sz w:val="28"/>
          <w:szCs w:val="28"/>
        </w:rPr>
        <w:t>e</w:t>
      </w:r>
      <w:r w:rsidRPr="00996A74">
        <w:rPr>
          <w:sz w:val="28"/>
          <w:szCs w:val="28"/>
        </w:rPr>
        <w:t xml:space="preserve"> </w:t>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Pr>
          <w:sz w:val="28"/>
          <w:szCs w:val="28"/>
        </w:rPr>
        <w:t>L.Straujuma</w:t>
      </w:r>
    </w:p>
    <w:p w:rsidR="003C36CF" w:rsidRPr="00996A74" w:rsidRDefault="003C36CF" w:rsidP="00C10F85">
      <w:pPr>
        <w:ind w:firstLine="709"/>
        <w:jc w:val="both"/>
        <w:rPr>
          <w:sz w:val="28"/>
          <w:szCs w:val="28"/>
        </w:rPr>
      </w:pPr>
    </w:p>
    <w:p w:rsidR="003C36CF" w:rsidRDefault="003C36CF" w:rsidP="00C10F85">
      <w:pPr>
        <w:ind w:firstLine="709"/>
        <w:jc w:val="both"/>
        <w:rPr>
          <w:sz w:val="28"/>
          <w:szCs w:val="28"/>
        </w:rPr>
      </w:pPr>
    </w:p>
    <w:p w:rsidR="003C36CF" w:rsidRPr="00996A74" w:rsidRDefault="003C36CF" w:rsidP="00C10F85">
      <w:pPr>
        <w:ind w:firstLine="709"/>
        <w:jc w:val="both"/>
        <w:rPr>
          <w:sz w:val="28"/>
          <w:szCs w:val="28"/>
        </w:rPr>
      </w:pPr>
    </w:p>
    <w:p w:rsidR="003C36CF" w:rsidRDefault="003C36CF"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Default="00855ADE" w:rsidP="00C10F85">
      <w:pPr>
        <w:ind w:firstLine="709"/>
        <w:jc w:val="both"/>
        <w:rPr>
          <w:sz w:val="28"/>
          <w:szCs w:val="28"/>
        </w:rPr>
      </w:pPr>
    </w:p>
    <w:p w:rsidR="00855ADE" w:rsidRPr="00855ADE" w:rsidRDefault="00855ADE" w:rsidP="00C10F85">
      <w:pPr>
        <w:ind w:firstLine="709"/>
        <w:jc w:val="both"/>
        <w:rPr>
          <w:sz w:val="20"/>
          <w:szCs w:val="20"/>
        </w:rPr>
      </w:pPr>
    </w:p>
    <w:p w:rsidR="003C36CF" w:rsidRPr="00855ADE" w:rsidRDefault="00616C04" w:rsidP="00C10F85">
      <w:pPr>
        <w:rPr>
          <w:sz w:val="20"/>
          <w:szCs w:val="20"/>
        </w:rPr>
      </w:pPr>
      <w:r w:rsidRPr="00855ADE">
        <w:rPr>
          <w:sz w:val="20"/>
          <w:szCs w:val="20"/>
        </w:rPr>
        <w:fldChar w:fldCharType="begin"/>
      </w:r>
      <w:r w:rsidR="003C36CF" w:rsidRPr="00855ADE">
        <w:rPr>
          <w:sz w:val="20"/>
          <w:szCs w:val="20"/>
        </w:rPr>
        <w:instrText xml:space="preserve"> TIME \@ "yyyy.MM.dd. H:mm" </w:instrText>
      </w:r>
      <w:r w:rsidRPr="00855ADE">
        <w:rPr>
          <w:sz w:val="20"/>
          <w:szCs w:val="20"/>
        </w:rPr>
        <w:fldChar w:fldCharType="separate"/>
      </w:r>
      <w:r w:rsidR="00855ADE" w:rsidRPr="00855ADE">
        <w:rPr>
          <w:noProof/>
          <w:sz w:val="20"/>
          <w:szCs w:val="20"/>
        </w:rPr>
        <w:t>2013.07.23. 17:07</w:t>
      </w:r>
      <w:r w:rsidRPr="00855ADE">
        <w:rPr>
          <w:sz w:val="20"/>
          <w:szCs w:val="20"/>
        </w:rPr>
        <w:fldChar w:fldCharType="end"/>
      </w:r>
    </w:p>
    <w:p w:rsidR="00855ADE" w:rsidRPr="00855ADE" w:rsidRDefault="00855ADE" w:rsidP="00C10F85">
      <w:pPr>
        <w:rPr>
          <w:sz w:val="20"/>
          <w:szCs w:val="20"/>
        </w:rPr>
      </w:pPr>
      <w:fldSimple w:instr=" NUMWORDS   \* MERGEFORMAT ">
        <w:r w:rsidRPr="00855ADE">
          <w:rPr>
            <w:noProof/>
            <w:sz w:val="20"/>
            <w:szCs w:val="20"/>
          </w:rPr>
          <w:t>785</w:t>
        </w:r>
      </w:fldSimple>
    </w:p>
    <w:p w:rsidR="003C36CF" w:rsidRPr="00855ADE" w:rsidRDefault="003C36CF" w:rsidP="00C10F85">
      <w:pPr>
        <w:rPr>
          <w:sz w:val="20"/>
          <w:szCs w:val="20"/>
          <w:lang w:val="pl-PL"/>
        </w:rPr>
      </w:pPr>
      <w:r w:rsidRPr="00855ADE">
        <w:rPr>
          <w:sz w:val="20"/>
          <w:szCs w:val="20"/>
          <w:lang w:val="pl-PL"/>
        </w:rPr>
        <w:t>I.Orlova</w:t>
      </w:r>
    </w:p>
    <w:p w:rsidR="003C36CF" w:rsidRPr="00855ADE" w:rsidRDefault="003C36CF" w:rsidP="00FE01CF">
      <w:pPr>
        <w:tabs>
          <w:tab w:val="left" w:pos="3744"/>
        </w:tabs>
        <w:rPr>
          <w:sz w:val="20"/>
          <w:szCs w:val="20"/>
        </w:rPr>
      </w:pPr>
      <w:r w:rsidRPr="00855ADE">
        <w:rPr>
          <w:sz w:val="20"/>
          <w:szCs w:val="20"/>
          <w:lang w:val="pl-PL"/>
        </w:rPr>
        <w:t>67027376, Inga.Orlova@zm.gov.lv</w:t>
      </w:r>
    </w:p>
    <w:sectPr w:rsidR="003C36CF" w:rsidRPr="00855ADE" w:rsidSect="007D632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87" w:rsidRDefault="00A06887">
      <w:r>
        <w:separator/>
      </w:r>
    </w:p>
  </w:endnote>
  <w:endnote w:type="continuationSeparator" w:id="0">
    <w:p w:rsidR="00A06887" w:rsidRDefault="00A06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DE" w:rsidRPr="00D15962" w:rsidRDefault="00855ADE" w:rsidP="00855ADE">
    <w:pPr>
      <w:jc w:val="both"/>
      <w:rPr>
        <w:sz w:val="20"/>
        <w:szCs w:val="20"/>
      </w:rPr>
    </w:pPr>
    <w:r w:rsidRPr="00D15962">
      <w:rPr>
        <w:sz w:val="20"/>
        <w:szCs w:val="20"/>
      </w:rPr>
      <w:t>ZM</w:t>
    </w:r>
    <w:r>
      <w:rPr>
        <w:sz w:val="20"/>
        <w:szCs w:val="20"/>
      </w:rPr>
      <w:t>An</w:t>
    </w:r>
    <w:r w:rsidRPr="00D15962">
      <w:rPr>
        <w:sz w:val="20"/>
        <w:szCs w:val="20"/>
      </w:rPr>
      <w:t>ot_</w:t>
    </w:r>
    <w:r>
      <w:rPr>
        <w:sz w:val="20"/>
        <w:szCs w:val="20"/>
      </w:rPr>
      <w:t>190713_</w:t>
    </w:r>
    <w:r w:rsidRPr="00D15962">
      <w:rPr>
        <w:sz w:val="20"/>
        <w:szCs w:val="20"/>
      </w:rPr>
      <w:t>Intervence; Grozījumi Ministru kabineta 2011.gada 25.janvāra noteikumos Nr.74 „Kārtība, kādā tiek administrēti un uzraudzīti tirgus intervences pasākumi augkopības un lopkopības produktu tirgū”</w:t>
    </w:r>
  </w:p>
  <w:p w:rsidR="005E274E" w:rsidRPr="00855ADE" w:rsidRDefault="005E274E" w:rsidP="00855ADE">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4E" w:rsidRPr="00D15962" w:rsidRDefault="005E274E" w:rsidP="00BD7DFC">
    <w:pPr>
      <w:jc w:val="both"/>
      <w:rPr>
        <w:sz w:val="20"/>
        <w:szCs w:val="20"/>
      </w:rPr>
    </w:pPr>
    <w:r w:rsidRPr="00D15962">
      <w:rPr>
        <w:sz w:val="20"/>
        <w:szCs w:val="20"/>
      </w:rPr>
      <w:t>ZM</w:t>
    </w:r>
    <w:r>
      <w:rPr>
        <w:sz w:val="20"/>
        <w:szCs w:val="20"/>
      </w:rPr>
      <w:t>A</w:t>
    </w:r>
    <w:r w:rsidR="00855ADE">
      <w:rPr>
        <w:sz w:val="20"/>
        <w:szCs w:val="20"/>
      </w:rPr>
      <w:t>n</w:t>
    </w:r>
    <w:r w:rsidRPr="00D15962">
      <w:rPr>
        <w:sz w:val="20"/>
        <w:szCs w:val="20"/>
      </w:rPr>
      <w:t>ot_</w:t>
    </w:r>
    <w:r w:rsidR="00DB333F">
      <w:rPr>
        <w:sz w:val="20"/>
        <w:szCs w:val="20"/>
      </w:rPr>
      <w:t>19</w:t>
    </w:r>
    <w:r>
      <w:rPr>
        <w:sz w:val="20"/>
        <w:szCs w:val="20"/>
      </w:rPr>
      <w:t>07</w:t>
    </w:r>
    <w:r w:rsidR="00855ADE">
      <w:rPr>
        <w:sz w:val="20"/>
        <w:szCs w:val="20"/>
      </w:rPr>
      <w:t>13_</w:t>
    </w:r>
    <w:r w:rsidRPr="00D15962">
      <w:rPr>
        <w:sz w:val="20"/>
        <w:szCs w:val="20"/>
      </w:rPr>
      <w:t>Intervence; Grozījumi Ministru kabineta 2011.gada 25.janvāra noteikumos Nr.74 „Kārtība, kādā tiek administrēti un uzraudzīti tirgus intervences pasākumi augkopības un lopkopības produktu tirgū”</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87" w:rsidRDefault="00A06887">
      <w:r>
        <w:separator/>
      </w:r>
    </w:p>
  </w:footnote>
  <w:footnote w:type="continuationSeparator" w:id="0">
    <w:p w:rsidR="00A06887" w:rsidRDefault="00A06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4E" w:rsidRDefault="00616C04" w:rsidP="003C449B">
    <w:pPr>
      <w:pStyle w:val="Galvene"/>
      <w:framePr w:wrap="around" w:vAnchor="text" w:hAnchor="margin" w:xAlign="center" w:y="1"/>
      <w:rPr>
        <w:rStyle w:val="Lappusesnumurs"/>
      </w:rPr>
    </w:pPr>
    <w:r>
      <w:rPr>
        <w:rStyle w:val="Lappusesnumurs"/>
      </w:rPr>
      <w:fldChar w:fldCharType="begin"/>
    </w:r>
    <w:r w:rsidR="005E274E">
      <w:rPr>
        <w:rStyle w:val="Lappusesnumurs"/>
      </w:rPr>
      <w:instrText xml:space="preserve">PAGE  </w:instrText>
    </w:r>
    <w:r>
      <w:rPr>
        <w:rStyle w:val="Lappusesnumurs"/>
      </w:rPr>
      <w:fldChar w:fldCharType="end"/>
    </w:r>
  </w:p>
  <w:p w:rsidR="005E274E" w:rsidRDefault="005E274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4E" w:rsidRDefault="00616C04" w:rsidP="003C449B">
    <w:pPr>
      <w:pStyle w:val="Galvene"/>
      <w:framePr w:wrap="around" w:vAnchor="text" w:hAnchor="margin" w:xAlign="center" w:y="1"/>
      <w:rPr>
        <w:rStyle w:val="Lappusesnumurs"/>
      </w:rPr>
    </w:pPr>
    <w:r>
      <w:rPr>
        <w:rStyle w:val="Lappusesnumurs"/>
      </w:rPr>
      <w:fldChar w:fldCharType="begin"/>
    </w:r>
    <w:r w:rsidR="005E274E">
      <w:rPr>
        <w:rStyle w:val="Lappusesnumurs"/>
      </w:rPr>
      <w:instrText xml:space="preserve">PAGE  </w:instrText>
    </w:r>
    <w:r>
      <w:rPr>
        <w:rStyle w:val="Lappusesnumurs"/>
      </w:rPr>
      <w:fldChar w:fldCharType="separate"/>
    </w:r>
    <w:r w:rsidR="00855ADE">
      <w:rPr>
        <w:rStyle w:val="Lappusesnumurs"/>
        <w:noProof/>
      </w:rPr>
      <w:t>2</w:t>
    </w:r>
    <w:r>
      <w:rPr>
        <w:rStyle w:val="Lappusesnumurs"/>
      </w:rPr>
      <w:fldChar w:fldCharType="end"/>
    </w:r>
  </w:p>
  <w:p w:rsidR="005E274E" w:rsidRDefault="005E274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B65E13"/>
    <w:multiLevelType w:val="hybridMultilevel"/>
    <w:tmpl w:val="7DA23B82"/>
    <w:lvl w:ilvl="0" w:tplc="4D704D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43ABA"/>
    <w:multiLevelType w:val="hybridMultilevel"/>
    <w:tmpl w:val="405216EA"/>
    <w:lvl w:ilvl="0" w:tplc="04260001">
      <w:start w:val="2010"/>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E86442B"/>
    <w:multiLevelType w:val="hybridMultilevel"/>
    <w:tmpl w:val="175C633A"/>
    <w:lvl w:ilvl="0" w:tplc="F8A8118A">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9C20013"/>
    <w:multiLevelType w:val="multilevel"/>
    <w:tmpl w:val="2340958E"/>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2D41FB2"/>
    <w:multiLevelType w:val="hybridMultilevel"/>
    <w:tmpl w:val="F3D039AA"/>
    <w:lvl w:ilvl="0" w:tplc="B1DCE46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B35575"/>
    <w:multiLevelType w:val="hybridMultilevel"/>
    <w:tmpl w:val="29063F3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17E451F"/>
    <w:multiLevelType w:val="hybridMultilevel"/>
    <w:tmpl w:val="4A2E5BDA"/>
    <w:lvl w:ilvl="0" w:tplc="685E69D4">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21">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4"/>
  </w:num>
  <w:num w:numId="5">
    <w:abstractNumId w:val="2"/>
  </w:num>
  <w:num w:numId="6">
    <w:abstractNumId w:val="13"/>
  </w:num>
  <w:num w:numId="7">
    <w:abstractNumId w:val="18"/>
  </w:num>
  <w:num w:numId="8">
    <w:abstractNumId w:val="10"/>
  </w:num>
  <w:num w:numId="9">
    <w:abstractNumId w:val="5"/>
  </w:num>
  <w:num w:numId="10">
    <w:abstractNumId w:val="11"/>
  </w:num>
  <w:num w:numId="11">
    <w:abstractNumId w:val="12"/>
  </w:num>
  <w:num w:numId="12">
    <w:abstractNumId w:val="14"/>
  </w:num>
  <w:num w:numId="13">
    <w:abstractNumId w:val="15"/>
  </w:num>
  <w:num w:numId="14">
    <w:abstractNumId w:val="3"/>
  </w:num>
  <w:num w:numId="15">
    <w:abstractNumId w:val="21"/>
  </w:num>
  <w:num w:numId="16">
    <w:abstractNumId w:val="0"/>
  </w:num>
  <w:num w:numId="17">
    <w:abstractNumId w:val="19"/>
  </w:num>
  <w:num w:numId="18">
    <w:abstractNumId w:val="9"/>
  </w:num>
  <w:num w:numId="19">
    <w:abstractNumId w:val="1"/>
  </w:num>
  <w:num w:numId="20">
    <w:abstractNumId w:val="6"/>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20FE1"/>
    <w:rsid w:val="00022E13"/>
    <w:rsid w:val="00023B7B"/>
    <w:rsid w:val="00025DE3"/>
    <w:rsid w:val="0002604C"/>
    <w:rsid w:val="00031E69"/>
    <w:rsid w:val="00032388"/>
    <w:rsid w:val="00033FA2"/>
    <w:rsid w:val="00034F8E"/>
    <w:rsid w:val="00035CE2"/>
    <w:rsid w:val="0003648C"/>
    <w:rsid w:val="00036E63"/>
    <w:rsid w:val="0004049A"/>
    <w:rsid w:val="00043586"/>
    <w:rsid w:val="00051B7E"/>
    <w:rsid w:val="00053057"/>
    <w:rsid w:val="0005553B"/>
    <w:rsid w:val="00060328"/>
    <w:rsid w:val="000604D2"/>
    <w:rsid w:val="00061312"/>
    <w:rsid w:val="000630C6"/>
    <w:rsid w:val="000641D0"/>
    <w:rsid w:val="0007699F"/>
    <w:rsid w:val="0008154A"/>
    <w:rsid w:val="0009005E"/>
    <w:rsid w:val="00090575"/>
    <w:rsid w:val="000941C5"/>
    <w:rsid w:val="00095A78"/>
    <w:rsid w:val="000A50B7"/>
    <w:rsid w:val="000A6451"/>
    <w:rsid w:val="000A677E"/>
    <w:rsid w:val="000A69EC"/>
    <w:rsid w:val="000B064E"/>
    <w:rsid w:val="000B0B5B"/>
    <w:rsid w:val="000B69CF"/>
    <w:rsid w:val="000B6D78"/>
    <w:rsid w:val="000C04A6"/>
    <w:rsid w:val="000C05BA"/>
    <w:rsid w:val="000C790C"/>
    <w:rsid w:val="000D1B14"/>
    <w:rsid w:val="000D5D20"/>
    <w:rsid w:val="000D68FA"/>
    <w:rsid w:val="000E0C0A"/>
    <w:rsid w:val="000F061D"/>
    <w:rsid w:val="000F3DD5"/>
    <w:rsid w:val="000F4132"/>
    <w:rsid w:val="000F4794"/>
    <w:rsid w:val="001014E8"/>
    <w:rsid w:val="001018B6"/>
    <w:rsid w:val="001058F5"/>
    <w:rsid w:val="00105FD9"/>
    <w:rsid w:val="001151D8"/>
    <w:rsid w:val="00116A8D"/>
    <w:rsid w:val="00124F12"/>
    <w:rsid w:val="00124F58"/>
    <w:rsid w:val="001307BA"/>
    <w:rsid w:val="0013176D"/>
    <w:rsid w:val="001365E2"/>
    <w:rsid w:val="00137D57"/>
    <w:rsid w:val="00143846"/>
    <w:rsid w:val="00144E3A"/>
    <w:rsid w:val="00147657"/>
    <w:rsid w:val="0015060C"/>
    <w:rsid w:val="001577E5"/>
    <w:rsid w:val="0016018A"/>
    <w:rsid w:val="00161F0E"/>
    <w:rsid w:val="00166020"/>
    <w:rsid w:val="00170E2A"/>
    <w:rsid w:val="00177394"/>
    <w:rsid w:val="00182C18"/>
    <w:rsid w:val="00183CC2"/>
    <w:rsid w:val="00184ED4"/>
    <w:rsid w:val="00185A79"/>
    <w:rsid w:val="00187C75"/>
    <w:rsid w:val="001900E4"/>
    <w:rsid w:val="00190F88"/>
    <w:rsid w:val="00193390"/>
    <w:rsid w:val="001A4066"/>
    <w:rsid w:val="001A6AE4"/>
    <w:rsid w:val="001B01FD"/>
    <w:rsid w:val="001B1790"/>
    <w:rsid w:val="001B2903"/>
    <w:rsid w:val="001B4A71"/>
    <w:rsid w:val="001B5BEC"/>
    <w:rsid w:val="001C0C35"/>
    <w:rsid w:val="001D0882"/>
    <w:rsid w:val="001D5B54"/>
    <w:rsid w:val="001E1DBF"/>
    <w:rsid w:val="001E3D5F"/>
    <w:rsid w:val="001E4639"/>
    <w:rsid w:val="001E4A7D"/>
    <w:rsid w:val="001E5389"/>
    <w:rsid w:val="001E6247"/>
    <w:rsid w:val="001E775B"/>
    <w:rsid w:val="001F3464"/>
    <w:rsid w:val="001F43A8"/>
    <w:rsid w:val="001F55D2"/>
    <w:rsid w:val="001F5CD6"/>
    <w:rsid w:val="00207704"/>
    <w:rsid w:val="00211CAD"/>
    <w:rsid w:val="0021263D"/>
    <w:rsid w:val="00213F0C"/>
    <w:rsid w:val="00214094"/>
    <w:rsid w:val="0021506D"/>
    <w:rsid w:val="0021592D"/>
    <w:rsid w:val="00215946"/>
    <w:rsid w:val="00222D76"/>
    <w:rsid w:val="00223EB1"/>
    <w:rsid w:val="00231344"/>
    <w:rsid w:val="0023436E"/>
    <w:rsid w:val="002347C0"/>
    <w:rsid w:val="00235E8A"/>
    <w:rsid w:val="00236B31"/>
    <w:rsid w:val="00241A6C"/>
    <w:rsid w:val="00242D2B"/>
    <w:rsid w:val="00242F4B"/>
    <w:rsid w:val="002518B8"/>
    <w:rsid w:val="00262E2B"/>
    <w:rsid w:val="002664AD"/>
    <w:rsid w:val="00266826"/>
    <w:rsid w:val="00270429"/>
    <w:rsid w:val="002723E9"/>
    <w:rsid w:val="00274D97"/>
    <w:rsid w:val="00276B31"/>
    <w:rsid w:val="00277929"/>
    <w:rsid w:val="0028014E"/>
    <w:rsid w:val="00283B82"/>
    <w:rsid w:val="002846E9"/>
    <w:rsid w:val="00284C34"/>
    <w:rsid w:val="00285778"/>
    <w:rsid w:val="0029066C"/>
    <w:rsid w:val="00292F1D"/>
    <w:rsid w:val="002A1D9F"/>
    <w:rsid w:val="002A6BAD"/>
    <w:rsid w:val="002B189D"/>
    <w:rsid w:val="002B4EBE"/>
    <w:rsid w:val="002B50DB"/>
    <w:rsid w:val="002C0446"/>
    <w:rsid w:val="002C12AB"/>
    <w:rsid w:val="002C7CAC"/>
    <w:rsid w:val="002D3306"/>
    <w:rsid w:val="002D48AA"/>
    <w:rsid w:val="002D647D"/>
    <w:rsid w:val="002D7BAA"/>
    <w:rsid w:val="002D7F54"/>
    <w:rsid w:val="002E3934"/>
    <w:rsid w:val="002E3A33"/>
    <w:rsid w:val="002E3FF4"/>
    <w:rsid w:val="002F78C8"/>
    <w:rsid w:val="00300464"/>
    <w:rsid w:val="00301988"/>
    <w:rsid w:val="00301CF3"/>
    <w:rsid w:val="00313B16"/>
    <w:rsid w:val="00313E03"/>
    <w:rsid w:val="003260A6"/>
    <w:rsid w:val="0032715C"/>
    <w:rsid w:val="00332464"/>
    <w:rsid w:val="00337CA5"/>
    <w:rsid w:val="00344C43"/>
    <w:rsid w:val="0034577E"/>
    <w:rsid w:val="00345A46"/>
    <w:rsid w:val="0035650A"/>
    <w:rsid w:val="003608D6"/>
    <w:rsid w:val="003619D0"/>
    <w:rsid w:val="00362478"/>
    <w:rsid w:val="00362DD6"/>
    <w:rsid w:val="00365226"/>
    <w:rsid w:val="0036745A"/>
    <w:rsid w:val="003734BC"/>
    <w:rsid w:val="00374F9B"/>
    <w:rsid w:val="0037514E"/>
    <w:rsid w:val="00375B25"/>
    <w:rsid w:val="00376D99"/>
    <w:rsid w:val="0037788E"/>
    <w:rsid w:val="00383D4E"/>
    <w:rsid w:val="00386A3B"/>
    <w:rsid w:val="003902DD"/>
    <w:rsid w:val="00396542"/>
    <w:rsid w:val="0039685B"/>
    <w:rsid w:val="00397B85"/>
    <w:rsid w:val="003A31A6"/>
    <w:rsid w:val="003A3AE7"/>
    <w:rsid w:val="003A5A10"/>
    <w:rsid w:val="003A7F0C"/>
    <w:rsid w:val="003A7F79"/>
    <w:rsid w:val="003B54AE"/>
    <w:rsid w:val="003B6404"/>
    <w:rsid w:val="003C36CF"/>
    <w:rsid w:val="003C449B"/>
    <w:rsid w:val="003D0560"/>
    <w:rsid w:val="003D21FF"/>
    <w:rsid w:val="003D46AE"/>
    <w:rsid w:val="003D7A08"/>
    <w:rsid w:val="003E0638"/>
    <w:rsid w:val="003F0112"/>
    <w:rsid w:val="003F071A"/>
    <w:rsid w:val="003F160B"/>
    <w:rsid w:val="00400032"/>
    <w:rsid w:val="00400B5B"/>
    <w:rsid w:val="00405A00"/>
    <w:rsid w:val="004202B7"/>
    <w:rsid w:val="00420870"/>
    <w:rsid w:val="0042519F"/>
    <w:rsid w:val="0043289A"/>
    <w:rsid w:val="004370BA"/>
    <w:rsid w:val="0043791B"/>
    <w:rsid w:val="00441483"/>
    <w:rsid w:val="00441BCB"/>
    <w:rsid w:val="004461E6"/>
    <w:rsid w:val="00450025"/>
    <w:rsid w:val="0045176A"/>
    <w:rsid w:val="0045345A"/>
    <w:rsid w:val="00454AAA"/>
    <w:rsid w:val="00456332"/>
    <w:rsid w:val="00457D2E"/>
    <w:rsid w:val="00461826"/>
    <w:rsid w:val="004625DB"/>
    <w:rsid w:val="004678B6"/>
    <w:rsid w:val="0047638D"/>
    <w:rsid w:val="004800F9"/>
    <w:rsid w:val="00481878"/>
    <w:rsid w:val="0049134A"/>
    <w:rsid w:val="004924CF"/>
    <w:rsid w:val="00494A47"/>
    <w:rsid w:val="00496322"/>
    <w:rsid w:val="004A58CB"/>
    <w:rsid w:val="004A5E37"/>
    <w:rsid w:val="004B1795"/>
    <w:rsid w:val="004B56DD"/>
    <w:rsid w:val="004C020F"/>
    <w:rsid w:val="004C1AFD"/>
    <w:rsid w:val="004C558B"/>
    <w:rsid w:val="004E0B3E"/>
    <w:rsid w:val="004F1629"/>
    <w:rsid w:val="004F1F88"/>
    <w:rsid w:val="004F4CFE"/>
    <w:rsid w:val="004F5F1B"/>
    <w:rsid w:val="00502374"/>
    <w:rsid w:val="005060A1"/>
    <w:rsid w:val="00510DE7"/>
    <w:rsid w:val="005120DC"/>
    <w:rsid w:val="0051495E"/>
    <w:rsid w:val="00515052"/>
    <w:rsid w:val="005155C5"/>
    <w:rsid w:val="00516072"/>
    <w:rsid w:val="005266FD"/>
    <w:rsid w:val="005332EC"/>
    <w:rsid w:val="00534418"/>
    <w:rsid w:val="00534D27"/>
    <w:rsid w:val="005353AB"/>
    <w:rsid w:val="005459BE"/>
    <w:rsid w:val="005507D0"/>
    <w:rsid w:val="00551668"/>
    <w:rsid w:val="0055212A"/>
    <w:rsid w:val="00555462"/>
    <w:rsid w:val="005560BC"/>
    <w:rsid w:val="005573BE"/>
    <w:rsid w:val="00572700"/>
    <w:rsid w:val="00580468"/>
    <w:rsid w:val="0058603B"/>
    <w:rsid w:val="005909F5"/>
    <w:rsid w:val="005913E0"/>
    <w:rsid w:val="00593F99"/>
    <w:rsid w:val="0059431B"/>
    <w:rsid w:val="0059500E"/>
    <w:rsid w:val="00597991"/>
    <w:rsid w:val="005A39CC"/>
    <w:rsid w:val="005A3C61"/>
    <w:rsid w:val="005A4467"/>
    <w:rsid w:val="005B4730"/>
    <w:rsid w:val="005B53F2"/>
    <w:rsid w:val="005B5913"/>
    <w:rsid w:val="005B6B40"/>
    <w:rsid w:val="005B7688"/>
    <w:rsid w:val="005C53F1"/>
    <w:rsid w:val="005C7E70"/>
    <w:rsid w:val="005D31C4"/>
    <w:rsid w:val="005D4775"/>
    <w:rsid w:val="005E05D7"/>
    <w:rsid w:val="005E274E"/>
    <w:rsid w:val="005E41E7"/>
    <w:rsid w:val="005E450F"/>
    <w:rsid w:val="005F0F2F"/>
    <w:rsid w:val="005F1895"/>
    <w:rsid w:val="005F2B6C"/>
    <w:rsid w:val="005F2D9F"/>
    <w:rsid w:val="005F7887"/>
    <w:rsid w:val="0060293B"/>
    <w:rsid w:val="00606778"/>
    <w:rsid w:val="006155E4"/>
    <w:rsid w:val="00615877"/>
    <w:rsid w:val="00616C04"/>
    <w:rsid w:val="00621929"/>
    <w:rsid w:val="0062298A"/>
    <w:rsid w:val="00626514"/>
    <w:rsid w:val="00626589"/>
    <w:rsid w:val="006339A0"/>
    <w:rsid w:val="00634255"/>
    <w:rsid w:val="006367BD"/>
    <w:rsid w:val="00640CD9"/>
    <w:rsid w:val="006413A8"/>
    <w:rsid w:val="00642E56"/>
    <w:rsid w:val="0064318C"/>
    <w:rsid w:val="00650495"/>
    <w:rsid w:val="00651E00"/>
    <w:rsid w:val="00655438"/>
    <w:rsid w:val="00661633"/>
    <w:rsid w:val="00666A8C"/>
    <w:rsid w:val="006710B6"/>
    <w:rsid w:val="00674572"/>
    <w:rsid w:val="00674665"/>
    <w:rsid w:val="00686998"/>
    <w:rsid w:val="00687763"/>
    <w:rsid w:val="00691F8D"/>
    <w:rsid w:val="00692B0D"/>
    <w:rsid w:val="00693E0E"/>
    <w:rsid w:val="006A1AE3"/>
    <w:rsid w:val="006A1CB6"/>
    <w:rsid w:val="006A3552"/>
    <w:rsid w:val="006B1558"/>
    <w:rsid w:val="006B2B43"/>
    <w:rsid w:val="006C1179"/>
    <w:rsid w:val="006C30E1"/>
    <w:rsid w:val="006C3836"/>
    <w:rsid w:val="006C4607"/>
    <w:rsid w:val="006D48F1"/>
    <w:rsid w:val="006D7675"/>
    <w:rsid w:val="006D7D75"/>
    <w:rsid w:val="006E163F"/>
    <w:rsid w:val="006E298C"/>
    <w:rsid w:val="006E5841"/>
    <w:rsid w:val="006E691F"/>
    <w:rsid w:val="006F0E44"/>
    <w:rsid w:val="006F45BE"/>
    <w:rsid w:val="007004FC"/>
    <w:rsid w:val="007033E4"/>
    <w:rsid w:val="00706517"/>
    <w:rsid w:val="00706670"/>
    <w:rsid w:val="00707467"/>
    <w:rsid w:val="00707D70"/>
    <w:rsid w:val="00714F8E"/>
    <w:rsid w:val="00720743"/>
    <w:rsid w:val="00724099"/>
    <w:rsid w:val="0072417C"/>
    <w:rsid w:val="00733E09"/>
    <w:rsid w:val="00734450"/>
    <w:rsid w:val="00744BE7"/>
    <w:rsid w:val="00745F67"/>
    <w:rsid w:val="0075039E"/>
    <w:rsid w:val="00750E0E"/>
    <w:rsid w:val="00752D9D"/>
    <w:rsid w:val="00754784"/>
    <w:rsid w:val="0075610E"/>
    <w:rsid w:val="00757C3D"/>
    <w:rsid w:val="00757C6E"/>
    <w:rsid w:val="00760F3C"/>
    <w:rsid w:val="007629A7"/>
    <w:rsid w:val="00762BDA"/>
    <w:rsid w:val="007649C2"/>
    <w:rsid w:val="00767021"/>
    <w:rsid w:val="00767B3B"/>
    <w:rsid w:val="007805FD"/>
    <w:rsid w:val="0078088A"/>
    <w:rsid w:val="00784422"/>
    <w:rsid w:val="00786057"/>
    <w:rsid w:val="00786D17"/>
    <w:rsid w:val="00790FD4"/>
    <w:rsid w:val="007A4E45"/>
    <w:rsid w:val="007B3B54"/>
    <w:rsid w:val="007B3FA0"/>
    <w:rsid w:val="007C0F2C"/>
    <w:rsid w:val="007C1B12"/>
    <w:rsid w:val="007C2BCC"/>
    <w:rsid w:val="007C4EF0"/>
    <w:rsid w:val="007C7D16"/>
    <w:rsid w:val="007D099D"/>
    <w:rsid w:val="007D1F93"/>
    <w:rsid w:val="007D632D"/>
    <w:rsid w:val="007E150B"/>
    <w:rsid w:val="007E2664"/>
    <w:rsid w:val="007E3ABF"/>
    <w:rsid w:val="007E4B52"/>
    <w:rsid w:val="007E5BFA"/>
    <w:rsid w:val="007E6171"/>
    <w:rsid w:val="007E6689"/>
    <w:rsid w:val="007E731C"/>
    <w:rsid w:val="007F0A03"/>
    <w:rsid w:val="007F22CC"/>
    <w:rsid w:val="007F4A7D"/>
    <w:rsid w:val="00801078"/>
    <w:rsid w:val="00810040"/>
    <w:rsid w:val="0082023A"/>
    <w:rsid w:val="00821095"/>
    <w:rsid w:val="00821A7A"/>
    <w:rsid w:val="008253F8"/>
    <w:rsid w:val="008313C6"/>
    <w:rsid w:val="008325E4"/>
    <w:rsid w:val="00832A2B"/>
    <w:rsid w:val="00835ABD"/>
    <w:rsid w:val="00845811"/>
    <w:rsid w:val="00846994"/>
    <w:rsid w:val="00847704"/>
    <w:rsid w:val="00850451"/>
    <w:rsid w:val="00852042"/>
    <w:rsid w:val="008534C9"/>
    <w:rsid w:val="0085394C"/>
    <w:rsid w:val="00854018"/>
    <w:rsid w:val="0085599D"/>
    <w:rsid w:val="00855ADE"/>
    <w:rsid w:val="00857CC9"/>
    <w:rsid w:val="00857CD3"/>
    <w:rsid w:val="008642FF"/>
    <w:rsid w:val="00870B9F"/>
    <w:rsid w:val="0087324B"/>
    <w:rsid w:val="0087510C"/>
    <w:rsid w:val="008760AB"/>
    <w:rsid w:val="00880646"/>
    <w:rsid w:val="008814C7"/>
    <w:rsid w:val="008874F1"/>
    <w:rsid w:val="00890F5B"/>
    <w:rsid w:val="00895329"/>
    <w:rsid w:val="0089738E"/>
    <w:rsid w:val="008A592F"/>
    <w:rsid w:val="008B4B67"/>
    <w:rsid w:val="008B5FDB"/>
    <w:rsid w:val="008C0C7A"/>
    <w:rsid w:val="008C2F76"/>
    <w:rsid w:val="008C50F4"/>
    <w:rsid w:val="008C5649"/>
    <w:rsid w:val="008D2501"/>
    <w:rsid w:val="008D27E2"/>
    <w:rsid w:val="008D3A69"/>
    <w:rsid w:val="008D7D52"/>
    <w:rsid w:val="008E24C4"/>
    <w:rsid w:val="008E44A2"/>
    <w:rsid w:val="008E4FF5"/>
    <w:rsid w:val="008E697D"/>
    <w:rsid w:val="008E7CE1"/>
    <w:rsid w:val="008F0FB4"/>
    <w:rsid w:val="008F4387"/>
    <w:rsid w:val="008F74CA"/>
    <w:rsid w:val="00903263"/>
    <w:rsid w:val="00906A21"/>
    <w:rsid w:val="009079C3"/>
    <w:rsid w:val="00910462"/>
    <w:rsid w:val="0091271F"/>
    <w:rsid w:val="00914EA3"/>
    <w:rsid w:val="00915828"/>
    <w:rsid w:val="00915AB1"/>
    <w:rsid w:val="00917532"/>
    <w:rsid w:val="009203AE"/>
    <w:rsid w:val="00920B53"/>
    <w:rsid w:val="009235BA"/>
    <w:rsid w:val="009237E0"/>
    <w:rsid w:val="00924023"/>
    <w:rsid w:val="00924CE2"/>
    <w:rsid w:val="00925B9F"/>
    <w:rsid w:val="00926CB6"/>
    <w:rsid w:val="0092766B"/>
    <w:rsid w:val="00931AED"/>
    <w:rsid w:val="00933F1A"/>
    <w:rsid w:val="0093681B"/>
    <w:rsid w:val="009476A3"/>
    <w:rsid w:val="0095334F"/>
    <w:rsid w:val="00953AD9"/>
    <w:rsid w:val="00955D21"/>
    <w:rsid w:val="00960105"/>
    <w:rsid w:val="009608AF"/>
    <w:rsid w:val="00962600"/>
    <w:rsid w:val="00965897"/>
    <w:rsid w:val="00966825"/>
    <w:rsid w:val="00966EAF"/>
    <w:rsid w:val="00967656"/>
    <w:rsid w:val="0096765C"/>
    <w:rsid w:val="009701EE"/>
    <w:rsid w:val="009727E4"/>
    <w:rsid w:val="00980793"/>
    <w:rsid w:val="00984D04"/>
    <w:rsid w:val="009859EF"/>
    <w:rsid w:val="009908E8"/>
    <w:rsid w:val="009934C5"/>
    <w:rsid w:val="009937C3"/>
    <w:rsid w:val="00994C0F"/>
    <w:rsid w:val="009963E9"/>
    <w:rsid w:val="00996A74"/>
    <w:rsid w:val="009972B6"/>
    <w:rsid w:val="009A34CE"/>
    <w:rsid w:val="009A3ABC"/>
    <w:rsid w:val="009B22D7"/>
    <w:rsid w:val="009B3C9B"/>
    <w:rsid w:val="009B72ED"/>
    <w:rsid w:val="009B7CCB"/>
    <w:rsid w:val="009C1F29"/>
    <w:rsid w:val="009C5068"/>
    <w:rsid w:val="009C6DEB"/>
    <w:rsid w:val="009D042F"/>
    <w:rsid w:val="009D0EBE"/>
    <w:rsid w:val="009D41F5"/>
    <w:rsid w:val="009D5658"/>
    <w:rsid w:val="009D6504"/>
    <w:rsid w:val="009E12D7"/>
    <w:rsid w:val="009E2C7F"/>
    <w:rsid w:val="009E661A"/>
    <w:rsid w:val="009F0495"/>
    <w:rsid w:val="009F21E0"/>
    <w:rsid w:val="009F6209"/>
    <w:rsid w:val="00A00178"/>
    <w:rsid w:val="00A012EB"/>
    <w:rsid w:val="00A02E71"/>
    <w:rsid w:val="00A065B5"/>
    <w:rsid w:val="00A06781"/>
    <w:rsid w:val="00A06887"/>
    <w:rsid w:val="00A074C3"/>
    <w:rsid w:val="00A103EF"/>
    <w:rsid w:val="00A10E52"/>
    <w:rsid w:val="00A1509C"/>
    <w:rsid w:val="00A17BBF"/>
    <w:rsid w:val="00A27013"/>
    <w:rsid w:val="00A271ED"/>
    <w:rsid w:val="00A3220C"/>
    <w:rsid w:val="00A34260"/>
    <w:rsid w:val="00A35BD2"/>
    <w:rsid w:val="00A421B0"/>
    <w:rsid w:val="00A50943"/>
    <w:rsid w:val="00A60863"/>
    <w:rsid w:val="00A61D72"/>
    <w:rsid w:val="00A61E3E"/>
    <w:rsid w:val="00A70CFD"/>
    <w:rsid w:val="00A71F0B"/>
    <w:rsid w:val="00A72A0B"/>
    <w:rsid w:val="00A72B83"/>
    <w:rsid w:val="00A81E42"/>
    <w:rsid w:val="00A82265"/>
    <w:rsid w:val="00A8521C"/>
    <w:rsid w:val="00A864FE"/>
    <w:rsid w:val="00A86F41"/>
    <w:rsid w:val="00A87D04"/>
    <w:rsid w:val="00A90B45"/>
    <w:rsid w:val="00A90E63"/>
    <w:rsid w:val="00A935EC"/>
    <w:rsid w:val="00A950C5"/>
    <w:rsid w:val="00A96756"/>
    <w:rsid w:val="00AA063A"/>
    <w:rsid w:val="00AA1D25"/>
    <w:rsid w:val="00AA5CD2"/>
    <w:rsid w:val="00AB2B1A"/>
    <w:rsid w:val="00AB397F"/>
    <w:rsid w:val="00AB5832"/>
    <w:rsid w:val="00AC4E3E"/>
    <w:rsid w:val="00AC51F2"/>
    <w:rsid w:val="00AD0733"/>
    <w:rsid w:val="00AD0E7A"/>
    <w:rsid w:val="00AD3089"/>
    <w:rsid w:val="00AE06C6"/>
    <w:rsid w:val="00AE2CF0"/>
    <w:rsid w:val="00AE4C12"/>
    <w:rsid w:val="00AE5066"/>
    <w:rsid w:val="00AE5E24"/>
    <w:rsid w:val="00AE61B7"/>
    <w:rsid w:val="00AE6CBA"/>
    <w:rsid w:val="00AE79AD"/>
    <w:rsid w:val="00AF15B0"/>
    <w:rsid w:val="00AF2415"/>
    <w:rsid w:val="00AF35E4"/>
    <w:rsid w:val="00AF51E1"/>
    <w:rsid w:val="00AF5CDE"/>
    <w:rsid w:val="00B038E5"/>
    <w:rsid w:val="00B11A57"/>
    <w:rsid w:val="00B211C3"/>
    <w:rsid w:val="00B25377"/>
    <w:rsid w:val="00B25597"/>
    <w:rsid w:val="00B267B9"/>
    <w:rsid w:val="00B2719F"/>
    <w:rsid w:val="00B33E09"/>
    <w:rsid w:val="00B42F47"/>
    <w:rsid w:val="00B4352D"/>
    <w:rsid w:val="00B45567"/>
    <w:rsid w:val="00B472E4"/>
    <w:rsid w:val="00B50708"/>
    <w:rsid w:val="00B50C68"/>
    <w:rsid w:val="00B51293"/>
    <w:rsid w:val="00B5130F"/>
    <w:rsid w:val="00B51366"/>
    <w:rsid w:val="00B52073"/>
    <w:rsid w:val="00B52B1E"/>
    <w:rsid w:val="00B54580"/>
    <w:rsid w:val="00B55481"/>
    <w:rsid w:val="00B56138"/>
    <w:rsid w:val="00B56C32"/>
    <w:rsid w:val="00B57ACF"/>
    <w:rsid w:val="00B63D7E"/>
    <w:rsid w:val="00B64BB1"/>
    <w:rsid w:val="00B64E85"/>
    <w:rsid w:val="00B65690"/>
    <w:rsid w:val="00B6578C"/>
    <w:rsid w:val="00B71DF0"/>
    <w:rsid w:val="00B73166"/>
    <w:rsid w:val="00B73ABC"/>
    <w:rsid w:val="00B8426C"/>
    <w:rsid w:val="00B86D3B"/>
    <w:rsid w:val="00B9068C"/>
    <w:rsid w:val="00B91B8D"/>
    <w:rsid w:val="00B92297"/>
    <w:rsid w:val="00B9268B"/>
    <w:rsid w:val="00B93D80"/>
    <w:rsid w:val="00B94E90"/>
    <w:rsid w:val="00BA0C4D"/>
    <w:rsid w:val="00BB0A82"/>
    <w:rsid w:val="00BB0FF3"/>
    <w:rsid w:val="00BB2ACF"/>
    <w:rsid w:val="00BB3D92"/>
    <w:rsid w:val="00BB5AAA"/>
    <w:rsid w:val="00BB7C94"/>
    <w:rsid w:val="00BC0A9D"/>
    <w:rsid w:val="00BC3A82"/>
    <w:rsid w:val="00BD6034"/>
    <w:rsid w:val="00BD7DFC"/>
    <w:rsid w:val="00BF40ED"/>
    <w:rsid w:val="00BF5BC2"/>
    <w:rsid w:val="00BF6BA3"/>
    <w:rsid w:val="00C0325F"/>
    <w:rsid w:val="00C07A60"/>
    <w:rsid w:val="00C10F85"/>
    <w:rsid w:val="00C1133D"/>
    <w:rsid w:val="00C128FA"/>
    <w:rsid w:val="00C16A25"/>
    <w:rsid w:val="00C16D03"/>
    <w:rsid w:val="00C17E37"/>
    <w:rsid w:val="00C209EB"/>
    <w:rsid w:val="00C23FCF"/>
    <w:rsid w:val="00C24B8A"/>
    <w:rsid w:val="00C27A08"/>
    <w:rsid w:val="00C3088A"/>
    <w:rsid w:val="00C31312"/>
    <w:rsid w:val="00C326C6"/>
    <w:rsid w:val="00C3308A"/>
    <w:rsid w:val="00C346E1"/>
    <w:rsid w:val="00C35295"/>
    <w:rsid w:val="00C36231"/>
    <w:rsid w:val="00C36ADD"/>
    <w:rsid w:val="00C36E74"/>
    <w:rsid w:val="00C40595"/>
    <w:rsid w:val="00C41621"/>
    <w:rsid w:val="00C449FA"/>
    <w:rsid w:val="00C47498"/>
    <w:rsid w:val="00C5384F"/>
    <w:rsid w:val="00C56964"/>
    <w:rsid w:val="00C57049"/>
    <w:rsid w:val="00C63487"/>
    <w:rsid w:val="00C656D5"/>
    <w:rsid w:val="00C67103"/>
    <w:rsid w:val="00C71BB9"/>
    <w:rsid w:val="00C768AD"/>
    <w:rsid w:val="00C854E9"/>
    <w:rsid w:val="00C86234"/>
    <w:rsid w:val="00C86778"/>
    <w:rsid w:val="00C94C28"/>
    <w:rsid w:val="00CA0A06"/>
    <w:rsid w:val="00CA37D3"/>
    <w:rsid w:val="00CA4A25"/>
    <w:rsid w:val="00CB0247"/>
    <w:rsid w:val="00CB3440"/>
    <w:rsid w:val="00CC076D"/>
    <w:rsid w:val="00CC1692"/>
    <w:rsid w:val="00CC76CB"/>
    <w:rsid w:val="00CD138B"/>
    <w:rsid w:val="00CD3E31"/>
    <w:rsid w:val="00CD54B0"/>
    <w:rsid w:val="00CD74A3"/>
    <w:rsid w:val="00CD7D8D"/>
    <w:rsid w:val="00CE02CB"/>
    <w:rsid w:val="00CE0527"/>
    <w:rsid w:val="00CE0B6D"/>
    <w:rsid w:val="00CE351F"/>
    <w:rsid w:val="00CE4216"/>
    <w:rsid w:val="00CE4DC9"/>
    <w:rsid w:val="00CE5701"/>
    <w:rsid w:val="00CE5B23"/>
    <w:rsid w:val="00CE68A0"/>
    <w:rsid w:val="00CE7BFB"/>
    <w:rsid w:val="00CF641B"/>
    <w:rsid w:val="00CF70AD"/>
    <w:rsid w:val="00CF7729"/>
    <w:rsid w:val="00D00059"/>
    <w:rsid w:val="00D00088"/>
    <w:rsid w:val="00D02E53"/>
    <w:rsid w:val="00D107FA"/>
    <w:rsid w:val="00D10F81"/>
    <w:rsid w:val="00D12275"/>
    <w:rsid w:val="00D12766"/>
    <w:rsid w:val="00D1485A"/>
    <w:rsid w:val="00D15962"/>
    <w:rsid w:val="00D171BF"/>
    <w:rsid w:val="00D20FF4"/>
    <w:rsid w:val="00D229B0"/>
    <w:rsid w:val="00D24D2C"/>
    <w:rsid w:val="00D26237"/>
    <w:rsid w:val="00D265DF"/>
    <w:rsid w:val="00D35881"/>
    <w:rsid w:val="00D614DD"/>
    <w:rsid w:val="00D63CB5"/>
    <w:rsid w:val="00D70996"/>
    <w:rsid w:val="00D70A12"/>
    <w:rsid w:val="00D84B84"/>
    <w:rsid w:val="00D932DB"/>
    <w:rsid w:val="00DA24F6"/>
    <w:rsid w:val="00DA3E63"/>
    <w:rsid w:val="00DA7AB0"/>
    <w:rsid w:val="00DA7DA5"/>
    <w:rsid w:val="00DB073B"/>
    <w:rsid w:val="00DB333F"/>
    <w:rsid w:val="00DB78F0"/>
    <w:rsid w:val="00DC2E43"/>
    <w:rsid w:val="00DC33E1"/>
    <w:rsid w:val="00DC4065"/>
    <w:rsid w:val="00DD095C"/>
    <w:rsid w:val="00DD1020"/>
    <w:rsid w:val="00DD1330"/>
    <w:rsid w:val="00DD48F3"/>
    <w:rsid w:val="00DE0B83"/>
    <w:rsid w:val="00DE1057"/>
    <w:rsid w:val="00DE1A81"/>
    <w:rsid w:val="00DE1C13"/>
    <w:rsid w:val="00DE4E10"/>
    <w:rsid w:val="00DE7395"/>
    <w:rsid w:val="00DF5C15"/>
    <w:rsid w:val="00DF6764"/>
    <w:rsid w:val="00DF6C5B"/>
    <w:rsid w:val="00E02ABF"/>
    <w:rsid w:val="00E02EF3"/>
    <w:rsid w:val="00E07AB3"/>
    <w:rsid w:val="00E14995"/>
    <w:rsid w:val="00E179CD"/>
    <w:rsid w:val="00E216C5"/>
    <w:rsid w:val="00E22C2B"/>
    <w:rsid w:val="00E23E8D"/>
    <w:rsid w:val="00E30AFE"/>
    <w:rsid w:val="00E3101D"/>
    <w:rsid w:val="00E33E8A"/>
    <w:rsid w:val="00E36CCC"/>
    <w:rsid w:val="00E37F98"/>
    <w:rsid w:val="00E442AE"/>
    <w:rsid w:val="00E46559"/>
    <w:rsid w:val="00E53B66"/>
    <w:rsid w:val="00E5553C"/>
    <w:rsid w:val="00E60EC6"/>
    <w:rsid w:val="00E632F7"/>
    <w:rsid w:val="00E638CE"/>
    <w:rsid w:val="00E6670C"/>
    <w:rsid w:val="00E71777"/>
    <w:rsid w:val="00E733FE"/>
    <w:rsid w:val="00E7391A"/>
    <w:rsid w:val="00E749B3"/>
    <w:rsid w:val="00E75DC1"/>
    <w:rsid w:val="00E762E4"/>
    <w:rsid w:val="00E776E8"/>
    <w:rsid w:val="00E84776"/>
    <w:rsid w:val="00E92C1F"/>
    <w:rsid w:val="00E95D4B"/>
    <w:rsid w:val="00EA2B80"/>
    <w:rsid w:val="00EA78AF"/>
    <w:rsid w:val="00EB199F"/>
    <w:rsid w:val="00EB3240"/>
    <w:rsid w:val="00EB3D65"/>
    <w:rsid w:val="00EB4761"/>
    <w:rsid w:val="00EB4B7F"/>
    <w:rsid w:val="00EB5E87"/>
    <w:rsid w:val="00EC145E"/>
    <w:rsid w:val="00EC23F7"/>
    <w:rsid w:val="00EC3834"/>
    <w:rsid w:val="00EC4BD8"/>
    <w:rsid w:val="00EC63EB"/>
    <w:rsid w:val="00ED0655"/>
    <w:rsid w:val="00ED2014"/>
    <w:rsid w:val="00ED412F"/>
    <w:rsid w:val="00ED419A"/>
    <w:rsid w:val="00ED70A9"/>
    <w:rsid w:val="00ED7CE1"/>
    <w:rsid w:val="00EE0405"/>
    <w:rsid w:val="00EE083D"/>
    <w:rsid w:val="00EE3FDB"/>
    <w:rsid w:val="00EE48FC"/>
    <w:rsid w:val="00EE550E"/>
    <w:rsid w:val="00EE5FB9"/>
    <w:rsid w:val="00EF36B2"/>
    <w:rsid w:val="00EF71ED"/>
    <w:rsid w:val="00F123BF"/>
    <w:rsid w:val="00F201EC"/>
    <w:rsid w:val="00F208A9"/>
    <w:rsid w:val="00F21E76"/>
    <w:rsid w:val="00F30C0C"/>
    <w:rsid w:val="00F311D2"/>
    <w:rsid w:val="00F320FE"/>
    <w:rsid w:val="00F36470"/>
    <w:rsid w:val="00F370F4"/>
    <w:rsid w:val="00F41D75"/>
    <w:rsid w:val="00F42A18"/>
    <w:rsid w:val="00F4449F"/>
    <w:rsid w:val="00F46E76"/>
    <w:rsid w:val="00F50805"/>
    <w:rsid w:val="00F5139D"/>
    <w:rsid w:val="00F540A1"/>
    <w:rsid w:val="00F61BEA"/>
    <w:rsid w:val="00F63DAC"/>
    <w:rsid w:val="00F709FE"/>
    <w:rsid w:val="00F7454F"/>
    <w:rsid w:val="00F77988"/>
    <w:rsid w:val="00F77F48"/>
    <w:rsid w:val="00F8053C"/>
    <w:rsid w:val="00F8079A"/>
    <w:rsid w:val="00F93A94"/>
    <w:rsid w:val="00F941F4"/>
    <w:rsid w:val="00FA2C59"/>
    <w:rsid w:val="00FA5712"/>
    <w:rsid w:val="00FB30F1"/>
    <w:rsid w:val="00FB4ADC"/>
    <w:rsid w:val="00FB53E7"/>
    <w:rsid w:val="00FB601F"/>
    <w:rsid w:val="00FC214D"/>
    <w:rsid w:val="00FC3550"/>
    <w:rsid w:val="00FC35E5"/>
    <w:rsid w:val="00FE01CF"/>
    <w:rsid w:val="00FE09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147657"/>
    <w:rPr>
      <w:sz w:val="24"/>
    </w:rPr>
  </w:style>
  <w:style w:type="character" w:styleId="Lappusesnumurs">
    <w:name w:val="page number"/>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ais"/>
    <w:link w:val="BalontekstsRakstz"/>
    <w:uiPriority w:val="99"/>
    <w:semiHidden/>
    <w:rsid w:val="008C5649"/>
    <w:rPr>
      <w:rFonts w:ascii="Tahoma" w:hAnsi="Tahoma" w:cs="Tahoma"/>
      <w:sz w:val="16"/>
      <w:szCs w:val="16"/>
    </w:rPr>
  </w:style>
  <w:style w:type="character" w:customStyle="1" w:styleId="BalontekstsRakstz">
    <w:name w:val="Balonteksts Rakstz."/>
    <w:link w:val="Balonteksts"/>
    <w:uiPriority w:val="99"/>
    <w:semiHidden/>
    <w:rsid w:val="00DC1D3C"/>
    <w:rPr>
      <w:sz w:val="0"/>
      <w:szCs w:val="0"/>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link w:val="Vresteksts"/>
    <w:uiPriority w:val="99"/>
    <w:semiHidden/>
    <w:rsid w:val="00DC1D3C"/>
    <w:rPr>
      <w:sz w:val="20"/>
      <w:szCs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DC1D3C"/>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DC1D3C"/>
    <w:rPr>
      <w:sz w:val="0"/>
      <w:szCs w:val="0"/>
    </w:rPr>
  </w:style>
  <w:style w:type="character" w:styleId="Izteiksmgs">
    <w:name w:val="Strong"/>
    <w:uiPriority w:val="99"/>
    <w:qFormat/>
    <w:rsid w:val="00F50805"/>
    <w:rPr>
      <w:rFonts w:cs="Times New Roman"/>
      <w:b/>
    </w:rPr>
  </w:style>
  <w:style w:type="paragraph" w:styleId="Sarakstarindkopa">
    <w:name w:val="List Paragraph"/>
    <w:basedOn w:val="Parastais"/>
    <w:uiPriority w:val="99"/>
    <w:qFormat/>
    <w:rsid w:val="00A90B45"/>
    <w:pPr>
      <w:ind w:left="720"/>
    </w:pPr>
  </w:style>
  <w:style w:type="paragraph" w:customStyle="1" w:styleId="CM4">
    <w:name w:val="CM4"/>
    <w:basedOn w:val="Parastais"/>
    <w:next w:val="Parastais"/>
    <w:uiPriority w:val="99"/>
    <w:rsid w:val="0091271F"/>
    <w:pPr>
      <w:autoSpaceDE w:val="0"/>
      <w:autoSpaceDN w:val="0"/>
      <w:adjustRightInd w:val="0"/>
    </w:pPr>
  </w:style>
  <w:style w:type="paragraph" w:styleId="Pamattekstaatkpe2">
    <w:name w:val="Body Text Indent 2"/>
    <w:basedOn w:val="Parastai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link w:val="Pamattekstaatkpe2"/>
    <w:uiPriority w:val="99"/>
    <w:locked/>
    <w:rsid w:val="00143846"/>
    <w:rPr>
      <w:b/>
      <w:sz w:val="28"/>
      <w:lang w:eastAsia="en-US"/>
    </w:rPr>
  </w:style>
  <w:style w:type="paragraph" w:customStyle="1" w:styleId="Default">
    <w:name w:val="Default"/>
    <w:uiPriority w:val="99"/>
    <w:rsid w:val="00CA37D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147657"/>
    <w:rPr>
      <w:sz w:val="24"/>
    </w:rPr>
  </w:style>
  <w:style w:type="character" w:styleId="Lappusesnumurs">
    <w:name w:val="page number"/>
    <w:uiPriority w:val="99"/>
    <w:rsid w:val="008C5649"/>
    <w:rPr>
      <w:rFonts w:cs="Times New Roman"/>
    </w:rPr>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
    <w:link w:val="BalontekstsRakstz"/>
    <w:uiPriority w:val="99"/>
    <w:semiHidden/>
    <w:rsid w:val="008C5649"/>
    <w:rPr>
      <w:rFonts w:ascii="Tahoma" w:hAnsi="Tahoma" w:cs="Tahoma"/>
      <w:sz w:val="16"/>
      <w:szCs w:val="16"/>
    </w:rPr>
  </w:style>
  <w:style w:type="character" w:customStyle="1" w:styleId="BalontekstsRakstz">
    <w:name w:val="Balonteksts Rakstz."/>
    <w:link w:val="Balonteksts"/>
    <w:uiPriority w:val="99"/>
    <w:semiHidden/>
    <w:rsid w:val="00DC1D3C"/>
    <w:rPr>
      <w:sz w:val="0"/>
      <w:szCs w:val="0"/>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link w:val="Vresteksts"/>
    <w:uiPriority w:val="99"/>
    <w:semiHidden/>
    <w:rsid w:val="00DC1D3C"/>
    <w:rPr>
      <w:sz w:val="20"/>
      <w:szCs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DC1D3C"/>
    <w:rPr>
      <w:b/>
      <w:bCs/>
      <w:sz w:val="20"/>
      <w:szCs w:val="20"/>
      <w:lang w:val="lv-LV" w:eastAsia="lv-LV"/>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DC1D3C"/>
    <w:rPr>
      <w:sz w:val="0"/>
      <w:szCs w:val="0"/>
    </w:rPr>
  </w:style>
  <w:style w:type="character" w:styleId="Izteiksmgs">
    <w:name w:val="Strong"/>
    <w:uiPriority w:val="99"/>
    <w:qFormat/>
    <w:rsid w:val="00F50805"/>
    <w:rPr>
      <w:rFonts w:cs="Times New Roman"/>
      <w:b/>
    </w:rPr>
  </w:style>
  <w:style w:type="paragraph" w:styleId="Sarakstarindkopa">
    <w:name w:val="List Paragraph"/>
    <w:basedOn w:val="Parasts"/>
    <w:uiPriority w:val="99"/>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link w:val="Pamattekstaatkpe2"/>
    <w:uiPriority w:val="99"/>
    <w:locked/>
    <w:rsid w:val="00143846"/>
    <w:rPr>
      <w:b/>
      <w:sz w:val="28"/>
      <w:lang w:eastAsia="en-US"/>
    </w:rPr>
  </w:style>
  <w:style w:type="paragraph" w:customStyle="1" w:styleId="Default">
    <w:name w:val="Default"/>
    <w:uiPriority w:val="99"/>
    <w:rsid w:val="00CA37D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3672473">
      <w:bodyDiv w:val="1"/>
      <w:marLeft w:val="0"/>
      <w:marRight w:val="0"/>
      <w:marTop w:val="0"/>
      <w:marBottom w:val="0"/>
      <w:divBdr>
        <w:top w:val="none" w:sz="0" w:space="0" w:color="auto"/>
        <w:left w:val="none" w:sz="0" w:space="0" w:color="auto"/>
        <w:bottom w:val="none" w:sz="0" w:space="0" w:color="auto"/>
        <w:right w:val="none" w:sz="0" w:space="0" w:color="auto"/>
      </w:divBdr>
    </w:div>
    <w:div w:id="1040321489">
      <w:marLeft w:val="0"/>
      <w:marRight w:val="0"/>
      <w:marTop w:val="0"/>
      <w:marBottom w:val="0"/>
      <w:divBdr>
        <w:top w:val="none" w:sz="0" w:space="0" w:color="auto"/>
        <w:left w:val="none" w:sz="0" w:space="0" w:color="auto"/>
        <w:bottom w:val="none" w:sz="0" w:space="0" w:color="auto"/>
        <w:right w:val="none" w:sz="0" w:space="0" w:color="auto"/>
      </w:divBdr>
    </w:div>
    <w:div w:id="1040321490">
      <w:marLeft w:val="0"/>
      <w:marRight w:val="0"/>
      <w:marTop w:val="0"/>
      <w:marBottom w:val="0"/>
      <w:divBdr>
        <w:top w:val="none" w:sz="0" w:space="0" w:color="auto"/>
        <w:left w:val="none" w:sz="0" w:space="0" w:color="auto"/>
        <w:bottom w:val="none" w:sz="0" w:space="0" w:color="auto"/>
        <w:right w:val="none" w:sz="0" w:space="0" w:color="auto"/>
      </w:divBdr>
      <w:divsChild>
        <w:div w:id="1040321483">
          <w:marLeft w:val="0"/>
          <w:marRight w:val="0"/>
          <w:marTop w:val="0"/>
          <w:marBottom w:val="0"/>
          <w:divBdr>
            <w:top w:val="none" w:sz="0" w:space="0" w:color="auto"/>
            <w:left w:val="none" w:sz="0" w:space="0" w:color="auto"/>
            <w:bottom w:val="none" w:sz="0" w:space="0" w:color="auto"/>
            <w:right w:val="none" w:sz="0" w:space="0" w:color="auto"/>
          </w:divBdr>
          <w:divsChild>
            <w:div w:id="1040321488">
              <w:marLeft w:val="0"/>
              <w:marRight w:val="0"/>
              <w:marTop w:val="0"/>
              <w:marBottom w:val="0"/>
              <w:divBdr>
                <w:top w:val="none" w:sz="0" w:space="0" w:color="auto"/>
                <w:left w:val="none" w:sz="0" w:space="0" w:color="auto"/>
                <w:bottom w:val="none" w:sz="0" w:space="0" w:color="auto"/>
                <w:right w:val="none" w:sz="0" w:space="0" w:color="auto"/>
              </w:divBdr>
              <w:divsChild>
                <w:div w:id="1040321501">
                  <w:marLeft w:val="0"/>
                  <w:marRight w:val="0"/>
                  <w:marTop w:val="0"/>
                  <w:marBottom w:val="0"/>
                  <w:divBdr>
                    <w:top w:val="none" w:sz="0" w:space="0" w:color="auto"/>
                    <w:left w:val="none" w:sz="0" w:space="0" w:color="auto"/>
                    <w:bottom w:val="none" w:sz="0" w:space="0" w:color="auto"/>
                    <w:right w:val="none" w:sz="0" w:space="0" w:color="auto"/>
                  </w:divBdr>
                  <w:divsChild>
                    <w:div w:id="1040321486">
                      <w:marLeft w:val="0"/>
                      <w:marRight w:val="0"/>
                      <w:marTop w:val="0"/>
                      <w:marBottom w:val="0"/>
                      <w:divBdr>
                        <w:top w:val="none" w:sz="0" w:space="0" w:color="auto"/>
                        <w:left w:val="none" w:sz="0" w:space="0" w:color="auto"/>
                        <w:bottom w:val="none" w:sz="0" w:space="0" w:color="auto"/>
                        <w:right w:val="none" w:sz="0" w:space="0" w:color="auto"/>
                      </w:divBdr>
                      <w:divsChild>
                        <w:div w:id="1040321505">
                          <w:marLeft w:val="0"/>
                          <w:marRight w:val="0"/>
                          <w:marTop w:val="300"/>
                          <w:marBottom w:val="0"/>
                          <w:divBdr>
                            <w:top w:val="none" w:sz="0" w:space="0" w:color="auto"/>
                            <w:left w:val="none" w:sz="0" w:space="0" w:color="auto"/>
                            <w:bottom w:val="none" w:sz="0" w:space="0" w:color="auto"/>
                            <w:right w:val="none" w:sz="0" w:space="0" w:color="auto"/>
                          </w:divBdr>
                          <w:divsChild>
                            <w:div w:id="10403215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21496">
      <w:marLeft w:val="0"/>
      <w:marRight w:val="0"/>
      <w:marTop w:val="0"/>
      <w:marBottom w:val="0"/>
      <w:divBdr>
        <w:top w:val="none" w:sz="0" w:space="0" w:color="auto"/>
        <w:left w:val="none" w:sz="0" w:space="0" w:color="auto"/>
        <w:bottom w:val="none" w:sz="0" w:space="0" w:color="auto"/>
        <w:right w:val="none" w:sz="0" w:space="0" w:color="auto"/>
      </w:divBdr>
      <w:divsChild>
        <w:div w:id="1040321495">
          <w:marLeft w:val="0"/>
          <w:marRight w:val="0"/>
          <w:marTop w:val="0"/>
          <w:marBottom w:val="0"/>
          <w:divBdr>
            <w:top w:val="none" w:sz="0" w:space="0" w:color="auto"/>
            <w:left w:val="none" w:sz="0" w:space="0" w:color="auto"/>
            <w:bottom w:val="none" w:sz="0" w:space="0" w:color="auto"/>
            <w:right w:val="none" w:sz="0" w:space="0" w:color="auto"/>
          </w:divBdr>
          <w:divsChild>
            <w:div w:id="1040321491">
              <w:marLeft w:val="0"/>
              <w:marRight w:val="0"/>
              <w:marTop w:val="0"/>
              <w:marBottom w:val="0"/>
              <w:divBdr>
                <w:top w:val="none" w:sz="0" w:space="0" w:color="auto"/>
                <w:left w:val="none" w:sz="0" w:space="0" w:color="auto"/>
                <w:bottom w:val="none" w:sz="0" w:space="0" w:color="auto"/>
                <w:right w:val="none" w:sz="0" w:space="0" w:color="auto"/>
              </w:divBdr>
              <w:divsChild>
                <w:div w:id="1040321500">
                  <w:marLeft w:val="0"/>
                  <w:marRight w:val="0"/>
                  <w:marTop w:val="0"/>
                  <w:marBottom w:val="0"/>
                  <w:divBdr>
                    <w:top w:val="none" w:sz="0" w:space="0" w:color="auto"/>
                    <w:left w:val="none" w:sz="0" w:space="0" w:color="auto"/>
                    <w:bottom w:val="none" w:sz="0" w:space="0" w:color="auto"/>
                    <w:right w:val="none" w:sz="0" w:space="0" w:color="auto"/>
                  </w:divBdr>
                  <w:divsChild>
                    <w:div w:id="1040321484">
                      <w:marLeft w:val="0"/>
                      <w:marRight w:val="0"/>
                      <w:marTop w:val="0"/>
                      <w:marBottom w:val="0"/>
                      <w:divBdr>
                        <w:top w:val="none" w:sz="0" w:space="0" w:color="auto"/>
                        <w:left w:val="none" w:sz="0" w:space="0" w:color="auto"/>
                        <w:bottom w:val="none" w:sz="0" w:space="0" w:color="auto"/>
                        <w:right w:val="none" w:sz="0" w:space="0" w:color="auto"/>
                      </w:divBdr>
                      <w:divsChild>
                        <w:div w:id="1040321487">
                          <w:marLeft w:val="0"/>
                          <w:marRight w:val="0"/>
                          <w:marTop w:val="300"/>
                          <w:marBottom w:val="0"/>
                          <w:divBdr>
                            <w:top w:val="none" w:sz="0" w:space="0" w:color="auto"/>
                            <w:left w:val="none" w:sz="0" w:space="0" w:color="auto"/>
                            <w:bottom w:val="none" w:sz="0" w:space="0" w:color="auto"/>
                            <w:right w:val="none" w:sz="0" w:space="0" w:color="auto"/>
                          </w:divBdr>
                          <w:divsChild>
                            <w:div w:id="10403214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21497">
      <w:marLeft w:val="0"/>
      <w:marRight w:val="0"/>
      <w:marTop w:val="0"/>
      <w:marBottom w:val="0"/>
      <w:divBdr>
        <w:top w:val="none" w:sz="0" w:space="0" w:color="auto"/>
        <w:left w:val="none" w:sz="0" w:space="0" w:color="auto"/>
        <w:bottom w:val="none" w:sz="0" w:space="0" w:color="auto"/>
        <w:right w:val="none" w:sz="0" w:space="0" w:color="auto"/>
      </w:divBdr>
    </w:div>
    <w:div w:id="1040321499">
      <w:marLeft w:val="0"/>
      <w:marRight w:val="0"/>
      <w:marTop w:val="0"/>
      <w:marBottom w:val="0"/>
      <w:divBdr>
        <w:top w:val="none" w:sz="0" w:space="0" w:color="auto"/>
        <w:left w:val="none" w:sz="0" w:space="0" w:color="auto"/>
        <w:bottom w:val="none" w:sz="0" w:space="0" w:color="auto"/>
        <w:right w:val="none" w:sz="0" w:space="0" w:color="auto"/>
      </w:divBdr>
      <w:divsChild>
        <w:div w:id="1040321504">
          <w:marLeft w:val="0"/>
          <w:marRight w:val="0"/>
          <w:marTop w:val="0"/>
          <w:marBottom w:val="0"/>
          <w:divBdr>
            <w:top w:val="none" w:sz="0" w:space="0" w:color="auto"/>
            <w:left w:val="none" w:sz="0" w:space="0" w:color="auto"/>
            <w:bottom w:val="none" w:sz="0" w:space="0" w:color="auto"/>
            <w:right w:val="none" w:sz="0" w:space="0" w:color="auto"/>
          </w:divBdr>
          <w:divsChild>
            <w:div w:id="1040321485">
              <w:marLeft w:val="0"/>
              <w:marRight w:val="0"/>
              <w:marTop w:val="0"/>
              <w:marBottom w:val="0"/>
              <w:divBdr>
                <w:top w:val="none" w:sz="0" w:space="0" w:color="auto"/>
                <w:left w:val="none" w:sz="0" w:space="0" w:color="auto"/>
                <w:bottom w:val="none" w:sz="0" w:space="0" w:color="auto"/>
                <w:right w:val="none" w:sz="0" w:space="0" w:color="auto"/>
              </w:divBdr>
              <w:divsChild>
                <w:div w:id="1040321493">
                  <w:marLeft w:val="0"/>
                  <w:marRight w:val="0"/>
                  <w:marTop w:val="0"/>
                  <w:marBottom w:val="0"/>
                  <w:divBdr>
                    <w:top w:val="none" w:sz="0" w:space="0" w:color="auto"/>
                    <w:left w:val="none" w:sz="0" w:space="0" w:color="auto"/>
                    <w:bottom w:val="none" w:sz="0" w:space="0" w:color="auto"/>
                    <w:right w:val="none" w:sz="0" w:space="0" w:color="auto"/>
                  </w:divBdr>
                  <w:divsChild>
                    <w:div w:id="1040321498">
                      <w:marLeft w:val="0"/>
                      <w:marRight w:val="0"/>
                      <w:marTop w:val="0"/>
                      <w:marBottom w:val="0"/>
                      <w:divBdr>
                        <w:top w:val="none" w:sz="0" w:space="0" w:color="auto"/>
                        <w:left w:val="none" w:sz="0" w:space="0" w:color="auto"/>
                        <w:bottom w:val="none" w:sz="0" w:space="0" w:color="auto"/>
                        <w:right w:val="none" w:sz="0" w:space="0" w:color="auto"/>
                      </w:divBdr>
                      <w:divsChild>
                        <w:div w:id="1040321503">
                          <w:marLeft w:val="0"/>
                          <w:marRight w:val="0"/>
                          <w:marTop w:val="300"/>
                          <w:marBottom w:val="0"/>
                          <w:divBdr>
                            <w:top w:val="none" w:sz="0" w:space="0" w:color="auto"/>
                            <w:left w:val="none" w:sz="0" w:space="0" w:color="auto"/>
                            <w:bottom w:val="none" w:sz="0" w:space="0" w:color="auto"/>
                            <w:right w:val="none" w:sz="0" w:space="0" w:color="auto"/>
                          </w:divBdr>
                          <w:divsChild>
                            <w:div w:id="104032149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819</Words>
  <Characters>5654</Characters>
  <Application>Microsoft Office Word</Application>
  <DocSecurity>0</DocSecurity>
  <Lines>376</Lines>
  <Paragraphs>107</Paragraphs>
  <ScaleCrop>false</ScaleCrop>
  <HeadingPairs>
    <vt:vector size="2" baseType="variant">
      <vt:variant>
        <vt:lpstr>Nosaukums</vt:lpstr>
      </vt:variant>
      <vt:variant>
        <vt:i4>1</vt:i4>
      </vt:variant>
    </vt:vector>
  </HeadingPairs>
  <TitlesOfParts>
    <vt:vector size="1" baseType="lpstr">
      <vt:lpstr>Kārtība, kādā tiek administrēti un uzraudzīti tirgus intervences pasākumi augkopības un lopkopības produktu tirgū</vt:lpstr>
    </vt:vector>
  </TitlesOfParts>
  <Company>Zemkopības ministrija</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administrēti un uzraudzīti tirgus intervences pasākumi augkopības un lopkopības produktu tirgū</dc:title>
  <dc:subject>grozījumi, Anotācija</dc:subject>
  <dc:creator>Inga Orlova</dc:creator>
  <dc:description>Inga.Orlova@zm.gov.lv, 67027376</dc:description>
  <cp:lastModifiedBy>Renārs Žagars</cp:lastModifiedBy>
  <cp:revision>6</cp:revision>
  <cp:lastPrinted>2011-01-25T08:47:00Z</cp:lastPrinted>
  <dcterms:created xsi:type="dcterms:W3CDTF">2013-07-19T10:40:00Z</dcterms:created>
  <dcterms:modified xsi:type="dcterms:W3CDTF">2013-07-23T14:10:00Z</dcterms:modified>
</cp:coreProperties>
</file>