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C4" w:rsidRDefault="00F714C4" w:rsidP="00CA37D3">
      <w:pPr>
        <w:jc w:val="center"/>
        <w:rPr>
          <w:b/>
          <w:sz w:val="28"/>
          <w:szCs w:val="28"/>
        </w:rPr>
      </w:pPr>
      <w:r w:rsidRPr="008262BF">
        <w:rPr>
          <w:b/>
          <w:sz w:val="28"/>
          <w:szCs w:val="28"/>
        </w:rPr>
        <w:t xml:space="preserve">Ministru kabineta noteikumu projekta „Grozījumi Ministru kabineta 2013.gada 5.februāra noteikumos Nr.80 „Piena un piena produktu ražotāju organizāciju atzīšanas un to darbības uzraudzības kārtība”” sākotnējās ietekmes novērtējuma </w:t>
      </w:r>
      <w:smartTag w:uri="schemas-tilde-lv/tildestengine" w:element="veidnes">
        <w:smartTagPr>
          <w:attr w:name="text" w:val="ziņojums"/>
          <w:attr w:name="baseform" w:val="ziņojums"/>
          <w:attr w:name="id" w:val="-1"/>
        </w:smartTagPr>
        <w:r w:rsidRPr="008262BF">
          <w:rPr>
            <w:b/>
            <w:sz w:val="28"/>
            <w:szCs w:val="28"/>
          </w:rPr>
          <w:t>ziņojums</w:t>
        </w:r>
      </w:smartTag>
      <w:r w:rsidRPr="008262BF">
        <w:rPr>
          <w:b/>
          <w:sz w:val="28"/>
          <w:szCs w:val="28"/>
        </w:rPr>
        <w:t xml:space="preserve"> (anotācija)</w:t>
      </w:r>
    </w:p>
    <w:p w:rsidR="00F714C4" w:rsidRPr="008262BF" w:rsidRDefault="00F714C4" w:rsidP="00CA37D3">
      <w:pPr>
        <w:jc w:val="center"/>
        <w:rPr>
          <w:b/>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8"/>
        <w:gridCol w:w="2989"/>
        <w:gridCol w:w="5670"/>
      </w:tblGrid>
      <w:tr w:rsidR="00F714C4" w:rsidRPr="00A72B83" w:rsidTr="005B5913">
        <w:tc>
          <w:tcPr>
            <w:tcW w:w="9077" w:type="dxa"/>
            <w:gridSpan w:val="3"/>
            <w:vAlign w:val="center"/>
          </w:tcPr>
          <w:p w:rsidR="00F714C4" w:rsidRPr="00A72B83" w:rsidRDefault="00F714C4" w:rsidP="006C4607">
            <w:pPr>
              <w:pStyle w:val="naisnod"/>
              <w:spacing w:before="0" w:after="0"/>
            </w:pPr>
            <w:r w:rsidRPr="00A72B83">
              <w:t>I. Tiesību akta projekta izstrādes nepieciešamība</w:t>
            </w:r>
          </w:p>
        </w:tc>
      </w:tr>
      <w:tr w:rsidR="00F714C4" w:rsidRPr="00A72B83" w:rsidTr="005B5913">
        <w:trPr>
          <w:trHeight w:val="630"/>
        </w:trPr>
        <w:tc>
          <w:tcPr>
            <w:tcW w:w="418" w:type="dxa"/>
          </w:tcPr>
          <w:p w:rsidR="00F714C4" w:rsidRPr="00A72B83" w:rsidRDefault="00F714C4" w:rsidP="006C4607">
            <w:pPr>
              <w:pStyle w:val="naiskr"/>
              <w:spacing w:before="0" w:after="0"/>
            </w:pPr>
            <w:r w:rsidRPr="00A72B83">
              <w:t>1.</w:t>
            </w:r>
          </w:p>
        </w:tc>
        <w:tc>
          <w:tcPr>
            <w:tcW w:w="2989" w:type="dxa"/>
          </w:tcPr>
          <w:p w:rsidR="00F714C4" w:rsidRPr="00A72B83" w:rsidRDefault="00F714C4" w:rsidP="006C4607">
            <w:pPr>
              <w:pStyle w:val="naiskr"/>
              <w:spacing w:before="0" w:after="0"/>
              <w:ind w:hanging="10"/>
            </w:pPr>
            <w:r w:rsidRPr="00A72B83">
              <w:t>Pamatojums</w:t>
            </w:r>
          </w:p>
        </w:tc>
        <w:tc>
          <w:tcPr>
            <w:tcW w:w="5670" w:type="dxa"/>
          </w:tcPr>
          <w:p w:rsidR="00F714C4" w:rsidRPr="00A72B83" w:rsidRDefault="00F714C4" w:rsidP="00E75DC1">
            <w:pPr>
              <w:ind w:left="142" w:right="141"/>
              <w:jc w:val="both"/>
            </w:pPr>
            <w:proofErr w:type="spellStart"/>
            <w:r>
              <w:rPr>
                <w:i/>
                <w:iCs/>
                <w:sz w:val="23"/>
                <w:szCs w:val="23"/>
              </w:rPr>
              <w:t>Euro</w:t>
            </w:r>
            <w:proofErr w:type="spellEnd"/>
            <w:r>
              <w:rPr>
                <w:i/>
                <w:iCs/>
                <w:sz w:val="23"/>
                <w:szCs w:val="23"/>
              </w:rPr>
              <w:t xml:space="preserve"> </w:t>
            </w:r>
            <w:r>
              <w:rPr>
                <w:sz w:val="23"/>
                <w:szCs w:val="23"/>
              </w:rPr>
              <w:t>ieviešanas kārtības likuma 30.panta pirmā daļa un Ministru kabineta 2012.gada 27.jūnija rīkojuma Nr.282 „Par „Koncepciju par normatīvo aktu sakārtošanu saistībā ar eiro ieviešanu Latvijā”” 7.1.apakšpunkts.</w:t>
            </w:r>
          </w:p>
        </w:tc>
      </w:tr>
      <w:tr w:rsidR="00F714C4" w:rsidRPr="00A72B83" w:rsidTr="005B5913">
        <w:trPr>
          <w:trHeight w:val="472"/>
        </w:trPr>
        <w:tc>
          <w:tcPr>
            <w:tcW w:w="418" w:type="dxa"/>
          </w:tcPr>
          <w:p w:rsidR="00F714C4" w:rsidRPr="00A72B83" w:rsidRDefault="00F714C4" w:rsidP="006C4607">
            <w:pPr>
              <w:pStyle w:val="naiskr"/>
              <w:spacing w:before="0" w:after="0"/>
            </w:pPr>
            <w:r w:rsidRPr="00A72B83">
              <w:t>2.</w:t>
            </w:r>
          </w:p>
        </w:tc>
        <w:tc>
          <w:tcPr>
            <w:tcW w:w="2989" w:type="dxa"/>
          </w:tcPr>
          <w:p w:rsidR="00F714C4" w:rsidRPr="00A72B83" w:rsidRDefault="00F714C4" w:rsidP="006C4607">
            <w:pPr>
              <w:pStyle w:val="naiskr"/>
              <w:tabs>
                <w:tab w:val="left" w:pos="170"/>
              </w:tabs>
              <w:spacing w:before="0" w:after="0"/>
            </w:pPr>
            <w:r w:rsidRPr="00A72B83">
              <w:t>Pašreizējā situācija un problēmas</w:t>
            </w:r>
          </w:p>
        </w:tc>
        <w:tc>
          <w:tcPr>
            <w:tcW w:w="5670" w:type="dxa"/>
          </w:tcPr>
          <w:p w:rsidR="00F714C4" w:rsidRPr="00CA37D3" w:rsidRDefault="00F714C4" w:rsidP="00CA37D3">
            <w:pPr>
              <w:pStyle w:val="Default"/>
              <w:jc w:val="both"/>
              <w:rPr>
                <w:sz w:val="23"/>
                <w:szCs w:val="23"/>
              </w:rPr>
            </w:pPr>
            <w:r>
              <w:rPr>
                <w:sz w:val="23"/>
                <w:szCs w:val="23"/>
              </w:rPr>
              <w:t xml:space="preserve">Ņemot vērā, ka ar 2014.gada 1.janvāri Latvijā plānots ieviest </w:t>
            </w:r>
            <w:proofErr w:type="spellStart"/>
            <w:r>
              <w:rPr>
                <w:i/>
                <w:iCs/>
                <w:sz w:val="23"/>
                <w:szCs w:val="23"/>
              </w:rPr>
              <w:t>euro</w:t>
            </w:r>
            <w:proofErr w:type="spellEnd"/>
            <w:r>
              <w:rPr>
                <w:sz w:val="23"/>
                <w:szCs w:val="23"/>
              </w:rPr>
              <w:t xml:space="preserve">, ir nepieciešams veikt grozījumus </w:t>
            </w:r>
            <w:r w:rsidRPr="00CA37D3">
              <w:rPr>
                <w:szCs w:val="28"/>
              </w:rPr>
              <w:t>Ministru kabineta 2013.gada 5.februāra noteikumos Nr.80</w:t>
            </w:r>
            <w:r w:rsidRPr="00CA37D3">
              <w:rPr>
                <w:b/>
                <w:szCs w:val="28"/>
              </w:rPr>
              <w:t xml:space="preserve"> </w:t>
            </w:r>
            <w:r>
              <w:rPr>
                <w:szCs w:val="28"/>
              </w:rPr>
              <w:t>„</w:t>
            </w:r>
            <w:r w:rsidRPr="00CA37D3">
              <w:rPr>
                <w:color w:val="auto"/>
                <w:szCs w:val="28"/>
              </w:rPr>
              <w:t>Piena un piena produktu ražotāju organizāciju atzīšanas un to darbības uzraudzības kārtība</w:t>
            </w:r>
            <w:r w:rsidRPr="00A9615A">
              <w:rPr>
                <w:szCs w:val="28"/>
              </w:rPr>
              <w:t>”</w:t>
            </w:r>
            <w:r>
              <w:rPr>
                <w:sz w:val="23"/>
                <w:szCs w:val="23"/>
              </w:rPr>
              <w:t xml:space="preserve">, aizstājot tekstā latus ar </w:t>
            </w:r>
            <w:proofErr w:type="spellStart"/>
            <w:r>
              <w:rPr>
                <w:i/>
                <w:iCs/>
                <w:sz w:val="23"/>
                <w:szCs w:val="23"/>
              </w:rPr>
              <w:t>euro</w:t>
            </w:r>
            <w:proofErr w:type="spellEnd"/>
            <w:r>
              <w:rPr>
                <w:i/>
                <w:iCs/>
                <w:sz w:val="23"/>
                <w:szCs w:val="23"/>
              </w:rPr>
              <w:t>.</w:t>
            </w:r>
          </w:p>
        </w:tc>
      </w:tr>
      <w:tr w:rsidR="00F714C4" w:rsidRPr="00A72B83" w:rsidTr="005B5913">
        <w:trPr>
          <w:trHeight w:val="649"/>
        </w:trPr>
        <w:tc>
          <w:tcPr>
            <w:tcW w:w="418" w:type="dxa"/>
          </w:tcPr>
          <w:p w:rsidR="00F714C4" w:rsidRPr="00A72B83" w:rsidRDefault="00F714C4" w:rsidP="006C4607">
            <w:pPr>
              <w:pStyle w:val="naiskr"/>
              <w:spacing w:before="0" w:after="0"/>
            </w:pPr>
            <w:r w:rsidRPr="00A72B83">
              <w:t>3.</w:t>
            </w:r>
          </w:p>
        </w:tc>
        <w:tc>
          <w:tcPr>
            <w:tcW w:w="2989" w:type="dxa"/>
          </w:tcPr>
          <w:p w:rsidR="00F714C4" w:rsidRPr="00A72B83" w:rsidRDefault="00F714C4" w:rsidP="006C4607">
            <w:pPr>
              <w:pStyle w:val="naiskr"/>
              <w:spacing w:before="0" w:after="0"/>
            </w:pPr>
            <w:r w:rsidRPr="00A72B83">
              <w:t>Saistītie politikas ietekmes novērtējumi un pētījumi</w:t>
            </w:r>
          </w:p>
        </w:tc>
        <w:tc>
          <w:tcPr>
            <w:tcW w:w="5670" w:type="dxa"/>
          </w:tcPr>
          <w:p w:rsidR="00F714C4" w:rsidRPr="00A72B83" w:rsidRDefault="00F714C4" w:rsidP="00A72B83">
            <w:pPr>
              <w:pStyle w:val="Vresteksts"/>
              <w:ind w:firstLine="142"/>
              <w:rPr>
                <w:sz w:val="24"/>
                <w:szCs w:val="24"/>
              </w:rPr>
            </w:pPr>
            <w:r w:rsidRPr="00A72B83">
              <w:rPr>
                <w:sz w:val="24"/>
                <w:szCs w:val="24"/>
              </w:rPr>
              <w:t>Nav attiecināms.</w:t>
            </w:r>
          </w:p>
        </w:tc>
      </w:tr>
      <w:tr w:rsidR="00F714C4" w:rsidRPr="00A72B83" w:rsidTr="005B5913">
        <w:trPr>
          <w:trHeight w:val="384"/>
        </w:trPr>
        <w:tc>
          <w:tcPr>
            <w:tcW w:w="418" w:type="dxa"/>
          </w:tcPr>
          <w:p w:rsidR="00F714C4" w:rsidRPr="00A72B83" w:rsidRDefault="00F714C4" w:rsidP="006C4607">
            <w:pPr>
              <w:pStyle w:val="naiskr"/>
              <w:spacing w:before="0" w:after="0"/>
            </w:pPr>
            <w:r w:rsidRPr="00A72B83">
              <w:t>4.</w:t>
            </w:r>
          </w:p>
        </w:tc>
        <w:tc>
          <w:tcPr>
            <w:tcW w:w="2989" w:type="dxa"/>
          </w:tcPr>
          <w:p w:rsidR="00F714C4" w:rsidRDefault="00F714C4" w:rsidP="006C4607">
            <w:pPr>
              <w:pStyle w:val="naiskr"/>
              <w:spacing w:before="0" w:after="0"/>
            </w:pPr>
            <w:r w:rsidRPr="00A72B83">
              <w:t>Tiesiskā regulējuma mērķis un būtība</w:t>
            </w:r>
          </w:p>
          <w:p w:rsidR="00F714C4" w:rsidRPr="00124F58" w:rsidRDefault="00F714C4" w:rsidP="00124F58"/>
          <w:p w:rsidR="00F714C4" w:rsidRPr="00124F58" w:rsidRDefault="00F714C4" w:rsidP="00124F58"/>
        </w:tc>
        <w:tc>
          <w:tcPr>
            <w:tcW w:w="5670" w:type="dxa"/>
          </w:tcPr>
          <w:p w:rsidR="00F714C4" w:rsidRPr="00210349" w:rsidRDefault="00F714C4" w:rsidP="00CA37D3">
            <w:pPr>
              <w:pStyle w:val="Default"/>
              <w:jc w:val="both"/>
              <w:rPr>
                <w:strike/>
                <w:sz w:val="23"/>
                <w:szCs w:val="23"/>
              </w:rPr>
            </w:pPr>
            <w:r>
              <w:rPr>
                <w:bCs/>
                <w:szCs w:val="28"/>
              </w:rPr>
              <w:t>Šī</w:t>
            </w:r>
            <w:r w:rsidRPr="005E2016">
              <w:rPr>
                <w:bCs/>
                <w:szCs w:val="28"/>
              </w:rPr>
              <w:t xml:space="preserve"> projekta mērķis ir</w:t>
            </w:r>
            <w:r>
              <w:rPr>
                <w:bCs/>
                <w:szCs w:val="28"/>
              </w:rPr>
              <w:t xml:space="preserve"> pielāgot </w:t>
            </w:r>
            <w:r w:rsidRPr="00CA37D3">
              <w:rPr>
                <w:szCs w:val="28"/>
              </w:rPr>
              <w:t>Ministru kabineta 2013.gada 5.februāra noteikum</w:t>
            </w:r>
            <w:r>
              <w:rPr>
                <w:szCs w:val="28"/>
              </w:rPr>
              <w:t>u</w:t>
            </w:r>
            <w:r w:rsidRPr="00CA37D3">
              <w:rPr>
                <w:szCs w:val="28"/>
              </w:rPr>
              <w:t>s Nr.80</w:t>
            </w:r>
            <w:r w:rsidRPr="00CA37D3">
              <w:rPr>
                <w:b/>
                <w:szCs w:val="28"/>
              </w:rPr>
              <w:t xml:space="preserve"> </w:t>
            </w:r>
            <w:r>
              <w:rPr>
                <w:szCs w:val="28"/>
              </w:rPr>
              <w:t>„</w:t>
            </w:r>
            <w:r w:rsidRPr="00CA37D3">
              <w:rPr>
                <w:color w:val="auto"/>
                <w:szCs w:val="28"/>
              </w:rPr>
              <w:t>Piena un piena produktu ražotāju organizāciju atzīšanas un to darbības uzraudzības kārtība</w:t>
            </w:r>
            <w:r w:rsidRPr="00A9615A">
              <w:rPr>
                <w:szCs w:val="28"/>
              </w:rPr>
              <w:t>”</w:t>
            </w:r>
            <w:r w:rsidRPr="005E2016">
              <w:rPr>
                <w:bCs/>
                <w:szCs w:val="28"/>
              </w:rPr>
              <w:t xml:space="preserve"> </w:t>
            </w:r>
            <w:r>
              <w:rPr>
                <w:bCs/>
                <w:szCs w:val="28"/>
              </w:rPr>
              <w:t xml:space="preserve">(turpmāk – noteikumi Nr.80) </w:t>
            </w:r>
            <w:proofErr w:type="spellStart"/>
            <w:r>
              <w:rPr>
                <w:i/>
                <w:iCs/>
                <w:sz w:val="23"/>
                <w:szCs w:val="23"/>
              </w:rPr>
              <w:t>euro</w:t>
            </w:r>
            <w:proofErr w:type="spellEnd"/>
            <w:r>
              <w:rPr>
                <w:i/>
                <w:iCs/>
                <w:sz w:val="23"/>
                <w:szCs w:val="23"/>
              </w:rPr>
              <w:t xml:space="preserve"> </w:t>
            </w:r>
            <w:r>
              <w:rPr>
                <w:sz w:val="23"/>
                <w:szCs w:val="23"/>
              </w:rPr>
              <w:t xml:space="preserve">ieviešanai, aizstājot tekstā latus ar </w:t>
            </w:r>
            <w:proofErr w:type="spellStart"/>
            <w:r>
              <w:rPr>
                <w:i/>
                <w:iCs/>
                <w:sz w:val="23"/>
                <w:szCs w:val="23"/>
              </w:rPr>
              <w:t>euro</w:t>
            </w:r>
            <w:proofErr w:type="spellEnd"/>
            <w:r>
              <w:rPr>
                <w:i/>
                <w:iCs/>
                <w:sz w:val="23"/>
                <w:szCs w:val="23"/>
              </w:rPr>
              <w:t>.</w:t>
            </w:r>
          </w:p>
          <w:p w:rsidR="00F714C4" w:rsidRPr="009E2EC2" w:rsidRDefault="00F714C4" w:rsidP="00CA37D3">
            <w:pPr>
              <w:pStyle w:val="Default"/>
              <w:jc w:val="both"/>
              <w:rPr>
                <w:b/>
              </w:rPr>
            </w:pPr>
            <w:r w:rsidRPr="009E2EC2">
              <w:rPr>
                <w:b/>
              </w:rPr>
              <w:t xml:space="preserve">Šis projekts paredz aizstāt noteikumos Nr.80 latus ar </w:t>
            </w:r>
            <w:proofErr w:type="spellStart"/>
            <w:r w:rsidRPr="009E2EC2">
              <w:rPr>
                <w:b/>
                <w:i/>
              </w:rPr>
              <w:t>euro</w:t>
            </w:r>
            <w:proofErr w:type="spellEnd"/>
            <w:r w:rsidRPr="009E2EC2">
              <w:rPr>
                <w:b/>
                <w:i/>
                <w:iCs/>
              </w:rPr>
              <w:t xml:space="preserve"> </w:t>
            </w:r>
            <w:r w:rsidRPr="009E2EC2">
              <w:rPr>
                <w:b/>
              </w:rPr>
              <w:t xml:space="preserve">atbilstoši </w:t>
            </w:r>
            <w:proofErr w:type="spellStart"/>
            <w:r w:rsidRPr="009E2EC2">
              <w:rPr>
                <w:b/>
                <w:i/>
                <w:iCs/>
              </w:rPr>
              <w:t>Euro</w:t>
            </w:r>
            <w:proofErr w:type="spellEnd"/>
            <w:r w:rsidRPr="009E2EC2">
              <w:rPr>
                <w:b/>
                <w:i/>
                <w:iCs/>
              </w:rPr>
              <w:t xml:space="preserve"> </w:t>
            </w:r>
            <w:r w:rsidRPr="009E2EC2">
              <w:rPr>
                <w:b/>
              </w:rPr>
              <w:t xml:space="preserve">ieviešanas kārtības likuma 32.panta otrās daļas 2.punktā paredzētajiem principiem. Proti, projekts paredz noteikumos Nr.80 noteikt </w:t>
            </w:r>
            <w:bookmarkStart w:id="0" w:name="_GoBack"/>
            <w:r w:rsidRPr="009E2EC2">
              <w:rPr>
                <w:b/>
              </w:rPr>
              <w:t xml:space="preserve">pretendentiem </w:t>
            </w:r>
            <w:bookmarkEnd w:id="0"/>
            <w:r w:rsidRPr="009E2EC2">
              <w:rPr>
                <w:b/>
              </w:rPr>
              <w:t xml:space="preserve">labvēlīgākus sliekšņus </w:t>
            </w:r>
            <w:proofErr w:type="spellStart"/>
            <w:r w:rsidRPr="009E2EC2">
              <w:rPr>
                <w:b/>
                <w:i/>
              </w:rPr>
              <w:t>euro</w:t>
            </w:r>
            <w:proofErr w:type="spellEnd"/>
            <w:r w:rsidRPr="009E2EC2">
              <w:rPr>
                <w:b/>
              </w:rPr>
              <w:t xml:space="preserve"> valūtā salīdzin</w:t>
            </w:r>
            <w:r w:rsidR="00DA75C7" w:rsidRPr="009E2EC2">
              <w:rPr>
                <w:b/>
              </w:rPr>
              <w:t>ājumā</w:t>
            </w:r>
            <w:r w:rsidRPr="009E2EC2">
              <w:rPr>
                <w:b/>
              </w:rPr>
              <w:t xml:space="preserve"> ar sliekšņiem latos:</w:t>
            </w:r>
          </w:p>
          <w:p w:rsidR="00F714C4" w:rsidRPr="009E2EC2" w:rsidRDefault="00DA75C7" w:rsidP="0024536E">
            <w:pPr>
              <w:pStyle w:val="Default"/>
              <w:numPr>
                <w:ilvl w:val="0"/>
                <w:numId w:val="23"/>
              </w:numPr>
              <w:jc w:val="both"/>
              <w:rPr>
                <w:b/>
              </w:rPr>
            </w:pPr>
            <w:r w:rsidRPr="009E2EC2">
              <w:rPr>
                <w:b/>
              </w:rPr>
              <w:t>p</w:t>
            </w:r>
            <w:r w:rsidR="00F714C4" w:rsidRPr="009E2EC2">
              <w:rPr>
                <w:b/>
              </w:rPr>
              <w:t xml:space="preserve">retendentiem uz piena ražotāju organizācijas atzīšanu un pretendentiem uz piena starpnozaru organizācijas atzīšanu viens no kritērijiem paredz, ka pretendenta nodokļu parāds nedrīkst pārsniegt 100 latu. Veicot konvertāciju uz </w:t>
            </w:r>
            <w:proofErr w:type="spellStart"/>
            <w:r w:rsidR="00F714C4" w:rsidRPr="009E2EC2">
              <w:rPr>
                <w:b/>
                <w:i/>
              </w:rPr>
              <w:t>euro</w:t>
            </w:r>
            <w:proofErr w:type="spellEnd"/>
            <w:r w:rsidR="00F714C4" w:rsidRPr="009E2EC2">
              <w:rPr>
                <w:b/>
              </w:rPr>
              <w:t xml:space="preserve">, šis kritērijs tiks pazemināts, turpmāk to nosakot 150 </w:t>
            </w:r>
            <w:proofErr w:type="spellStart"/>
            <w:r w:rsidR="00F714C4" w:rsidRPr="009E2EC2">
              <w:rPr>
                <w:b/>
                <w:i/>
              </w:rPr>
              <w:t>euro</w:t>
            </w:r>
            <w:proofErr w:type="spellEnd"/>
            <w:r w:rsidRPr="009E2EC2">
              <w:rPr>
                <w:b/>
              </w:rPr>
              <w:t xml:space="preserve"> apmērā</w:t>
            </w:r>
            <w:r w:rsidR="00F714C4" w:rsidRPr="009E2EC2">
              <w:rPr>
                <w:b/>
              </w:rPr>
              <w:t>;</w:t>
            </w:r>
          </w:p>
          <w:p w:rsidR="00F714C4" w:rsidRPr="009E2EC2" w:rsidRDefault="00DA75C7" w:rsidP="0024536E">
            <w:pPr>
              <w:pStyle w:val="Default"/>
              <w:numPr>
                <w:ilvl w:val="0"/>
                <w:numId w:val="23"/>
              </w:numPr>
              <w:jc w:val="both"/>
              <w:rPr>
                <w:b/>
              </w:rPr>
            </w:pPr>
            <w:r w:rsidRPr="009E2EC2">
              <w:rPr>
                <w:b/>
              </w:rPr>
              <w:t>p</w:t>
            </w:r>
            <w:r w:rsidR="00F714C4" w:rsidRPr="009E2EC2">
              <w:rPr>
                <w:b/>
              </w:rPr>
              <w:t>retendentiem uz piena starpnozaru organizācijas atzīšanu viens no kritērijiem paredz, ka starpnozaru organizācijas dalībniekam mazumtirgotājam tirdzniecības apgrozījumam jābūt vismaz 100 tūkstoši latu</w:t>
            </w:r>
            <w:r w:rsidRPr="009E2EC2">
              <w:rPr>
                <w:b/>
              </w:rPr>
              <w:t xml:space="preserve"> apmērā</w:t>
            </w:r>
            <w:r w:rsidR="00F714C4" w:rsidRPr="009E2EC2">
              <w:rPr>
                <w:b/>
              </w:rPr>
              <w:t xml:space="preserve">. Veicot konvertāciju uz </w:t>
            </w:r>
            <w:proofErr w:type="spellStart"/>
            <w:r w:rsidR="00F714C4" w:rsidRPr="009E2EC2">
              <w:rPr>
                <w:b/>
                <w:i/>
              </w:rPr>
              <w:t>euro</w:t>
            </w:r>
            <w:proofErr w:type="spellEnd"/>
            <w:r w:rsidR="00F714C4" w:rsidRPr="009E2EC2">
              <w:rPr>
                <w:b/>
              </w:rPr>
              <w:t xml:space="preserve">, šis kritērijs tiks pazemināts, turpmāk to nosakot 142 280 </w:t>
            </w:r>
            <w:proofErr w:type="spellStart"/>
            <w:r w:rsidR="00F714C4" w:rsidRPr="009E2EC2">
              <w:rPr>
                <w:b/>
                <w:i/>
              </w:rPr>
              <w:t>euro</w:t>
            </w:r>
            <w:proofErr w:type="spellEnd"/>
            <w:r w:rsidR="00F714C4" w:rsidRPr="009E2EC2">
              <w:rPr>
                <w:b/>
              </w:rPr>
              <w:t xml:space="preserve"> </w:t>
            </w:r>
            <w:r w:rsidRPr="009E2EC2">
              <w:rPr>
                <w:b/>
              </w:rPr>
              <w:t>apmērā</w:t>
            </w:r>
            <w:r w:rsidR="00F714C4" w:rsidRPr="009E2EC2">
              <w:rPr>
                <w:b/>
              </w:rPr>
              <w:t>.</w:t>
            </w:r>
          </w:p>
          <w:p w:rsidR="00F714C4" w:rsidRPr="00962600" w:rsidRDefault="00F714C4" w:rsidP="00470CFD">
            <w:pPr>
              <w:jc w:val="both"/>
            </w:pPr>
            <w:r w:rsidRPr="009E2EC2">
              <w:rPr>
                <w:b/>
                <w:sz w:val="23"/>
                <w:szCs w:val="23"/>
              </w:rPr>
              <w:t xml:space="preserve">Tādējādi grozītās tiesību normas </w:t>
            </w:r>
            <w:proofErr w:type="spellStart"/>
            <w:r w:rsidRPr="009E2EC2">
              <w:rPr>
                <w:b/>
                <w:i/>
                <w:iCs/>
                <w:sz w:val="23"/>
                <w:szCs w:val="23"/>
              </w:rPr>
              <w:t>euro</w:t>
            </w:r>
            <w:proofErr w:type="spellEnd"/>
            <w:r w:rsidRPr="009E2EC2">
              <w:rPr>
                <w:b/>
                <w:i/>
                <w:iCs/>
                <w:sz w:val="23"/>
                <w:szCs w:val="23"/>
              </w:rPr>
              <w:t xml:space="preserve"> </w:t>
            </w:r>
            <w:r w:rsidRPr="009E2EC2">
              <w:rPr>
                <w:b/>
                <w:sz w:val="23"/>
                <w:szCs w:val="23"/>
              </w:rPr>
              <w:t>valūtā nav personām nelabvēlīgākas par sākotnējo tiesību normu latos un nerada vērā ņemamu negatīvu ietekmi uz valsts budžetu. Būtībā grozījumiem nav ietekmes uz budžetu, jo tie attiecas tikai uz trešo personu finansiālajiem rādītājiem, nevis maksājumiem, kas tām būtu jāveic.</w:t>
            </w:r>
            <w:r>
              <w:rPr>
                <w:sz w:val="23"/>
                <w:szCs w:val="23"/>
              </w:rPr>
              <w:t xml:space="preserve"> </w:t>
            </w:r>
          </w:p>
        </w:tc>
      </w:tr>
      <w:tr w:rsidR="00F714C4" w:rsidRPr="00A72B83" w:rsidTr="005B5913">
        <w:trPr>
          <w:trHeight w:val="476"/>
        </w:trPr>
        <w:tc>
          <w:tcPr>
            <w:tcW w:w="418" w:type="dxa"/>
          </w:tcPr>
          <w:p w:rsidR="00F714C4" w:rsidRPr="00A72B83" w:rsidRDefault="00F714C4" w:rsidP="006C4607">
            <w:pPr>
              <w:pStyle w:val="naiskr"/>
              <w:spacing w:before="0" w:after="0"/>
            </w:pPr>
            <w:r w:rsidRPr="00A72B83">
              <w:lastRenderedPageBreak/>
              <w:t>5.</w:t>
            </w:r>
          </w:p>
        </w:tc>
        <w:tc>
          <w:tcPr>
            <w:tcW w:w="2989" w:type="dxa"/>
          </w:tcPr>
          <w:p w:rsidR="00F714C4" w:rsidRPr="00A72B83" w:rsidRDefault="00F714C4" w:rsidP="006C4607">
            <w:pPr>
              <w:pStyle w:val="naiskr"/>
              <w:spacing w:before="0" w:after="0"/>
            </w:pPr>
            <w:r w:rsidRPr="00A72B83">
              <w:t>Projekta izstrādē iesaistītās institūcijas</w:t>
            </w:r>
          </w:p>
        </w:tc>
        <w:tc>
          <w:tcPr>
            <w:tcW w:w="5670" w:type="dxa"/>
          </w:tcPr>
          <w:p w:rsidR="00F714C4" w:rsidRDefault="00F714C4" w:rsidP="00A72B83">
            <w:pPr>
              <w:pStyle w:val="naiskr"/>
              <w:spacing w:before="0" w:after="0"/>
              <w:ind w:left="142"/>
              <w:jc w:val="both"/>
            </w:pPr>
            <w:r w:rsidRPr="00A72B83">
              <w:t>Lauku atbalsta dienests</w:t>
            </w:r>
            <w:r>
              <w:t xml:space="preserve">, </w:t>
            </w:r>
          </w:p>
          <w:p w:rsidR="00F714C4" w:rsidRDefault="00F714C4" w:rsidP="00A72B83">
            <w:pPr>
              <w:pStyle w:val="naiskr"/>
              <w:spacing w:before="0" w:after="0"/>
              <w:ind w:left="142"/>
              <w:jc w:val="both"/>
            </w:pPr>
            <w:r>
              <w:t>Lauksaimniecības datu centrs,</w:t>
            </w:r>
          </w:p>
          <w:p w:rsidR="00F714C4" w:rsidRDefault="00F714C4" w:rsidP="0035650A">
            <w:pPr>
              <w:pStyle w:val="naiskr"/>
              <w:spacing w:before="0" w:after="0"/>
              <w:ind w:left="142"/>
              <w:jc w:val="both"/>
            </w:pPr>
            <w:r>
              <w:t>Latvijas lauksaimniecības kooperatīvu asociācija un</w:t>
            </w:r>
          </w:p>
          <w:p w:rsidR="00F714C4" w:rsidRPr="00A72B83" w:rsidRDefault="00F714C4" w:rsidP="0035650A">
            <w:pPr>
              <w:pStyle w:val="naiskr"/>
              <w:spacing w:before="0" w:after="0"/>
              <w:ind w:left="142"/>
              <w:jc w:val="both"/>
            </w:pPr>
            <w:r>
              <w:t>Konkurences padome.</w:t>
            </w:r>
          </w:p>
        </w:tc>
      </w:tr>
      <w:tr w:rsidR="00F714C4" w:rsidRPr="00A72B83" w:rsidTr="005B5913">
        <w:trPr>
          <w:trHeight w:val="699"/>
        </w:trPr>
        <w:tc>
          <w:tcPr>
            <w:tcW w:w="418" w:type="dxa"/>
          </w:tcPr>
          <w:p w:rsidR="00F714C4" w:rsidRPr="00A72B83" w:rsidRDefault="00F714C4" w:rsidP="006C4607">
            <w:pPr>
              <w:pStyle w:val="naiskr"/>
              <w:spacing w:before="0" w:after="0"/>
            </w:pPr>
            <w:r w:rsidRPr="00A72B83">
              <w:t>6.</w:t>
            </w:r>
          </w:p>
        </w:tc>
        <w:tc>
          <w:tcPr>
            <w:tcW w:w="2989" w:type="dxa"/>
          </w:tcPr>
          <w:p w:rsidR="00F714C4" w:rsidRPr="00A72B83" w:rsidRDefault="00F714C4" w:rsidP="006C4607">
            <w:pPr>
              <w:pStyle w:val="naiskr"/>
              <w:spacing w:before="0" w:after="0"/>
              <w:rPr>
                <w:i/>
                <w:highlight w:val="yellow"/>
              </w:rPr>
            </w:pPr>
            <w:r w:rsidRPr="00A72B83">
              <w:t>Iemesli, kādēļ netika nodrošināta sabiedrības līdzdalība</w:t>
            </w:r>
          </w:p>
        </w:tc>
        <w:tc>
          <w:tcPr>
            <w:tcW w:w="5670" w:type="dxa"/>
          </w:tcPr>
          <w:p w:rsidR="00F714C4" w:rsidRPr="00CA37D3" w:rsidRDefault="00F714C4" w:rsidP="00752149">
            <w:pPr>
              <w:pStyle w:val="Default"/>
              <w:jc w:val="both"/>
              <w:rPr>
                <w:sz w:val="23"/>
                <w:szCs w:val="23"/>
              </w:rPr>
            </w:pPr>
            <w:r>
              <w:rPr>
                <w:sz w:val="23"/>
                <w:szCs w:val="23"/>
              </w:rPr>
              <w:t xml:space="preserve">Sabiedrības līdzdalība projekta izstrādē netika nodrošināta, jo projekts nemaina pastāvošo tiesisko regulējumu pēc būtības, bet tikai aizstāj latus ar </w:t>
            </w:r>
            <w:proofErr w:type="spellStart"/>
            <w:r>
              <w:rPr>
                <w:i/>
                <w:iCs/>
                <w:sz w:val="23"/>
                <w:szCs w:val="23"/>
              </w:rPr>
              <w:t>euro</w:t>
            </w:r>
            <w:proofErr w:type="spellEnd"/>
            <w:r>
              <w:rPr>
                <w:sz w:val="23"/>
                <w:szCs w:val="23"/>
              </w:rPr>
              <w:t xml:space="preserve">, turklāt sabiedrībai ir labvēlīgāks, jo projekta izstrādē ir izmantots </w:t>
            </w:r>
            <w:proofErr w:type="spellStart"/>
            <w:r>
              <w:rPr>
                <w:i/>
                <w:iCs/>
                <w:sz w:val="23"/>
                <w:szCs w:val="23"/>
              </w:rPr>
              <w:t>Euro</w:t>
            </w:r>
            <w:proofErr w:type="spellEnd"/>
            <w:r>
              <w:rPr>
                <w:i/>
                <w:iCs/>
                <w:sz w:val="23"/>
                <w:szCs w:val="23"/>
              </w:rPr>
              <w:t xml:space="preserve"> </w:t>
            </w:r>
            <w:r>
              <w:rPr>
                <w:sz w:val="23"/>
                <w:szCs w:val="23"/>
              </w:rPr>
              <w:t xml:space="preserve">ieviešanas kārtības likuma 32.panta otrās daļas 2.punktā paredzētais princips, naudas summas noapaļojot par labu iedzīvotājiem. </w:t>
            </w:r>
          </w:p>
        </w:tc>
      </w:tr>
      <w:tr w:rsidR="00F714C4" w:rsidRPr="00A72B83" w:rsidTr="005B5913">
        <w:tc>
          <w:tcPr>
            <w:tcW w:w="418" w:type="dxa"/>
          </w:tcPr>
          <w:p w:rsidR="00F714C4" w:rsidRPr="00A72B83" w:rsidRDefault="00F714C4" w:rsidP="006C4607">
            <w:pPr>
              <w:pStyle w:val="naiskr"/>
              <w:spacing w:before="0" w:after="0"/>
            </w:pPr>
            <w:r w:rsidRPr="00A72B83">
              <w:t>7.</w:t>
            </w:r>
          </w:p>
        </w:tc>
        <w:tc>
          <w:tcPr>
            <w:tcW w:w="2989" w:type="dxa"/>
          </w:tcPr>
          <w:p w:rsidR="00F714C4" w:rsidRPr="00A72B83" w:rsidRDefault="00F714C4" w:rsidP="006C4607">
            <w:pPr>
              <w:pStyle w:val="naiskr"/>
              <w:spacing w:before="0" w:after="0"/>
            </w:pPr>
            <w:r w:rsidRPr="00A72B83">
              <w:t>Cita informācija</w:t>
            </w:r>
          </w:p>
        </w:tc>
        <w:tc>
          <w:tcPr>
            <w:tcW w:w="5670" w:type="dxa"/>
          </w:tcPr>
          <w:p w:rsidR="00F714C4" w:rsidRPr="003B4E5D" w:rsidRDefault="00F714C4" w:rsidP="0004049A">
            <w:pPr>
              <w:pStyle w:val="naiskr"/>
              <w:spacing w:before="0" w:after="0"/>
              <w:jc w:val="both"/>
            </w:pPr>
            <w:r>
              <w:t xml:space="preserve">Šis projekts tiks virzīts izskatīšanai Ministru kabinetā pēc tam, kad Eiropas Savienības Padomē saskaņā ar Līguma par Eiropas Savienības darbību 140.panta 2.punktu tiks pieņemts </w:t>
            </w:r>
            <w:smartTag w:uri="schemas-tilde-lv/tildestengine" w:element="veidnes">
              <w:smartTagPr>
                <w:attr w:name="text" w:val="lēmums"/>
                <w:attr w:name="baseform" w:val="lēmums"/>
                <w:attr w:name="id" w:val="-1"/>
              </w:smartTagPr>
              <w:r>
                <w:t>lēmums</w:t>
              </w:r>
            </w:smartTag>
            <w:r>
              <w:t xml:space="preserve"> par izņēmuma statusa atcelšanu Latvijas Republikai.</w:t>
            </w:r>
          </w:p>
        </w:tc>
      </w:tr>
    </w:tbl>
    <w:p w:rsidR="00F714C4" w:rsidRDefault="00F714C4" w:rsidP="006B2B43">
      <w:pPr>
        <w:pStyle w:val="naisf"/>
        <w:spacing w:before="0" w:after="0"/>
      </w:pPr>
    </w:p>
    <w:p w:rsidR="00F714C4" w:rsidRPr="006A4002" w:rsidRDefault="00F714C4" w:rsidP="00CA37D3">
      <w:pPr>
        <w:pStyle w:val="naisf"/>
        <w:spacing w:before="0" w:after="0"/>
        <w:rPr>
          <w:i/>
        </w:rPr>
      </w:pPr>
      <w:r w:rsidRPr="006A4002">
        <w:rPr>
          <w:i/>
        </w:rPr>
        <w:t>Anotācijas II sadaļa – projekts šo jomu neskar.</w:t>
      </w:r>
    </w:p>
    <w:p w:rsidR="00F714C4" w:rsidRPr="00996A74" w:rsidRDefault="00F714C4" w:rsidP="00E321C1">
      <w:pPr>
        <w:pStyle w:val="naisf"/>
        <w:spacing w:before="0" w:after="0"/>
        <w:ind w:firstLine="0"/>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1320"/>
        <w:gridCol w:w="1346"/>
        <w:gridCol w:w="1349"/>
        <w:gridCol w:w="1350"/>
        <w:gridCol w:w="1223"/>
      </w:tblGrid>
      <w:tr w:rsidR="00F714C4" w:rsidRPr="005A3C61" w:rsidTr="0004049A">
        <w:trPr>
          <w:trHeight w:val="652"/>
          <w:jc w:val="center"/>
        </w:trPr>
        <w:tc>
          <w:tcPr>
            <w:tcW w:w="9416" w:type="dxa"/>
            <w:gridSpan w:val="6"/>
          </w:tcPr>
          <w:p w:rsidR="00F714C4" w:rsidRPr="005A3C61" w:rsidRDefault="00F714C4" w:rsidP="0004049A">
            <w:pPr>
              <w:pStyle w:val="naisnod"/>
              <w:spacing w:before="0" w:after="0"/>
              <w:rPr>
                <w:i/>
                <w:color w:val="000000"/>
              </w:rPr>
            </w:pPr>
            <w:r w:rsidRPr="005A3C61">
              <w:rPr>
                <w:color w:val="000000"/>
              </w:rPr>
              <w:br w:type="page"/>
              <w:t>III. Tiesību akta projekta ietekme uz valsts budžetu un pašvaldību budžetiem</w:t>
            </w:r>
          </w:p>
        </w:tc>
      </w:tr>
      <w:tr w:rsidR="00F714C4" w:rsidRPr="005A3C61" w:rsidTr="0004049A">
        <w:trPr>
          <w:jc w:val="center"/>
        </w:trPr>
        <w:tc>
          <w:tcPr>
            <w:tcW w:w="2873" w:type="dxa"/>
            <w:vMerge w:val="restart"/>
            <w:vAlign w:val="center"/>
          </w:tcPr>
          <w:p w:rsidR="00F714C4" w:rsidRPr="005A3C61" w:rsidRDefault="00F714C4" w:rsidP="0004049A">
            <w:pPr>
              <w:pStyle w:val="naisf"/>
              <w:spacing w:before="0" w:after="0"/>
              <w:ind w:firstLine="0"/>
              <w:jc w:val="center"/>
              <w:rPr>
                <w:b/>
                <w:color w:val="000000"/>
              </w:rPr>
            </w:pPr>
            <w:r w:rsidRPr="005A3C61">
              <w:rPr>
                <w:b/>
                <w:color w:val="000000"/>
              </w:rPr>
              <w:t>Rādītāji</w:t>
            </w:r>
          </w:p>
        </w:tc>
        <w:tc>
          <w:tcPr>
            <w:tcW w:w="2684" w:type="dxa"/>
            <w:gridSpan w:val="2"/>
            <w:vMerge w:val="restart"/>
            <w:vAlign w:val="center"/>
          </w:tcPr>
          <w:p w:rsidR="00F714C4" w:rsidRPr="005A3C61" w:rsidRDefault="00F714C4" w:rsidP="0004049A">
            <w:pPr>
              <w:pStyle w:val="naisf"/>
              <w:spacing w:before="0" w:after="0"/>
              <w:ind w:firstLine="0"/>
              <w:jc w:val="center"/>
              <w:rPr>
                <w:b/>
                <w:color w:val="000000"/>
              </w:rPr>
            </w:pPr>
            <w:r w:rsidRPr="005A3C61">
              <w:rPr>
                <w:b/>
                <w:color w:val="000000"/>
              </w:rPr>
              <w:t>2013.gads</w:t>
            </w:r>
          </w:p>
        </w:tc>
        <w:tc>
          <w:tcPr>
            <w:tcW w:w="3859" w:type="dxa"/>
            <w:gridSpan w:val="3"/>
            <w:vAlign w:val="center"/>
          </w:tcPr>
          <w:p w:rsidR="00F714C4" w:rsidRPr="005A3C61" w:rsidRDefault="00F714C4" w:rsidP="0004049A">
            <w:pPr>
              <w:pStyle w:val="naisf"/>
              <w:spacing w:before="0" w:after="0"/>
              <w:ind w:firstLine="0"/>
              <w:jc w:val="center"/>
              <w:rPr>
                <w:b/>
                <w:i/>
                <w:color w:val="000000"/>
              </w:rPr>
            </w:pPr>
            <w:r w:rsidRPr="005A3C61">
              <w:rPr>
                <w:color w:val="000000"/>
              </w:rPr>
              <w:t xml:space="preserve">Turpmākie trīs gadi (tūkst. </w:t>
            </w:r>
            <w:proofErr w:type="spellStart"/>
            <w:r w:rsidRPr="005A3C61">
              <w:rPr>
                <w:i/>
                <w:color w:val="000000"/>
              </w:rPr>
              <w:t>euro</w:t>
            </w:r>
            <w:proofErr w:type="spellEnd"/>
            <w:r w:rsidRPr="005A3C61">
              <w:rPr>
                <w:color w:val="000000"/>
              </w:rPr>
              <w:t>)</w:t>
            </w:r>
          </w:p>
        </w:tc>
      </w:tr>
      <w:tr w:rsidR="00F714C4" w:rsidRPr="005A3C61" w:rsidTr="0004049A">
        <w:trPr>
          <w:jc w:val="center"/>
        </w:trPr>
        <w:tc>
          <w:tcPr>
            <w:tcW w:w="2873" w:type="dxa"/>
            <w:vMerge/>
            <w:vAlign w:val="center"/>
          </w:tcPr>
          <w:p w:rsidR="00F714C4" w:rsidRPr="005A3C61" w:rsidRDefault="00F714C4" w:rsidP="0004049A">
            <w:pPr>
              <w:pStyle w:val="naisf"/>
              <w:spacing w:before="0" w:after="0"/>
              <w:ind w:firstLine="0"/>
              <w:jc w:val="center"/>
              <w:rPr>
                <w:b/>
                <w:i/>
                <w:color w:val="000000"/>
              </w:rPr>
            </w:pPr>
          </w:p>
        </w:tc>
        <w:tc>
          <w:tcPr>
            <w:tcW w:w="2684" w:type="dxa"/>
            <w:gridSpan w:val="2"/>
            <w:vMerge/>
            <w:vAlign w:val="center"/>
          </w:tcPr>
          <w:p w:rsidR="00F714C4" w:rsidRPr="005A3C61" w:rsidRDefault="00F714C4" w:rsidP="0004049A">
            <w:pPr>
              <w:pStyle w:val="naisf"/>
              <w:spacing w:before="0" w:after="0"/>
              <w:ind w:firstLine="0"/>
              <w:jc w:val="center"/>
              <w:rPr>
                <w:b/>
                <w:i/>
                <w:color w:val="000000"/>
              </w:rPr>
            </w:pPr>
          </w:p>
        </w:tc>
        <w:tc>
          <w:tcPr>
            <w:tcW w:w="1354" w:type="dxa"/>
            <w:vAlign w:val="center"/>
          </w:tcPr>
          <w:p w:rsidR="00F714C4" w:rsidRPr="005A3C61" w:rsidRDefault="00F714C4" w:rsidP="0004049A">
            <w:pPr>
              <w:pStyle w:val="naisf"/>
              <w:spacing w:before="0" w:after="0"/>
              <w:ind w:firstLine="0"/>
              <w:jc w:val="center"/>
              <w:rPr>
                <w:b/>
                <w:i/>
                <w:color w:val="000000"/>
              </w:rPr>
            </w:pPr>
            <w:r>
              <w:rPr>
                <w:b/>
                <w:color w:val="000000"/>
              </w:rPr>
              <w:t>2014.</w:t>
            </w:r>
            <w:r w:rsidRPr="005A3C61">
              <w:rPr>
                <w:b/>
                <w:color w:val="000000"/>
              </w:rPr>
              <w:t>gads</w:t>
            </w:r>
          </w:p>
        </w:tc>
        <w:tc>
          <w:tcPr>
            <w:tcW w:w="1355" w:type="dxa"/>
            <w:vAlign w:val="center"/>
          </w:tcPr>
          <w:p w:rsidR="00F714C4" w:rsidRPr="005A3C61" w:rsidRDefault="00F714C4" w:rsidP="0004049A">
            <w:pPr>
              <w:pStyle w:val="naisf"/>
              <w:spacing w:before="0" w:after="0"/>
              <w:ind w:firstLine="0"/>
              <w:jc w:val="center"/>
              <w:rPr>
                <w:b/>
                <w:i/>
                <w:color w:val="000000"/>
              </w:rPr>
            </w:pPr>
            <w:r>
              <w:rPr>
                <w:b/>
                <w:color w:val="000000"/>
              </w:rPr>
              <w:t>2015.</w:t>
            </w:r>
            <w:r w:rsidRPr="005A3C61">
              <w:rPr>
                <w:b/>
                <w:color w:val="000000"/>
              </w:rPr>
              <w:t>gads</w:t>
            </w:r>
          </w:p>
        </w:tc>
        <w:tc>
          <w:tcPr>
            <w:tcW w:w="1150" w:type="dxa"/>
            <w:vAlign w:val="center"/>
          </w:tcPr>
          <w:p w:rsidR="00F714C4" w:rsidRPr="005A3C61" w:rsidRDefault="00F714C4" w:rsidP="0004049A">
            <w:pPr>
              <w:pStyle w:val="naisf"/>
              <w:spacing w:before="0" w:after="0"/>
              <w:ind w:firstLine="0"/>
              <w:jc w:val="center"/>
              <w:rPr>
                <w:b/>
                <w:i/>
                <w:color w:val="000000"/>
              </w:rPr>
            </w:pPr>
            <w:r w:rsidRPr="005A3C61">
              <w:rPr>
                <w:b/>
                <w:color w:val="000000"/>
              </w:rPr>
              <w:t>2016.gads</w:t>
            </w:r>
          </w:p>
        </w:tc>
      </w:tr>
      <w:tr w:rsidR="00F714C4" w:rsidRPr="005A3C61" w:rsidTr="0004049A">
        <w:trPr>
          <w:jc w:val="center"/>
        </w:trPr>
        <w:tc>
          <w:tcPr>
            <w:tcW w:w="2873" w:type="dxa"/>
            <w:vMerge/>
            <w:vAlign w:val="center"/>
          </w:tcPr>
          <w:p w:rsidR="00F714C4" w:rsidRPr="005A3C61" w:rsidRDefault="00F714C4" w:rsidP="0004049A">
            <w:pPr>
              <w:pStyle w:val="naisf"/>
              <w:spacing w:before="0" w:after="0"/>
              <w:ind w:firstLine="0"/>
              <w:jc w:val="center"/>
              <w:rPr>
                <w:b/>
                <w:i/>
                <w:color w:val="000000"/>
              </w:rPr>
            </w:pPr>
          </w:p>
        </w:tc>
        <w:tc>
          <w:tcPr>
            <w:tcW w:w="1330" w:type="dxa"/>
            <w:vAlign w:val="center"/>
          </w:tcPr>
          <w:p w:rsidR="00F714C4" w:rsidRPr="005A3C61" w:rsidRDefault="00F714C4" w:rsidP="0004049A">
            <w:pPr>
              <w:pStyle w:val="naisf"/>
              <w:spacing w:before="0" w:after="0"/>
              <w:ind w:firstLine="0"/>
              <w:jc w:val="center"/>
              <w:rPr>
                <w:b/>
                <w:i/>
                <w:color w:val="000000"/>
              </w:rPr>
            </w:pPr>
            <w:r w:rsidRPr="005A3C61">
              <w:rPr>
                <w:color w:val="000000"/>
              </w:rPr>
              <w:t>Saskaņā ar valsts budžetu kārtējam gadam</w:t>
            </w:r>
          </w:p>
        </w:tc>
        <w:tc>
          <w:tcPr>
            <w:tcW w:w="1354" w:type="dxa"/>
            <w:vAlign w:val="center"/>
          </w:tcPr>
          <w:p w:rsidR="00F714C4" w:rsidRPr="005A3C61" w:rsidRDefault="00F714C4" w:rsidP="0004049A">
            <w:pPr>
              <w:pStyle w:val="naisf"/>
              <w:spacing w:before="0" w:after="0"/>
              <w:ind w:firstLine="0"/>
              <w:jc w:val="center"/>
              <w:rPr>
                <w:b/>
                <w:i/>
                <w:color w:val="000000"/>
              </w:rPr>
            </w:pPr>
            <w:r w:rsidRPr="005A3C61">
              <w:rPr>
                <w:color w:val="000000"/>
              </w:rPr>
              <w:t>Izmaiņas kārtējā gadā, salīdzinot ar budžetu kārtējam gadam</w:t>
            </w:r>
          </w:p>
        </w:tc>
        <w:tc>
          <w:tcPr>
            <w:tcW w:w="1354" w:type="dxa"/>
            <w:vAlign w:val="center"/>
          </w:tcPr>
          <w:p w:rsidR="00F714C4" w:rsidRPr="005A3C61" w:rsidRDefault="00F714C4" w:rsidP="0004049A">
            <w:pPr>
              <w:pStyle w:val="naisf"/>
              <w:spacing w:before="0" w:after="0"/>
              <w:ind w:firstLine="0"/>
              <w:jc w:val="center"/>
              <w:rPr>
                <w:b/>
                <w:i/>
                <w:color w:val="000000"/>
              </w:rPr>
            </w:pPr>
            <w:r w:rsidRPr="005A3C61">
              <w:rPr>
                <w:color w:val="000000"/>
              </w:rPr>
              <w:t>Izmaiņas, salīdzinot ar kārtējo 2013.gadu</w:t>
            </w:r>
          </w:p>
        </w:tc>
        <w:tc>
          <w:tcPr>
            <w:tcW w:w="1355" w:type="dxa"/>
            <w:vAlign w:val="center"/>
          </w:tcPr>
          <w:p w:rsidR="00F714C4" w:rsidRPr="005A3C61" w:rsidRDefault="00F714C4" w:rsidP="0004049A">
            <w:pPr>
              <w:pStyle w:val="naisf"/>
              <w:spacing w:before="0" w:after="0"/>
              <w:ind w:firstLine="0"/>
              <w:jc w:val="center"/>
              <w:rPr>
                <w:b/>
                <w:i/>
                <w:color w:val="000000"/>
              </w:rPr>
            </w:pPr>
            <w:r w:rsidRPr="005A3C61">
              <w:rPr>
                <w:color w:val="000000"/>
              </w:rPr>
              <w:t xml:space="preserve">Izmaiņas, salīdzinot ar kārtējo </w:t>
            </w:r>
            <w:r>
              <w:rPr>
                <w:color w:val="000000"/>
              </w:rPr>
              <w:t>2013.</w:t>
            </w:r>
            <w:r w:rsidRPr="005A3C61">
              <w:rPr>
                <w:color w:val="000000"/>
              </w:rPr>
              <w:t>gadu</w:t>
            </w:r>
          </w:p>
        </w:tc>
        <w:tc>
          <w:tcPr>
            <w:tcW w:w="1150" w:type="dxa"/>
            <w:vAlign w:val="center"/>
          </w:tcPr>
          <w:p w:rsidR="00F714C4" w:rsidRPr="005A3C61" w:rsidRDefault="00F714C4" w:rsidP="0004049A">
            <w:pPr>
              <w:pStyle w:val="naisf"/>
              <w:spacing w:before="0" w:after="0"/>
              <w:ind w:firstLine="0"/>
              <w:jc w:val="center"/>
              <w:rPr>
                <w:b/>
                <w:i/>
                <w:color w:val="000000"/>
              </w:rPr>
            </w:pPr>
            <w:r w:rsidRPr="005A3C61">
              <w:rPr>
                <w:color w:val="000000"/>
              </w:rPr>
              <w:t>Izmaiņas, salīdzinot ar kārtējo 2013.gadu</w:t>
            </w:r>
          </w:p>
        </w:tc>
      </w:tr>
      <w:tr w:rsidR="00F714C4" w:rsidRPr="005A3C61" w:rsidTr="0004049A">
        <w:trPr>
          <w:jc w:val="center"/>
        </w:trPr>
        <w:tc>
          <w:tcPr>
            <w:tcW w:w="2873" w:type="dxa"/>
            <w:vAlign w:val="center"/>
          </w:tcPr>
          <w:p w:rsidR="00F714C4" w:rsidRPr="005A3C61" w:rsidRDefault="00F714C4" w:rsidP="0004049A">
            <w:pPr>
              <w:pStyle w:val="naisf"/>
              <w:spacing w:before="0" w:after="0"/>
              <w:ind w:firstLine="0"/>
              <w:jc w:val="center"/>
              <w:rPr>
                <w:bCs/>
                <w:color w:val="000000"/>
              </w:rPr>
            </w:pPr>
            <w:r w:rsidRPr="005A3C61">
              <w:rPr>
                <w:bCs/>
                <w:color w:val="000000"/>
              </w:rPr>
              <w:t>1</w:t>
            </w:r>
          </w:p>
        </w:tc>
        <w:tc>
          <w:tcPr>
            <w:tcW w:w="1330" w:type="dxa"/>
            <w:vAlign w:val="center"/>
          </w:tcPr>
          <w:p w:rsidR="00F714C4" w:rsidRPr="005A3C61" w:rsidRDefault="00F714C4" w:rsidP="0004049A">
            <w:pPr>
              <w:pStyle w:val="naisf"/>
              <w:spacing w:before="0" w:after="0"/>
              <w:ind w:firstLine="0"/>
              <w:jc w:val="center"/>
              <w:rPr>
                <w:bCs/>
                <w:color w:val="000000"/>
              </w:rPr>
            </w:pPr>
            <w:r w:rsidRPr="005A3C61">
              <w:rPr>
                <w:bCs/>
                <w:color w:val="000000"/>
              </w:rPr>
              <w:t>2</w:t>
            </w:r>
          </w:p>
        </w:tc>
        <w:tc>
          <w:tcPr>
            <w:tcW w:w="1354" w:type="dxa"/>
            <w:vAlign w:val="center"/>
          </w:tcPr>
          <w:p w:rsidR="00F714C4" w:rsidRPr="005A3C61" w:rsidRDefault="00F714C4" w:rsidP="0004049A">
            <w:pPr>
              <w:pStyle w:val="naisf"/>
              <w:spacing w:before="0" w:after="0"/>
              <w:ind w:firstLine="0"/>
              <w:jc w:val="center"/>
              <w:rPr>
                <w:bCs/>
                <w:color w:val="000000"/>
              </w:rPr>
            </w:pPr>
            <w:r w:rsidRPr="005A3C61">
              <w:rPr>
                <w:bCs/>
                <w:color w:val="000000"/>
              </w:rPr>
              <w:t>3</w:t>
            </w:r>
          </w:p>
        </w:tc>
        <w:tc>
          <w:tcPr>
            <w:tcW w:w="1354" w:type="dxa"/>
            <w:vAlign w:val="center"/>
          </w:tcPr>
          <w:p w:rsidR="00F714C4" w:rsidRPr="005A3C61" w:rsidRDefault="00F714C4" w:rsidP="0004049A">
            <w:pPr>
              <w:pStyle w:val="naisf"/>
              <w:spacing w:before="0" w:after="0"/>
              <w:ind w:firstLine="0"/>
              <w:jc w:val="center"/>
              <w:rPr>
                <w:bCs/>
                <w:color w:val="000000"/>
              </w:rPr>
            </w:pPr>
            <w:r w:rsidRPr="005A3C61">
              <w:rPr>
                <w:bCs/>
                <w:color w:val="000000"/>
              </w:rPr>
              <w:t>4</w:t>
            </w:r>
          </w:p>
        </w:tc>
        <w:tc>
          <w:tcPr>
            <w:tcW w:w="1355" w:type="dxa"/>
            <w:vAlign w:val="center"/>
          </w:tcPr>
          <w:p w:rsidR="00F714C4" w:rsidRPr="005A3C61" w:rsidRDefault="00F714C4" w:rsidP="0004049A">
            <w:pPr>
              <w:pStyle w:val="naisf"/>
              <w:spacing w:before="0" w:after="0"/>
              <w:ind w:firstLine="0"/>
              <w:jc w:val="center"/>
              <w:rPr>
                <w:bCs/>
                <w:color w:val="000000"/>
              </w:rPr>
            </w:pPr>
            <w:r w:rsidRPr="005A3C61">
              <w:rPr>
                <w:bCs/>
                <w:color w:val="000000"/>
              </w:rPr>
              <w:t>5</w:t>
            </w:r>
          </w:p>
        </w:tc>
        <w:tc>
          <w:tcPr>
            <w:tcW w:w="1150" w:type="dxa"/>
            <w:vAlign w:val="center"/>
          </w:tcPr>
          <w:p w:rsidR="00F714C4" w:rsidRPr="005A3C61" w:rsidRDefault="00F714C4" w:rsidP="0004049A">
            <w:pPr>
              <w:pStyle w:val="naisf"/>
              <w:spacing w:before="0" w:after="0"/>
              <w:ind w:firstLine="0"/>
              <w:jc w:val="center"/>
              <w:rPr>
                <w:bCs/>
                <w:color w:val="000000"/>
              </w:rPr>
            </w:pPr>
            <w:r w:rsidRPr="005A3C61">
              <w:rPr>
                <w:bCs/>
                <w:color w:val="000000"/>
              </w:rPr>
              <w:t>6</w:t>
            </w:r>
          </w:p>
        </w:tc>
      </w:tr>
      <w:tr w:rsidR="00F714C4" w:rsidRPr="005A3C61" w:rsidTr="0004049A">
        <w:trPr>
          <w:jc w:val="center"/>
        </w:trPr>
        <w:tc>
          <w:tcPr>
            <w:tcW w:w="2873" w:type="dxa"/>
          </w:tcPr>
          <w:p w:rsidR="00F714C4" w:rsidRPr="005A3C61" w:rsidRDefault="00F714C4" w:rsidP="0004049A">
            <w:pPr>
              <w:pStyle w:val="naisf"/>
              <w:spacing w:before="0" w:after="0"/>
              <w:ind w:firstLine="0"/>
              <w:rPr>
                <w:i/>
                <w:color w:val="000000"/>
              </w:rPr>
            </w:pPr>
            <w:r w:rsidRPr="005A3C61">
              <w:rPr>
                <w:color w:val="000000"/>
              </w:rPr>
              <w:t>1. Budžeta ieņēmumi:</w:t>
            </w:r>
          </w:p>
        </w:tc>
        <w:tc>
          <w:tcPr>
            <w:tcW w:w="1330"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pStyle w:val="naisf"/>
              <w:spacing w:before="0" w:after="0"/>
              <w:ind w:firstLine="0"/>
              <w:rPr>
                <w:i/>
                <w:color w:val="000000"/>
              </w:rPr>
            </w:pPr>
            <w:r w:rsidRPr="005A3C61">
              <w:rPr>
                <w:color w:val="000000"/>
              </w:rPr>
              <w:t>1.1. valsts pamatbudžets, tai skaitā ieņēmumi no maksas pakalpojumiem un citi pašu ieņēmumi</w:t>
            </w:r>
          </w:p>
        </w:tc>
        <w:tc>
          <w:tcPr>
            <w:tcW w:w="1330"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pStyle w:val="naisf"/>
              <w:spacing w:before="0" w:after="0"/>
              <w:ind w:firstLine="0"/>
              <w:rPr>
                <w:i/>
                <w:color w:val="000000"/>
              </w:rPr>
            </w:pPr>
            <w:r w:rsidRPr="005A3C61">
              <w:rPr>
                <w:color w:val="000000"/>
              </w:rPr>
              <w:t>1.2. valsts speciālais budžets</w:t>
            </w:r>
          </w:p>
        </w:tc>
        <w:tc>
          <w:tcPr>
            <w:tcW w:w="1330"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pStyle w:val="naisf"/>
              <w:spacing w:before="0" w:after="0"/>
              <w:ind w:firstLine="0"/>
              <w:rPr>
                <w:i/>
                <w:color w:val="000000"/>
              </w:rPr>
            </w:pPr>
            <w:r w:rsidRPr="005A3C61">
              <w:rPr>
                <w:color w:val="000000"/>
              </w:rPr>
              <w:t>1.3. pašvaldību budžets</w:t>
            </w:r>
          </w:p>
        </w:tc>
        <w:tc>
          <w:tcPr>
            <w:tcW w:w="1330"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2. Budžeta izdevumi:</w:t>
            </w:r>
          </w:p>
        </w:tc>
        <w:tc>
          <w:tcPr>
            <w:tcW w:w="1330"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2.1. valsts pamatbudžets</w:t>
            </w:r>
          </w:p>
        </w:tc>
        <w:tc>
          <w:tcPr>
            <w:tcW w:w="1330" w:type="dxa"/>
          </w:tcPr>
          <w:p w:rsidR="00F714C4" w:rsidRPr="005A3C61" w:rsidRDefault="00F714C4" w:rsidP="0004049A">
            <w:pPr>
              <w:pStyle w:val="naisf"/>
              <w:spacing w:before="0" w:after="0"/>
              <w:ind w:firstLine="0"/>
              <w:jc w:val="left"/>
              <w:rPr>
                <w:color w:val="000000"/>
              </w:rPr>
            </w:pPr>
          </w:p>
        </w:tc>
        <w:tc>
          <w:tcPr>
            <w:tcW w:w="1354" w:type="dxa"/>
          </w:tcPr>
          <w:p w:rsidR="00F714C4" w:rsidRPr="005A3C61" w:rsidRDefault="00F714C4" w:rsidP="0004049A">
            <w:pPr>
              <w:pStyle w:val="naisf"/>
              <w:spacing w:before="0" w:after="0"/>
              <w:ind w:firstLine="0"/>
              <w:jc w:val="left"/>
              <w:rPr>
                <w:color w:val="000000"/>
              </w:rPr>
            </w:pPr>
          </w:p>
        </w:tc>
        <w:tc>
          <w:tcPr>
            <w:tcW w:w="1354" w:type="dxa"/>
          </w:tcPr>
          <w:p w:rsidR="00F714C4" w:rsidRPr="005A3C61" w:rsidRDefault="00F714C4" w:rsidP="0004049A">
            <w:pPr>
              <w:pStyle w:val="naisf"/>
              <w:spacing w:before="0" w:after="0"/>
              <w:ind w:firstLine="0"/>
              <w:jc w:val="left"/>
              <w:rPr>
                <w:color w:val="000000"/>
              </w:rPr>
            </w:pPr>
          </w:p>
        </w:tc>
        <w:tc>
          <w:tcPr>
            <w:tcW w:w="1355" w:type="dxa"/>
          </w:tcPr>
          <w:p w:rsidR="00F714C4" w:rsidRPr="005A3C61" w:rsidRDefault="00F714C4" w:rsidP="0004049A">
            <w:pPr>
              <w:pStyle w:val="naisf"/>
              <w:spacing w:before="0" w:after="0"/>
              <w:ind w:firstLine="0"/>
              <w:jc w:val="left"/>
              <w:rPr>
                <w:color w:val="000000"/>
              </w:rPr>
            </w:pPr>
          </w:p>
        </w:tc>
        <w:tc>
          <w:tcPr>
            <w:tcW w:w="1150" w:type="dxa"/>
          </w:tcPr>
          <w:p w:rsidR="00F714C4" w:rsidRPr="005A3C61" w:rsidRDefault="00F714C4" w:rsidP="0004049A">
            <w:pPr>
              <w:pStyle w:val="naisf"/>
              <w:spacing w:before="0" w:after="0"/>
              <w:ind w:firstLine="0"/>
              <w:jc w:val="left"/>
              <w:rPr>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2.2. valsts speciālais budžets</w:t>
            </w:r>
          </w:p>
        </w:tc>
        <w:tc>
          <w:tcPr>
            <w:tcW w:w="1330"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 xml:space="preserve">2.3. pašvaldību budžets </w:t>
            </w:r>
          </w:p>
        </w:tc>
        <w:tc>
          <w:tcPr>
            <w:tcW w:w="1330"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3. Finansiālā ietekme:</w:t>
            </w:r>
          </w:p>
        </w:tc>
        <w:tc>
          <w:tcPr>
            <w:tcW w:w="1330" w:type="dxa"/>
            <w:vAlign w:val="center"/>
          </w:tcPr>
          <w:p w:rsidR="00F714C4" w:rsidRPr="005A3C61" w:rsidRDefault="00F714C4" w:rsidP="0004049A">
            <w:pPr>
              <w:pStyle w:val="naisf"/>
              <w:spacing w:before="0" w:after="0"/>
              <w:ind w:firstLine="0"/>
              <w:jc w:val="center"/>
              <w:rPr>
                <w:color w:val="000000"/>
              </w:rPr>
            </w:pP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3.1. valsts pamatbudžets</w:t>
            </w:r>
          </w:p>
        </w:tc>
        <w:tc>
          <w:tcPr>
            <w:tcW w:w="1330" w:type="dxa"/>
          </w:tcPr>
          <w:p w:rsidR="00F714C4" w:rsidRPr="005A3C61" w:rsidRDefault="00F714C4" w:rsidP="0004049A">
            <w:pPr>
              <w:pStyle w:val="naisf"/>
              <w:spacing w:before="0" w:after="0"/>
              <w:ind w:firstLine="0"/>
              <w:rPr>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3.2. speciālais budžets</w:t>
            </w:r>
          </w:p>
        </w:tc>
        <w:tc>
          <w:tcPr>
            <w:tcW w:w="1330" w:type="dxa"/>
          </w:tcPr>
          <w:p w:rsidR="00F714C4" w:rsidRPr="005A3C61" w:rsidRDefault="00F714C4" w:rsidP="0004049A">
            <w:pPr>
              <w:pStyle w:val="naisf"/>
              <w:spacing w:before="0" w:after="0"/>
              <w:ind w:firstLine="0"/>
              <w:rPr>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 xml:space="preserve">3.3. pašvaldību budžets </w:t>
            </w:r>
          </w:p>
        </w:tc>
        <w:tc>
          <w:tcPr>
            <w:tcW w:w="1330" w:type="dxa"/>
          </w:tcPr>
          <w:p w:rsidR="00F714C4" w:rsidRPr="005A3C61" w:rsidRDefault="00F714C4" w:rsidP="0004049A">
            <w:pPr>
              <w:pStyle w:val="naisf"/>
              <w:spacing w:before="0" w:after="0"/>
              <w:ind w:firstLine="0"/>
              <w:rPr>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vMerge w:val="restart"/>
          </w:tcPr>
          <w:p w:rsidR="00F714C4" w:rsidRPr="005A3C61" w:rsidRDefault="00F714C4" w:rsidP="0004049A">
            <w:pPr>
              <w:jc w:val="both"/>
              <w:rPr>
                <w:color w:val="000000"/>
              </w:rPr>
            </w:pPr>
            <w:r w:rsidRPr="005A3C61">
              <w:rPr>
                <w:color w:val="000000"/>
              </w:rPr>
              <w:t>4. Finanšu līdzekļi papildu izde</w:t>
            </w:r>
            <w:r w:rsidRPr="005A3C61">
              <w:rPr>
                <w:color w:val="000000"/>
              </w:rPr>
              <w:softHyphen/>
              <w:t xml:space="preserve">vumu finansēšanai (kompensējošu izdevumu </w:t>
            </w:r>
            <w:r w:rsidRPr="005A3C61">
              <w:rPr>
                <w:color w:val="000000"/>
              </w:rPr>
              <w:lastRenderedPageBreak/>
              <w:t>samazinājumu norāda ar "+" zīmi)</w:t>
            </w:r>
          </w:p>
        </w:tc>
        <w:tc>
          <w:tcPr>
            <w:tcW w:w="1330" w:type="dxa"/>
            <w:vMerge w:val="restart"/>
          </w:tcPr>
          <w:p w:rsidR="00F714C4" w:rsidRPr="005A3C61" w:rsidRDefault="00F714C4" w:rsidP="0004049A">
            <w:pPr>
              <w:pStyle w:val="naisf"/>
              <w:spacing w:before="0" w:after="0"/>
              <w:ind w:firstLine="0"/>
              <w:jc w:val="center"/>
              <w:rPr>
                <w:i/>
                <w:color w:val="000000"/>
              </w:rPr>
            </w:pPr>
            <w:r w:rsidRPr="005A3C61">
              <w:rPr>
                <w:color w:val="000000"/>
              </w:rPr>
              <w:lastRenderedPageBreak/>
              <w:t>X</w:t>
            </w:r>
          </w:p>
        </w:tc>
        <w:tc>
          <w:tcPr>
            <w:tcW w:w="1354" w:type="dxa"/>
          </w:tcPr>
          <w:p w:rsidR="00F714C4" w:rsidRPr="005A3C61" w:rsidRDefault="00F714C4" w:rsidP="0004049A">
            <w:pPr>
              <w:pStyle w:val="naisf"/>
              <w:spacing w:before="0" w:after="0"/>
              <w:ind w:firstLine="0"/>
              <w:jc w:val="left"/>
              <w:rPr>
                <w:b/>
                <w:i/>
                <w:color w:val="000000"/>
              </w:rPr>
            </w:pPr>
          </w:p>
        </w:tc>
        <w:tc>
          <w:tcPr>
            <w:tcW w:w="1354" w:type="dxa"/>
          </w:tcPr>
          <w:p w:rsidR="00F714C4" w:rsidRPr="005A3C61" w:rsidRDefault="00F714C4" w:rsidP="0004049A">
            <w:pPr>
              <w:pStyle w:val="naisf"/>
              <w:spacing w:before="0" w:after="0"/>
              <w:ind w:firstLine="0"/>
              <w:jc w:val="left"/>
              <w:rPr>
                <w:b/>
                <w:i/>
                <w:color w:val="000000"/>
              </w:rPr>
            </w:pPr>
          </w:p>
        </w:tc>
        <w:tc>
          <w:tcPr>
            <w:tcW w:w="1355" w:type="dxa"/>
          </w:tcPr>
          <w:p w:rsidR="00F714C4" w:rsidRPr="005A3C61" w:rsidRDefault="00F714C4" w:rsidP="0004049A">
            <w:pPr>
              <w:pStyle w:val="naisf"/>
              <w:spacing w:before="0" w:after="0"/>
              <w:ind w:firstLine="0"/>
              <w:jc w:val="left"/>
              <w:rPr>
                <w:b/>
                <w:i/>
                <w:color w:val="000000"/>
              </w:rPr>
            </w:pPr>
          </w:p>
        </w:tc>
        <w:tc>
          <w:tcPr>
            <w:tcW w:w="1150" w:type="dxa"/>
          </w:tcPr>
          <w:p w:rsidR="00F714C4" w:rsidRPr="005A3C61" w:rsidRDefault="00F714C4" w:rsidP="0004049A">
            <w:pPr>
              <w:pStyle w:val="naisf"/>
              <w:spacing w:before="0" w:after="0"/>
              <w:ind w:firstLine="0"/>
              <w:jc w:val="left"/>
              <w:rPr>
                <w:b/>
                <w:i/>
                <w:color w:val="000000"/>
              </w:rPr>
            </w:pPr>
          </w:p>
        </w:tc>
      </w:tr>
      <w:tr w:rsidR="00F714C4" w:rsidRPr="005A3C61" w:rsidTr="0004049A">
        <w:trPr>
          <w:jc w:val="center"/>
        </w:trPr>
        <w:tc>
          <w:tcPr>
            <w:tcW w:w="2873" w:type="dxa"/>
            <w:vMerge/>
          </w:tcPr>
          <w:p w:rsidR="00F714C4" w:rsidRPr="005A3C61" w:rsidRDefault="00F714C4" w:rsidP="0004049A">
            <w:pPr>
              <w:jc w:val="both"/>
              <w:rPr>
                <w:color w:val="000000"/>
              </w:rPr>
            </w:pPr>
          </w:p>
        </w:tc>
        <w:tc>
          <w:tcPr>
            <w:tcW w:w="1330" w:type="dxa"/>
            <w:vMerge/>
          </w:tcPr>
          <w:p w:rsidR="00F714C4" w:rsidRPr="005A3C61" w:rsidRDefault="00F714C4" w:rsidP="0004049A">
            <w:pPr>
              <w:pStyle w:val="naisf"/>
              <w:spacing w:before="0" w:after="0"/>
              <w:ind w:firstLine="0"/>
              <w:jc w:val="center"/>
              <w:rPr>
                <w:i/>
                <w:color w:val="000000"/>
              </w:rPr>
            </w:pPr>
          </w:p>
        </w:tc>
        <w:tc>
          <w:tcPr>
            <w:tcW w:w="1354" w:type="dxa"/>
          </w:tcPr>
          <w:p w:rsidR="00F714C4" w:rsidRPr="005A3C61" w:rsidRDefault="00F714C4" w:rsidP="0004049A">
            <w:pPr>
              <w:pStyle w:val="naisf"/>
              <w:spacing w:before="0" w:after="0"/>
              <w:ind w:firstLine="0"/>
              <w:jc w:val="left"/>
              <w:rPr>
                <w:b/>
                <w:i/>
                <w:color w:val="000000"/>
              </w:rPr>
            </w:pPr>
          </w:p>
        </w:tc>
        <w:tc>
          <w:tcPr>
            <w:tcW w:w="1354" w:type="dxa"/>
          </w:tcPr>
          <w:p w:rsidR="00F714C4" w:rsidRPr="005A3C61" w:rsidRDefault="00F714C4" w:rsidP="0004049A">
            <w:pPr>
              <w:pStyle w:val="naisf"/>
              <w:spacing w:before="0" w:after="0"/>
              <w:ind w:firstLine="0"/>
              <w:jc w:val="left"/>
              <w:rPr>
                <w:b/>
                <w:i/>
                <w:color w:val="000000"/>
              </w:rPr>
            </w:pPr>
          </w:p>
        </w:tc>
        <w:tc>
          <w:tcPr>
            <w:tcW w:w="1355" w:type="dxa"/>
          </w:tcPr>
          <w:p w:rsidR="00F714C4" w:rsidRPr="005A3C61" w:rsidRDefault="00F714C4" w:rsidP="0004049A">
            <w:pPr>
              <w:pStyle w:val="naisf"/>
              <w:spacing w:before="0" w:after="0"/>
              <w:ind w:firstLine="0"/>
              <w:jc w:val="left"/>
              <w:rPr>
                <w:b/>
                <w:i/>
                <w:color w:val="000000"/>
              </w:rPr>
            </w:pPr>
          </w:p>
        </w:tc>
        <w:tc>
          <w:tcPr>
            <w:tcW w:w="1150" w:type="dxa"/>
          </w:tcPr>
          <w:p w:rsidR="00F714C4" w:rsidRPr="005A3C61" w:rsidRDefault="00F714C4" w:rsidP="0004049A">
            <w:pPr>
              <w:pStyle w:val="naisf"/>
              <w:spacing w:before="0" w:after="0"/>
              <w:ind w:firstLine="0"/>
              <w:jc w:val="left"/>
              <w:rPr>
                <w:b/>
                <w:i/>
                <w:color w:val="000000"/>
              </w:rPr>
            </w:pPr>
          </w:p>
        </w:tc>
      </w:tr>
      <w:tr w:rsidR="00F714C4" w:rsidRPr="005A3C61" w:rsidTr="0004049A">
        <w:trPr>
          <w:jc w:val="center"/>
        </w:trPr>
        <w:tc>
          <w:tcPr>
            <w:tcW w:w="2873" w:type="dxa"/>
            <w:vMerge/>
          </w:tcPr>
          <w:p w:rsidR="00F714C4" w:rsidRPr="005A3C61" w:rsidRDefault="00F714C4" w:rsidP="0004049A">
            <w:pPr>
              <w:jc w:val="both"/>
              <w:rPr>
                <w:color w:val="000000"/>
              </w:rPr>
            </w:pPr>
          </w:p>
        </w:tc>
        <w:tc>
          <w:tcPr>
            <w:tcW w:w="1330" w:type="dxa"/>
            <w:vMerge/>
          </w:tcPr>
          <w:p w:rsidR="00F714C4" w:rsidRPr="005A3C61" w:rsidRDefault="00F714C4" w:rsidP="0004049A">
            <w:pPr>
              <w:pStyle w:val="naisf"/>
              <w:spacing w:before="0" w:after="0"/>
              <w:ind w:firstLine="0"/>
              <w:jc w:val="center"/>
              <w:rPr>
                <w:i/>
                <w:color w:val="000000"/>
              </w:rPr>
            </w:pPr>
          </w:p>
        </w:tc>
        <w:tc>
          <w:tcPr>
            <w:tcW w:w="1354" w:type="dxa"/>
          </w:tcPr>
          <w:p w:rsidR="00F714C4" w:rsidRPr="005A3C61" w:rsidRDefault="00F714C4" w:rsidP="0004049A">
            <w:pPr>
              <w:pStyle w:val="naisf"/>
              <w:spacing w:before="0" w:after="0"/>
              <w:ind w:firstLine="0"/>
              <w:jc w:val="left"/>
              <w:rPr>
                <w:b/>
                <w:i/>
                <w:color w:val="000000"/>
              </w:rPr>
            </w:pPr>
          </w:p>
        </w:tc>
        <w:tc>
          <w:tcPr>
            <w:tcW w:w="1354" w:type="dxa"/>
          </w:tcPr>
          <w:p w:rsidR="00F714C4" w:rsidRPr="005A3C61" w:rsidRDefault="00F714C4" w:rsidP="0004049A">
            <w:pPr>
              <w:pStyle w:val="naisf"/>
              <w:spacing w:before="0" w:after="0"/>
              <w:ind w:firstLine="0"/>
              <w:jc w:val="left"/>
              <w:rPr>
                <w:b/>
                <w:i/>
                <w:color w:val="000000"/>
              </w:rPr>
            </w:pPr>
          </w:p>
        </w:tc>
        <w:tc>
          <w:tcPr>
            <w:tcW w:w="1355" w:type="dxa"/>
          </w:tcPr>
          <w:p w:rsidR="00F714C4" w:rsidRPr="005A3C61" w:rsidRDefault="00F714C4" w:rsidP="0004049A">
            <w:pPr>
              <w:pStyle w:val="naisf"/>
              <w:spacing w:before="0" w:after="0"/>
              <w:ind w:firstLine="0"/>
              <w:jc w:val="left"/>
              <w:rPr>
                <w:b/>
                <w:i/>
                <w:color w:val="000000"/>
              </w:rPr>
            </w:pPr>
          </w:p>
        </w:tc>
        <w:tc>
          <w:tcPr>
            <w:tcW w:w="1150" w:type="dxa"/>
          </w:tcPr>
          <w:p w:rsidR="00F714C4" w:rsidRPr="005A3C61" w:rsidRDefault="00F714C4" w:rsidP="0004049A">
            <w:pPr>
              <w:pStyle w:val="naisf"/>
              <w:spacing w:before="0" w:after="0"/>
              <w:ind w:firstLine="0"/>
              <w:jc w:val="left"/>
              <w:rPr>
                <w:b/>
                <w:i/>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lastRenderedPageBreak/>
              <w:t>5. Precizēta finansiālā ietekme:</w:t>
            </w:r>
          </w:p>
        </w:tc>
        <w:tc>
          <w:tcPr>
            <w:tcW w:w="1330" w:type="dxa"/>
            <w:vMerge w:val="restart"/>
          </w:tcPr>
          <w:p w:rsidR="00F714C4" w:rsidRPr="005A3C61" w:rsidRDefault="00F714C4" w:rsidP="0004049A">
            <w:pPr>
              <w:pStyle w:val="naisf"/>
              <w:spacing w:before="0" w:after="0"/>
              <w:ind w:firstLine="0"/>
              <w:jc w:val="center"/>
              <w:rPr>
                <w:i/>
                <w:color w:val="000000"/>
              </w:rPr>
            </w:pPr>
            <w:r w:rsidRPr="005A3C61">
              <w:rPr>
                <w:color w:val="000000"/>
              </w:rPr>
              <w:t>X</w:t>
            </w:r>
          </w:p>
        </w:tc>
        <w:tc>
          <w:tcPr>
            <w:tcW w:w="1354" w:type="dxa"/>
          </w:tcPr>
          <w:p w:rsidR="00F714C4" w:rsidRPr="005A3C61" w:rsidRDefault="00F714C4" w:rsidP="0004049A">
            <w:pPr>
              <w:pStyle w:val="naisf"/>
              <w:spacing w:before="0" w:after="0"/>
              <w:ind w:firstLine="0"/>
              <w:rPr>
                <w:b/>
                <w:i/>
                <w:color w:val="000000"/>
              </w:rPr>
            </w:pPr>
          </w:p>
        </w:tc>
        <w:tc>
          <w:tcPr>
            <w:tcW w:w="1354" w:type="dxa"/>
          </w:tcPr>
          <w:p w:rsidR="00F714C4" w:rsidRPr="005A3C61" w:rsidRDefault="00F714C4" w:rsidP="0004049A">
            <w:pPr>
              <w:pStyle w:val="naisf"/>
              <w:spacing w:before="0" w:after="0"/>
              <w:ind w:firstLine="0"/>
              <w:rPr>
                <w:b/>
                <w:i/>
                <w:color w:val="000000"/>
              </w:rPr>
            </w:pPr>
          </w:p>
        </w:tc>
        <w:tc>
          <w:tcPr>
            <w:tcW w:w="1355" w:type="dxa"/>
          </w:tcPr>
          <w:p w:rsidR="00F714C4" w:rsidRPr="005A3C61" w:rsidRDefault="00F714C4" w:rsidP="0004049A">
            <w:pPr>
              <w:pStyle w:val="naisf"/>
              <w:spacing w:before="0" w:after="0"/>
              <w:ind w:firstLine="0"/>
              <w:rPr>
                <w:b/>
                <w:i/>
                <w:color w:val="000000"/>
              </w:rPr>
            </w:pPr>
          </w:p>
        </w:tc>
        <w:tc>
          <w:tcPr>
            <w:tcW w:w="1150" w:type="dxa"/>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5.1. valsts pamatbudžets</w:t>
            </w:r>
          </w:p>
        </w:tc>
        <w:tc>
          <w:tcPr>
            <w:tcW w:w="1330" w:type="dxa"/>
            <w:vMerge/>
            <w:vAlign w:val="center"/>
          </w:tcPr>
          <w:p w:rsidR="00F714C4" w:rsidRPr="005A3C61" w:rsidRDefault="00F714C4" w:rsidP="0004049A">
            <w:pPr>
              <w:pStyle w:val="naisf"/>
              <w:spacing w:before="0" w:after="0"/>
              <w:ind w:firstLine="0"/>
              <w:jc w:val="center"/>
              <w:rPr>
                <w:i/>
                <w:color w:val="000000"/>
              </w:rPr>
            </w:pPr>
          </w:p>
        </w:tc>
        <w:tc>
          <w:tcPr>
            <w:tcW w:w="1354" w:type="dxa"/>
          </w:tcPr>
          <w:p w:rsidR="00F714C4" w:rsidRPr="00D10F81" w:rsidRDefault="00F714C4" w:rsidP="0004049A">
            <w:pPr>
              <w:pStyle w:val="naisf"/>
              <w:spacing w:before="0" w:after="0"/>
              <w:ind w:firstLine="0"/>
              <w:rPr>
                <w:color w:val="000000"/>
              </w:rPr>
            </w:pPr>
            <w:r w:rsidRPr="00D10F81">
              <w:rPr>
                <w:color w:val="000000"/>
              </w:rPr>
              <w:t>0</w:t>
            </w:r>
          </w:p>
        </w:tc>
        <w:tc>
          <w:tcPr>
            <w:tcW w:w="1354" w:type="dxa"/>
          </w:tcPr>
          <w:p w:rsidR="00F714C4" w:rsidRPr="00D10F81" w:rsidRDefault="00F714C4" w:rsidP="0004049A">
            <w:pPr>
              <w:pStyle w:val="naisf"/>
              <w:spacing w:before="0" w:after="0"/>
              <w:ind w:firstLine="0"/>
              <w:rPr>
                <w:color w:val="000000"/>
              </w:rPr>
            </w:pPr>
            <w:r w:rsidRPr="00D10F81">
              <w:rPr>
                <w:color w:val="000000"/>
              </w:rPr>
              <w:t>0</w:t>
            </w:r>
          </w:p>
        </w:tc>
        <w:tc>
          <w:tcPr>
            <w:tcW w:w="1355" w:type="dxa"/>
          </w:tcPr>
          <w:p w:rsidR="00F714C4" w:rsidRPr="00D10F81" w:rsidRDefault="00F714C4" w:rsidP="0004049A">
            <w:pPr>
              <w:pStyle w:val="naisf"/>
              <w:spacing w:before="0" w:after="0"/>
              <w:ind w:firstLine="0"/>
              <w:rPr>
                <w:color w:val="000000"/>
              </w:rPr>
            </w:pPr>
            <w:r w:rsidRPr="00D10F81">
              <w:rPr>
                <w:color w:val="000000"/>
              </w:rPr>
              <w:t>0</w:t>
            </w:r>
          </w:p>
        </w:tc>
        <w:tc>
          <w:tcPr>
            <w:tcW w:w="1150" w:type="dxa"/>
          </w:tcPr>
          <w:p w:rsidR="00F714C4" w:rsidRPr="00D10F81" w:rsidRDefault="00F714C4" w:rsidP="0004049A">
            <w:pPr>
              <w:pStyle w:val="naisf"/>
              <w:spacing w:before="0" w:after="0"/>
              <w:ind w:firstLine="0"/>
              <w:rPr>
                <w:color w:val="000000"/>
              </w:rPr>
            </w:pPr>
            <w:r w:rsidRPr="00D10F81">
              <w:rPr>
                <w:color w:val="000000"/>
              </w:rPr>
              <w:t>0</w:t>
            </w: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5.2. speciālais budžets</w:t>
            </w:r>
          </w:p>
        </w:tc>
        <w:tc>
          <w:tcPr>
            <w:tcW w:w="1330" w:type="dxa"/>
            <w:vMerge/>
            <w:vAlign w:val="center"/>
          </w:tcPr>
          <w:p w:rsidR="00F714C4" w:rsidRPr="005A3C61" w:rsidRDefault="00F714C4" w:rsidP="0004049A">
            <w:pPr>
              <w:pStyle w:val="naisf"/>
              <w:spacing w:before="0" w:after="0"/>
              <w:ind w:firstLine="0"/>
              <w:jc w:val="center"/>
              <w:rPr>
                <w:i/>
                <w:color w:val="000000"/>
              </w:rPr>
            </w:pPr>
          </w:p>
        </w:tc>
        <w:tc>
          <w:tcPr>
            <w:tcW w:w="1354" w:type="dxa"/>
          </w:tcPr>
          <w:p w:rsidR="00F714C4" w:rsidRPr="00D10F81" w:rsidRDefault="00F714C4" w:rsidP="0004049A">
            <w:pPr>
              <w:pStyle w:val="naisf"/>
              <w:spacing w:before="0" w:after="0"/>
              <w:ind w:firstLine="0"/>
              <w:rPr>
                <w:color w:val="000000"/>
              </w:rPr>
            </w:pPr>
            <w:r w:rsidRPr="00D10F81">
              <w:rPr>
                <w:color w:val="000000"/>
              </w:rPr>
              <w:t>0</w:t>
            </w:r>
          </w:p>
        </w:tc>
        <w:tc>
          <w:tcPr>
            <w:tcW w:w="1354" w:type="dxa"/>
          </w:tcPr>
          <w:p w:rsidR="00F714C4" w:rsidRPr="00D10F81" w:rsidRDefault="00F714C4" w:rsidP="0004049A">
            <w:pPr>
              <w:pStyle w:val="naisf"/>
              <w:spacing w:before="0" w:after="0"/>
              <w:ind w:firstLine="0"/>
              <w:rPr>
                <w:color w:val="000000"/>
              </w:rPr>
            </w:pPr>
            <w:r w:rsidRPr="00D10F81">
              <w:rPr>
                <w:color w:val="000000"/>
              </w:rPr>
              <w:t>0</w:t>
            </w:r>
          </w:p>
        </w:tc>
        <w:tc>
          <w:tcPr>
            <w:tcW w:w="1355" w:type="dxa"/>
          </w:tcPr>
          <w:p w:rsidR="00F714C4" w:rsidRPr="00D10F81" w:rsidRDefault="00F714C4" w:rsidP="0004049A">
            <w:pPr>
              <w:pStyle w:val="naisf"/>
              <w:spacing w:before="0" w:after="0"/>
              <w:ind w:firstLine="0"/>
              <w:rPr>
                <w:color w:val="000000"/>
              </w:rPr>
            </w:pPr>
            <w:r w:rsidRPr="00D10F81">
              <w:rPr>
                <w:color w:val="000000"/>
              </w:rPr>
              <w:t>0</w:t>
            </w:r>
          </w:p>
        </w:tc>
        <w:tc>
          <w:tcPr>
            <w:tcW w:w="1150" w:type="dxa"/>
          </w:tcPr>
          <w:p w:rsidR="00F714C4" w:rsidRPr="00D10F81" w:rsidRDefault="00F714C4" w:rsidP="0004049A">
            <w:pPr>
              <w:pStyle w:val="naisf"/>
              <w:spacing w:before="0" w:after="0"/>
              <w:ind w:firstLine="0"/>
              <w:rPr>
                <w:color w:val="000000"/>
              </w:rPr>
            </w:pPr>
            <w:r w:rsidRPr="00D10F81">
              <w:rPr>
                <w:color w:val="000000"/>
              </w:rPr>
              <w:t>0</w:t>
            </w: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 xml:space="preserve">5.3. pašvaldību budžets </w:t>
            </w:r>
          </w:p>
        </w:tc>
        <w:tc>
          <w:tcPr>
            <w:tcW w:w="1330" w:type="dxa"/>
            <w:vMerge/>
            <w:vAlign w:val="center"/>
          </w:tcPr>
          <w:p w:rsidR="00F714C4" w:rsidRPr="005A3C61" w:rsidRDefault="00F714C4" w:rsidP="0004049A">
            <w:pPr>
              <w:pStyle w:val="naisf"/>
              <w:spacing w:before="0" w:after="0"/>
              <w:ind w:firstLine="0"/>
              <w:jc w:val="center"/>
              <w:rPr>
                <w:i/>
                <w:color w:val="000000"/>
              </w:rPr>
            </w:pPr>
          </w:p>
        </w:tc>
        <w:tc>
          <w:tcPr>
            <w:tcW w:w="1354" w:type="dxa"/>
          </w:tcPr>
          <w:p w:rsidR="00F714C4" w:rsidRPr="00D10F81" w:rsidRDefault="00F714C4" w:rsidP="0004049A">
            <w:pPr>
              <w:pStyle w:val="naisf"/>
              <w:spacing w:before="0" w:after="0"/>
              <w:ind w:firstLine="0"/>
              <w:rPr>
                <w:color w:val="000000"/>
              </w:rPr>
            </w:pPr>
            <w:r w:rsidRPr="00D10F81">
              <w:rPr>
                <w:color w:val="000000"/>
              </w:rPr>
              <w:t>0</w:t>
            </w:r>
          </w:p>
        </w:tc>
        <w:tc>
          <w:tcPr>
            <w:tcW w:w="1354" w:type="dxa"/>
          </w:tcPr>
          <w:p w:rsidR="00F714C4" w:rsidRPr="00D10F81" w:rsidRDefault="00F714C4" w:rsidP="0004049A">
            <w:pPr>
              <w:pStyle w:val="naisf"/>
              <w:spacing w:before="0" w:after="0"/>
              <w:ind w:firstLine="0"/>
              <w:rPr>
                <w:color w:val="000000"/>
              </w:rPr>
            </w:pPr>
            <w:r w:rsidRPr="00D10F81">
              <w:rPr>
                <w:color w:val="000000"/>
              </w:rPr>
              <w:t>0</w:t>
            </w:r>
          </w:p>
        </w:tc>
        <w:tc>
          <w:tcPr>
            <w:tcW w:w="1355" w:type="dxa"/>
          </w:tcPr>
          <w:p w:rsidR="00F714C4" w:rsidRPr="00D10F81" w:rsidRDefault="00F714C4" w:rsidP="0004049A">
            <w:pPr>
              <w:pStyle w:val="naisf"/>
              <w:spacing w:before="0" w:after="0"/>
              <w:ind w:firstLine="0"/>
              <w:rPr>
                <w:color w:val="000000"/>
              </w:rPr>
            </w:pPr>
            <w:r w:rsidRPr="00D10F81">
              <w:rPr>
                <w:color w:val="000000"/>
              </w:rPr>
              <w:t>0</w:t>
            </w:r>
          </w:p>
        </w:tc>
        <w:tc>
          <w:tcPr>
            <w:tcW w:w="1150" w:type="dxa"/>
          </w:tcPr>
          <w:p w:rsidR="00F714C4" w:rsidRPr="00D10F81" w:rsidRDefault="00F714C4" w:rsidP="0004049A">
            <w:pPr>
              <w:pStyle w:val="naisf"/>
              <w:spacing w:before="0" w:after="0"/>
              <w:ind w:firstLine="0"/>
              <w:rPr>
                <w:color w:val="000000"/>
              </w:rPr>
            </w:pPr>
            <w:r w:rsidRPr="00D10F81">
              <w:rPr>
                <w:color w:val="000000"/>
              </w:rPr>
              <w:t>0</w:t>
            </w: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6. Detalizēts ieņēmumu un izdevu</w:t>
            </w:r>
            <w:r w:rsidRPr="005A3C61">
              <w:rPr>
                <w:color w:val="000000"/>
              </w:rPr>
              <w:softHyphen/>
              <w:t>mu aprēķins (ja nepieciešams, detalizētu ieņēmumu un izdevumu aprēķinu var pievienot anotācijas pielikumā):</w:t>
            </w:r>
          </w:p>
        </w:tc>
        <w:tc>
          <w:tcPr>
            <w:tcW w:w="6543" w:type="dxa"/>
            <w:gridSpan w:val="5"/>
          </w:tcPr>
          <w:p w:rsidR="00F714C4" w:rsidRPr="005A3C61" w:rsidRDefault="00F714C4" w:rsidP="0004049A">
            <w:pPr>
              <w:pStyle w:val="naisf"/>
              <w:spacing w:before="0" w:after="0"/>
              <w:ind w:firstLine="452"/>
              <w:rPr>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6.1. detalizēts ieņēmumu aprēķins</w:t>
            </w:r>
          </w:p>
        </w:tc>
        <w:tc>
          <w:tcPr>
            <w:tcW w:w="6543" w:type="dxa"/>
            <w:gridSpan w:val="5"/>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6.2. detalizēts izdevumu aprēķins</w:t>
            </w:r>
          </w:p>
        </w:tc>
        <w:tc>
          <w:tcPr>
            <w:tcW w:w="6543" w:type="dxa"/>
            <w:gridSpan w:val="5"/>
          </w:tcPr>
          <w:p w:rsidR="00F714C4" w:rsidRPr="005A3C61" w:rsidRDefault="00F714C4" w:rsidP="0004049A">
            <w:pPr>
              <w:pStyle w:val="naisf"/>
              <w:spacing w:before="0" w:after="0"/>
              <w:ind w:firstLine="0"/>
              <w:rPr>
                <w:b/>
                <w:i/>
                <w:color w:val="000000"/>
              </w:rPr>
            </w:pPr>
          </w:p>
        </w:tc>
      </w:tr>
      <w:tr w:rsidR="00F714C4" w:rsidRPr="005A3C61" w:rsidTr="0004049A">
        <w:trPr>
          <w:jc w:val="center"/>
        </w:trPr>
        <w:tc>
          <w:tcPr>
            <w:tcW w:w="2873" w:type="dxa"/>
          </w:tcPr>
          <w:p w:rsidR="00F714C4" w:rsidRPr="005A3C61" w:rsidRDefault="00F714C4" w:rsidP="0004049A">
            <w:pPr>
              <w:jc w:val="both"/>
              <w:rPr>
                <w:color w:val="000000"/>
              </w:rPr>
            </w:pPr>
            <w:r w:rsidRPr="005A3C61">
              <w:rPr>
                <w:color w:val="000000"/>
              </w:rPr>
              <w:t>7. Cita informācija</w:t>
            </w:r>
          </w:p>
        </w:tc>
        <w:tc>
          <w:tcPr>
            <w:tcW w:w="6543" w:type="dxa"/>
            <w:gridSpan w:val="5"/>
          </w:tcPr>
          <w:p w:rsidR="00F714C4" w:rsidRPr="00BC5255" w:rsidRDefault="00F714C4" w:rsidP="00BC5255">
            <w:pPr>
              <w:pStyle w:val="naisf"/>
              <w:spacing w:before="0" w:after="0"/>
              <w:ind w:firstLine="356"/>
              <w:rPr>
                <w:iCs/>
                <w:sz w:val="23"/>
                <w:szCs w:val="23"/>
              </w:rPr>
            </w:pPr>
            <w:r w:rsidRPr="00706517">
              <w:rPr>
                <w:iCs/>
                <w:sz w:val="23"/>
                <w:szCs w:val="23"/>
              </w:rPr>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F714C4" w:rsidRDefault="00F714C4" w:rsidP="006B2B43">
      <w:pPr>
        <w:pStyle w:val="naisf"/>
        <w:spacing w:before="0" w:after="0"/>
      </w:pPr>
    </w:p>
    <w:p w:rsidR="00F714C4" w:rsidRPr="0085394C" w:rsidRDefault="00F714C4" w:rsidP="006B2B43">
      <w:pPr>
        <w:pStyle w:val="naisf"/>
        <w:spacing w:before="0" w:after="0"/>
        <w:rPr>
          <w:i/>
        </w:rPr>
      </w:pPr>
      <w:r w:rsidRPr="0085394C">
        <w:rPr>
          <w:i/>
        </w:rPr>
        <w:t>Anotācijas IV</w:t>
      </w:r>
      <w:r>
        <w:rPr>
          <w:i/>
        </w:rPr>
        <w:t>, V, VI un VII</w:t>
      </w:r>
      <w:r w:rsidRPr="0085394C">
        <w:rPr>
          <w:i/>
        </w:rPr>
        <w:t xml:space="preserve"> sadaļa – projekts šo jomu neskar. </w:t>
      </w:r>
    </w:p>
    <w:p w:rsidR="00F714C4" w:rsidRPr="00996A74" w:rsidRDefault="00F714C4" w:rsidP="006B2B43">
      <w:pPr>
        <w:pStyle w:val="naiskr"/>
        <w:tabs>
          <w:tab w:val="left" w:pos="2628"/>
        </w:tabs>
        <w:spacing w:before="0" w:after="0"/>
        <w:rPr>
          <w:sz w:val="22"/>
          <w:szCs w:val="22"/>
        </w:rPr>
      </w:pPr>
    </w:p>
    <w:p w:rsidR="00F714C4" w:rsidRPr="00996A74" w:rsidRDefault="00F714C4" w:rsidP="006B2B43">
      <w:pPr>
        <w:pStyle w:val="naisf"/>
        <w:spacing w:before="0" w:after="0"/>
      </w:pPr>
    </w:p>
    <w:p w:rsidR="00F714C4" w:rsidRPr="00996A74" w:rsidRDefault="00F714C4" w:rsidP="006B2B43">
      <w:pPr>
        <w:pStyle w:val="naisf"/>
        <w:spacing w:before="0" w:after="0"/>
        <w:ind w:firstLine="0"/>
      </w:pPr>
    </w:p>
    <w:p w:rsidR="00F714C4" w:rsidRPr="00996A74" w:rsidRDefault="00F714C4" w:rsidP="006C4607">
      <w:pPr>
        <w:pStyle w:val="naisf"/>
        <w:spacing w:before="0" w:after="0"/>
      </w:pPr>
    </w:p>
    <w:p w:rsidR="00F714C4" w:rsidRPr="00996A74" w:rsidRDefault="00F714C4" w:rsidP="003608D6">
      <w:pPr>
        <w:pStyle w:val="naisf"/>
        <w:spacing w:before="0" w:after="0"/>
        <w:ind w:firstLine="0"/>
        <w:rPr>
          <w:sz w:val="28"/>
          <w:szCs w:val="28"/>
        </w:rPr>
      </w:pPr>
    </w:p>
    <w:p w:rsidR="00F714C4" w:rsidRPr="00996A74" w:rsidRDefault="00F714C4" w:rsidP="00C10F85">
      <w:pPr>
        <w:ind w:firstLine="709"/>
        <w:jc w:val="both"/>
        <w:rPr>
          <w:sz w:val="28"/>
          <w:szCs w:val="28"/>
        </w:rPr>
      </w:pPr>
      <w:r w:rsidRPr="00996A74">
        <w:rPr>
          <w:sz w:val="28"/>
          <w:szCs w:val="28"/>
        </w:rPr>
        <w:t>Zemkopības ministr</w:t>
      </w:r>
      <w:r>
        <w:rPr>
          <w:sz w:val="28"/>
          <w:szCs w:val="28"/>
        </w:rPr>
        <w:t>e</w:t>
      </w:r>
      <w:r w:rsidRPr="00996A74">
        <w:rPr>
          <w:sz w:val="28"/>
          <w:szCs w:val="28"/>
        </w:rPr>
        <w:t xml:space="preserve"> </w:t>
      </w:r>
      <w:r w:rsidRPr="00996A74">
        <w:rPr>
          <w:sz w:val="28"/>
          <w:szCs w:val="28"/>
        </w:rPr>
        <w:tab/>
      </w:r>
      <w:r w:rsidRPr="00996A74">
        <w:rPr>
          <w:sz w:val="28"/>
          <w:szCs w:val="28"/>
        </w:rPr>
        <w:tab/>
      </w:r>
      <w:r w:rsidRPr="00996A74">
        <w:rPr>
          <w:sz w:val="28"/>
          <w:szCs w:val="28"/>
        </w:rPr>
        <w:tab/>
      </w:r>
      <w:r w:rsidRPr="00996A74">
        <w:rPr>
          <w:sz w:val="28"/>
          <w:szCs w:val="28"/>
        </w:rPr>
        <w:tab/>
      </w:r>
      <w:r w:rsidRPr="00996A74">
        <w:rPr>
          <w:sz w:val="28"/>
          <w:szCs w:val="28"/>
        </w:rPr>
        <w:tab/>
      </w:r>
      <w:r w:rsidRPr="00996A74">
        <w:rPr>
          <w:sz w:val="28"/>
          <w:szCs w:val="28"/>
        </w:rPr>
        <w:tab/>
      </w:r>
      <w:r>
        <w:rPr>
          <w:sz w:val="28"/>
          <w:szCs w:val="28"/>
        </w:rPr>
        <w:t>L.Straujuma</w:t>
      </w:r>
    </w:p>
    <w:p w:rsidR="00F714C4" w:rsidRPr="00996A74" w:rsidRDefault="00F714C4" w:rsidP="00C10F85">
      <w:pPr>
        <w:ind w:firstLine="709"/>
        <w:jc w:val="both"/>
        <w:rPr>
          <w:sz w:val="28"/>
          <w:szCs w:val="28"/>
        </w:rPr>
      </w:pPr>
    </w:p>
    <w:p w:rsidR="00F714C4" w:rsidRPr="00996A74" w:rsidRDefault="00F714C4" w:rsidP="00C10F85">
      <w:pPr>
        <w:ind w:firstLine="709"/>
        <w:jc w:val="both"/>
        <w:rPr>
          <w:sz w:val="28"/>
          <w:szCs w:val="28"/>
        </w:rPr>
      </w:pPr>
    </w:p>
    <w:p w:rsidR="00F714C4" w:rsidRDefault="00F714C4" w:rsidP="00C10F85">
      <w:pPr>
        <w:ind w:firstLine="709"/>
        <w:jc w:val="both"/>
        <w:rPr>
          <w:sz w:val="28"/>
          <w:szCs w:val="28"/>
        </w:rPr>
      </w:pPr>
    </w:p>
    <w:p w:rsidR="00F714C4" w:rsidRDefault="00F714C4" w:rsidP="00C10F85">
      <w:pPr>
        <w:ind w:firstLine="709"/>
        <w:jc w:val="both"/>
        <w:rPr>
          <w:sz w:val="28"/>
          <w:szCs w:val="28"/>
        </w:rPr>
      </w:pPr>
    </w:p>
    <w:p w:rsidR="00F714C4" w:rsidRDefault="00F714C4" w:rsidP="00C10F85">
      <w:pPr>
        <w:ind w:firstLine="709"/>
        <w:jc w:val="both"/>
        <w:rPr>
          <w:sz w:val="28"/>
          <w:szCs w:val="28"/>
        </w:rPr>
      </w:pPr>
    </w:p>
    <w:p w:rsidR="00F714C4" w:rsidRDefault="00F714C4" w:rsidP="00C10F85">
      <w:pPr>
        <w:ind w:firstLine="709"/>
        <w:jc w:val="both"/>
        <w:rPr>
          <w:sz w:val="28"/>
          <w:szCs w:val="28"/>
        </w:rPr>
      </w:pPr>
    </w:p>
    <w:p w:rsidR="00F714C4" w:rsidRDefault="00F714C4" w:rsidP="00C10F85">
      <w:pPr>
        <w:ind w:firstLine="709"/>
        <w:jc w:val="both"/>
        <w:rPr>
          <w:sz w:val="28"/>
          <w:szCs w:val="28"/>
        </w:rPr>
      </w:pPr>
    </w:p>
    <w:p w:rsidR="00F714C4" w:rsidRDefault="00F714C4" w:rsidP="00C10F85">
      <w:pPr>
        <w:ind w:firstLine="709"/>
        <w:jc w:val="both"/>
        <w:rPr>
          <w:sz w:val="28"/>
          <w:szCs w:val="28"/>
        </w:rPr>
      </w:pPr>
    </w:p>
    <w:p w:rsidR="00F714C4" w:rsidRDefault="00F714C4" w:rsidP="00C10F85">
      <w:pPr>
        <w:ind w:firstLine="709"/>
        <w:jc w:val="both"/>
        <w:rPr>
          <w:sz w:val="28"/>
          <w:szCs w:val="28"/>
        </w:rPr>
      </w:pPr>
    </w:p>
    <w:p w:rsidR="00F714C4" w:rsidRDefault="007A3B2E" w:rsidP="00C10F85">
      <w:pPr>
        <w:rPr>
          <w:sz w:val="20"/>
          <w:szCs w:val="20"/>
        </w:rPr>
      </w:pPr>
      <w:r>
        <w:rPr>
          <w:sz w:val="20"/>
          <w:szCs w:val="20"/>
        </w:rPr>
        <w:fldChar w:fldCharType="begin"/>
      </w:r>
      <w:r w:rsidR="00F714C4">
        <w:rPr>
          <w:sz w:val="20"/>
          <w:szCs w:val="20"/>
        </w:rPr>
        <w:instrText xml:space="preserve"> TIME \@ "yyyy.MM.dd. H:mm" </w:instrText>
      </w:r>
      <w:r>
        <w:rPr>
          <w:sz w:val="20"/>
          <w:szCs w:val="20"/>
        </w:rPr>
        <w:fldChar w:fldCharType="separate"/>
      </w:r>
      <w:r w:rsidR="00414130">
        <w:rPr>
          <w:noProof/>
          <w:sz w:val="20"/>
          <w:szCs w:val="20"/>
        </w:rPr>
        <w:t>2013.07.19. 10:14</w:t>
      </w:r>
      <w:r>
        <w:rPr>
          <w:sz w:val="20"/>
          <w:szCs w:val="20"/>
        </w:rPr>
        <w:fldChar w:fldCharType="end"/>
      </w:r>
    </w:p>
    <w:p w:rsidR="00414130" w:rsidRPr="00414130" w:rsidRDefault="00414130" w:rsidP="00C10F85">
      <w:pPr>
        <w:rPr>
          <w:sz w:val="20"/>
          <w:szCs w:val="20"/>
        </w:rPr>
      </w:pPr>
      <w:fldSimple w:instr=" NUMWORDS   \* MERGEFORMAT ">
        <w:r w:rsidRPr="00414130">
          <w:rPr>
            <w:noProof/>
            <w:sz w:val="20"/>
            <w:szCs w:val="20"/>
          </w:rPr>
          <w:t>637</w:t>
        </w:r>
      </w:fldSimple>
    </w:p>
    <w:p w:rsidR="00F714C4" w:rsidRPr="00996A74" w:rsidRDefault="00F714C4" w:rsidP="00C10F85">
      <w:pPr>
        <w:rPr>
          <w:sz w:val="20"/>
          <w:szCs w:val="20"/>
          <w:lang w:val="pl-PL"/>
        </w:rPr>
      </w:pPr>
      <w:r w:rsidRPr="00996A74">
        <w:rPr>
          <w:sz w:val="20"/>
          <w:szCs w:val="20"/>
          <w:lang w:val="pl-PL"/>
        </w:rPr>
        <w:t>I.Orlova</w:t>
      </w:r>
    </w:p>
    <w:p w:rsidR="00F714C4" w:rsidRDefault="00F714C4" w:rsidP="00C768AD">
      <w:pPr>
        <w:rPr>
          <w:sz w:val="20"/>
          <w:szCs w:val="20"/>
        </w:rPr>
      </w:pPr>
      <w:r w:rsidRPr="00996A74">
        <w:rPr>
          <w:sz w:val="20"/>
          <w:szCs w:val="20"/>
          <w:lang w:val="pl-PL"/>
        </w:rPr>
        <w:t>67027376, Inga.Orlova@zm.gov.lv</w:t>
      </w:r>
    </w:p>
    <w:p w:rsidR="00F714C4" w:rsidRPr="00FE01CF" w:rsidRDefault="00F714C4" w:rsidP="00FE01CF">
      <w:pPr>
        <w:rPr>
          <w:sz w:val="20"/>
          <w:szCs w:val="20"/>
        </w:rPr>
      </w:pPr>
    </w:p>
    <w:p w:rsidR="00F714C4" w:rsidRPr="00FE01CF" w:rsidRDefault="00F714C4" w:rsidP="00FE01CF">
      <w:pPr>
        <w:rPr>
          <w:sz w:val="20"/>
          <w:szCs w:val="20"/>
        </w:rPr>
      </w:pPr>
    </w:p>
    <w:p w:rsidR="00F714C4" w:rsidRPr="00FE01CF" w:rsidRDefault="00F714C4" w:rsidP="00FE01CF">
      <w:pPr>
        <w:tabs>
          <w:tab w:val="left" w:pos="3744"/>
        </w:tabs>
        <w:rPr>
          <w:sz w:val="20"/>
          <w:szCs w:val="20"/>
        </w:rPr>
      </w:pPr>
    </w:p>
    <w:sectPr w:rsidR="00F714C4" w:rsidRPr="00FE01CF" w:rsidSect="00845811">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92" w:rsidRDefault="005E5592">
      <w:r>
        <w:separator/>
      </w:r>
    </w:p>
  </w:endnote>
  <w:endnote w:type="continuationSeparator" w:id="0">
    <w:p w:rsidR="005E5592" w:rsidRDefault="005E5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C4" w:rsidRPr="008262BF" w:rsidRDefault="00F714C4" w:rsidP="008262BF">
    <w:pPr>
      <w:jc w:val="both"/>
      <w:rPr>
        <w:sz w:val="20"/>
        <w:szCs w:val="20"/>
      </w:rPr>
    </w:pPr>
    <w:r w:rsidRPr="008262BF">
      <w:rPr>
        <w:sz w:val="20"/>
        <w:szCs w:val="20"/>
      </w:rPr>
      <w:t>ZMNot_</w:t>
    </w:r>
    <w:r w:rsidR="00E321C1">
      <w:rPr>
        <w:sz w:val="20"/>
        <w:szCs w:val="20"/>
      </w:rPr>
      <w:t>1</w:t>
    </w:r>
    <w:r w:rsidR="007F08AD">
      <w:rPr>
        <w:sz w:val="20"/>
        <w:szCs w:val="20"/>
      </w:rPr>
      <w:t>9</w:t>
    </w:r>
    <w:r w:rsidR="00E321C1">
      <w:rPr>
        <w:sz w:val="20"/>
        <w:szCs w:val="20"/>
      </w:rPr>
      <w:t>07</w:t>
    </w:r>
    <w:r w:rsidR="00E321C1" w:rsidRPr="008262BF">
      <w:rPr>
        <w:sz w:val="20"/>
        <w:szCs w:val="20"/>
      </w:rPr>
      <w:t>13</w:t>
    </w:r>
    <w:r w:rsidRPr="008262BF">
      <w:rPr>
        <w:sz w:val="20"/>
        <w:szCs w:val="20"/>
      </w:rPr>
      <w:t>_Ražotājuorganizācijas_euro; Piena un piena produktu ražotāju organizāciju atzīšanas un to darbības uzraudzības 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C4" w:rsidRPr="008262BF" w:rsidRDefault="00F714C4" w:rsidP="00915828">
    <w:pPr>
      <w:jc w:val="both"/>
      <w:rPr>
        <w:sz w:val="20"/>
        <w:szCs w:val="20"/>
      </w:rPr>
    </w:pPr>
    <w:r w:rsidRPr="008262BF">
      <w:rPr>
        <w:sz w:val="20"/>
        <w:szCs w:val="20"/>
      </w:rPr>
      <w:t>ZMNot_</w:t>
    </w:r>
    <w:r w:rsidR="007F08AD">
      <w:rPr>
        <w:sz w:val="20"/>
        <w:szCs w:val="20"/>
      </w:rPr>
      <w:t>1907</w:t>
    </w:r>
    <w:r w:rsidRPr="008262BF">
      <w:rPr>
        <w:sz w:val="20"/>
        <w:szCs w:val="20"/>
      </w:rPr>
      <w:t>13_Ražotājuorganizācijas_euro; Piena un piena produktu ražotāju organizāciju atzīšanas un to darbības uzraudzības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92" w:rsidRDefault="005E5592">
      <w:r>
        <w:separator/>
      </w:r>
    </w:p>
  </w:footnote>
  <w:footnote w:type="continuationSeparator" w:id="0">
    <w:p w:rsidR="005E5592" w:rsidRDefault="005E5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C4" w:rsidRDefault="007A3B2E" w:rsidP="003C449B">
    <w:pPr>
      <w:pStyle w:val="Galvene"/>
      <w:framePr w:wrap="around" w:vAnchor="text" w:hAnchor="margin" w:xAlign="center" w:y="1"/>
      <w:rPr>
        <w:rStyle w:val="Lappusesnumurs"/>
      </w:rPr>
    </w:pPr>
    <w:r>
      <w:rPr>
        <w:rStyle w:val="Lappusesnumurs"/>
      </w:rPr>
      <w:fldChar w:fldCharType="begin"/>
    </w:r>
    <w:r w:rsidR="00F714C4">
      <w:rPr>
        <w:rStyle w:val="Lappusesnumurs"/>
      </w:rPr>
      <w:instrText xml:space="preserve">PAGE  </w:instrText>
    </w:r>
    <w:r>
      <w:rPr>
        <w:rStyle w:val="Lappusesnumurs"/>
      </w:rPr>
      <w:fldChar w:fldCharType="end"/>
    </w:r>
  </w:p>
  <w:p w:rsidR="00F714C4" w:rsidRDefault="00F714C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C4" w:rsidRDefault="007A3B2E" w:rsidP="003C449B">
    <w:pPr>
      <w:pStyle w:val="Galvene"/>
      <w:framePr w:wrap="around" w:vAnchor="text" w:hAnchor="margin" w:xAlign="center" w:y="1"/>
      <w:rPr>
        <w:rStyle w:val="Lappusesnumurs"/>
      </w:rPr>
    </w:pPr>
    <w:r>
      <w:rPr>
        <w:rStyle w:val="Lappusesnumurs"/>
      </w:rPr>
      <w:fldChar w:fldCharType="begin"/>
    </w:r>
    <w:r w:rsidR="00F714C4">
      <w:rPr>
        <w:rStyle w:val="Lappusesnumurs"/>
      </w:rPr>
      <w:instrText xml:space="preserve">PAGE  </w:instrText>
    </w:r>
    <w:r>
      <w:rPr>
        <w:rStyle w:val="Lappusesnumurs"/>
      </w:rPr>
      <w:fldChar w:fldCharType="separate"/>
    </w:r>
    <w:r w:rsidR="00414130">
      <w:rPr>
        <w:rStyle w:val="Lappusesnumurs"/>
        <w:noProof/>
      </w:rPr>
      <w:t>2</w:t>
    </w:r>
    <w:r>
      <w:rPr>
        <w:rStyle w:val="Lappusesnumurs"/>
      </w:rPr>
      <w:fldChar w:fldCharType="end"/>
    </w:r>
  </w:p>
  <w:p w:rsidR="00F714C4" w:rsidRDefault="00F714C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AF9"/>
    <w:multiLevelType w:val="hybridMultilevel"/>
    <w:tmpl w:val="5FC81AEE"/>
    <w:lvl w:ilvl="0" w:tplc="2D10456A">
      <w:start w:val="20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B65E13"/>
    <w:multiLevelType w:val="hybridMultilevel"/>
    <w:tmpl w:val="7DA23B82"/>
    <w:lvl w:ilvl="0" w:tplc="4D704DE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D725DA"/>
    <w:multiLevelType w:val="hybridMultilevel"/>
    <w:tmpl w:val="95160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243ABA"/>
    <w:multiLevelType w:val="hybridMultilevel"/>
    <w:tmpl w:val="405216EA"/>
    <w:lvl w:ilvl="0" w:tplc="04260001">
      <w:start w:val="2010"/>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1E86442B"/>
    <w:multiLevelType w:val="hybridMultilevel"/>
    <w:tmpl w:val="175C633A"/>
    <w:lvl w:ilvl="0" w:tplc="F8A8118A">
      <w:start w:val="1"/>
      <w:numFmt w:val="decimal"/>
      <w:lvlText w:val="%1)"/>
      <w:lvlJc w:val="left"/>
      <w:pPr>
        <w:ind w:left="363" w:hanging="360"/>
      </w:pPr>
      <w:rPr>
        <w:rFonts w:cs="Times New Roman" w:hint="default"/>
      </w:rPr>
    </w:lvl>
    <w:lvl w:ilvl="1" w:tplc="04260019" w:tentative="1">
      <w:start w:val="1"/>
      <w:numFmt w:val="lowerLetter"/>
      <w:lvlText w:val="%2."/>
      <w:lvlJc w:val="left"/>
      <w:pPr>
        <w:ind w:left="1083" w:hanging="360"/>
      </w:pPr>
      <w:rPr>
        <w:rFonts w:cs="Times New Roman"/>
      </w:rPr>
    </w:lvl>
    <w:lvl w:ilvl="2" w:tplc="0426001B" w:tentative="1">
      <w:start w:val="1"/>
      <w:numFmt w:val="lowerRoman"/>
      <w:lvlText w:val="%3."/>
      <w:lvlJc w:val="right"/>
      <w:pPr>
        <w:ind w:left="1803" w:hanging="180"/>
      </w:pPr>
      <w:rPr>
        <w:rFonts w:cs="Times New Roman"/>
      </w:rPr>
    </w:lvl>
    <w:lvl w:ilvl="3" w:tplc="0426000F" w:tentative="1">
      <w:start w:val="1"/>
      <w:numFmt w:val="decimal"/>
      <w:lvlText w:val="%4."/>
      <w:lvlJc w:val="left"/>
      <w:pPr>
        <w:ind w:left="2523" w:hanging="360"/>
      </w:pPr>
      <w:rPr>
        <w:rFonts w:cs="Times New Roman"/>
      </w:rPr>
    </w:lvl>
    <w:lvl w:ilvl="4" w:tplc="04260019" w:tentative="1">
      <w:start w:val="1"/>
      <w:numFmt w:val="lowerLetter"/>
      <w:lvlText w:val="%5."/>
      <w:lvlJc w:val="left"/>
      <w:pPr>
        <w:ind w:left="3243" w:hanging="360"/>
      </w:pPr>
      <w:rPr>
        <w:rFonts w:cs="Times New Roman"/>
      </w:rPr>
    </w:lvl>
    <w:lvl w:ilvl="5" w:tplc="0426001B" w:tentative="1">
      <w:start w:val="1"/>
      <w:numFmt w:val="lowerRoman"/>
      <w:lvlText w:val="%6."/>
      <w:lvlJc w:val="right"/>
      <w:pPr>
        <w:ind w:left="3963" w:hanging="180"/>
      </w:pPr>
      <w:rPr>
        <w:rFonts w:cs="Times New Roman"/>
      </w:rPr>
    </w:lvl>
    <w:lvl w:ilvl="6" w:tplc="0426000F" w:tentative="1">
      <w:start w:val="1"/>
      <w:numFmt w:val="decimal"/>
      <w:lvlText w:val="%7."/>
      <w:lvlJc w:val="left"/>
      <w:pPr>
        <w:ind w:left="4683" w:hanging="360"/>
      </w:pPr>
      <w:rPr>
        <w:rFonts w:cs="Times New Roman"/>
      </w:rPr>
    </w:lvl>
    <w:lvl w:ilvl="7" w:tplc="04260019" w:tentative="1">
      <w:start w:val="1"/>
      <w:numFmt w:val="lowerLetter"/>
      <w:lvlText w:val="%8."/>
      <w:lvlJc w:val="left"/>
      <w:pPr>
        <w:ind w:left="5403" w:hanging="360"/>
      </w:pPr>
      <w:rPr>
        <w:rFonts w:cs="Times New Roman"/>
      </w:rPr>
    </w:lvl>
    <w:lvl w:ilvl="8" w:tplc="0426001B" w:tentative="1">
      <w:start w:val="1"/>
      <w:numFmt w:val="lowerRoman"/>
      <w:lvlText w:val="%9."/>
      <w:lvlJc w:val="right"/>
      <w:pPr>
        <w:ind w:left="6123" w:hanging="180"/>
      </w:pPr>
      <w:rPr>
        <w:rFonts w:cs="Times New Roman"/>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9C20013"/>
    <w:multiLevelType w:val="multilevel"/>
    <w:tmpl w:val="2340958E"/>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2D41FB2"/>
    <w:multiLevelType w:val="hybridMultilevel"/>
    <w:tmpl w:val="F3D039AA"/>
    <w:lvl w:ilvl="0" w:tplc="B1DCE46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0B35575"/>
    <w:multiLevelType w:val="hybridMultilevel"/>
    <w:tmpl w:val="29063F3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717E451F"/>
    <w:multiLevelType w:val="hybridMultilevel"/>
    <w:tmpl w:val="4A2E5BDA"/>
    <w:lvl w:ilvl="0" w:tplc="685E69D4">
      <w:start w:val="1"/>
      <w:numFmt w:val="decimal"/>
      <w:lvlText w:val="%1)"/>
      <w:lvlJc w:val="left"/>
      <w:pPr>
        <w:ind w:left="363" w:hanging="360"/>
      </w:pPr>
      <w:rPr>
        <w:rFonts w:cs="Times New Roman" w:hint="default"/>
      </w:rPr>
    </w:lvl>
    <w:lvl w:ilvl="1" w:tplc="04260019" w:tentative="1">
      <w:start w:val="1"/>
      <w:numFmt w:val="lowerLetter"/>
      <w:lvlText w:val="%2."/>
      <w:lvlJc w:val="left"/>
      <w:pPr>
        <w:ind w:left="1083" w:hanging="360"/>
      </w:pPr>
      <w:rPr>
        <w:rFonts w:cs="Times New Roman"/>
      </w:rPr>
    </w:lvl>
    <w:lvl w:ilvl="2" w:tplc="0426001B" w:tentative="1">
      <w:start w:val="1"/>
      <w:numFmt w:val="lowerRoman"/>
      <w:lvlText w:val="%3."/>
      <w:lvlJc w:val="right"/>
      <w:pPr>
        <w:ind w:left="1803" w:hanging="180"/>
      </w:pPr>
      <w:rPr>
        <w:rFonts w:cs="Times New Roman"/>
      </w:rPr>
    </w:lvl>
    <w:lvl w:ilvl="3" w:tplc="0426000F" w:tentative="1">
      <w:start w:val="1"/>
      <w:numFmt w:val="decimal"/>
      <w:lvlText w:val="%4."/>
      <w:lvlJc w:val="left"/>
      <w:pPr>
        <w:ind w:left="2523" w:hanging="360"/>
      </w:pPr>
      <w:rPr>
        <w:rFonts w:cs="Times New Roman"/>
      </w:rPr>
    </w:lvl>
    <w:lvl w:ilvl="4" w:tplc="04260019" w:tentative="1">
      <w:start w:val="1"/>
      <w:numFmt w:val="lowerLetter"/>
      <w:lvlText w:val="%5."/>
      <w:lvlJc w:val="left"/>
      <w:pPr>
        <w:ind w:left="3243" w:hanging="360"/>
      </w:pPr>
      <w:rPr>
        <w:rFonts w:cs="Times New Roman"/>
      </w:rPr>
    </w:lvl>
    <w:lvl w:ilvl="5" w:tplc="0426001B" w:tentative="1">
      <w:start w:val="1"/>
      <w:numFmt w:val="lowerRoman"/>
      <w:lvlText w:val="%6."/>
      <w:lvlJc w:val="right"/>
      <w:pPr>
        <w:ind w:left="3963" w:hanging="180"/>
      </w:pPr>
      <w:rPr>
        <w:rFonts w:cs="Times New Roman"/>
      </w:rPr>
    </w:lvl>
    <w:lvl w:ilvl="6" w:tplc="0426000F" w:tentative="1">
      <w:start w:val="1"/>
      <w:numFmt w:val="decimal"/>
      <w:lvlText w:val="%7."/>
      <w:lvlJc w:val="left"/>
      <w:pPr>
        <w:ind w:left="4683" w:hanging="360"/>
      </w:pPr>
      <w:rPr>
        <w:rFonts w:cs="Times New Roman"/>
      </w:rPr>
    </w:lvl>
    <w:lvl w:ilvl="7" w:tplc="04260019" w:tentative="1">
      <w:start w:val="1"/>
      <w:numFmt w:val="lowerLetter"/>
      <w:lvlText w:val="%8."/>
      <w:lvlJc w:val="left"/>
      <w:pPr>
        <w:ind w:left="5403" w:hanging="360"/>
      </w:pPr>
      <w:rPr>
        <w:rFonts w:cs="Times New Roman"/>
      </w:rPr>
    </w:lvl>
    <w:lvl w:ilvl="8" w:tplc="0426001B" w:tentative="1">
      <w:start w:val="1"/>
      <w:numFmt w:val="lowerRoman"/>
      <w:lvlText w:val="%9."/>
      <w:lvlJc w:val="right"/>
      <w:pPr>
        <w:ind w:left="6123" w:hanging="180"/>
      </w:pPr>
      <w:rPr>
        <w:rFonts w:cs="Times New Roman"/>
      </w:rPr>
    </w:lvl>
  </w:abstractNum>
  <w:abstractNum w:abstractNumId="22">
    <w:nsid w:val="75D66DB8"/>
    <w:multiLevelType w:val="hybridMultilevel"/>
    <w:tmpl w:val="2C062ABC"/>
    <w:lvl w:ilvl="0" w:tplc="2D10456A">
      <w:start w:val="2010"/>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5"/>
  </w:num>
  <w:num w:numId="5">
    <w:abstractNumId w:val="3"/>
  </w:num>
  <w:num w:numId="6">
    <w:abstractNumId w:val="14"/>
  </w:num>
  <w:num w:numId="7">
    <w:abstractNumId w:val="19"/>
  </w:num>
  <w:num w:numId="8">
    <w:abstractNumId w:val="11"/>
  </w:num>
  <w:num w:numId="9">
    <w:abstractNumId w:val="6"/>
  </w:num>
  <w:num w:numId="10">
    <w:abstractNumId w:val="12"/>
  </w:num>
  <w:num w:numId="11">
    <w:abstractNumId w:val="13"/>
  </w:num>
  <w:num w:numId="12">
    <w:abstractNumId w:val="15"/>
  </w:num>
  <w:num w:numId="13">
    <w:abstractNumId w:val="16"/>
  </w:num>
  <w:num w:numId="14">
    <w:abstractNumId w:val="4"/>
  </w:num>
  <w:num w:numId="15">
    <w:abstractNumId w:val="22"/>
  </w:num>
  <w:num w:numId="16">
    <w:abstractNumId w:val="0"/>
  </w:num>
  <w:num w:numId="17">
    <w:abstractNumId w:val="20"/>
  </w:num>
  <w:num w:numId="18">
    <w:abstractNumId w:val="10"/>
  </w:num>
  <w:num w:numId="19">
    <w:abstractNumId w:val="1"/>
  </w:num>
  <w:num w:numId="20">
    <w:abstractNumId w:val="7"/>
  </w:num>
  <w:num w:numId="21">
    <w:abstractNumId w:val="21"/>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11D24"/>
    <w:rsid w:val="00013FF4"/>
    <w:rsid w:val="00020FE1"/>
    <w:rsid w:val="00022E13"/>
    <w:rsid w:val="00023B7B"/>
    <w:rsid w:val="00025DE3"/>
    <w:rsid w:val="0002604C"/>
    <w:rsid w:val="00031E69"/>
    <w:rsid w:val="00032388"/>
    <w:rsid w:val="00033FA2"/>
    <w:rsid w:val="00034F8E"/>
    <w:rsid w:val="00035CE2"/>
    <w:rsid w:val="0003648C"/>
    <w:rsid w:val="00036E63"/>
    <w:rsid w:val="0004049A"/>
    <w:rsid w:val="00043586"/>
    <w:rsid w:val="00051B7E"/>
    <w:rsid w:val="0005553B"/>
    <w:rsid w:val="00060328"/>
    <w:rsid w:val="000604D2"/>
    <w:rsid w:val="00061312"/>
    <w:rsid w:val="000630C6"/>
    <w:rsid w:val="000641D0"/>
    <w:rsid w:val="0007699F"/>
    <w:rsid w:val="0008154A"/>
    <w:rsid w:val="000874CF"/>
    <w:rsid w:val="0009005E"/>
    <w:rsid w:val="00090575"/>
    <w:rsid w:val="000941C5"/>
    <w:rsid w:val="00095A78"/>
    <w:rsid w:val="000A50B7"/>
    <w:rsid w:val="000A6451"/>
    <w:rsid w:val="000A677E"/>
    <w:rsid w:val="000A69EC"/>
    <w:rsid w:val="000B064E"/>
    <w:rsid w:val="000B0B5B"/>
    <w:rsid w:val="000B69CF"/>
    <w:rsid w:val="000B6D78"/>
    <w:rsid w:val="000B7718"/>
    <w:rsid w:val="000C04A6"/>
    <w:rsid w:val="000C05BA"/>
    <w:rsid w:val="000C790C"/>
    <w:rsid w:val="000D1B14"/>
    <w:rsid w:val="000D68FA"/>
    <w:rsid w:val="000E0C0A"/>
    <w:rsid w:val="000F061D"/>
    <w:rsid w:val="000F3DD5"/>
    <w:rsid w:val="000F4794"/>
    <w:rsid w:val="001014E8"/>
    <w:rsid w:val="001018B6"/>
    <w:rsid w:val="001058F5"/>
    <w:rsid w:val="00113D83"/>
    <w:rsid w:val="001151D8"/>
    <w:rsid w:val="00116A8D"/>
    <w:rsid w:val="00124F12"/>
    <w:rsid w:val="00124F58"/>
    <w:rsid w:val="001307BA"/>
    <w:rsid w:val="0013176D"/>
    <w:rsid w:val="001365E2"/>
    <w:rsid w:val="00137D57"/>
    <w:rsid w:val="00143846"/>
    <w:rsid w:val="00144E3A"/>
    <w:rsid w:val="00147657"/>
    <w:rsid w:val="0015060C"/>
    <w:rsid w:val="001577E5"/>
    <w:rsid w:val="0016018A"/>
    <w:rsid w:val="00161F0E"/>
    <w:rsid w:val="00166020"/>
    <w:rsid w:val="00170E2A"/>
    <w:rsid w:val="00177394"/>
    <w:rsid w:val="00182C18"/>
    <w:rsid w:val="00183CC2"/>
    <w:rsid w:val="00184ED4"/>
    <w:rsid w:val="00185A79"/>
    <w:rsid w:val="00187C75"/>
    <w:rsid w:val="001900E4"/>
    <w:rsid w:val="00190F88"/>
    <w:rsid w:val="00193390"/>
    <w:rsid w:val="001A4066"/>
    <w:rsid w:val="001A6AE4"/>
    <w:rsid w:val="001A75B0"/>
    <w:rsid w:val="001B01FD"/>
    <w:rsid w:val="001B2903"/>
    <w:rsid w:val="001B4A71"/>
    <w:rsid w:val="001B5BEC"/>
    <w:rsid w:val="001C0C35"/>
    <w:rsid w:val="001D5B54"/>
    <w:rsid w:val="001E1DBF"/>
    <w:rsid w:val="001E3CF4"/>
    <w:rsid w:val="001E3D5F"/>
    <w:rsid w:val="001E4639"/>
    <w:rsid w:val="001E4A7D"/>
    <w:rsid w:val="001E5389"/>
    <w:rsid w:val="001E6247"/>
    <w:rsid w:val="001E775B"/>
    <w:rsid w:val="001F3464"/>
    <w:rsid w:val="001F43A8"/>
    <w:rsid w:val="001F55D2"/>
    <w:rsid w:val="001F5CD6"/>
    <w:rsid w:val="002045C2"/>
    <w:rsid w:val="002069F4"/>
    <w:rsid w:val="00207704"/>
    <w:rsid w:val="00210349"/>
    <w:rsid w:val="00211CAD"/>
    <w:rsid w:val="0021263D"/>
    <w:rsid w:val="00213F0C"/>
    <w:rsid w:val="00214094"/>
    <w:rsid w:val="0021506D"/>
    <w:rsid w:val="0021592D"/>
    <w:rsid w:val="00215946"/>
    <w:rsid w:val="00222D76"/>
    <w:rsid w:val="00223EB1"/>
    <w:rsid w:val="00231344"/>
    <w:rsid w:val="0023436E"/>
    <w:rsid w:val="002347C0"/>
    <w:rsid w:val="00235E8A"/>
    <w:rsid w:val="00236B31"/>
    <w:rsid w:val="00241A6C"/>
    <w:rsid w:val="00242D2B"/>
    <w:rsid w:val="00242F4B"/>
    <w:rsid w:val="0024536E"/>
    <w:rsid w:val="002518B8"/>
    <w:rsid w:val="00262E2B"/>
    <w:rsid w:val="00270429"/>
    <w:rsid w:val="002723E9"/>
    <w:rsid w:val="00274D97"/>
    <w:rsid w:val="00276B31"/>
    <w:rsid w:val="00277929"/>
    <w:rsid w:val="00283B82"/>
    <w:rsid w:val="002846E9"/>
    <w:rsid w:val="00284C34"/>
    <w:rsid w:val="00285778"/>
    <w:rsid w:val="0029066C"/>
    <w:rsid w:val="00292F1D"/>
    <w:rsid w:val="002A1D9F"/>
    <w:rsid w:val="002A2A1B"/>
    <w:rsid w:val="002A6BAD"/>
    <w:rsid w:val="002B4EBE"/>
    <w:rsid w:val="002B50DB"/>
    <w:rsid w:val="002C0446"/>
    <w:rsid w:val="002C12AB"/>
    <w:rsid w:val="002C7CAC"/>
    <w:rsid w:val="002D3306"/>
    <w:rsid w:val="002D48AA"/>
    <w:rsid w:val="002D647D"/>
    <w:rsid w:val="002D7BAA"/>
    <w:rsid w:val="002D7F54"/>
    <w:rsid w:val="002E3934"/>
    <w:rsid w:val="002E3A33"/>
    <w:rsid w:val="002E3FF4"/>
    <w:rsid w:val="002F78C8"/>
    <w:rsid w:val="00301988"/>
    <w:rsid w:val="00301CF3"/>
    <w:rsid w:val="00305940"/>
    <w:rsid w:val="00313B16"/>
    <w:rsid w:val="00313E03"/>
    <w:rsid w:val="003260A6"/>
    <w:rsid w:val="0032715C"/>
    <w:rsid w:val="00332464"/>
    <w:rsid w:val="00337CA5"/>
    <w:rsid w:val="00344C43"/>
    <w:rsid w:val="0034577E"/>
    <w:rsid w:val="0035650A"/>
    <w:rsid w:val="003608D6"/>
    <w:rsid w:val="003619D0"/>
    <w:rsid w:val="00362478"/>
    <w:rsid w:val="00362DD6"/>
    <w:rsid w:val="00365226"/>
    <w:rsid w:val="003734BC"/>
    <w:rsid w:val="00374F9B"/>
    <w:rsid w:val="0037514E"/>
    <w:rsid w:val="00375B25"/>
    <w:rsid w:val="00376D99"/>
    <w:rsid w:val="0037788E"/>
    <w:rsid w:val="00383D4E"/>
    <w:rsid w:val="00386A3B"/>
    <w:rsid w:val="003902DD"/>
    <w:rsid w:val="00396542"/>
    <w:rsid w:val="0039685B"/>
    <w:rsid w:val="00397B85"/>
    <w:rsid w:val="003A31A6"/>
    <w:rsid w:val="003A3AE7"/>
    <w:rsid w:val="003A5A10"/>
    <w:rsid w:val="003A613D"/>
    <w:rsid w:val="003A7F0C"/>
    <w:rsid w:val="003A7F79"/>
    <w:rsid w:val="003B4E5D"/>
    <w:rsid w:val="003B54AE"/>
    <w:rsid w:val="003B6404"/>
    <w:rsid w:val="003C05E6"/>
    <w:rsid w:val="003C449B"/>
    <w:rsid w:val="003D0560"/>
    <w:rsid w:val="003D21FF"/>
    <w:rsid w:val="003D7A08"/>
    <w:rsid w:val="003E0638"/>
    <w:rsid w:val="003E2A94"/>
    <w:rsid w:val="003F0112"/>
    <w:rsid w:val="003F071A"/>
    <w:rsid w:val="003F160B"/>
    <w:rsid w:val="00400032"/>
    <w:rsid w:val="00400B5B"/>
    <w:rsid w:val="00405A00"/>
    <w:rsid w:val="00414130"/>
    <w:rsid w:val="004202B7"/>
    <w:rsid w:val="00420870"/>
    <w:rsid w:val="0042519F"/>
    <w:rsid w:val="0043289A"/>
    <w:rsid w:val="004370BA"/>
    <w:rsid w:val="0043791B"/>
    <w:rsid w:val="00441483"/>
    <w:rsid w:val="00441BCB"/>
    <w:rsid w:val="004461E6"/>
    <w:rsid w:val="00450025"/>
    <w:rsid w:val="0045176A"/>
    <w:rsid w:val="0045345A"/>
    <w:rsid w:val="00454AAA"/>
    <w:rsid w:val="00456332"/>
    <w:rsid w:val="00457D2E"/>
    <w:rsid w:val="00461826"/>
    <w:rsid w:val="004625DB"/>
    <w:rsid w:val="004678B6"/>
    <w:rsid w:val="00470CFD"/>
    <w:rsid w:val="0047638D"/>
    <w:rsid w:val="004800F9"/>
    <w:rsid w:val="00481878"/>
    <w:rsid w:val="0049134A"/>
    <w:rsid w:val="004924CF"/>
    <w:rsid w:val="00494A47"/>
    <w:rsid w:val="00496322"/>
    <w:rsid w:val="004A58CB"/>
    <w:rsid w:val="004A5E37"/>
    <w:rsid w:val="004B1795"/>
    <w:rsid w:val="004B56DD"/>
    <w:rsid w:val="004C020F"/>
    <w:rsid w:val="004C1AFD"/>
    <w:rsid w:val="004C558B"/>
    <w:rsid w:val="004D107B"/>
    <w:rsid w:val="004F1629"/>
    <w:rsid w:val="004F1F88"/>
    <w:rsid w:val="004F4CFE"/>
    <w:rsid w:val="004F5F1B"/>
    <w:rsid w:val="00502374"/>
    <w:rsid w:val="005060A1"/>
    <w:rsid w:val="00510DE7"/>
    <w:rsid w:val="005120DC"/>
    <w:rsid w:val="0051495E"/>
    <w:rsid w:val="00515052"/>
    <w:rsid w:val="005155C5"/>
    <w:rsid w:val="00516072"/>
    <w:rsid w:val="005266FD"/>
    <w:rsid w:val="00527553"/>
    <w:rsid w:val="005332EC"/>
    <w:rsid w:val="00534418"/>
    <w:rsid w:val="005353AB"/>
    <w:rsid w:val="005459BE"/>
    <w:rsid w:val="005507D0"/>
    <w:rsid w:val="00551668"/>
    <w:rsid w:val="0055212A"/>
    <w:rsid w:val="00555462"/>
    <w:rsid w:val="005560BC"/>
    <w:rsid w:val="005573BE"/>
    <w:rsid w:val="00572700"/>
    <w:rsid w:val="00580468"/>
    <w:rsid w:val="0058603B"/>
    <w:rsid w:val="005909F5"/>
    <w:rsid w:val="005913E0"/>
    <w:rsid w:val="00593F99"/>
    <w:rsid w:val="0059431B"/>
    <w:rsid w:val="0059500E"/>
    <w:rsid w:val="00597991"/>
    <w:rsid w:val="005A39CC"/>
    <w:rsid w:val="005A3C61"/>
    <w:rsid w:val="005A4467"/>
    <w:rsid w:val="005B4730"/>
    <w:rsid w:val="005B53F2"/>
    <w:rsid w:val="005B5913"/>
    <w:rsid w:val="005B7688"/>
    <w:rsid w:val="005C53F1"/>
    <w:rsid w:val="005C7E70"/>
    <w:rsid w:val="005D31C4"/>
    <w:rsid w:val="005E05D7"/>
    <w:rsid w:val="005E2016"/>
    <w:rsid w:val="005E41E7"/>
    <w:rsid w:val="005E450F"/>
    <w:rsid w:val="005E5592"/>
    <w:rsid w:val="005F0F2F"/>
    <w:rsid w:val="005F1895"/>
    <w:rsid w:val="005F2B6C"/>
    <w:rsid w:val="005F2D9F"/>
    <w:rsid w:val="005F7887"/>
    <w:rsid w:val="0060293B"/>
    <w:rsid w:val="00606778"/>
    <w:rsid w:val="006155E4"/>
    <w:rsid w:val="00615877"/>
    <w:rsid w:val="00621929"/>
    <w:rsid w:val="0062298A"/>
    <w:rsid w:val="00623AF7"/>
    <w:rsid w:val="00626514"/>
    <w:rsid w:val="00626589"/>
    <w:rsid w:val="00631FF8"/>
    <w:rsid w:val="006339A0"/>
    <w:rsid w:val="006367BD"/>
    <w:rsid w:val="00640CD9"/>
    <w:rsid w:val="006413A8"/>
    <w:rsid w:val="00642E56"/>
    <w:rsid w:val="0064318C"/>
    <w:rsid w:val="00650495"/>
    <w:rsid w:val="00651E00"/>
    <w:rsid w:val="00655016"/>
    <w:rsid w:val="00661633"/>
    <w:rsid w:val="00666A8C"/>
    <w:rsid w:val="006710B6"/>
    <w:rsid w:val="00674572"/>
    <w:rsid w:val="00674665"/>
    <w:rsid w:val="00687763"/>
    <w:rsid w:val="00691F8D"/>
    <w:rsid w:val="00692B0D"/>
    <w:rsid w:val="00693E0E"/>
    <w:rsid w:val="006A1AE3"/>
    <w:rsid w:val="006A1CB6"/>
    <w:rsid w:val="006A3552"/>
    <w:rsid w:val="006A4002"/>
    <w:rsid w:val="006B0027"/>
    <w:rsid w:val="006B1558"/>
    <w:rsid w:val="006B2B43"/>
    <w:rsid w:val="006C1179"/>
    <w:rsid w:val="006C30E1"/>
    <w:rsid w:val="006C3836"/>
    <w:rsid w:val="006C4607"/>
    <w:rsid w:val="006D48F1"/>
    <w:rsid w:val="006D7D75"/>
    <w:rsid w:val="006E163F"/>
    <w:rsid w:val="006E298C"/>
    <w:rsid w:val="006E5841"/>
    <w:rsid w:val="006E691F"/>
    <w:rsid w:val="006F0E44"/>
    <w:rsid w:val="006F45BE"/>
    <w:rsid w:val="007004FC"/>
    <w:rsid w:val="007033E4"/>
    <w:rsid w:val="00706517"/>
    <w:rsid w:val="00706670"/>
    <w:rsid w:val="00707467"/>
    <w:rsid w:val="00707D70"/>
    <w:rsid w:val="00714F8E"/>
    <w:rsid w:val="00720743"/>
    <w:rsid w:val="00724099"/>
    <w:rsid w:val="0072417C"/>
    <w:rsid w:val="00733E09"/>
    <w:rsid w:val="00734450"/>
    <w:rsid w:val="00744BE7"/>
    <w:rsid w:val="00745F67"/>
    <w:rsid w:val="0075039E"/>
    <w:rsid w:val="00752149"/>
    <w:rsid w:val="00752D9D"/>
    <w:rsid w:val="00754784"/>
    <w:rsid w:val="007551F6"/>
    <w:rsid w:val="0075610E"/>
    <w:rsid w:val="00757C3D"/>
    <w:rsid w:val="00757C6E"/>
    <w:rsid w:val="00760F3C"/>
    <w:rsid w:val="007629A7"/>
    <w:rsid w:val="00762BDA"/>
    <w:rsid w:val="007649C2"/>
    <w:rsid w:val="00767021"/>
    <w:rsid w:val="00767B3B"/>
    <w:rsid w:val="007805FD"/>
    <w:rsid w:val="0078088A"/>
    <w:rsid w:val="00784422"/>
    <w:rsid w:val="00786057"/>
    <w:rsid w:val="00786D17"/>
    <w:rsid w:val="00790FD4"/>
    <w:rsid w:val="007A3B2E"/>
    <w:rsid w:val="007A4E45"/>
    <w:rsid w:val="007B3B54"/>
    <w:rsid w:val="007B3FA0"/>
    <w:rsid w:val="007C0F2C"/>
    <w:rsid w:val="007C1B12"/>
    <w:rsid w:val="007C2BCC"/>
    <w:rsid w:val="007C4EF0"/>
    <w:rsid w:val="007C7D16"/>
    <w:rsid w:val="007D099D"/>
    <w:rsid w:val="007E150B"/>
    <w:rsid w:val="007E2664"/>
    <w:rsid w:val="007E3ABF"/>
    <w:rsid w:val="007E4B52"/>
    <w:rsid w:val="007E5BFA"/>
    <w:rsid w:val="007E6171"/>
    <w:rsid w:val="007E6689"/>
    <w:rsid w:val="007E731C"/>
    <w:rsid w:val="007F08AD"/>
    <w:rsid w:val="007F0A03"/>
    <w:rsid w:val="007F22CC"/>
    <w:rsid w:val="007F4A7D"/>
    <w:rsid w:val="007F55C0"/>
    <w:rsid w:val="00801078"/>
    <w:rsid w:val="00810040"/>
    <w:rsid w:val="0082023A"/>
    <w:rsid w:val="00821095"/>
    <w:rsid w:val="00821A7A"/>
    <w:rsid w:val="008253F8"/>
    <w:rsid w:val="008262BF"/>
    <w:rsid w:val="008313C6"/>
    <w:rsid w:val="008325E4"/>
    <w:rsid w:val="00832A2B"/>
    <w:rsid w:val="008354B9"/>
    <w:rsid w:val="00835ABD"/>
    <w:rsid w:val="00845811"/>
    <w:rsid w:val="00846994"/>
    <w:rsid w:val="00847704"/>
    <w:rsid w:val="00850451"/>
    <w:rsid w:val="00852042"/>
    <w:rsid w:val="008534C9"/>
    <w:rsid w:val="0085394C"/>
    <w:rsid w:val="00854018"/>
    <w:rsid w:val="0085599D"/>
    <w:rsid w:val="00857CC9"/>
    <w:rsid w:val="00857CD3"/>
    <w:rsid w:val="008642FF"/>
    <w:rsid w:val="00870B9F"/>
    <w:rsid w:val="0087324B"/>
    <w:rsid w:val="0087510C"/>
    <w:rsid w:val="008760AB"/>
    <w:rsid w:val="00880646"/>
    <w:rsid w:val="008874F1"/>
    <w:rsid w:val="00890F5B"/>
    <w:rsid w:val="00895329"/>
    <w:rsid w:val="0089738E"/>
    <w:rsid w:val="008A592F"/>
    <w:rsid w:val="008B4B67"/>
    <w:rsid w:val="008B5FDB"/>
    <w:rsid w:val="008C0C7A"/>
    <w:rsid w:val="008C2F76"/>
    <w:rsid w:val="008C50F4"/>
    <w:rsid w:val="008C5649"/>
    <w:rsid w:val="008D2501"/>
    <w:rsid w:val="008D27E2"/>
    <w:rsid w:val="008D2997"/>
    <w:rsid w:val="008D3A69"/>
    <w:rsid w:val="008D7D52"/>
    <w:rsid w:val="008E24C4"/>
    <w:rsid w:val="008E44A2"/>
    <w:rsid w:val="008E4FF5"/>
    <w:rsid w:val="008E697D"/>
    <w:rsid w:val="008E7CE1"/>
    <w:rsid w:val="008F0FB4"/>
    <w:rsid w:val="008F74CA"/>
    <w:rsid w:val="00903263"/>
    <w:rsid w:val="00906A21"/>
    <w:rsid w:val="009079C3"/>
    <w:rsid w:val="00910462"/>
    <w:rsid w:val="0091271F"/>
    <w:rsid w:val="00914EA3"/>
    <w:rsid w:val="00915828"/>
    <w:rsid w:val="00915AB1"/>
    <w:rsid w:val="00917532"/>
    <w:rsid w:val="00917896"/>
    <w:rsid w:val="009203AE"/>
    <w:rsid w:val="00920B53"/>
    <w:rsid w:val="009235BA"/>
    <w:rsid w:val="009237E0"/>
    <w:rsid w:val="00924023"/>
    <w:rsid w:val="00924CE2"/>
    <w:rsid w:val="00925B9F"/>
    <w:rsid w:val="00926CB6"/>
    <w:rsid w:val="00931AED"/>
    <w:rsid w:val="0093681B"/>
    <w:rsid w:val="009476A3"/>
    <w:rsid w:val="0095334F"/>
    <w:rsid w:val="00953AD9"/>
    <w:rsid w:val="00955D21"/>
    <w:rsid w:val="00960105"/>
    <w:rsid w:val="009608AF"/>
    <w:rsid w:val="00962600"/>
    <w:rsid w:val="00965897"/>
    <w:rsid w:val="00966EAF"/>
    <w:rsid w:val="00967656"/>
    <w:rsid w:val="0096765C"/>
    <w:rsid w:val="0096783F"/>
    <w:rsid w:val="009701EE"/>
    <w:rsid w:val="009727E4"/>
    <w:rsid w:val="00980793"/>
    <w:rsid w:val="00984D04"/>
    <w:rsid w:val="009859EF"/>
    <w:rsid w:val="009908E8"/>
    <w:rsid w:val="009934C5"/>
    <w:rsid w:val="009937C3"/>
    <w:rsid w:val="00994C0F"/>
    <w:rsid w:val="009963E9"/>
    <w:rsid w:val="00996A74"/>
    <w:rsid w:val="009972B6"/>
    <w:rsid w:val="009A34CE"/>
    <w:rsid w:val="009A3ABC"/>
    <w:rsid w:val="009B22D7"/>
    <w:rsid w:val="009B3C9B"/>
    <w:rsid w:val="009B72ED"/>
    <w:rsid w:val="009B7CCB"/>
    <w:rsid w:val="009C1F29"/>
    <w:rsid w:val="009C5068"/>
    <w:rsid w:val="009C6DEB"/>
    <w:rsid w:val="009D042F"/>
    <w:rsid w:val="009D41F5"/>
    <w:rsid w:val="009D5658"/>
    <w:rsid w:val="009D6504"/>
    <w:rsid w:val="009E12D7"/>
    <w:rsid w:val="009E2C7F"/>
    <w:rsid w:val="009E2EC2"/>
    <w:rsid w:val="009E661A"/>
    <w:rsid w:val="009F0495"/>
    <w:rsid w:val="009F21E0"/>
    <w:rsid w:val="009F6209"/>
    <w:rsid w:val="00A00178"/>
    <w:rsid w:val="00A012EB"/>
    <w:rsid w:val="00A02E71"/>
    <w:rsid w:val="00A065B5"/>
    <w:rsid w:val="00A06781"/>
    <w:rsid w:val="00A074C3"/>
    <w:rsid w:val="00A103EF"/>
    <w:rsid w:val="00A10E52"/>
    <w:rsid w:val="00A1509C"/>
    <w:rsid w:val="00A17BBF"/>
    <w:rsid w:val="00A27013"/>
    <w:rsid w:val="00A3220C"/>
    <w:rsid w:val="00A34260"/>
    <w:rsid w:val="00A35BD2"/>
    <w:rsid w:val="00A421B0"/>
    <w:rsid w:val="00A60863"/>
    <w:rsid w:val="00A61D72"/>
    <w:rsid w:val="00A61E3E"/>
    <w:rsid w:val="00A70CFD"/>
    <w:rsid w:val="00A71F0B"/>
    <w:rsid w:val="00A72A0B"/>
    <w:rsid w:val="00A72B83"/>
    <w:rsid w:val="00A81E42"/>
    <w:rsid w:val="00A82265"/>
    <w:rsid w:val="00A864FE"/>
    <w:rsid w:val="00A86F41"/>
    <w:rsid w:val="00A87D04"/>
    <w:rsid w:val="00A90B45"/>
    <w:rsid w:val="00A935EC"/>
    <w:rsid w:val="00A950C5"/>
    <w:rsid w:val="00A9615A"/>
    <w:rsid w:val="00A96756"/>
    <w:rsid w:val="00AA1D25"/>
    <w:rsid w:val="00AA5CD2"/>
    <w:rsid w:val="00AB2B1A"/>
    <w:rsid w:val="00AB397F"/>
    <w:rsid w:val="00AB5832"/>
    <w:rsid w:val="00AC4E3E"/>
    <w:rsid w:val="00AC51F2"/>
    <w:rsid w:val="00AD0733"/>
    <w:rsid w:val="00AD0E7A"/>
    <w:rsid w:val="00AD3089"/>
    <w:rsid w:val="00AE06C6"/>
    <w:rsid w:val="00AE2CF0"/>
    <w:rsid w:val="00AE4C12"/>
    <w:rsid w:val="00AE5066"/>
    <w:rsid w:val="00AE5E24"/>
    <w:rsid w:val="00AE61B7"/>
    <w:rsid w:val="00AE6CBA"/>
    <w:rsid w:val="00AE79AD"/>
    <w:rsid w:val="00AF2415"/>
    <w:rsid w:val="00AF35E4"/>
    <w:rsid w:val="00AF51E1"/>
    <w:rsid w:val="00AF5CDE"/>
    <w:rsid w:val="00B038E5"/>
    <w:rsid w:val="00B11A57"/>
    <w:rsid w:val="00B211C3"/>
    <w:rsid w:val="00B25377"/>
    <w:rsid w:val="00B25597"/>
    <w:rsid w:val="00B267B9"/>
    <w:rsid w:val="00B2719F"/>
    <w:rsid w:val="00B33E09"/>
    <w:rsid w:val="00B42F47"/>
    <w:rsid w:val="00B4352D"/>
    <w:rsid w:val="00B472E4"/>
    <w:rsid w:val="00B50708"/>
    <w:rsid w:val="00B50C68"/>
    <w:rsid w:val="00B51293"/>
    <w:rsid w:val="00B5130F"/>
    <w:rsid w:val="00B52073"/>
    <w:rsid w:val="00B52B1E"/>
    <w:rsid w:val="00B55481"/>
    <w:rsid w:val="00B56138"/>
    <w:rsid w:val="00B56C32"/>
    <w:rsid w:val="00B57ACF"/>
    <w:rsid w:val="00B63D7E"/>
    <w:rsid w:val="00B64BB1"/>
    <w:rsid w:val="00B65690"/>
    <w:rsid w:val="00B6578C"/>
    <w:rsid w:val="00B71DF0"/>
    <w:rsid w:val="00B72D9F"/>
    <w:rsid w:val="00B73166"/>
    <w:rsid w:val="00B73ABC"/>
    <w:rsid w:val="00B8426C"/>
    <w:rsid w:val="00B86D3B"/>
    <w:rsid w:val="00B9068C"/>
    <w:rsid w:val="00B91B8D"/>
    <w:rsid w:val="00B92297"/>
    <w:rsid w:val="00B9268B"/>
    <w:rsid w:val="00B93D80"/>
    <w:rsid w:val="00B94E90"/>
    <w:rsid w:val="00BA0C4D"/>
    <w:rsid w:val="00BB0A82"/>
    <w:rsid w:val="00BB0FF3"/>
    <w:rsid w:val="00BB2ACF"/>
    <w:rsid w:val="00BB3D92"/>
    <w:rsid w:val="00BB7C94"/>
    <w:rsid w:val="00BC0A9D"/>
    <w:rsid w:val="00BC3A82"/>
    <w:rsid w:val="00BC5255"/>
    <w:rsid w:val="00BD6034"/>
    <w:rsid w:val="00BD7DFC"/>
    <w:rsid w:val="00BF40ED"/>
    <w:rsid w:val="00BF5BC2"/>
    <w:rsid w:val="00BF6BA3"/>
    <w:rsid w:val="00C0325F"/>
    <w:rsid w:val="00C0526A"/>
    <w:rsid w:val="00C07A60"/>
    <w:rsid w:val="00C10F85"/>
    <w:rsid w:val="00C1133D"/>
    <w:rsid w:val="00C128FA"/>
    <w:rsid w:val="00C166D8"/>
    <w:rsid w:val="00C16A25"/>
    <w:rsid w:val="00C16D03"/>
    <w:rsid w:val="00C209EB"/>
    <w:rsid w:val="00C24B8A"/>
    <w:rsid w:val="00C27A08"/>
    <w:rsid w:val="00C3088A"/>
    <w:rsid w:val="00C31312"/>
    <w:rsid w:val="00C326C6"/>
    <w:rsid w:val="00C3308A"/>
    <w:rsid w:val="00C346E1"/>
    <w:rsid w:val="00C35295"/>
    <w:rsid w:val="00C36231"/>
    <w:rsid w:val="00C366B9"/>
    <w:rsid w:val="00C36ADD"/>
    <w:rsid w:val="00C36E74"/>
    <w:rsid w:val="00C40595"/>
    <w:rsid w:val="00C41621"/>
    <w:rsid w:val="00C449FA"/>
    <w:rsid w:val="00C47498"/>
    <w:rsid w:val="00C5384F"/>
    <w:rsid w:val="00C56964"/>
    <w:rsid w:val="00C57049"/>
    <w:rsid w:val="00C63487"/>
    <w:rsid w:val="00C656D5"/>
    <w:rsid w:val="00C67103"/>
    <w:rsid w:val="00C71BB9"/>
    <w:rsid w:val="00C768AD"/>
    <w:rsid w:val="00C854E9"/>
    <w:rsid w:val="00C86234"/>
    <w:rsid w:val="00C86778"/>
    <w:rsid w:val="00C94C28"/>
    <w:rsid w:val="00CA0A06"/>
    <w:rsid w:val="00CA37D3"/>
    <w:rsid w:val="00CA4A25"/>
    <w:rsid w:val="00CB0247"/>
    <w:rsid w:val="00CB3440"/>
    <w:rsid w:val="00CC076D"/>
    <w:rsid w:val="00CC1692"/>
    <w:rsid w:val="00CC76CB"/>
    <w:rsid w:val="00CD138B"/>
    <w:rsid w:val="00CD3E31"/>
    <w:rsid w:val="00CD74A3"/>
    <w:rsid w:val="00CD7D8D"/>
    <w:rsid w:val="00CE02CB"/>
    <w:rsid w:val="00CE0527"/>
    <w:rsid w:val="00CE0B6D"/>
    <w:rsid w:val="00CE351F"/>
    <w:rsid w:val="00CE4216"/>
    <w:rsid w:val="00CE4DC9"/>
    <w:rsid w:val="00CE5701"/>
    <w:rsid w:val="00CE5B23"/>
    <w:rsid w:val="00CE68A0"/>
    <w:rsid w:val="00CE7BFB"/>
    <w:rsid w:val="00CF641B"/>
    <w:rsid w:val="00CF70AD"/>
    <w:rsid w:val="00CF7729"/>
    <w:rsid w:val="00D00059"/>
    <w:rsid w:val="00D00088"/>
    <w:rsid w:val="00D02E53"/>
    <w:rsid w:val="00D107FA"/>
    <w:rsid w:val="00D10F81"/>
    <w:rsid w:val="00D12275"/>
    <w:rsid w:val="00D12766"/>
    <w:rsid w:val="00D1485A"/>
    <w:rsid w:val="00D171BF"/>
    <w:rsid w:val="00D20FF4"/>
    <w:rsid w:val="00D229B0"/>
    <w:rsid w:val="00D24D2C"/>
    <w:rsid w:val="00D260E4"/>
    <w:rsid w:val="00D26237"/>
    <w:rsid w:val="00D265DF"/>
    <w:rsid w:val="00D35881"/>
    <w:rsid w:val="00D54626"/>
    <w:rsid w:val="00D614DD"/>
    <w:rsid w:val="00D63CB5"/>
    <w:rsid w:val="00D70996"/>
    <w:rsid w:val="00D70A12"/>
    <w:rsid w:val="00D84B84"/>
    <w:rsid w:val="00D979E3"/>
    <w:rsid w:val="00DA24F6"/>
    <w:rsid w:val="00DA3E63"/>
    <w:rsid w:val="00DA75C7"/>
    <w:rsid w:val="00DA7AB0"/>
    <w:rsid w:val="00DA7DA5"/>
    <w:rsid w:val="00DB073B"/>
    <w:rsid w:val="00DB2AE2"/>
    <w:rsid w:val="00DB78F0"/>
    <w:rsid w:val="00DC2E43"/>
    <w:rsid w:val="00DC33E1"/>
    <w:rsid w:val="00DC4065"/>
    <w:rsid w:val="00DD095C"/>
    <w:rsid w:val="00DD1020"/>
    <w:rsid w:val="00DD1330"/>
    <w:rsid w:val="00DD48F3"/>
    <w:rsid w:val="00DE0B83"/>
    <w:rsid w:val="00DE1057"/>
    <w:rsid w:val="00DE1A81"/>
    <w:rsid w:val="00DE1C13"/>
    <w:rsid w:val="00DE4E10"/>
    <w:rsid w:val="00DE7395"/>
    <w:rsid w:val="00DF5C15"/>
    <w:rsid w:val="00DF6764"/>
    <w:rsid w:val="00DF6C5B"/>
    <w:rsid w:val="00E02ABF"/>
    <w:rsid w:val="00E02EF3"/>
    <w:rsid w:val="00E14995"/>
    <w:rsid w:val="00E179CD"/>
    <w:rsid w:val="00E216C5"/>
    <w:rsid w:val="00E22C2B"/>
    <w:rsid w:val="00E23E8D"/>
    <w:rsid w:val="00E30AFE"/>
    <w:rsid w:val="00E3101D"/>
    <w:rsid w:val="00E321C1"/>
    <w:rsid w:val="00E33E8A"/>
    <w:rsid w:val="00E36CCC"/>
    <w:rsid w:val="00E37F98"/>
    <w:rsid w:val="00E442AE"/>
    <w:rsid w:val="00E46559"/>
    <w:rsid w:val="00E53B66"/>
    <w:rsid w:val="00E5553C"/>
    <w:rsid w:val="00E60EC6"/>
    <w:rsid w:val="00E632F7"/>
    <w:rsid w:val="00E6670C"/>
    <w:rsid w:val="00E71777"/>
    <w:rsid w:val="00E733FE"/>
    <w:rsid w:val="00E7391A"/>
    <w:rsid w:val="00E749B3"/>
    <w:rsid w:val="00E75DC1"/>
    <w:rsid w:val="00E762E4"/>
    <w:rsid w:val="00E776E8"/>
    <w:rsid w:val="00E84776"/>
    <w:rsid w:val="00E92C1F"/>
    <w:rsid w:val="00E95D4B"/>
    <w:rsid w:val="00E96C2E"/>
    <w:rsid w:val="00EA78AF"/>
    <w:rsid w:val="00EB199F"/>
    <w:rsid w:val="00EB3240"/>
    <w:rsid w:val="00EB4B7F"/>
    <w:rsid w:val="00EB5E87"/>
    <w:rsid w:val="00EC145E"/>
    <w:rsid w:val="00EC23F7"/>
    <w:rsid w:val="00EC3834"/>
    <w:rsid w:val="00EC4BD8"/>
    <w:rsid w:val="00EC63EB"/>
    <w:rsid w:val="00ED0655"/>
    <w:rsid w:val="00ED2014"/>
    <w:rsid w:val="00ED412F"/>
    <w:rsid w:val="00ED70A9"/>
    <w:rsid w:val="00ED7CE1"/>
    <w:rsid w:val="00EE0405"/>
    <w:rsid w:val="00EE083D"/>
    <w:rsid w:val="00EE5FB9"/>
    <w:rsid w:val="00EF36B2"/>
    <w:rsid w:val="00EF71ED"/>
    <w:rsid w:val="00F10D15"/>
    <w:rsid w:val="00F123BF"/>
    <w:rsid w:val="00F201EC"/>
    <w:rsid w:val="00F208A9"/>
    <w:rsid w:val="00F21E76"/>
    <w:rsid w:val="00F30C0C"/>
    <w:rsid w:val="00F311D2"/>
    <w:rsid w:val="00F320FE"/>
    <w:rsid w:val="00F370F4"/>
    <w:rsid w:val="00F41D75"/>
    <w:rsid w:val="00F42A18"/>
    <w:rsid w:val="00F4449F"/>
    <w:rsid w:val="00F46E76"/>
    <w:rsid w:val="00F50805"/>
    <w:rsid w:val="00F5139D"/>
    <w:rsid w:val="00F540A1"/>
    <w:rsid w:val="00F574C9"/>
    <w:rsid w:val="00F61BEA"/>
    <w:rsid w:val="00F63DAC"/>
    <w:rsid w:val="00F709FE"/>
    <w:rsid w:val="00F714C4"/>
    <w:rsid w:val="00F7454F"/>
    <w:rsid w:val="00F77988"/>
    <w:rsid w:val="00F77F48"/>
    <w:rsid w:val="00F8053C"/>
    <w:rsid w:val="00F8079A"/>
    <w:rsid w:val="00F93A94"/>
    <w:rsid w:val="00FA2C59"/>
    <w:rsid w:val="00FA5712"/>
    <w:rsid w:val="00FB30F1"/>
    <w:rsid w:val="00FB4ADC"/>
    <w:rsid w:val="00FB53E7"/>
    <w:rsid w:val="00FB58A9"/>
    <w:rsid w:val="00FC214D"/>
    <w:rsid w:val="00FC3550"/>
    <w:rsid w:val="00FC35E5"/>
    <w:rsid w:val="00FE01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customStyle="1" w:styleId="GalveneRakstz">
    <w:name w:val="Galvene Rakstz."/>
    <w:link w:val="Galvene"/>
    <w:uiPriority w:val="99"/>
    <w:locked/>
    <w:rsid w:val="00147657"/>
    <w:rPr>
      <w:sz w:val="24"/>
    </w:rPr>
  </w:style>
  <w:style w:type="character" w:styleId="Lappusesnumurs">
    <w:name w:val="page number"/>
    <w:uiPriority w:val="99"/>
    <w:rsid w:val="008C5649"/>
    <w:rPr>
      <w:rFonts w:cs="Times New Roman"/>
    </w:rPr>
  </w:style>
  <w:style w:type="paragraph" w:customStyle="1" w:styleId="naisf">
    <w:name w:val="naisf"/>
    <w:basedOn w:val="Parastais"/>
    <w:uiPriority w:val="99"/>
    <w:rsid w:val="008C5649"/>
    <w:pPr>
      <w:spacing w:before="75" w:after="75"/>
      <w:ind w:firstLine="375"/>
      <w:jc w:val="both"/>
    </w:pPr>
  </w:style>
  <w:style w:type="paragraph" w:customStyle="1" w:styleId="naisnod">
    <w:name w:val="naisnod"/>
    <w:basedOn w:val="Parastais"/>
    <w:uiPriority w:val="99"/>
    <w:rsid w:val="008C5649"/>
    <w:pPr>
      <w:spacing w:before="150" w:after="150"/>
      <w:jc w:val="center"/>
    </w:pPr>
    <w:rPr>
      <w:b/>
      <w:bCs/>
    </w:rPr>
  </w:style>
  <w:style w:type="paragraph" w:customStyle="1" w:styleId="naislab">
    <w:name w:val="naislab"/>
    <w:basedOn w:val="Parastais"/>
    <w:uiPriority w:val="99"/>
    <w:rsid w:val="008C5649"/>
    <w:pPr>
      <w:spacing w:before="75" w:after="75"/>
      <w:jc w:val="right"/>
    </w:pPr>
  </w:style>
  <w:style w:type="paragraph" w:customStyle="1" w:styleId="naiskr">
    <w:name w:val="naiskr"/>
    <w:basedOn w:val="Parastais"/>
    <w:uiPriority w:val="99"/>
    <w:rsid w:val="008C5649"/>
    <w:pPr>
      <w:spacing w:before="75" w:after="75"/>
    </w:pPr>
  </w:style>
  <w:style w:type="paragraph" w:customStyle="1" w:styleId="naisc">
    <w:name w:val="naisc"/>
    <w:basedOn w:val="Parastais"/>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uiPriority w:val="99"/>
    <w:semiHidden/>
    <w:rsid w:val="008C5649"/>
    <w:rPr>
      <w:rFonts w:cs="Times New Roman"/>
      <w:sz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locked/>
    <w:rsid w:val="008C5649"/>
    <w:rPr>
      <w:lang w:val="lv-LV" w:eastAsia="lv-LV"/>
    </w:rPr>
  </w:style>
  <w:style w:type="paragraph" w:styleId="Balonteksts">
    <w:name w:val="Balloon Text"/>
    <w:basedOn w:val="Parastais"/>
    <w:link w:val="BalontekstsRakstz"/>
    <w:uiPriority w:val="99"/>
    <w:semiHidden/>
    <w:rsid w:val="008C5649"/>
    <w:rPr>
      <w:rFonts w:ascii="Tahoma" w:hAnsi="Tahoma" w:cs="Tahoma"/>
      <w:sz w:val="16"/>
      <w:szCs w:val="16"/>
    </w:rPr>
  </w:style>
  <w:style w:type="character" w:customStyle="1" w:styleId="BalontekstsRakstz">
    <w:name w:val="Balonteksts Rakstz."/>
    <w:link w:val="Balonteksts"/>
    <w:uiPriority w:val="99"/>
    <w:semiHidden/>
    <w:rsid w:val="00FE29DE"/>
    <w:rPr>
      <w:sz w:val="0"/>
      <w:szCs w:val="0"/>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customStyle="1" w:styleId="VrestekstsRakstz">
    <w:name w:val="Vēres teksts Rakstz."/>
    <w:link w:val="Vresteksts"/>
    <w:uiPriority w:val="99"/>
    <w:semiHidden/>
    <w:rsid w:val="00FE29DE"/>
    <w:rPr>
      <w:sz w:val="20"/>
      <w:szCs w:val="20"/>
    </w:rPr>
  </w:style>
  <w:style w:type="character" w:styleId="Vresatsauce">
    <w:name w:val="footnote reference"/>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link w:val="Komentratma"/>
    <w:uiPriority w:val="99"/>
    <w:semiHidden/>
    <w:rsid w:val="00FE29DE"/>
    <w:rPr>
      <w:b/>
      <w:bCs/>
      <w:sz w:val="20"/>
      <w:szCs w:val="20"/>
      <w:lang w:val="lv-LV" w:eastAsia="lv-LV"/>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link w:val="Kjene"/>
    <w:uiPriority w:val="99"/>
    <w:semiHidden/>
    <w:locked/>
    <w:rsid w:val="00231344"/>
    <w:rPr>
      <w:sz w:val="24"/>
      <w:lang w:val="lv-LV" w:eastAsia="lv-LV"/>
    </w:rPr>
  </w:style>
  <w:style w:type="character" w:styleId="Hipersaite">
    <w:name w:val="Hyperlink"/>
    <w:uiPriority w:val="99"/>
    <w:rsid w:val="007004FC"/>
    <w:rPr>
      <w:rFonts w:cs="Times New Roman"/>
      <w:color w:val="0000FF"/>
      <w:u w:val="single"/>
    </w:rPr>
  </w:style>
  <w:style w:type="paragraph" w:styleId="Dokumentakarte">
    <w:name w:val="Document Map"/>
    <w:basedOn w:val="Parastais"/>
    <w:link w:val="DokumentakarteRakstz"/>
    <w:uiPriority w:val="99"/>
    <w:semiHidden/>
    <w:rsid w:val="00846994"/>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rsid w:val="00FE29DE"/>
    <w:rPr>
      <w:sz w:val="0"/>
      <w:szCs w:val="0"/>
    </w:rPr>
  </w:style>
  <w:style w:type="character" w:styleId="Izteiksmgs">
    <w:name w:val="Strong"/>
    <w:uiPriority w:val="99"/>
    <w:qFormat/>
    <w:rsid w:val="00F50805"/>
    <w:rPr>
      <w:rFonts w:cs="Times New Roman"/>
      <w:b/>
    </w:rPr>
  </w:style>
  <w:style w:type="paragraph" w:styleId="Sarakstarindkopa">
    <w:name w:val="List Paragraph"/>
    <w:basedOn w:val="Parastais"/>
    <w:uiPriority w:val="99"/>
    <w:qFormat/>
    <w:rsid w:val="00A90B45"/>
    <w:pPr>
      <w:ind w:left="720"/>
    </w:pPr>
  </w:style>
  <w:style w:type="paragraph" w:customStyle="1" w:styleId="CM4">
    <w:name w:val="CM4"/>
    <w:basedOn w:val="Parastais"/>
    <w:next w:val="Parastais"/>
    <w:uiPriority w:val="99"/>
    <w:rsid w:val="0091271F"/>
    <w:pPr>
      <w:autoSpaceDE w:val="0"/>
      <w:autoSpaceDN w:val="0"/>
      <w:adjustRightInd w:val="0"/>
    </w:pPr>
  </w:style>
  <w:style w:type="paragraph" w:styleId="Pamattekstaatkpe2">
    <w:name w:val="Body Text Indent 2"/>
    <w:basedOn w:val="Parastais"/>
    <w:link w:val="Pamattekstaatkpe2Rakstz"/>
    <w:uiPriority w:val="99"/>
    <w:rsid w:val="00143846"/>
    <w:pPr>
      <w:ind w:firstLine="720"/>
      <w:jc w:val="center"/>
    </w:pPr>
    <w:rPr>
      <w:b/>
      <w:sz w:val="28"/>
      <w:szCs w:val="20"/>
      <w:lang w:eastAsia="en-US"/>
    </w:rPr>
  </w:style>
  <w:style w:type="character" w:customStyle="1" w:styleId="Pamattekstaatkpe2Rakstz">
    <w:name w:val="Pamatteksta atkāpe 2 Rakstz."/>
    <w:link w:val="Pamattekstaatkpe2"/>
    <w:uiPriority w:val="99"/>
    <w:locked/>
    <w:rsid w:val="00143846"/>
    <w:rPr>
      <w:b/>
      <w:sz w:val="28"/>
      <w:lang w:eastAsia="en-US"/>
    </w:rPr>
  </w:style>
  <w:style w:type="paragraph" w:customStyle="1" w:styleId="Default">
    <w:name w:val="Default"/>
    <w:uiPriority w:val="99"/>
    <w:rsid w:val="00CA37D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customStyle="1" w:styleId="GalveneRakstz">
    <w:name w:val="Galvene Rakstz."/>
    <w:link w:val="Galvene"/>
    <w:uiPriority w:val="99"/>
    <w:locked/>
    <w:rsid w:val="00147657"/>
    <w:rPr>
      <w:sz w:val="24"/>
    </w:rPr>
  </w:style>
  <w:style w:type="character" w:styleId="Lappusesnumurs">
    <w:name w:val="page number"/>
    <w:uiPriority w:val="99"/>
    <w:rsid w:val="008C5649"/>
    <w:rPr>
      <w:rFonts w:cs="Times New Roman"/>
    </w:rPr>
  </w:style>
  <w:style w:type="paragraph" w:customStyle="1" w:styleId="naisf">
    <w:name w:val="naisf"/>
    <w:basedOn w:val="Parasts"/>
    <w:uiPriority w:val="99"/>
    <w:rsid w:val="008C5649"/>
    <w:pPr>
      <w:spacing w:before="75" w:after="75"/>
      <w:ind w:firstLine="375"/>
      <w:jc w:val="both"/>
    </w:pPr>
  </w:style>
  <w:style w:type="paragraph" w:customStyle="1" w:styleId="naisnod">
    <w:name w:val="naisnod"/>
    <w:basedOn w:val="Parasts"/>
    <w:uiPriority w:val="99"/>
    <w:rsid w:val="008C5649"/>
    <w:pPr>
      <w:spacing w:before="150" w:after="150"/>
      <w:jc w:val="center"/>
    </w:pPr>
    <w:rPr>
      <w:b/>
      <w:bCs/>
    </w:rPr>
  </w:style>
  <w:style w:type="paragraph" w:customStyle="1" w:styleId="naislab">
    <w:name w:val="naislab"/>
    <w:basedOn w:val="Parasts"/>
    <w:uiPriority w:val="99"/>
    <w:rsid w:val="008C5649"/>
    <w:pPr>
      <w:spacing w:before="75" w:after="75"/>
      <w:jc w:val="right"/>
    </w:pPr>
  </w:style>
  <w:style w:type="paragraph" w:customStyle="1" w:styleId="naiskr">
    <w:name w:val="naiskr"/>
    <w:basedOn w:val="Parasts"/>
    <w:uiPriority w:val="99"/>
    <w:rsid w:val="008C5649"/>
    <w:pPr>
      <w:spacing w:before="75" w:after="75"/>
    </w:pPr>
  </w:style>
  <w:style w:type="paragraph" w:customStyle="1" w:styleId="naisc">
    <w:name w:val="naisc"/>
    <w:basedOn w:val="Parasts"/>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uiPriority w:val="99"/>
    <w:semiHidden/>
    <w:rsid w:val="008C5649"/>
    <w:rPr>
      <w:rFonts w:cs="Times New Roman"/>
      <w:sz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locked/>
    <w:rsid w:val="008C5649"/>
    <w:rPr>
      <w:lang w:val="lv-LV" w:eastAsia="lv-LV"/>
    </w:rPr>
  </w:style>
  <w:style w:type="paragraph" w:styleId="Balonteksts">
    <w:name w:val="Balloon Text"/>
    <w:basedOn w:val="Parasts"/>
    <w:link w:val="BalontekstsRakstz"/>
    <w:uiPriority w:val="99"/>
    <w:semiHidden/>
    <w:rsid w:val="008C5649"/>
    <w:rPr>
      <w:rFonts w:ascii="Tahoma" w:hAnsi="Tahoma" w:cs="Tahoma"/>
      <w:sz w:val="16"/>
      <w:szCs w:val="16"/>
    </w:rPr>
  </w:style>
  <w:style w:type="character" w:customStyle="1" w:styleId="BalontekstsRakstz">
    <w:name w:val="Balonteksts Rakstz."/>
    <w:link w:val="Balonteksts"/>
    <w:uiPriority w:val="99"/>
    <w:semiHidden/>
    <w:rsid w:val="00FE29DE"/>
    <w:rPr>
      <w:sz w:val="0"/>
      <w:szCs w:val="0"/>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rsid w:val="008C5649"/>
    <w:rPr>
      <w:sz w:val="20"/>
      <w:szCs w:val="20"/>
    </w:rPr>
  </w:style>
  <w:style w:type="character" w:customStyle="1" w:styleId="VrestekstsRakstz">
    <w:name w:val="Vēres teksts Rakstz."/>
    <w:link w:val="Vresteksts"/>
    <w:uiPriority w:val="99"/>
    <w:semiHidden/>
    <w:rsid w:val="00FE29DE"/>
    <w:rPr>
      <w:sz w:val="20"/>
      <w:szCs w:val="20"/>
    </w:rPr>
  </w:style>
  <w:style w:type="character" w:styleId="Vresatsauce">
    <w:name w:val="footnote reference"/>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link w:val="Komentratma"/>
    <w:uiPriority w:val="99"/>
    <w:semiHidden/>
    <w:rsid w:val="00FE29DE"/>
    <w:rPr>
      <w:b/>
      <w:bCs/>
      <w:sz w:val="20"/>
      <w:szCs w:val="20"/>
      <w:lang w:val="lv-LV" w:eastAsia="lv-LV"/>
    </w:rPr>
  </w:style>
  <w:style w:type="paragraph" w:styleId="Kjene">
    <w:name w:val="footer"/>
    <w:basedOn w:val="Parasts"/>
    <w:link w:val="KjeneRakstz"/>
    <w:uiPriority w:val="99"/>
    <w:rsid w:val="00262E2B"/>
    <w:pPr>
      <w:tabs>
        <w:tab w:val="center" w:pos="4153"/>
        <w:tab w:val="right" w:pos="8306"/>
      </w:tabs>
    </w:pPr>
  </w:style>
  <w:style w:type="character" w:customStyle="1" w:styleId="KjeneRakstz">
    <w:name w:val="Kājene Rakstz."/>
    <w:link w:val="Kjene"/>
    <w:uiPriority w:val="99"/>
    <w:semiHidden/>
    <w:locked/>
    <w:rsid w:val="00231344"/>
    <w:rPr>
      <w:sz w:val="24"/>
      <w:lang w:val="lv-LV" w:eastAsia="lv-LV"/>
    </w:rPr>
  </w:style>
  <w:style w:type="character" w:styleId="Hipersaite">
    <w:name w:val="Hyperlink"/>
    <w:uiPriority w:val="99"/>
    <w:rsid w:val="007004FC"/>
    <w:rPr>
      <w:rFonts w:cs="Times New Roman"/>
      <w:color w:val="0000FF"/>
      <w:u w:val="single"/>
    </w:rPr>
  </w:style>
  <w:style w:type="paragraph" w:styleId="Dokumentakarte">
    <w:name w:val="Document Map"/>
    <w:basedOn w:val="Parasts"/>
    <w:link w:val="DokumentakarteRakstz"/>
    <w:uiPriority w:val="99"/>
    <w:semiHidden/>
    <w:rsid w:val="00846994"/>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rsid w:val="00FE29DE"/>
    <w:rPr>
      <w:sz w:val="0"/>
      <w:szCs w:val="0"/>
    </w:rPr>
  </w:style>
  <w:style w:type="character" w:styleId="Izteiksmgs">
    <w:name w:val="Strong"/>
    <w:uiPriority w:val="99"/>
    <w:qFormat/>
    <w:rsid w:val="00F50805"/>
    <w:rPr>
      <w:rFonts w:cs="Times New Roman"/>
      <w:b/>
    </w:rPr>
  </w:style>
  <w:style w:type="paragraph" w:styleId="Sarakstarindkopa">
    <w:name w:val="List Paragraph"/>
    <w:basedOn w:val="Parasts"/>
    <w:uiPriority w:val="99"/>
    <w:qFormat/>
    <w:rsid w:val="00A90B45"/>
    <w:pPr>
      <w:ind w:left="720"/>
    </w:pPr>
  </w:style>
  <w:style w:type="paragraph" w:customStyle="1" w:styleId="CM4">
    <w:name w:val="CM4"/>
    <w:basedOn w:val="Parasts"/>
    <w:next w:val="Parasts"/>
    <w:uiPriority w:val="99"/>
    <w:rsid w:val="0091271F"/>
    <w:pPr>
      <w:autoSpaceDE w:val="0"/>
      <w:autoSpaceDN w:val="0"/>
      <w:adjustRightInd w:val="0"/>
    </w:pPr>
  </w:style>
  <w:style w:type="paragraph" w:styleId="Pamattekstaatkpe2">
    <w:name w:val="Body Text Indent 2"/>
    <w:basedOn w:val="Parasts"/>
    <w:link w:val="Pamattekstaatkpe2Rakstz"/>
    <w:uiPriority w:val="99"/>
    <w:rsid w:val="00143846"/>
    <w:pPr>
      <w:ind w:firstLine="720"/>
      <w:jc w:val="center"/>
    </w:pPr>
    <w:rPr>
      <w:b/>
      <w:sz w:val="28"/>
      <w:szCs w:val="20"/>
      <w:lang w:eastAsia="en-US"/>
    </w:rPr>
  </w:style>
  <w:style w:type="character" w:customStyle="1" w:styleId="Pamattekstaatkpe2Rakstz">
    <w:name w:val="Pamatteksta atkāpe 2 Rakstz."/>
    <w:link w:val="Pamattekstaatkpe2"/>
    <w:uiPriority w:val="99"/>
    <w:locked/>
    <w:rsid w:val="00143846"/>
    <w:rPr>
      <w:b/>
      <w:sz w:val="28"/>
      <w:lang w:eastAsia="en-US"/>
    </w:rPr>
  </w:style>
  <w:style w:type="paragraph" w:customStyle="1" w:styleId="Default">
    <w:name w:val="Default"/>
    <w:uiPriority w:val="99"/>
    <w:rsid w:val="00CA37D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0263156">
      <w:marLeft w:val="0"/>
      <w:marRight w:val="0"/>
      <w:marTop w:val="0"/>
      <w:marBottom w:val="0"/>
      <w:divBdr>
        <w:top w:val="none" w:sz="0" w:space="0" w:color="auto"/>
        <w:left w:val="none" w:sz="0" w:space="0" w:color="auto"/>
        <w:bottom w:val="none" w:sz="0" w:space="0" w:color="auto"/>
        <w:right w:val="none" w:sz="0" w:space="0" w:color="auto"/>
      </w:divBdr>
    </w:div>
    <w:div w:id="1590263157">
      <w:marLeft w:val="0"/>
      <w:marRight w:val="0"/>
      <w:marTop w:val="0"/>
      <w:marBottom w:val="0"/>
      <w:divBdr>
        <w:top w:val="none" w:sz="0" w:space="0" w:color="auto"/>
        <w:left w:val="none" w:sz="0" w:space="0" w:color="auto"/>
        <w:bottom w:val="none" w:sz="0" w:space="0" w:color="auto"/>
        <w:right w:val="none" w:sz="0" w:space="0" w:color="auto"/>
      </w:divBdr>
      <w:divsChild>
        <w:div w:id="1590263153">
          <w:marLeft w:val="0"/>
          <w:marRight w:val="0"/>
          <w:marTop w:val="0"/>
          <w:marBottom w:val="0"/>
          <w:divBdr>
            <w:top w:val="none" w:sz="0" w:space="0" w:color="auto"/>
            <w:left w:val="none" w:sz="0" w:space="0" w:color="auto"/>
            <w:bottom w:val="none" w:sz="0" w:space="0" w:color="auto"/>
            <w:right w:val="none" w:sz="0" w:space="0" w:color="auto"/>
          </w:divBdr>
          <w:divsChild>
            <w:div w:id="1590263155">
              <w:marLeft w:val="0"/>
              <w:marRight w:val="0"/>
              <w:marTop w:val="0"/>
              <w:marBottom w:val="0"/>
              <w:divBdr>
                <w:top w:val="none" w:sz="0" w:space="0" w:color="auto"/>
                <w:left w:val="none" w:sz="0" w:space="0" w:color="auto"/>
                <w:bottom w:val="none" w:sz="0" w:space="0" w:color="auto"/>
                <w:right w:val="none" w:sz="0" w:space="0" w:color="auto"/>
              </w:divBdr>
              <w:divsChild>
                <w:div w:id="1590263159">
                  <w:marLeft w:val="0"/>
                  <w:marRight w:val="0"/>
                  <w:marTop w:val="0"/>
                  <w:marBottom w:val="0"/>
                  <w:divBdr>
                    <w:top w:val="none" w:sz="0" w:space="0" w:color="auto"/>
                    <w:left w:val="none" w:sz="0" w:space="0" w:color="auto"/>
                    <w:bottom w:val="none" w:sz="0" w:space="0" w:color="auto"/>
                    <w:right w:val="none" w:sz="0" w:space="0" w:color="auto"/>
                  </w:divBdr>
                  <w:divsChild>
                    <w:div w:id="1590263154">
                      <w:marLeft w:val="0"/>
                      <w:marRight w:val="0"/>
                      <w:marTop w:val="0"/>
                      <w:marBottom w:val="0"/>
                      <w:divBdr>
                        <w:top w:val="none" w:sz="0" w:space="0" w:color="auto"/>
                        <w:left w:val="none" w:sz="0" w:space="0" w:color="auto"/>
                        <w:bottom w:val="none" w:sz="0" w:space="0" w:color="auto"/>
                        <w:right w:val="none" w:sz="0" w:space="0" w:color="auto"/>
                      </w:divBdr>
                      <w:divsChild>
                        <w:div w:id="1590263161">
                          <w:marLeft w:val="0"/>
                          <w:marRight w:val="0"/>
                          <w:marTop w:val="300"/>
                          <w:marBottom w:val="0"/>
                          <w:divBdr>
                            <w:top w:val="none" w:sz="0" w:space="0" w:color="auto"/>
                            <w:left w:val="none" w:sz="0" w:space="0" w:color="auto"/>
                            <w:bottom w:val="none" w:sz="0" w:space="0" w:color="auto"/>
                            <w:right w:val="none" w:sz="0" w:space="0" w:color="auto"/>
                          </w:divBdr>
                          <w:divsChild>
                            <w:div w:id="159026316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63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666</Words>
  <Characters>4518</Characters>
  <Application>Microsoft Office Word</Application>
  <DocSecurity>0</DocSecurity>
  <Lines>322</Lines>
  <Paragraphs>107</Paragraphs>
  <ScaleCrop>false</ScaleCrop>
  <HeadingPairs>
    <vt:vector size="2" baseType="variant">
      <vt:variant>
        <vt:lpstr>Nosaukums</vt:lpstr>
      </vt:variant>
      <vt:variant>
        <vt:i4>1</vt:i4>
      </vt:variant>
    </vt:vector>
  </HeadingPairs>
  <TitlesOfParts>
    <vt:vector size="1" baseType="lpstr">
      <vt:lpstr>Piena un piena produktu ražotāju organizāciju atzīšanas un to uzraudzības kārtība</vt:lpstr>
    </vt:vector>
  </TitlesOfParts>
  <Company>Zemkopības ministrija</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Piena un piena produktu ražotāju organizāciju atzīšanas un to uzraudzības kārtība</dc:title>
  <dc:subject>Anotācija</dc:subject>
  <dc:creator>Inga Orlova</dc:creator>
  <dc:description>Inga.Orlova@zm.gov.lv, 67027376</dc:description>
  <cp:lastModifiedBy>Renārs Žagars</cp:lastModifiedBy>
  <cp:revision>6</cp:revision>
  <cp:lastPrinted>2011-01-25T08:47:00Z</cp:lastPrinted>
  <dcterms:created xsi:type="dcterms:W3CDTF">2013-07-15T12:12:00Z</dcterms:created>
  <dcterms:modified xsi:type="dcterms:W3CDTF">2013-07-19T07:15:00Z</dcterms:modified>
</cp:coreProperties>
</file>