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8D" w:rsidRPr="00996A74" w:rsidRDefault="00F44C8D" w:rsidP="00143846">
      <w:pPr>
        <w:pStyle w:val="Pamattekstaatkpe2"/>
        <w:widowControl w:val="0"/>
        <w:ind w:firstLine="0"/>
      </w:pPr>
      <w:r w:rsidRPr="00996A74">
        <w:rPr>
          <w:szCs w:val="28"/>
        </w:rPr>
        <w:t>Ministru kabineta noteikumu projekta „</w:t>
      </w:r>
      <w:r w:rsidRPr="008F14BE">
        <w:t xml:space="preserve">Grozījumi Ministru kabineta 2011.gada 1.februāra noteikumos Nr.106 „Kārtība, kādā piešķir, administrē un uzrauga valsts un Eiropas Savienības atbalstu piena produktu piegādei izglītojamiem </w:t>
      </w:r>
      <w:r>
        <w:t>vispārējās izglītības iestādēs”</w:t>
      </w:r>
      <w:r w:rsidRPr="009963E9">
        <w:rPr>
          <w:szCs w:val="28"/>
        </w:rPr>
        <w:t>”</w:t>
      </w:r>
      <w:r w:rsidRPr="00996A74">
        <w:rPr>
          <w:b w:val="0"/>
          <w:szCs w:val="28"/>
        </w:rPr>
        <w:t xml:space="preserve"> </w:t>
      </w:r>
      <w:r w:rsidRPr="00996A74">
        <w:rPr>
          <w:szCs w:val="28"/>
        </w:rPr>
        <w:t xml:space="preserve">sākotnējās ietekmes novērtējuma </w:t>
      </w:r>
      <w:smartTag w:uri="schemas-tilde-lv/tildestengine" w:element="veidnes">
        <w:smartTagPr>
          <w:attr w:name="text" w:val="ziņojums"/>
          <w:attr w:name="baseform" w:val="ziņojums"/>
          <w:attr w:name="id" w:val="-1"/>
        </w:smartTagPr>
        <w:r w:rsidRPr="00996A74">
          <w:rPr>
            <w:szCs w:val="28"/>
          </w:rPr>
          <w:t>ziņojums</w:t>
        </w:r>
      </w:smartTag>
      <w:r w:rsidRPr="00996A74">
        <w:rPr>
          <w:szCs w:val="28"/>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8"/>
        <w:gridCol w:w="2989"/>
        <w:gridCol w:w="5954"/>
      </w:tblGrid>
      <w:tr w:rsidR="00F44C8D" w:rsidRPr="00CA6FAB" w:rsidTr="00A72B83">
        <w:tc>
          <w:tcPr>
            <w:tcW w:w="9361" w:type="dxa"/>
            <w:gridSpan w:val="3"/>
            <w:vAlign w:val="center"/>
          </w:tcPr>
          <w:p w:rsidR="00F44C8D" w:rsidRPr="00CA6FAB" w:rsidRDefault="00F44C8D" w:rsidP="006C4607">
            <w:pPr>
              <w:pStyle w:val="naisnod"/>
              <w:spacing w:before="0" w:after="0"/>
            </w:pPr>
            <w:r w:rsidRPr="00CA6FAB">
              <w:t>I. Tiesību akta projekta izstrādes nepieciešamība</w:t>
            </w:r>
          </w:p>
        </w:tc>
      </w:tr>
      <w:tr w:rsidR="00F44C8D" w:rsidRPr="00CA6FAB" w:rsidTr="00A72B83">
        <w:trPr>
          <w:trHeight w:val="630"/>
        </w:trPr>
        <w:tc>
          <w:tcPr>
            <w:tcW w:w="418" w:type="dxa"/>
          </w:tcPr>
          <w:p w:rsidR="00F44C8D" w:rsidRPr="00CA6FAB" w:rsidRDefault="00F44C8D" w:rsidP="006C4607">
            <w:pPr>
              <w:pStyle w:val="naiskr"/>
              <w:spacing w:before="0" w:after="0"/>
            </w:pPr>
            <w:r w:rsidRPr="00CA6FAB">
              <w:t>1.</w:t>
            </w:r>
          </w:p>
        </w:tc>
        <w:tc>
          <w:tcPr>
            <w:tcW w:w="2989" w:type="dxa"/>
          </w:tcPr>
          <w:p w:rsidR="00F44C8D" w:rsidRPr="00CA6FAB" w:rsidRDefault="00F44C8D" w:rsidP="006C4607">
            <w:pPr>
              <w:pStyle w:val="naiskr"/>
              <w:spacing w:before="0" w:after="0"/>
              <w:ind w:hanging="10"/>
            </w:pPr>
            <w:r w:rsidRPr="00CA6FAB">
              <w:t>Pamatojums</w:t>
            </w:r>
          </w:p>
        </w:tc>
        <w:tc>
          <w:tcPr>
            <w:tcW w:w="5954" w:type="dxa"/>
          </w:tcPr>
          <w:p w:rsidR="00F44C8D" w:rsidRPr="00CA6FAB" w:rsidRDefault="00F44C8D" w:rsidP="00D12880">
            <w:pPr>
              <w:ind w:firstLine="426"/>
              <w:jc w:val="both"/>
            </w:pPr>
            <w:r w:rsidRPr="00CA6FAB">
              <w:t>Ministru kabineta noteikumu projekts „Grozījumi Ministru kabineta 2011.gada 1.februāra noteikumos Nr.106 „Kārtība, kādā piešķir, administrē un uzrauga valsts un Eiropas Savienības atbalstu piena produktu piegādei izglītojamiem vispārējās izglītības iestādēs”” (turpmāk – projekts) sagatavots saskaņā ar Lauksaimniecības un lauku attīstības likuma 5.panta ceturto un septīto daļu.</w:t>
            </w:r>
          </w:p>
        </w:tc>
      </w:tr>
      <w:tr w:rsidR="00F44C8D" w:rsidRPr="00CA6FAB" w:rsidTr="00A72B83">
        <w:trPr>
          <w:trHeight w:val="472"/>
        </w:trPr>
        <w:tc>
          <w:tcPr>
            <w:tcW w:w="418" w:type="dxa"/>
          </w:tcPr>
          <w:p w:rsidR="00F44C8D" w:rsidRPr="00CA6FAB" w:rsidRDefault="00F44C8D" w:rsidP="006C4607">
            <w:pPr>
              <w:pStyle w:val="naiskr"/>
              <w:spacing w:before="0" w:after="0"/>
            </w:pPr>
            <w:r w:rsidRPr="00CA6FAB">
              <w:t>2.</w:t>
            </w:r>
          </w:p>
        </w:tc>
        <w:tc>
          <w:tcPr>
            <w:tcW w:w="2989" w:type="dxa"/>
          </w:tcPr>
          <w:p w:rsidR="00F44C8D" w:rsidRPr="00CA6FAB" w:rsidRDefault="00F44C8D" w:rsidP="006C4607">
            <w:pPr>
              <w:pStyle w:val="naiskr"/>
              <w:tabs>
                <w:tab w:val="left" w:pos="170"/>
              </w:tabs>
              <w:spacing w:before="0" w:after="0"/>
            </w:pPr>
            <w:r w:rsidRPr="00CA6FAB">
              <w:t>Pašreizējā situācija un problēmas</w:t>
            </w:r>
          </w:p>
        </w:tc>
        <w:tc>
          <w:tcPr>
            <w:tcW w:w="5954" w:type="dxa"/>
          </w:tcPr>
          <w:p w:rsidR="00F44C8D" w:rsidRPr="00CA6FAB" w:rsidRDefault="00F44C8D" w:rsidP="00D12880">
            <w:pPr>
              <w:ind w:left="142" w:right="142" w:firstLine="284"/>
              <w:jc w:val="both"/>
            </w:pPr>
            <w:r w:rsidRPr="00CA6FAB">
              <w:t xml:space="preserve">Saskaņā ar Ministru kabineta 2011.gada 1.februāra noteikumu Nr.106 „Kārtība, kādā piešķir, administrē un uzrauga valsts un Eiropas Savienības atbalstu piena produktu piegādei izglītojamiem vispārējās izglītības iestādēs” (turpmāk – noteikumi Nr.106) 4.punktu atbalsta pretendenti var būt izglītības iestāde, izglītības pārvaldes iestāde, iestāde, kas darbojas izglītības iestāžu vai izglītības pārvaldes iestāžu vārdā, un arī produktu piegādātājs. </w:t>
            </w:r>
            <w:r w:rsidR="00136909" w:rsidRPr="00CA6FAB">
              <w:rPr>
                <w:b/>
              </w:rPr>
              <w:t>Latvijā pieņemtā prakse liecina, ka pretendents –produktu piegādātājs – var būt gan piena pārstrādes uzņēmums, kas ražo piena produktus un tos, īstenojot atbalsta programmu, piegādā pats, gan arī skolu ēdināšanas uzņēmums, kas no piena pārstrādes uzņēmumiem produktus iegādājas un, īstenojot atbalsta programmu, tos piegādā izglītojamiem.</w:t>
            </w:r>
            <w:r w:rsidR="00B055DD" w:rsidRPr="00CA6FAB">
              <w:t xml:space="preserve"> </w:t>
            </w:r>
            <w:r w:rsidR="00136909" w:rsidRPr="00CA6FAB">
              <w:t>Pēc</w:t>
            </w:r>
            <w:r w:rsidRPr="00CA6FAB">
              <w:t xml:space="preserve"> Lauku atbalsta dienesta (turpmāk – dienests) datiem, 2013.gada 1.jūlij</w:t>
            </w:r>
            <w:r w:rsidR="00136909" w:rsidRPr="00CA6FAB">
              <w:t>ā</w:t>
            </w:r>
            <w:r w:rsidRPr="00CA6FAB">
              <w:t xml:space="preserve"> atbalsta programmā </w:t>
            </w:r>
            <w:r w:rsidR="00136909" w:rsidRPr="00CA6FAB">
              <w:t>bija iesaistījušies</w:t>
            </w:r>
            <w:r w:rsidRPr="00CA6FAB">
              <w:t xml:space="preserve"> 115 atbalsta pretendenti, to skaitā 9 produktu piegādātāji – piena pārstrādes uzņēmumi</w:t>
            </w:r>
            <w:r w:rsidR="00B055DD" w:rsidRPr="00CA6FAB">
              <w:t>.</w:t>
            </w:r>
            <w:r w:rsidRPr="00CA6FAB">
              <w:t xml:space="preserve"> </w:t>
            </w:r>
            <w:r w:rsidR="00136909" w:rsidRPr="00CA6FAB">
              <w:rPr>
                <w:b/>
              </w:rPr>
              <w:t xml:space="preserve"> Savukārt skolu ēdināšanas uzņēmumi iepērk piena produktus no piena pārstrādes uzņēmumiem un arī darbojas kā atbalsta pretendenti, piegādājot šos produktus izglītojamiem saskaņā ar noteikumiem Nr.106. Vairāki piena pārstrādes uzņēmumi</w:t>
            </w:r>
            <w:r w:rsidR="00136909" w:rsidRPr="00CA6FAB">
              <w:t xml:space="preserve"> </w:t>
            </w:r>
            <w:r w:rsidR="00136909" w:rsidRPr="00CA6FAB">
              <w:rPr>
                <w:b/>
              </w:rPr>
              <w:t>līdz šim</w:t>
            </w:r>
            <w:r w:rsidR="00136909" w:rsidRPr="00CA6FAB">
              <w:t xml:space="preserve"> ir </w:t>
            </w:r>
            <w:r w:rsidR="00136909" w:rsidRPr="00CA6FAB">
              <w:rPr>
                <w:b/>
              </w:rPr>
              <w:t>vērsušies dienestā  ar sūdzībām par</w:t>
            </w:r>
            <w:r w:rsidR="00136909" w:rsidRPr="00CA6FAB">
              <w:t xml:space="preserve"> </w:t>
            </w:r>
            <w:r w:rsidR="00136909" w:rsidRPr="00CA6FAB">
              <w:rPr>
                <w:b/>
              </w:rPr>
              <w:t>to, ka attiecībā uz ēdināšanas uzņēmumiem piegādātajiem piena produktiem bieži netiek ievēroti normatīvajos aktos noteiktie termiņi norēķiniem, turklāt norēķinu aizkavēšanās mēdz būt ilgstoša</w:t>
            </w:r>
            <w:r w:rsidR="00751AF4" w:rsidRPr="00CA6FAB">
              <w:rPr>
                <w:b/>
              </w:rPr>
              <w:t xml:space="preserve">. </w:t>
            </w:r>
            <w:r w:rsidR="00136909" w:rsidRPr="00CA6FAB">
              <w:rPr>
                <w:b/>
              </w:rPr>
              <w:t xml:space="preserve">Tas </w:t>
            </w:r>
            <w:r w:rsidR="00136909" w:rsidRPr="00CA6FAB">
              <w:t xml:space="preserve">piena pārstrādes uzņēmumiem ierobežo finanšu līdzekļu pieejamību un tādējādi bieži apgrūtina savlaicīgu norēķināšanos ar </w:t>
            </w:r>
            <w:r w:rsidR="00136909" w:rsidRPr="00CA6FAB">
              <w:rPr>
                <w:b/>
              </w:rPr>
              <w:t xml:space="preserve">saviem </w:t>
            </w:r>
            <w:r w:rsidR="00136909" w:rsidRPr="00CA6FAB">
              <w:t xml:space="preserve">svaigpiena ražotājiem, </w:t>
            </w:r>
            <w:r w:rsidR="00136909" w:rsidRPr="00CA6FAB">
              <w:rPr>
                <w:b/>
              </w:rPr>
              <w:t xml:space="preserve">kuriem piena ražošana ir vienīgais ienākumu avots, bet laikus nesaņemta samaksa var radīt ievērojamas finansiālas problēmas, jo īpaši tāpēc, ka kopš Latvijas iestāšanās ES piena </w:t>
            </w:r>
            <w:r w:rsidR="00136909" w:rsidRPr="00CA6FAB">
              <w:rPr>
                <w:b/>
              </w:rPr>
              <w:lastRenderedPageBreak/>
              <w:t>ražošanas sektorā kopumā veiktas ievērojamas investīcijas un lielākai daļai piena ražotāju ir kredītsaistības. Tādēļ būtu lietderīgi sniegt pretendentiem – piena produktu ražotājiem – iespēju saņemt valsts līdzfinansējumu par vairākiem piegādes mēnešiem vienā maksājumā</w:t>
            </w:r>
            <w:r w:rsidR="004731CF" w:rsidRPr="00CA6FAB">
              <w:rPr>
                <w:b/>
              </w:rPr>
              <w:t xml:space="preserve"> </w:t>
            </w:r>
          </w:p>
          <w:p w:rsidR="00F44C8D" w:rsidRPr="00CA6FAB" w:rsidRDefault="00F44C8D" w:rsidP="00D12880">
            <w:pPr>
              <w:ind w:left="142" w:right="142" w:firstLine="284"/>
              <w:jc w:val="both"/>
            </w:pPr>
            <w:r w:rsidRPr="00CA6FAB">
              <w:t>Eiropas Komisijas 2008.gada 10.jūlija Regulas (EK) Nr.657/2008, ar ko nosaka sīki izstrādātus noteikumus par to, kā piemērot Padomes regulu (EK) Nr.1234/2007 attiecībā uz Kopienas atbalstu piena un dažu piena produktu piegādē izglītības iestāžu skolēniem, (turpmāk – Regula Nr.657/2008) 4.pants un II</w:t>
            </w:r>
            <w:r w:rsidR="00136909" w:rsidRPr="00CA6FAB">
              <w:t> </w:t>
            </w:r>
            <w:r w:rsidRPr="00CA6FAB">
              <w:t>pielikums nosaka, ka Eiropas Savienības (turpmāk – ES) atbalsts par pasterizēta piena piegādi ir EUR 18,15/100 kg jeb 0,13 Ls/litru (</w:t>
            </w:r>
            <w:r w:rsidR="00136909" w:rsidRPr="00CA6FAB">
              <w:t xml:space="preserve">pēc </w:t>
            </w:r>
            <w:r w:rsidRPr="00CA6FAB">
              <w:rPr>
                <w:i/>
              </w:rPr>
              <w:t>kurs</w:t>
            </w:r>
            <w:r w:rsidR="00136909" w:rsidRPr="00CA6FAB">
              <w:rPr>
                <w:i/>
              </w:rPr>
              <w:t>a</w:t>
            </w:r>
            <w:r w:rsidRPr="00CA6FAB">
              <w:rPr>
                <w:i/>
              </w:rPr>
              <w:t xml:space="preserve"> 0,702804</w:t>
            </w:r>
            <w:r w:rsidRPr="00CA6FAB">
              <w:t>).</w:t>
            </w:r>
          </w:p>
          <w:p w:rsidR="00F44C8D" w:rsidRPr="00CA6FAB" w:rsidRDefault="00F44C8D" w:rsidP="00D12880">
            <w:pPr>
              <w:ind w:left="142" w:right="142" w:firstLine="284"/>
              <w:jc w:val="both"/>
            </w:pPr>
            <w:r w:rsidRPr="00CA6FAB">
              <w:t>Eiropas Parlamenta un Padomes 2007.gada 22.oktobra Regulas (EK) Nr.1234/2007, ar ko izveido lauksaimniecības tirgu kopēju organizāciju un paredz īpašus nosacījumus dažiem lauksaimniecības produktiem (Vienotā TKO regula)</w:t>
            </w:r>
            <w:r w:rsidR="00136909" w:rsidRPr="00CA6FAB">
              <w:t>,</w:t>
            </w:r>
            <w:r w:rsidRPr="00CA6FAB">
              <w:t xml:space="preserve"> (turpmāk – Regula Nr.1234/2007) 102.panta 2.punkts paredz iespēju papildus Eiropas Savienības atbalstam piešķirt finansējumu no valsts budžeta vai ieguldījumiem no piensaimniecības nozares. Tomēr šī papildus piešķiramā finansējuma piešķiršanas kārtība netiek reglamentēta. </w:t>
            </w:r>
          </w:p>
          <w:p w:rsidR="00F44C8D" w:rsidRPr="00CA6FAB" w:rsidRDefault="00F44C8D" w:rsidP="00D12880">
            <w:pPr>
              <w:ind w:left="142" w:right="142" w:firstLine="284"/>
              <w:jc w:val="both"/>
            </w:pPr>
            <w:r w:rsidRPr="00CA6FAB">
              <w:t>Noteikumu Nr.106 3.punkts paredz, ka papildus ES atbalstam par pasterizēta piena bez piedevām piegādi izglītojamiem pirmskolas izglītības iestādēs un 1.</w:t>
            </w:r>
            <w:r w:rsidR="00136909" w:rsidRPr="00CA6FAB">
              <w:t>–</w:t>
            </w:r>
            <w:r w:rsidRPr="00CA6FAB">
              <w:t xml:space="preserve">9.klasē tiek piešķirts valsts līdzfinansējums. Savukārt noteikumu Nr.106 3.pielikuma B daļā noteikta valsts līdzfinansējuma likme </w:t>
            </w:r>
            <w:r w:rsidR="00136909" w:rsidRPr="00CA6FAB">
              <w:t xml:space="preserve"> Ls </w:t>
            </w:r>
            <w:r w:rsidRPr="00CA6FAB">
              <w:t>0,33 apmērā par litru piena, ka</w:t>
            </w:r>
            <w:r w:rsidR="00136909" w:rsidRPr="00CA6FAB">
              <w:t>s</w:t>
            </w:r>
            <w:r w:rsidRPr="00CA6FAB">
              <w:t xml:space="preserve"> ir 71,7% no kopējā valsts un ES atbalsta apmēra (</w:t>
            </w:r>
            <w:r w:rsidR="00136909" w:rsidRPr="00CA6FAB">
              <w:t xml:space="preserve"> Ls </w:t>
            </w:r>
            <w:r w:rsidRPr="00CA6FAB">
              <w:t>0,13</w:t>
            </w:r>
            <w:r w:rsidR="00136909" w:rsidRPr="00CA6FAB">
              <w:t> </w:t>
            </w:r>
            <w:r w:rsidRPr="00CA6FAB">
              <w:t>+</w:t>
            </w:r>
            <w:r w:rsidR="00136909" w:rsidRPr="00CA6FAB">
              <w:t xml:space="preserve"> Ls </w:t>
            </w:r>
            <w:r w:rsidRPr="00CA6FAB">
              <w:t>0,33) par šo produktu.</w:t>
            </w:r>
          </w:p>
          <w:p w:rsidR="00F44C8D" w:rsidRPr="00CA6FAB" w:rsidRDefault="00F44C8D" w:rsidP="00D12880">
            <w:pPr>
              <w:ind w:left="142" w:right="142" w:firstLine="284"/>
              <w:jc w:val="both"/>
            </w:pPr>
            <w:r w:rsidRPr="00CA6FAB">
              <w:t xml:space="preserve">Noteikumu Nr.106 7.punkts nosaka, ka pretendents iesniegumu atbalsta saņemšanai iesniedz par vienu (iepriekšējo) kalendāra mēnesi. Savukārt saskaņā ar regulas Nr.657/2008 11.panta 3.punktu pretendents šo iesniegumu var iesniegt </w:t>
            </w:r>
            <w:r w:rsidR="00136909" w:rsidRPr="00CA6FAB">
              <w:t>trīs</w:t>
            </w:r>
            <w:r w:rsidRPr="00CA6FAB">
              <w:t xml:space="preserve"> mēnešu laikā pēc piegādes mēneša beigām</w:t>
            </w:r>
            <w:r w:rsidR="00136909" w:rsidRPr="00CA6FAB">
              <w:t>, un</w:t>
            </w:r>
            <w:r w:rsidRPr="00CA6FAB">
              <w:t xml:space="preserve"> saskaņā ar Regulas Nr.657/2008 12.panta 2.punktu dienestam atbalsts jāizmaksā trīs mēnešu laikā no dienas, kad iesniegts aizpildīts un derīgs </w:t>
            </w:r>
            <w:smartTag w:uri="schemas-tilde-lv/tildestengine" w:element="veidnes">
              <w:smartTagPr>
                <w:attr w:name="text" w:val="iesniegums"/>
                <w:attr w:name="baseform" w:val="iesniegums"/>
                <w:attr w:name="id" w:val="-1"/>
              </w:smartTagPr>
              <w:r w:rsidRPr="00CA6FAB">
                <w:t>iesniegums</w:t>
              </w:r>
            </w:smartTag>
            <w:r w:rsidRPr="00CA6FAB">
              <w:t xml:space="preserve"> atbalsta saņemšanai. Tādējādi </w:t>
            </w:r>
            <w:r w:rsidR="00136909" w:rsidRPr="00CA6FAB">
              <w:t>sliktākajā</w:t>
            </w:r>
            <w:r w:rsidRPr="00CA6FAB">
              <w:t xml:space="preserve"> variantā pretendents atbalstu saņem tikai 6 mēnešus pēc piena produktu reāl</w:t>
            </w:r>
            <w:r w:rsidR="00136909" w:rsidRPr="00CA6FAB">
              <w:t>ās piegādes</w:t>
            </w:r>
            <w:r w:rsidRPr="00CA6FAB">
              <w:t xml:space="preserve">. Turklāt dienesta pieredze </w:t>
            </w:r>
            <w:r w:rsidR="00136909" w:rsidRPr="00CA6FAB">
              <w:t>liecina</w:t>
            </w:r>
            <w:r w:rsidRPr="00CA6FAB">
              <w:t xml:space="preserve">, ka visai bieži ir gadījumi, kad pretendenti izmanto iespēju atbalsta iesniegumu iesniegt </w:t>
            </w:r>
            <w:r w:rsidR="00136909" w:rsidRPr="00CA6FAB">
              <w:t>trīs</w:t>
            </w:r>
            <w:r w:rsidRPr="00CA6FAB">
              <w:t xml:space="preserve"> mēnešu laikā, kā arī nepilnīgi vai nepareizi aizpildītu iesniegumu dēļ ir </w:t>
            </w:r>
            <w:r w:rsidR="00136909" w:rsidRPr="00CA6FAB">
              <w:t>vajadzīgi</w:t>
            </w:r>
            <w:r w:rsidRPr="00CA6FAB">
              <w:t xml:space="preserve"> labojumi un/vai papildinājumi no pretendenta puses. </w:t>
            </w:r>
            <w:r w:rsidR="00136909" w:rsidRPr="00CA6FAB">
              <w:t>Arī</w:t>
            </w:r>
            <w:r w:rsidRPr="00CA6FAB">
              <w:t xml:space="preserve"> Regulas Nr.657/2008 15.pantā noteiktie kontro</w:t>
            </w:r>
            <w:r w:rsidR="00136909" w:rsidRPr="00CA6FAB">
              <w:t>les</w:t>
            </w:r>
            <w:r w:rsidRPr="00CA6FAB">
              <w:t xml:space="preserve"> pasākumi par katru atbalsta pieteikumu un tā </w:t>
            </w:r>
            <w:r w:rsidRPr="00CA6FAB">
              <w:lastRenderedPageBreak/>
              <w:t xml:space="preserve">pavaddokumentiem ir </w:t>
            </w:r>
            <w:proofErr w:type="spellStart"/>
            <w:r w:rsidRPr="00CA6FAB">
              <w:t>resursietilpīgi</w:t>
            </w:r>
            <w:proofErr w:type="spellEnd"/>
            <w:r w:rsidRPr="00CA6FAB">
              <w:t xml:space="preserve">. Minētie faktori bieži aizkavē atbalsta izmaksu, </w:t>
            </w:r>
            <w:r w:rsidR="00136909" w:rsidRPr="00CA6FAB">
              <w:t>un tas</w:t>
            </w:r>
            <w:r w:rsidRPr="00CA6FAB">
              <w:t xml:space="preserve"> ir viens no lielākajiem atbalsta programmas trūkumiem, uz ko daudzkārt norādījuši atbalsta pretendenti.</w:t>
            </w:r>
          </w:p>
          <w:p w:rsidR="007455B3" w:rsidRPr="00CA6FAB" w:rsidRDefault="00136909" w:rsidP="00AB0FC3">
            <w:pPr>
              <w:ind w:left="142" w:right="142" w:firstLine="284"/>
              <w:jc w:val="both"/>
              <w:rPr>
                <w:b/>
              </w:rPr>
            </w:pPr>
            <w:r w:rsidRPr="00CA6FAB">
              <w:rPr>
                <w:b/>
              </w:rPr>
              <w:t>Pašreiz noteikumu Nr.106 7.2.apakšpunkts un 4.pielikums paredz izglītības iestādes pienākumu paziņot izglītojamo skaitu tikai vienu reizi mācību gadā, kad tiek uzsākta piena produktu piegāde saistībā ar atbalsta programmu. Tomēr bieži ir gadījumi, kad izglītības iestādē mainās izglītojamo skaits. Skola izlietoto piena produktu uzskaiti veic korekti (atbilstoši pareizajam skolēnu skaitam), taču par skolēnu skaita izmaiņām nav informējusi atbalsta pretendentu un dienestu vai arī par mainīto skolēnu skaitu informāciju ir sniegusi, bet nav precizējusi datumu, no kura ir spēkā izmaiņas. Tādējādi gan pretendents, aizpildot atbalsta pieteikumu, gan dienests, veicot atbalsta pieteikumu kontroli, izmanto skolas iepriekš paziņoto skolēnu skaitu, un situācijās, kad skolēnu skaits ir samazinājies, tas kļūdaini liecina, ka ir pārsniegts regulas Nr.1234/2007 102.panta 4.punktā noteiktais maksimālais atbalstāmais piena daudzumus – 0,25 litri uz 1 skolēnu dienā. Šādos gadījumos dienests pieprasa pretendentam  veikt attiecīgus labojumus atbalsta pieteikumā vai sniegt pamatojumu tajā norādītajam apjomam, bet tas kavē atbalsta izmaksu. Savukārt situācijās, kad skolā izglītojamo skaits ir palielinājies, aprēķini kļūdaini parāda pārāk mazu vienam skolēnam izsniegtās porcijas lielumu. Tāpēc ir lietderīgi projektu papildināt ar normām, kas paredz izglītības iestādes pienākumu informēt atbalsta pretendentu, ja mācību gada laikā mainās izglītojamo skaits</w:t>
            </w:r>
            <w:r w:rsidR="007455B3" w:rsidRPr="00CA6FAB">
              <w:rPr>
                <w:b/>
              </w:rPr>
              <w:t xml:space="preserve">. </w:t>
            </w:r>
          </w:p>
          <w:p w:rsidR="004731CF" w:rsidRPr="00CA6FAB" w:rsidRDefault="00136909" w:rsidP="004731CF">
            <w:pPr>
              <w:ind w:left="142" w:right="142" w:firstLine="284"/>
              <w:jc w:val="both"/>
              <w:rPr>
                <w:b/>
              </w:rPr>
            </w:pPr>
            <w:r w:rsidRPr="00CA6FAB">
              <w:rPr>
                <w:b/>
              </w:rPr>
              <w:t>Pašreiz noteikumu Nr.106 7.2.apakšpunkts paredz, ka, iesniedzot iesniegumu atbalsta saņemšanai, pretendents dienestā iesniedz arī visus piegādi apliecinošos pavaddokumentus vai to atvasinājumus. Tā kā iesniegums atbalsta saņemšanai aptver vienu mēnesi, t.i., vidēji 22 mācību dienas, bet piena produktu glabāšanas termiņš ir ļoti ierobežots, mēneša laikā produkti tiek piegādāti bieži, par katru reizi sastādot pavaddokumentu. Turklāt viens atbalsta pretendents mēdz apkalpot vairākas izglītības iestādes. Tāpēc kopā ar atbalsta iesniegumu pretendentam ir jāiesniedz un dienestam jāapstrādā salīdzinoši daudz pavaddokumentu, un arī tas kavē iesnieguma apstrādi un atbalsta izmaksu.”</w:t>
            </w:r>
          </w:p>
        </w:tc>
      </w:tr>
      <w:tr w:rsidR="00F44C8D" w:rsidRPr="00CA6FAB" w:rsidTr="00A72B83">
        <w:trPr>
          <w:trHeight w:val="649"/>
        </w:trPr>
        <w:tc>
          <w:tcPr>
            <w:tcW w:w="418" w:type="dxa"/>
          </w:tcPr>
          <w:p w:rsidR="00F44C8D" w:rsidRPr="00CA6FAB" w:rsidRDefault="00F44C8D" w:rsidP="006C4607">
            <w:pPr>
              <w:pStyle w:val="naiskr"/>
              <w:spacing w:before="0" w:after="0"/>
            </w:pPr>
            <w:r w:rsidRPr="00CA6FAB">
              <w:lastRenderedPageBreak/>
              <w:t>3.</w:t>
            </w:r>
          </w:p>
        </w:tc>
        <w:tc>
          <w:tcPr>
            <w:tcW w:w="2989" w:type="dxa"/>
          </w:tcPr>
          <w:p w:rsidR="00F44C8D" w:rsidRPr="00CA6FAB" w:rsidRDefault="00F44C8D" w:rsidP="006C4607">
            <w:pPr>
              <w:pStyle w:val="naiskr"/>
              <w:spacing w:before="0" w:after="0"/>
            </w:pPr>
            <w:r w:rsidRPr="00CA6FAB">
              <w:t>Saistītie politikas ietekmes novērtējumi un pētījumi</w:t>
            </w:r>
          </w:p>
        </w:tc>
        <w:tc>
          <w:tcPr>
            <w:tcW w:w="5954" w:type="dxa"/>
          </w:tcPr>
          <w:p w:rsidR="00F44C8D" w:rsidRPr="00CA6FAB" w:rsidRDefault="00F44C8D" w:rsidP="00A72B83">
            <w:pPr>
              <w:pStyle w:val="Vresteksts"/>
              <w:ind w:firstLine="142"/>
              <w:rPr>
                <w:sz w:val="24"/>
                <w:szCs w:val="24"/>
              </w:rPr>
            </w:pPr>
            <w:r w:rsidRPr="00CA6FAB">
              <w:rPr>
                <w:sz w:val="24"/>
                <w:szCs w:val="24"/>
              </w:rPr>
              <w:t>Nav attiecināms.</w:t>
            </w:r>
          </w:p>
        </w:tc>
      </w:tr>
      <w:tr w:rsidR="00F44C8D" w:rsidRPr="00CA6FAB" w:rsidTr="00A72B83">
        <w:trPr>
          <w:trHeight w:val="384"/>
        </w:trPr>
        <w:tc>
          <w:tcPr>
            <w:tcW w:w="418" w:type="dxa"/>
          </w:tcPr>
          <w:p w:rsidR="00F44C8D" w:rsidRPr="00CA6FAB" w:rsidRDefault="00F44C8D" w:rsidP="006C4607">
            <w:pPr>
              <w:pStyle w:val="naiskr"/>
              <w:spacing w:before="0" w:after="0"/>
            </w:pPr>
            <w:r w:rsidRPr="00CA6FAB">
              <w:lastRenderedPageBreak/>
              <w:t>4.</w:t>
            </w:r>
          </w:p>
        </w:tc>
        <w:tc>
          <w:tcPr>
            <w:tcW w:w="2989" w:type="dxa"/>
          </w:tcPr>
          <w:p w:rsidR="00F44C8D" w:rsidRPr="00CA6FAB" w:rsidRDefault="00F44C8D" w:rsidP="006C4607">
            <w:pPr>
              <w:pStyle w:val="naiskr"/>
              <w:spacing w:before="0" w:after="0"/>
            </w:pPr>
            <w:r w:rsidRPr="00CA6FAB">
              <w:t>Tiesiskā regulējuma mērķis un būtība</w:t>
            </w:r>
          </w:p>
          <w:p w:rsidR="00F44C8D" w:rsidRPr="00CA6FAB" w:rsidRDefault="00F44C8D" w:rsidP="00124F58"/>
        </w:tc>
        <w:tc>
          <w:tcPr>
            <w:tcW w:w="5954" w:type="dxa"/>
          </w:tcPr>
          <w:p w:rsidR="00AB0FC3" w:rsidRPr="00CA6FAB" w:rsidRDefault="00F44C8D" w:rsidP="00D12880">
            <w:pPr>
              <w:pStyle w:val="naiskr"/>
              <w:spacing w:before="0" w:after="0"/>
              <w:ind w:left="142" w:right="142" w:firstLine="284"/>
              <w:jc w:val="both"/>
              <w:rPr>
                <w:b/>
              </w:rPr>
            </w:pPr>
            <w:r w:rsidRPr="00CA6FAB">
              <w:t>Projekta mērķis ir dot iespēju „Skolas piena” programmā iesaistītajiem atbalsta pretendentiem</w:t>
            </w:r>
            <w:r w:rsidR="00136909" w:rsidRPr="00CA6FAB">
              <w:t xml:space="preserve"> –</w:t>
            </w:r>
            <w:r w:rsidRPr="00CA6FAB">
              <w:t xml:space="preserve"> piena produktu ražotājiem </w:t>
            </w:r>
            <w:r w:rsidR="00136909" w:rsidRPr="00CA6FAB">
              <w:t xml:space="preserve">– </w:t>
            </w:r>
            <w:r w:rsidRPr="00CA6FAB">
              <w:t xml:space="preserve">saņemt vienā maksājumā valsts līdzfinansējuma daļu trīs mēnešu periodam, kas ietver mēnesi, par kuru iesniegts </w:t>
            </w:r>
            <w:smartTag w:uri="schemas-tilde-lv/tildestengine" w:element="veidnes">
              <w:smartTagPr>
                <w:attr w:name="text" w:val="iesniegums"/>
                <w:attr w:name="baseform" w:val="iesniegums"/>
                <w:attr w:name="id" w:val="-1"/>
              </w:smartTagPr>
              <w:r w:rsidRPr="00CA6FAB">
                <w:t>iesniegums</w:t>
              </w:r>
            </w:smartTag>
            <w:r w:rsidRPr="00CA6FAB">
              <w:t xml:space="preserve"> atbalsta saņemšanai, un nākamos divus mēnešus. Šajā nolūkā projekts paredz, ka minētais atbalsta pretendents var iesniegt dienestā attiecīgu rakstisku iesniegumu, un dienests izmaksājamo valsts līdzfinansējuma daļu trim mēnešiem aprēķina, par pamatu ņemot piegādāto piena daudzumu mēnesī, par kuru iesniegts </w:t>
            </w:r>
            <w:smartTag w:uri="schemas-tilde-lv/tildestengine" w:element="veidnes">
              <w:smartTagPr>
                <w:attr w:name="text" w:val="iesniegums"/>
                <w:attr w:name="baseform" w:val="iesniegums"/>
                <w:attr w:name="id" w:val="-1"/>
              </w:smartTagPr>
              <w:r w:rsidRPr="00CA6FAB">
                <w:t>iesniegums</w:t>
              </w:r>
            </w:smartTag>
            <w:r w:rsidRPr="00CA6FAB">
              <w:t xml:space="preserve"> atbalsta saņemšanai. </w:t>
            </w:r>
            <w:r w:rsidR="00751AF4" w:rsidRPr="00CA6FAB">
              <w:rPr>
                <w:b/>
              </w:rPr>
              <w:t xml:space="preserve">Katram nākamajam trīs mēnešu periodam  valsts līdzfinansējuma daļu vienā maksājumā piena produktu ražotājs varēs saņemt, iesniedzot atkārtotu pieprasījumu. </w:t>
            </w:r>
            <w:r w:rsidR="009B7BFD" w:rsidRPr="00CA6FAB">
              <w:rPr>
                <w:b/>
              </w:rPr>
              <w:t xml:space="preserve">Tādējādi valsts līdzfinansējuma piešķiršanas kārtība šiem atbalsta pretendentiem faktiski uzskatāma par izmaksu pa ceturkšņiem. </w:t>
            </w:r>
            <w:r w:rsidR="00B055DD" w:rsidRPr="00CA6FAB">
              <w:rPr>
                <w:b/>
              </w:rPr>
              <w:t xml:space="preserve">Savukārt pārējiem noteikumu Nr.106 4.1.apakšpunktā minētajiem atbalsta pretendentiem valsts līdzfinansējuma saņemšanas kārtība nemainās. </w:t>
            </w:r>
          </w:p>
          <w:p w:rsidR="00F44C8D" w:rsidRPr="00CA6FAB" w:rsidRDefault="003372EC" w:rsidP="00D12880">
            <w:pPr>
              <w:pStyle w:val="naiskr"/>
              <w:spacing w:before="0" w:after="0"/>
              <w:ind w:left="142" w:right="142" w:firstLine="284"/>
              <w:jc w:val="both"/>
              <w:rPr>
                <w:b/>
              </w:rPr>
            </w:pPr>
            <w:r w:rsidRPr="00CA6FAB">
              <w:rPr>
                <w:b/>
              </w:rPr>
              <w:t xml:space="preserve">Šāda paātrināta valsts līdzfinansējuma saņemšanas kārtība jāattiecina tikai uz atbalsta pretendentiem, kas ir piena produktu ražotāji, jo pārējie noteikumu Nr.106 4.punktā minētie atbalsta pretendenti neiepērk </w:t>
            </w:r>
            <w:proofErr w:type="spellStart"/>
            <w:r w:rsidRPr="00CA6FAB">
              <w:rPr>
                <w:b/>
              </w:rPr>
              <w:t>svaigpienu</w:t>
            </w:r>
            <w:proofErr w:type="spellEnd"/>
            <w:r w:rsidRPr="00CA6FAB">
              <w:rPr>
                <w:b/>
              </w:rPr>
              <w:t xml:space="preserve"> no </w:t>
            </w:r>
            <w:proofErr w:type="spellStart"/>
            <w:r w:rsidRPr="00CA6FAB">
              <w:rPr>
                <w:b/>
              </w:rPr>
              <w:t>svaigpiena</w:t>
            </w:r>
            <w:proofErr w:type="spellEnd"/>
            <w:r w:rsidRPr="00CA6FAB">
              <w:rPr>
                <w:b/>
              </w:rPr>
              <w:t xml:space="preserve"> ražotājiem, tāpēc tiem nav tiešas ietekmes uz svaigpiena ražotāju finansiālo situāciju. Turklāt, lai veicinātu atbalsta pretendentu – piena produktu ražotāju – savlaicīgu norēķināšanos ar svaigpiena ražotājiem, ņemot vērā anotācijas 2.punktā aprakstīto problēmu ar norēķiniem starp piena produktu ražotājiem un skolu ēdinātājiem, ir lietderīgi atbalsta pretendentiem – piena produktu ražotājiem – palielināt finanšu līdzekļu pieejamību noteiktā laikposmā, paātrināti piešķirot valsts līdzfinansējumu.</w:t>
            </w:r>
            <w:r w:rsidR="00751AF4" w:rsidRPr="00CA6FAB">
              <w:rPr>
                <w:b/>
              </w:rPr>
              <w:t xml:space="preserve"> </w:t>
            </w:r>
          </w:p>
          <w:p w:rsidR="00751AF4" w:rsidRPr="00CA6FAB" w:rsidRDefault="00AB0FC3" w:rsidP="00D12880">
            <w:pPr>
              <w:pStyle w:val="naiskr"/>
              <w:spacing w:before="0" w:after="0"/>
              <w:ind w:left="142" w:right="142" w:firstLine="284"/>
              <w:jc w:val="both"/>
              <w:rPr>
                <w:b/>
              </w:rPr>
            </w:pPr>
            <w:r w:rsidRPr="00CA6FAB">
              <w:rPr>
                <w:b/>
              </w:rPr>
              <w:t>N</w:t>
            </w:r>
            <w:r w:rsidR="00751AF4" w:rsidRPr="00CA6FAB">
              <w:rPr>
                <w:b/>
              </w:rPr>
              <w:t xml:space="preserve">eskarot izmaiņas attiecībā uz valsts līdzfinansējuma piešķiršanu, </w:t>
            </w:r>
            <w:r w:rsidRPr="00CA6FAB">
              <w:rPr>
                <w:b/>
              </w:rPr>
              <w:t>atbalsta pretendenti</w:t>
            </w:r>
            <w:r w:rsidR="003372EC" w:rsidRPr="00CA6FAB">
              <w:rPr>
                <w:b/>
              </w:rPr>
              <w:t> –</w:t>
            </w:r>
            <w:r w:rsidR="00751AF4" w:rsidRPr="00CA6FAB">
              <w:rPr>
                <w:b/>
              </w:rPr>
              <w:t xml:space="preserve"> piena produktu ražot</w:t>
            </w:r>
            <w:r w:rsidRPr="00CA6FAB">
              <w:rPr>
                <w:b/>
              </w:rPr>
              <w:t>āji</w:t>
            </w:r>
            <w:r w:rsidR="00751AF4" w:rsidRPr="00CA6FAB">
              <w:rPr>
                <w:b/>
              </w:rPr>
              <w:t xml:space="preserve"> </w:t>
            </w:r>
            <w:r w:rsidR="003372EC" w:rsidRPr="00CA6FAB">
              <w:rPr>
                <w:b/>
              </w:rPr>
              <w:t xml:space="preserve">– </w:t>
            </w:r>
            <w:r w:rsidR="00751AF4" w:rsidRPr="00CA6FAB">
              <w:rPr>
                <w:b/>
              </w:rPr>
              <w:t xml:space="preserve">joprojām </w:t>
            </w:r>
            <w:r w:rsidRPr="00CA6FAB">
              <w:rPr>
                <w:b/>
              </w:rPr>
              <w:t>līdzšinējā kārtībā, t.i., par katru piegādes mēnesi, varēs pieprasīt un saņemt ES un nacionālajos normatīvajos aktos par atbalstu piena produktu piegādei izglītojamiem vispārējās izglītības iestādēs noteikto ES atbalstu</w:t>
            </w:r>
            <w:r w:rsidR="004731CF" w:rsidRPr="00CA6FAB">
              <w:rPr>
                <w:b/>
              </w:rPr>
              <w:t>. Tas</w:t>
            </w:r>
            <w:r w:rsidRPr="00CA6FAB">
              <w:rPr>
                <w:b/>
              </w:rPr>
              <w:t xml:space="preserve"> nozīmē, ka saskaņā ar noteikumu Nr.106 7.punktu šiem pretendentiem par katru iepriekšējo kalendāra mēnesi dienestā jāiesniedz </w:t>
            </w:r>
            <w:r w:rsidR="00751AF4" w:rsidRPr="00CA6FAB">
              <w:rPr>
                <w:b/>
              </w:rPr>
              <w:t>iesniegums atbalsta saņemšanai un piegādāto produktu pavaddokumentu atvasinājumi, bet, kārtējā mācību gadā iesniedzot iesniegumu atbalsta saņemšanai par pirmo piegādes mēnesi</w:t>
            </w:r>
            <w:r w:rsidR="003372EC" w:rsidRPr="00CA6FAB">
              <w:rPr>
                <w:b/>
              </w:rPr>
              <w:t>,</w:t>
            </w:r>
            <w:r w:rsidR="00751AF4" w:rsidRPr="00CA6FAB">
              <w:rPr>
                <w:b/>
              </w:rPr>
              <w:t xml:space="preserve"> – arī izglītības iestādes apliecinājums ar norādītu skolēnu skaitu un mācību dienu skaitu. </w:t>
            </w:r>
          </w:p>
          <w:p w:rsidR="00751AF4" w:rsidRPr="00CA6FAB" w:rsidRDefault="003372EC" w:rsidP="00D12880">
            <w:pPr>
              <w:pStyle w:val="naiskr"/>
              <w:spacing w:before="0" w:after="0"/>
              <w:ind w:left="142" w:right="142" w:firstLine="284"/>
              <w:jc w:val="both"/>
              <w:rPr>
                <w:b/>
              </w:rPr>
            </w:pPr>
            <w:r w:rsidRPr="00CA6FAB">
              <w:rPr>
                <w:b/>
              </w:rPr>
              <w:t xml:space="preserve">Savukārt attiecībā uz noteikumu Nr.106 </w:t>
            </w:r>
            <w:r w:rsidRPr="00CA6FAB">
              <w:rPr>
                <w:b/>
              </w:rPr>
              <w:lastRenderedPageBreak/>
              <w:t>7.3.apakšpunktu kas paredz, ka vienlaikus ar iesniegumu atbalsta saņemšanai pretendents iesniedz piegādāto produktu pavaddokumentu atvasinājumus, projektā apakšpunkts papildināts ar nosacījumu par to, ka pretendents var iesniegt kopsavilkumu par visiem piegādes mēnesī veikto piegāžu pavaddokumentiem, ja šādā kopsavilkumā ir iekļauta attiecīga projektā noteiktā informācija. Šāda kopsavilkuma sagatavošana un iesniegšana samazinās iesniedzamo dokumentu skaitu, tā arī mazinot administratīvo slogu un paātrinot līdzfinansējuma izmaksāšanu. Savukārt pavaddokumentu kopsavilkumā uzrādīto dokumentu esamību un informācijas patiesumu dienests pārbauda, veicot atbalsta iesniegumu administratīvo kontroli saskaņā ar regulas Nr.106/2008 nosacījumiem.</w:t>
            </w:r>
            <w:r w:rsidR="00751AF4" w:rsidRPr="00CA6FAB">
              <w:rPr>
                <w:b/>
              </w:rPr>
              <w:t xml:space="preserve"> </w:t>
            </w:r>
          </w:p>
          <w:p w:rsidR="00F44C8D" w:rsidRPr="00CA6FAB" w:rsidRDefault="003372EC" w:rsidP="00D12880">
            <w:pPr>
              <w:pStyle w:val="naiskr"/>
              <w:spacing w:before="0" w:after="0"/>
              <w:ind w:left="142" w:right="142" w:firstLine="284"/>
              <w:jc w:val="both"/>
            </w:pPr>
            <w:r w:rsidRPr="00CA6FAB">
              <w:t xml:space="preserve">Projekts arī paredz, ka </w:t>
            </w:r>
            <w:r w:rsidRPr="00CA6FAB">
              <w:rPr>
                <w:b/>
              </w:rPr>
              <w:t>jebkurš</w:t>
            </w:r>
            <w:r w:rsidRPr="00CA6FAB">
              <w:t xml:space="preserve"> </w:t>
            </w:r>
            <w:r w:rsidRPr="00CA6FAB">
              <w:rPr>
                <w:b/>
              </w:rPr>
              <w:t>piena produktu ražotājs, kas piegādā savus piena produktus uzņēmumam, kurš saskaņā ar noteikumiem Nr.106 darbojas kā atbalsta pretendents, var informēt dienestu, ja pretendents, kam tas piegādājis piena produktus tālākai piegādei izglītojamiem, saskaņā ar šiem noteikumiem laikus nav norēķinājies par šiem produktiem. Šādi pretendenti var būt izglītības iestāde, izglītības pārvaldes iestāde vai skolu ēdināšanas uzņēmums.</w:t>
            </w:r>
            <w:r w:rsidRPr="00CA6FAB">
              <w:t xml:space="preserve"> </w:t>
            </w:r>
            <w:r w:rsidRPr="00CA6FAB">
              <w:rPr>
                <w:b/>
              </w:rPr>
              <w:t>Projekts nosaka, ka šādos gadījumos</w:t>
            </w:r>
            <w:r w:rsidRPr="00CA6FAB">
              <w:t xml:space="preserve"> dienests var lemt nepiešķirt </w:t>
            </w:r>
            <w:r w:rsidRPr="00CA6FAB">
              <w:rPr>
                <w:b/>
              </w:rPr>
              <w:t>atbalstu</w:t>
            </w:r>
            <w:r w:rsidRPr="00CA6FAB">
              <w:t xml:space="preserve">, ja pretendents pēc dienesta pieprasījuma nevar uzrādīt maksājumu apliecinošus dokumentus par </w:t>
            </w:r>
            <w:r w:rsidRPr="00CA6FAB">
              <w:rPr>
                <w:b/>
              </w:rPr>
              <w:t>norēķiniem ar piena produktu ražotāju</w:t>
            </w:r>
            <w:r w:rsidRPr="00CA6FAB">
              <w:t xml:space="preserve"> periodā </w:t>
            </w:r>
            <w:r w:rsidRPr="00CA6FAB">
              <w:rPr>
                <w:b/>
              </w:rPr>
              <w:t>līdz mēnesim</w:t>
            </w:r>
            <w:r w:rsidRPr="00CA6FAB">
              <w:t xml:space="preserve">, par kuru pretendents iesniedzis </w:t>
            </w:r>
            <w:r w:rsidRPr="00CA6FAB">
              <w:rPr>
                <w:b/>
              </w:rPr>
              <w:t>pēdējo</w:t>
            </w:r>
            <w:r w:rsidRPr="00CA6FAB">
              <w:t xml:space="preserve"> iesniegumu atbalsta saņemšanai. </w:t>
            </w:r>
            <w:smartTag w:uri="schemas-tilde-lv/tildestengine" w:element="veidnes">
              <w:smartTagPr>
                <w:attr w:name="text" w:val="Lēmums"/>
                <w:attr w:name="baseform" w:val="Lēmums"/>
                <w:attr w:name="id" w:val="-1"/>
              </w:smartTagPr>
              <w:r w:rsidRPr="00CA6FAB">
                <w:t>Lēmums</w:t>
              </w:r>
            </w:smartTag>
            <w:r w:rsidRPr="00CA6FAB">
              <w:t xml:space="preserve"> par </w:t>
            </w:r>
            <w:r w:rsidRPr="00CA6FAB">
              <w:rPr>
                <w:b/>
              </w:rPr>
              <w:t>atbalsta</w:t>
            </w:r>
            <w:r w:rsidRPr="00CA6FAB">
              <w:t xml:space="preserve"> nepiešķiršanu tiks piemērots </w:t>
            </w:r>
            <w:r w:rsidRPr="00CA6FAB">
              <w:rPr>
                <w:b/>
              </w:rPr>
              <w:t>arī visiem nākamajiem šī pretendenta iesniegumiem atbalsta saņemšanai</w:t>
            </w:r>
            <w:r w:rsidRPr="00CA6FAB">
              <w:t xml:space="preserve"> līdz brīdim, kamēr pretendents uzrādīs minētos maksājumu apliecinošus dokumentus</w:t>
            </w:r>
            <w:r w:rsidR="00F44C8D" w:rsidRPr="00CA6FAB">
              <w:t xml:space="preserve"> </w:t>
            </w:r>
          </w:p>
          <w:p w:rsidR="00F44C8D" w:rsidRPr="00CA6FAB" w:rsidRDefault="00F44C8D" w:rsidP="00D12880">
            <w:pPr>
              <w:ind w:left="142" w:right="142" w:firstLine="284"/>
              <w:jc w:val="both"/>
              <w:rPr>
                <w:iCs/>
              </w:rPr>
            </w:pPr>
            <w:r w:rsidRPr="00CA6FAB">
              <w:rPr>
                <w:iCs/>
              </w:rPr>
              <w:t>Lai precizētu kārtību, kādā izglītības iestādei jāaizpilda pārskats par piegādāto piena produktu izlietojumu sadalījumā pa valsts līdzfinansējuma mērķauditorijai izdalītajiem produktiem un ES atbalsta mērķauditorijai izdalītajiem produktiem, projekt</w:t>
            </w:r>
            <w:r w:rsidR="003372EC" w:rsidRPr="00CA6FAB">
              <w:rPr>
                <w:iCs/>
              </w:rPr>
              <w:t>ā</w:t>
            </w:r>
            <w:r w:rsidRPr="00CA6FAB">
              <w:rPr>
                <w:iCs/>
              </w:rPr>
              <w:t xml:space="preserve"> paredz</w:t>
            </w:r>
            <w:r w:rsidR="003372EC" w:rsidRPr="00CA6FAB">
              <w:rPr>
                <w:iCs/>
              </w:rPr>
              <w:t>ēti</w:t>
            </w:r>
            <w:r w:rsidRPr="00CA6FAB">
              <w:rPr>
                <w:iCs/>
              </w:rPr>
              <w:t xml:space="preserve"> attiecīg</w:t>
            </w:r>
            <w:r w:rsidR="003372EC" w:rsidRPr="00CA6FAB">
              <w:rPr>
                <w:iCs/>
              </w:rPr>
              <w:t>i</w:t>
            </w:r>
            <w:r w:rsidRPr="00CA6FAB">
              <w:rPr>
                <w:iCs/>
              </w:rPr>
              <w:t xml:space="preserve"> grozījum</w:t>
            </w:r>
            <w:r w:rsidR="003372EC" w:rsidRPr="00CA6FAB">
              <w:rPr>
                <w:iCs/>
              </w:rPr>
              <w:t>i</w:t>
            </w:r>
            <w:r w:rsidRPr="00CA6FAB">
              <w:rPr>
                <w:iCs/>
              </w:rPr>
              <w:t xml:space="preserve"> noteikumu Nr.106 2.pielikumā</w:t>
            </w:r>
            <w:r w:rsidR="003372EC" w:rsidRPr="00CA6FAB">
              <w:rPr>
                <w:iCs/>
              </w:rPr>
              <w:t>,</w:t>
            </w:r>
            <w:r w:rsidRPr="00CA6FAB">
              <w:rPr>
                <w:iCs/>
              </w:rPr>
              <w:t xml:space="preserve"> </w:t>
            </w:r>
            <w:r w:rsidR="003372EC" w:rsidRPr="00CA6FAB">
              <w:rPr>
                <w:iCs/>
              </w:rPr>
              <w:t xml:space="preserve">tā mazinot </w:t>
            </w:r>
            <w:r w:rsidRPr="00CA6FAB">
              <w:rPr>
                <w:iCs/>
              </w:rPr>
              <w:t xml:space="preserve"> arī administratīvo slogu pretendentam, kuram, aizpildot iesniegumu atbalsta saņemšanai, ir jāapkopo visu savu apkalpoto izglītības iestāžu pārskati un jāsadala izdalīto produktu daudzums pa attiecīgajām mērķauditorijām. </w:t>
            </w:r>
          </w:p>
          <w:p w:rsidR="00F44C8D" w:rsidRPr="00CA6FAB" w:rsidRDefault="00F44C8D" w:rsidP="00D12880">
            <w:pPr>
              <w:ind w:left="142" w:right="142" w:firstLine="284"/>
              <w:jc w:val="both"/>
              <w:rPr>
                <w:iCs/>
              </w:rPr>
            </w:pPr>
            <w:r w:rsidRPr="00CA6FAB">
              <w:rPr>
                <w:iCs/>
              </w:rPr>
              <w:t>Lai mazinātu administratīvo slogu izglītības iestādei, projekt</w:t>
            </w:r>
            <w:r w:rsidR="003372EC" w:rsidRPr="00CA6FAB">
              <w:rPr>
                <w:iCs/>
              </w:rPr>
              <w:t>ā</w:t>
            </w:r>
            <w:r w:rsidRPr="00CA6FAB">
              <w:rPr>
                <w:iCs/>
              </w:rPr>
              <w:t xml:space="preserve"> paredz</w:t>
            </w:r>
            <w:r w:rsidR="003372EC" w:rsidRPr="00CA6FAB">
              <w:rPr>
                <w:iCs/>
              </w:rPr>
              <w:t>ēts</w:t>
            </w:r>
            <w:r w:rsidRPr="00CA6FAB">
              <w:rPr>
                <w:iCs/>
              </w:rPr>
              <w:t xml:space="preserve">, ka turpmāk vispārējās izglītības iestādes apliecinājums par atbalsta programmas prasību pildīšanu, izglītojamo skaita un mācību dienu skaita </w:t>
            </w:r>
            <w:r w:rsidRPr="00CA6FAB">
              <w:rPr>
                <w:iCs/>
              </w:rPr>
              <w:lastRenderedPageBreak/>
              <w:t xml:space="preserve">ziņošanu būs jāsastāda divos eksemplāros un vienu no šiem eksemplāriem izglītības iestāde iesniegs pretendentam, kurš to kopā ar iesniegumu atbalsta saņemšanai iesniegs dienestā. Līdzšinējā kārtība paredzēja, ka apliecinājums jāsastāda </w:t>
            </w:r>
            <w:r w:rsidR="003372EC" w:rsidRPr="00CA6FAB">
              <w:rPr>
                <w:iCs/>
              </w:rPr>
              <w:t>trīs</w:t>
            </w:r>
            <w:r w:rsidRPr="00CA6FAB">
              <w:rPr>
                <w:iCs/>
              </w:rPr>
              <w:t xml:space="preserve"> eksemplāros un vienu no tiem izglītības iestāde pati iesniedz dienestā.</w:t>
            </w:r>
          </w:p>
          <w:p w:rsidR="00F44C8D" w:rsidRPr="00CA6FAB" w:rsidRDefault="003372EC" w:rsidP="00B055DD">
            <w:pPr>
              <w:ind w:left="142" w:right="142" w:firstLine="284"/>
              <w:jc w:val="both"/>
              <w:rPr>
                <w:iCs/>
              </w:rPr>
            </w:pPr>
            <w:r w:rsidRPr="00CA6FAB">
              <w:rPr>
                <w:iCs/>
              </w:rPr>
              <w:t xml:space="preserve">Projekts paredz arī noteikt, ka izglītības iestādei </w:t>
            </w:r>
            <w:r w:rsidRPr="00CA6FAB">
              <w:rPr>
                <w:b/>
                <w:iCs/>
              </w:rPr>
              <w:t>jāinformē pretendents par izglītojamo skaita pārmaiņām, norādot arī datumu, no kura izglītojamo skaits ir mainījies.</w:t>
            </w:r>
            <w:r w:rsidRPr="00CA6FAB">
              <w:rPr>
                <w:iCs/>
              </w:rPr>
              <w:t xml:space="preserve"> Tas nepieciešams, lai nerastos pārpratumi, pretendentam aizpildot atbalsta iesniegumu un, dienestam veicot pārbaudes par atbalsta iesniegumiem un lai tādējādi neaizkavētos atbalsta iesniegumu apstrāde un atbalsta izmaksāšana. </w:t>
            </w:r>
            <w:r w:rsidRPr="00CA6FAB">
              <w:rPr>
                <w:b/>
                <w:iCs/>
              </w:rPr>
              <w:t>Šie grozījumi tiks izdarīti, izdarot attiecīgas izmaiņas noteikumu Nr.106 4.pielikumā. Vienlaikus minētā pielikuma veidlapa tiek pārveidota, padarot to strukturētāku un līdz ar to pārskatāmāku</w:t>
            </w:r>
            <w:r w:rsidR="007455B3" w:rsidRPr="00CA6FAB">
              <w:rPr>
                <w:b/>
                <w:iCs/>
              </w:rPr>
              <w:t xml:space="preserve">. Tas veicinās programmas pozitīvu novērtējumu no izglītības iestāžu puses. </w:t>
            </w:r>
            <w:r w:rsidR="00B055DD" w:rsidRPr="00CA6FAB">
              <w:rPr>
                <w:b/>
                <w:iCs/>
              </w:rPr>
              <w:t>Vienlaikus, pārstrukturējot noteikumu Nr.106 4.pielikuma veidlapu, informācija par to, ka atbalsta programmai produktus var saņemt tikai no Pārtikas un veterinārā dienesta atzīta piena pārstrādes uzņēmuma vai Pārtikas un veterinārajā dienestā reģistrēta pārtikas produktu piegādātāja, ir iekļauta sadaļā par atbalsta programmas nosacījumiem vispārējās izglītības iestādei.</w:t>
            </w:r>
            <w:r w:rsidR="00B055DD" w:rsidRPr="00CA6FAB">
              <w:rPr>
                <w:iCs/>
              </w:rPr>
              <w:t xml:space="preserve"> </w:t>
            </w:r>
          </w:p>
        </w:tc>
      </w:tr>
      <w:tr w:rsidR="00F44C8D" w:rsidRPr="00CA6FAB" w:rsidTr="00A72B83">
        <w:trPr>
          <w:trHeight w:val="476"/>
        </w:trPr>
        <w:tc>
          <w:tcPr>
            <w:tcW w:w="418" w:type="dxa"/>
          </w:tcPr>
          <w:p w:rsidR="00F44C8D" w:rsidRPr="00CA6FAB" w:rsidRDefault="00F44C8D" w:rsidP="006C4607">
            <w:pPr>
              <w:pStyle w:val="naiskr"/>
              <w:spacing w:before="0" w:after="0"/>
            </w:pPr>
            <w:r w:rsidRPr="00CA6FAB">
              <w:lastRenderedPageBreak/>
              <w:t>5.</w:t>
            </w:r>
          </w:p>
        </w:tc>
        <w:tc>
          <w:tcPr>
            <w:tcW w:w="2989" w:type="dxa"/>
          </w:tcPr>
          <w:p w:rsidR="00F44C8D" w:rsidRPr="00CA6FAB" w:rsidRDefault="00F44C8D" w:rsidP="006C4607">
            <w:pPr>
              <w:pStyle w:val="naiskr"/>
              <w:spacing w:before="0" w:after="0"/>
            </w:pPr>
            <w:r w:rsidRPr="00CA6FAB">
              <w:t>Projekta izstrādē iesaistītās institūcijas</w:t>
            </w:r>
          </w:p>
        </w:tc>
        <w:tc>
          <w:tcPr>
            <w:tcW w:w="5954" w:type="dxa"/>
          </w:tcPr>
          <w:p w:rsidR="00F44C8D" w:rsidRPr="00CA6FAB" w:rsidRDefault="00F44C8D" w:rsidP="00A72B83">
            <w:pPr>
              <w:pStyle w:val="naiskr"/>
              <w:spacing w:before="0" w:after="0"/>
              <w:ind w:left="142"/>
              <w:jc w:val="both"/>
            </w:pPr>
            <w:r w:rsidRPr="00CA6FAB">
              <w:t>Dienests</w:t>
            </w:r>
          </w:p>
        </w:tc>
      </w:tr>
      <w:tr w:rsidR="00F44C8D" w:rsidRPr="00CA6FAB" w:rsidTr="00A72B83">
        <w:trPr>
          <w:trHeight w:val="699"/>
        </w:trPr>
        <w:tc>
          <w:tcPr>
            <w:tcW w:w="418" w:type="dxa"/>
          </w:tcPr>
          <w:p w:rsidR="00F44C8D" w:rsidRPr="00CA6FAB" w:rsidRDefault="00F44C8D" w:rsidP="006C4607">
            <w:pPr>
              <w:pStyle w:val="naiskr"/>
              <w:spacing w:before="0" w:after="0"/>
            </w:pPr>
            <w:r w:rsidRPr="00CA6FAB">
              <w:t>6.</w:t>
            </w:r>
          </w:p>
        </w:tc>
        <w:tc>
          <w:tcPr>
            <w:tcW w:w="2989" w:type="dxa"/>
          </w:tcPr>
          <w:p w:rsidR="00F44C8D" w:rsidRPr="00CA6FAB" w:rsidRDefault="00F44C8D" w:rsidP="006C4607">
            <w:pPr>
              <w:pStyle w:val="naiskr"/>
              <w:spacing w:before="0" w:after="0"/>
              <w:rPr>
                <w:i/>
                <w:highlight w:val="yellow"/>
              </w:rPr>
            </w:pPr>
            <w:r w:rsidRPr="00CA6FAB">
              <w:t>Iemesli, kādēļ netika nodrošināta sabiedrības līdzdalība</w:t>
            </w:r>
          </w:p>
        </w:tc>
        <w:tc>
          <w:tcPr>
            <w:tcW w:w="5954" w:type="dxa"/>
          </w:tcPr>
          <w:p w:rsidR="00F44C8D" w:rsidRPr="00CA6FAB" w:rsidRDefault="00F44C8D" w:rsidP="00A72B83">
            <w:pPr>
              <w:pStyle w:val="Vresteksts"/>
              <w:ind w:left="142"/>
              <w:rPr>
                <w:sz w:val="24"/>
                <w:szCs w:val="24"/>
              </w:rPr>
            </w:pPr>
            <w:r w:rsidRPr="00CA6FAB">
              <w:rPr>
                <w:sz w:val="24"/>
                <w:szCs w:val="24"/>
              </w:rPr>
              <w:t>Nav attiecināms.</w:t>
            </w:r>
          </w:p>
        </w:tc>
      </w:tr>
      <w:tr w:rsidR="00F44C8D" w:rsidRPr="00CA6FAB" w:rsidTr="00A72B83">
        <w:tc>
          <w:tcPr>
            <w:tcW w:w="418" w:type="dxa"/>
          </w:tcPr>
          <w:p w:rsidR="00F44C8D" w:rsidRPr="00CA6FAB" w:rsidRDefault="00F44C8D" w:rsidP="006C4607">
            <w:pPr>
              <w:pStyle w:val="naiskr"/>
              <w:spacing w:before="0" w:after="0"/>
            </w:pPr>
            <w:r w:rsidRPr="00CA6FAB">
              <w:t>7.</w:t>
            </w:r>
          </w:p>
        </w:tc>
        <w:tc>
          <w:tcPr>
            <w:tcW w:w="2989" w:type="dxa"/>
          </w:tcPr>
          <w:p w:rsidR="00F44C8D" w:rsidRPr="00CA6FAB" w:rsidRDefault="00F44C8D" w:rsidP="006C4607">
            <w:pPr>
              <w:pStyle w:val="naiskr"/>
              <w:spacing w:before="0" w:after="0"/>
            </w:pPr>
            <w:r w:rsidRPr="00CA6FAB">
              <w:t>Cita informācija</w:t>
            </w:r>
          </w:p>
        </w:tc>
        <w:tc>
          <w:tcPr>
            <w:tcW w:w="5954" w:type="dxa"/>
          </w:tcPr>
          <w:p w:rsidR="00F44C8D" w:rsidRPr="00CA6FAB" w:rsidRDefault="00F44C8D" w:rsidP="006B2B43">
            <w:pPr>
              <w:pStyle w:val="naiskr"/>
              <w:spacing w:before="0" w:after="0"/>
              <w:ind w:left="142"/>
            </w:pPr>
            <w:r w:rsidRPr="00CA6FAB">
              <w:t>Nav.</w:t>
            </w:r>
          </w:p>
        </w:tc>
      </w:tr>
    </w:tbl>
    <w:p w:rsidR="00F44C8D" w:rsidRPr="00CA6FAB" w:rsidRDefault="00F44C8D" w:rsidP="006B2B43">
      <w:pPr>
        <w:pStyle w:val="naisf"/>
        <w:spacing w:before="0" w:after="0"/>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835"/>
        <w:gridCol w:w="5953"/>
      </w:tblGrid>
      <w:tr w:rsidR="00F44C8D" w:rsidRPr="00CA6FAB" w:rsidTr="00A10E52">
        <w:tc>
          <w:tcPr>
            <w:tcW w:w="9219" w:type="dxa"/>
            <w:gridSpan w:val="3"/>
            <w:vAlign w:val="center"/>
          </w:tcPr>
          <w:p w:rsidR="00F44C8D" w:rsidRPr="00CA6FAB" w:rsidRDefault="00F44C8D" w:rsidP="00C07A60">
            <w:pPr>
              <w:pStyle w:val="naisnod"/>
              <w:spacing w:before="0" w:after="0"/>
            </w:pPr>
            <w:r w:rsidRPr="00CA6FAB">
              <w:t>II. Tiesību akta projekta ietekme uz sabiedrību</w:t>
            </w:r>
          </w:p>
        </w:tc>
      </w:tr>
      <w:tr w:rsidR="00F44C8D" w:rsidRPr="00CA6FAB" w:rsidTr="00A10E52">
        <w:trPr>
          <w:trHeight w:val="467"/>
        </w:trPr>
        <w:tc>
          <w:tcPr>
            <w:tcW w:w="431" w:type="dxa"/>
          </w:tcPr>
          <w:p w:rsidR="00F44C8D" w:rsidRPr="00CA6FAB" w:rsidRDefault="00F44C8D" w:rsidP="00C07A60">
            <w:pPr>
              <w:pStyle w:val="naiskr"/>
              <w:spacing w:before="0" w:after="0"/>
            </w:pPr>
            <w:r w:rsidRPr="00CA6FAB">
              <w:t>1.</w:t>
            </w:r>
          </w:p>
        </w:tc>
        <w:tc>
          <w:tcPr>
            <w:tcW w:w="2835" w:type="dxa"/>
          </w:tcPr>
          <w:p w:rsidR="00F44C8D" w:rsidRPr="00CA6FAB" w:rsidRDefault="00F44C8D" w:rsidP="00C07A60">
            <w:pPr>
              <w:pStyle w:val="naiskr"/>
              <w:spacing w:before="0" w:after="0"/>
            </w:pPr>
            <w:r w:rsidRPr="00CA6FAB">
              <w:t xml:space="preserve">Sabiedrības </w:t>
            </w:r>
            <w:proofErr w:type="spellStart"/>
            <w:r w:rsidRPr="00CA6FAB">
              <w:t>mērķgrupa</w:t>
            </w:r>
            <w:proofErr w:type="spellEnd"/>
          </w:p>
        </w:tc>
        <w:tc>
          <w:tcPr>
            <w:tcW w:w="5953" w:type="dxa"/>
          </w:tcPr>
          <w:p w:rsidR="00F44C8D" w:rsidRPr="00CA6FAB" w:rsidRDefault="00F44C8D" w:rsidP="00D12880">
            <w:pPr>
              <w:pStyle w:val="naiskr"/>
              <w:spacing w:before="0" w:after="0"/>
              <w:ind w:firstLine="283"/>
              <w:jc w:val="both"/>
              <w:rPr>
                <w:iCs/>
              </w:rPr>
            </w:pPr>
            <w:r w:rsidRPr="00CA6FAB">
              <w:rPr>
                <w:iCs/>
              </w:rPr>
              <w:t> </w:t>
            </w:r>
            <w:proofErr w:type="spellStart"/>
            <w:r w:rsidRPr="00CA6FAB">
              <w:rPr>
                <w:iCs/>
              </w:rPr>
              <w:t>Mērķgrupa</w:t>
            </w:r>
            <w:proofErr w:type="spellEnd"/>
            <w:r w:rsidRPr="00CA6FAB">
              <w:rPr>
                <w:iCs/>
              </w:rPr>
              <w:t xml:space="preserve">, uz kuru attiecināms projekta tiesiskais regulējums, ir atbalsta programmā iesaistītie atbalsta pretendenti un vispārējās izglītības iestādes. </w:t>
            </w:r>
          </w:p>
          <w:p w:rsidR="00F44C8D" w:rsidRPr="00CA6FAB" w:rsidRDefault="00F44C8D" w:rsidP="003372EC">
            <w:pPr>
              <w:pStyle w:val="naiskr"/>
              <w:spacing w:before="0" w:after="0"/>
              <w:ind w:firstLine="283"/>
              <w:jc w:val="both"/>
              <w:rPr>
                <w:iCs/>
              </w:rPr>
            </w:pPr>
            <w:r w:rsidRPr="00CA6FAB">
              <w:rPr>
                <w:iCs/>
              </w:rPr>
              <w:t>Pēc dienesta datiem</w:t>
            </w:r>
            <w:r w:rsidR="003372EC" w:rsidRPr="00CA6FAB">
              <w:rPr>
                <w:iCs/>
              </w:rPr>
              <w:t>,</w:t>
            </w:r>
            <w:r w:rsidRPr="00CA6FAB">
              <w:rPr>
                <w:iCs/>
              </w:rPr>
              <w:t xml:space="preserve"> 2013.gada 1.jūlij</w:t>
            </w:r>
            <w:r w:rsidR="003372EC" w:rsidRPr="00CA6FAB">
              <w:rPr>
                <w:iCs/>
              </w:rPr>
              <w:t>ā</w:t>
            </w:r>
            <w:r w:rsidRPr="00CA6FAB">
              <w:rPr>
                <w:iCs/>
              </w:rPr>
              <w:t xml:space="preserve"> programmā bija iesaistījušies 115 atbalsta pretendenti, no kuriem 9 varēs pretendēt uz projekta nosacījumiem par valsts līdzfinansējuma saņemšanu vienā maksājumā trīs mēnešu periodam. Savukārt programmā iesaistīto vispārējās izglītības iestāžu skaits, uz kurām attiektos projekta nosacījumi par apliecinājuma sagatavošanu un pārskata aizpildīšanu, 2013.gada 1.jūlij</w:t>
            </w:r>
            <w:r w:rsidR="003372EC" w:rsidRPr="00CA6FAB">
              <w:rPr>
                <w:iCs/>
              </w:rPr>
              <w:t>ā</w:t>
            </w:r>
            <w:r w:rsidRPr="00CA6FAB">
              <w:rPr>
                <w:iCs/>
              </w:rPr>
              <w:t xml:space="preserve"> bija 817. </w:t>
            </w:r>
          </w:p>
        </w:tc>
      </w:tr>
      <w:tr w:rsidR="00F44C8D" w:rsidRPr="00CA6FAB" w:rsidTr="00A10E52">
        <w:trPr>
          <w:trHeight w:val="523"/>
        </w:trPr>
        <w:tc>
          <w:tcPr>
            <w:tcW w:w="431" w:type="dxa"/>
          </w:tcPr>
          <w:p w:rsidR="00F44C8D" w:rsidRPr="00CA6FAB" w:rsidRDefault="00F44C8D" w:rsidP="00C07A60">
            <w:pPr>
              <w:pStyle w:val="naiskr"/>
              <w:spacing w:before="0" w:after="0"/>
            </w:pPr>
            <w:r w:rsidRPr="00CA6FAB">
              <w:t>2.</w:t>
            </w:r>
          </w:p>
        </w:tc>
        <w:tc>
          <w:tcPr>
            <w:tcW w:w="2835" w:type="dxa"/>
          </w:tcPr>
          <w:p w:rsidR="00F44C8D" w:rsidRPr="00CA6FAB" w:rsidRDefault="00F44C8D" w:rsidP="00C07A60">
            <w:pPr>
              <w:pStyle w:val="naiskr"/>
              <w:spacing w:before="0" w:after="0"/>
            </w:pPr>
            <w:r w:rsidRPr="00CA6FAB">
              <w:t xml:space="preserve">Citas sabiedrības grupas (bez </w:t>
            </w:r>
            <w:proofErr w:type="spellStart"/>
            <w:r w:rsidRPr="00CA6FAB">
              <w:t>mērķgrupas</w:t>
            </w:r>
            <w:proofErr w:type="spellEnd"/>
            <w:r w:rsidRPr="00CA6FAB">
              <w:t xml:space="preserve">), kuras tiesiskais regulējums arī ietekmē vai </w:t>
            </w:r>
            <w:r w:rsidRPr="00CA6FAB">
              <w:lastRenderedPageBreak/>
              <w:t>varētu ietekmēt</w:t>
            </w:r>
          </w:p>
        </w:tc>
        <w:tc>
          <w:tcPr>
            <w:tcW w:w="5953" w:type="dxa"/>
          </w:tcPr>
          <w:p w:rsidR="00F44C8D" w:rsidRPr="00CA6FAB" w:rsidRDefault="00F44C8D" w:rsidP="00C07A60">
            <w:pPr>
              <w:pStyle w:val="naiskr"/>
              <w:spacing w:before="0" w:after="0"/>
              <w:jc w:val="both"/>
              <w:rPr>
                <w:iCs/>
              </w:rPr>
            </w:pPr>
            <w:r w:rsidRPr="00CA6FAB">
              <w:rPr>
                <w:iCs/>
              </w:rPr>
              <w:lastRenderedPageBreak/>
              <w:t>Nav attiecināms.</w:t>
            </w:r>
          </w:p>
          <w:p w:rsidR="00F44C8D" w:rsidRPr="00CA6FAB" w:rsidRDefault="00F44C8D" w:rsidP="00C07A60">
            <w:pPr>
              <w:pStyle w:val="naiskr"/>
              <w:spacing w:before="0" w:after="0"/>
              <w:jc w:val="both"/>
              <w:rPr>
                <w:iCs/>
              </w:rPr>
            </w:pPr>
          </w:p>
        </w:tc>
      </w:tr>
      <w:tr w:rsidR="00F44C8D" w:rsidRPr="00CA6FAB" w:rsidTr="00A10E52">
        <w:trPr>
          <w:trHeight w:val="517"/>
        </w:trPr>
        <w:tc>
          <w:tcPr>
            <w:tcW w:w="431" w:type="dxa"/>
          </w:tcPr>
          <w:p w:rsidR="00F44C8D" w:rsidRPr="00CA6FAB" w:rsidRDefault="00F44C8D" w:rsidP="00C07A60">
            <w:pPr>
              <w:pStyle w:val="naiskr"/>
              <w:spacing w:before="0" w:after="0"/>
            </w:pPr>
            <w:r w:rsidRPr="00CA6FAB">
              <w:lastRenderedPageBreak/>
              <w:t>3.</w:t>
            </w:r>
          </w:p>
        </w:tc>
        <w:tc>
          <w:tcPr>
            <w:tcW w:w="2835" w:type="dxa"/>
          </w:tcPr>
          <w:p w:rsidR="00F44C8D" w:rsidRPr="00CA6FAB" w:rsidRDefault="00F44C8D" w:rsidP="00C07A60">
            <w:pPr>
              <w:pStyle w:val="naiskr"/>
              <w:spacing w:before="0" w:after="0"/>
            </w:pPr>
            <w:r w:rsidRPr="00CA6FAB">
              <w:t>Tiesiskā regulējuma finansiālā ietekme</w:t>
            </w:r>
          </w:p>
        </w:tc>
        <w:tc>
          <w:tcPr>
            <w:tcW w:w="5953" w:type="dxa"/>
          </w:tcPr>
          <w:p w:rsidR="00F44C8D" w:rsidRPr="00CA6FAB" w:rsidRDefault="00F44C8D" w:rsidP="00C07A60">
            <w:pPr>
              <w:pStyle w:val="naiskr"/>
              <w:spacing w:before="0" w:after="0"/>
              <w:jc w:val="both"/>
            </w:pPr>
            <w:r w:rsidRPr="00CA6FAB">
              <w:rPr>
                <w:iCs/>
              </w:rPr>
              <w:t>Nav attiecināms.</w:t>
            </w:r>
          </w:p>
        </w:tc>
      </w:tr>
      <w:tr w:rsidR="00F44C8D" w:rsidRPr="00CA6FAB" w:rsidTr="00A10E52">
        <w:trPr>
          <w:trHeight w:val="517"/>
        </w:trPr>
        <w:tc>
          <w:tcPr>
            <w:tcW w:w="431" w:type="dxa"/>
          </w:tcPr>
          <w:p w:rsidR="00F44C8D" w:rsidRPr="00CA6FAB" w:rsidRDefault="00F44C8D" w:rsidP="00C07A60">
            <w:pPr>
              <w:pStyle w:val="naiskr"/>
              <w:spacing w:before="0" w:after="0"/>
            </w:pPr>
            <w:r w:rsidRPr="00CA6FAB">
              <w:t>4.</w:t>
            </w:r>
          </w:p>
        </w:tc>
        <w:tc>
          <w:tcPr>
            <w:tcW w:w="2835" w:type="dxa"/>
          </w:tcPr>
          <w:p w:rsidR="00F44C8D" w:rsidRPr="00CA6FAB" w:rsidRDefault="00F44C8D" w:rsidP="00C07A60">
            <w:pPr>
              <w:pStyle w:val="naiskr"/>
              <w:spacing w:before="0" w:after="0"/>
            </w:pPr>
            <w:r w:rsidRPr="00CA6FAB">
              <w:t>Tiesiskā regulējuma nefinansiālā ietekme</w:t>
            </w:r>
          </w:p>
        </w:tc>
        <w:tc>
          <w:tcPr>
            <w:tcW w:w="5953" w:type="dxa"/>
          </w:tcPr>
          <w:p w:rsidR="00F44C8D" w:rsidRPr="00CA6FAB" w:rsidRDefault="00F44C8D" w:rsidP="00C07A60">
            <w:pPr>
              <w:pStyle w:val="naiskr"/>
              <w:spacing w:before="0" w:after="0"/>
              <w:jc w:val="both"/>
            </w:pPr>
            <w:r w:rsidRPr="00CA6FAB">
              <w:t>Nav attiecināms.</w:t>
            </w:r>
          </w:p>
        </w:tc>
      </w:tr>
      <w:tr w:rsidR="00F44C8D" w:rsidRPr="00CA6FAB" w:rsidTr="00A10E52">
        <w:trPr>
          <w:trHeight w:val="275"/>
        </w:trPr>
        <w:tc>
          <w:tcPr>
            <w:tcW w:w="431" w:type="dxa"/>
          </w:tcPr>
          <w:p w:rsidR="00F44C8D" w:rsidRPr="00CA6FAB" w:rsidRDefault="00F44C8D" w:rsidP="00C07A60">
            <w:pPr>
              <w:pStyle w:val="naiskr"/>
              <w:spacing w:before="0" w:after="0"/>
            </w:pPr>
            <w:r w:rsidRPr="00CA6FAB">
              <w:t>5.</w:t>
            </w:r>
          </w:p>
        </w:tc>
        <w:tc>
          <w:tcPr>
            <w:tcW w:w="2835" w:type="dxa"/>
          </w:tcPr>
          <w:p w:rsidR="00F44C8D" w:rsidRPr="00CA6FAB" w:rsidRDefault="00F44C8D" w:rsidP="00C07A60">
            <w:pPr>
              <w:pStyle w:val="naiskr"/>
              <w:spacing w:before="0" w:after="0"/>
            </w:pPr>
            <w:r w:rsidRPr="00CA6FAB">
              <w:t>Administratīvās procedūras raksturojums</w:t>
            </w:r>
          </w:p>
        </w:tc>
        <w:tc>
          <w:tcPr>
            <w:tcW w:w="5953" w:type="dxa"/>
          </w:tcPr>
          <w:p w:rsidR="00F44C8D" w:rsidRPr="00CA6FAB" w:rsidRDefault="00F44C8D" w:rsidP="00D12880">
            <w:pPr>
              <w:pStyle w:val="naiskr"/>
              <w:spacing w:before="0" w:after="0"/>
              <w:ind w:left="141" w:firstLine="284"/>
              <w:jc w:val="both"/>
            </w:pPr>
            <w:r w:rsidRPr="00CA6FAB">
              <w:t>Valsts un ES atbalsta piešķiršanas un izmaksas kārtību administrē un uzrauga LAD.</w:t>
            </w:r>
          </w:p>
          <w:p w:rsidR="00F44C8D" w:rsidRPr="00CA6FAB" w:rsidRDefault="00F44C8D" w:rsidP="00D12880">
            <w:pPr>
              <w:pStyle w:val="naiskr"/>
              <w:spacing w:before="0" w:after="0"/>
              <w:ind w:left="141" w:firstLine="284"/>
              <w:jc w:val="both"/>
              <w:rPr>
                <w:iCs/>
              </w:rPr>
            </w:pPr>
            <w:r w:rsidRPr="00CA6FAB">
              <w:rPr>
                <w:iCs/>
              </w:rPr>
              <w:t xml:space="preserve">Izglītības iestāde katru kalendāro mēnesi divos eksemplāros sagatavo pārskatu par piegādāto piena produktu izlietojumu, </w:t>
            </w:r>
            <w:r w:rsidR="003372EC" w:rsidRPr="00CA6FAB">
              <w:rPr>
                <w:iCs/>
              </w:rPr>
              <w:t>ievērojot</w:t>
            </w:r>
            <w:r w:rsidRPr="00CA6FAB">
              <w:rPr>
                <w:iCs/>
              </w:rPr>
              <w:t xml:space="preserve"> izglītojamo apmeklējumu. Vienu eksemplāru izglītības iestāde iesniedz atbalsta pretendentam, otru patur</w:t>
            </w:r>
            <w:r w:rsidR="003372EC" w:rsidRPr="00CA6FAB">
              <w:rPr>
                <w:iCs/>
              </w:rPr>
              <w:t xml:space="preserve"> sev</w:t>
            </w:r>
            <w:r w:rsidRPr="00CA6FAB">
              <w:rPr>
                <w:iCs/>
              </w:rPr>
              <w:t>.</w:t>
            </w:r>
          </w:p>
          <w:p w:rsidR="00F44C8D" w:rsidRPr="00CA6FAB" w:rsidRDefault="00F44C8D" w:rsidP="00D12880">
            <w:pPr>
              <w:pStyle w:val="naiskr"/>
              <w:spacing w:before="0" w:after="0"/>
              <w:ind w:left="141" w:firstLine="284"/>
              <w:jc w:val="both"/>
              <w:rPr>
                <w:iCs/>
              </w:rPr>
            </w:pPr>
            <w:r w:rsidRPr="00CA6FAB">
              <w:rPr>
                <w:iCs/>
              </w:rPr>
              <w:t>Atbalsta pretendents Lauku atbalsta dienestā iesniedz iesniegumu atbalsta saņemšanai par iepriekšējo kalendāra mēnesi. Iesniegums ietver arī apkop</w:t>
            </w:r>
            <w:r w:rsidR="003372EC" w:rsidRPr="00CA6FAB">
              <w:rPr>
                <w:iCs/>
              </w:rPr>
              <w:t>o</w:t>
            </w:r>
            <w:r w:rsidRPr="00CA6FAB">
              <w:rPr>
                <w:iCs/>
              </w:rPr>
              <w:t xml:space="preserve">tu pārskatu par piegādāto piena produktu izlietojumu visās pretendenta apkalpotajās izglītības iestādēs. </w:t>
            </w:r>
          </w:p>
          <w:p w:rsidR="00F44C8D" w:rsidRPr="00CA6FAB" w:rsidRDefault="00F44C8D" w:rsidP="00D12880">
            <w:pPr>
              <w:pStyle w:val="naiskr"/>
              <w:spacing w:before="0" w:after="0"/>
              <w:ind w:left="141" w:firstLine="284"/>
              <w:jc w:val="both"/>
              <w:rPr>
                <w:iCs/>
              </w:rPr>
            </w:pPr>
            <w:r w:rsidRPr="00CA6FAB">
              <w:rPr>
                <w:iCs/>
              </w:rPr>
              <w:t xml:space="preserve">Atbalsta pretendents, iesniedzot iesniegumu atbalsta saņemšanai, dienestā </w:t>
            </w:r>
            <w:r w:rsidR="003372EC" w:rsidRPr="00CA6FAB">
              <w:rPr>
                <w:iCs/>
              </w:rPr>
              <w:t xml:space="preserve"> var iesniegt </w:t>
            </w:r>
            <w:r w:rsidRPr="00CA6FAB">
              <w:rPr>
                <w:iCs/>
              </w:rPr>
              <w:t xml:space="preserve">rakstisku iesniegumu valsts līdzfinansējuma maksājuma pieprasījumu trīs mēnešu laikposmam. </w:t>
            </w:r>
          </w:p>
          <w:p w:rsidR="00F44C8D" w:rsidRPr="00CA6FAB" w:rsidRDefault="00F44C8D" w:rsidP="00D12880">
            <w:pPr>
              <w:pStyle w:val="naiskr"/>
              <w:spacing w:before="0" w:after="0"/>
              <w:ind w:left="141" w:firstLine="284"/>
              <w:jc w:val="both"/>
              <w:rPr>
                <w:iCs/>
              </w:rPr>
            </w:pPr>
            <w:r w:rsidRPr="00CA6FAB">
              <w:rPr>
                <w:iCs/>
              </w:rPr>
              <w:t xml:space="preserve">Projektā paredzēto informāciju ir iespējams iesniegt elektroniski, izņemot valsts līdzfinansējuma maksājuma pieprasījumu trīs mēnešu laikposmam, </w:t>
            </w:r>
            <w:r w:rsidR="003372EC" w:rsidRPr="00CA6FAB">
              <w:rPr>
                <w:iCs/>
              </w:rPr>
              <w:t>jo tas</w:t>
            </w:r>
            <w:r w:rsidRPr="00CA6FAB">
              <w:rPr>
                <w:iCs/>
              </w:rPr>
              <w:t xml:space="preserve"> jāiesniedz rakstiski papīra formā.</w:t>
            </w:r>
          </w:p>
          <w:p w:rsidR="00F44C8D" w:rsidRPr="00CA6FAB" w:rsidRDefault="00F44C8D" w:rsidP="00D12880">
            <w:pPr>
              <w:pStyle w:val="naiskr"/>
              <w:spacing w:before="0" w:after="0"/>
              <w:ind w:left="141" w:firstLine="284"/>
              <w:jc w:val="both"/>
              <w:rPr>
                <w:iCs/>
              </w:rPr>
            </w:pPr>
            <w:r w:rsidRPr="00CA6FAB">
              <w:rPr>
                <w:iCs/>
              </w:rPr>
              <w:t>Projekts neparedz iesniegt notariālu apliecinājumu.</w:t>
            </w:r>
          </w:p>
        </w:tc>
      </w:tr>
      <w:tr w:rsidR="00F44C8D" w:rsidRPr="00CA6FAB" w:rsidTr="00A10E52">
        <w:trPr>
          <w:trHeight w:val="357"/>
        </w:trPr>
        <w:tc>
          <w:tcPr>
            <w:tcW w:w="431" w:type="dxa"/>
          </w:tcPr>
          <w:p w:rsidR="00F44C8D" w:rsidRPr="00CA6FAB" w:rsidRDefault="00F44C8D" w:rsidP="00C07A60">
            <w:pPr>
              <w:pStyle w:val="naiskr"/>
              <w:spacing w:before="0" w:after="0"/>
            </w:pPr>
            <w:r w:rsidRPr="00CA6FAB">
              <w:t>6.</w:t>
            </w:r>
          </w:p>
        </w:tc>
        <w:tc>
          <w:tcPr>
            <w:tcW w:w="2835" w:type="dxa"/>
          </w:tcPr>
          <w:p w:rsidR="00F44C8D" w:rsidRPr="00CA6FAB" w:rsidRDefault="00F44C8D" w:rsidP="00C07A60">
            <w:pPr>
              <w:pStyle w:val="naiskr"/>
              <w:spacing w:before="0" w:after="0"/>
            </w:pPr>
            <w:r w:rsidRPr="00CA6FAB">
              <w:t>Administratīvo izmaksu monetārs novērtējums</w:t>
            </w:r>
          </w:p>
        </w:tc>
        <w:tc>
          <w:tcPr>
            <w:tcW w:w="5953" w:type="dxa"/>
          </w:tcPr>
          <w:p w:rsidR="00F44C8D" w:rsidRPr="00CA6FAB" w:rsidRDefault="00F44C8D" w:rsidP="00C07A60">
            <w:pPr>
              <w:pStyle w:val="naiskr"/>
              <w:spacing w:before="0" w:after="0"/>
            </w:pPr>
            <w:r w:rsidRPr="00CA6FAB">
              <w:rPr>
                <w:iCs/>
              </w:rPr>
              <w:t>Nav attiecināms.</w:t>
            </w:r>
          </w:p>
        </w:tc>
      </w:tr>
      <w:tr w:rsidR="00F44C8D" w:rsidRPr="00CA6FAB" w:rsidTr="00A10E52">
        <w:tc>
          <w:tcPr>
            <w:tcW w:w="431" w:type="dxa"/>
          </w:tcPr>
          <w:p w:rsidR="00F44C8D" w:rsidRPr="00CA6FAB" w:rsidRDefault="00F44C8D" w:rsidP="00C07A60">
            <w:pPr>
              <w:pStyle w:val="naiskr"/>
              <w:spacing w:before="0" w:after="0"/>
            </w:pPr>
            <w:r w:rsidRPr="00CA6FAB">
              <w:t>7.</w:t>
            </w:r>
          </w:p>
        </w:tc>
        <w:tc>
          <w:tcPr>
            <w:tcW w:w="2835" w:type="dxa"/>
          </w:tcPr>
          <w:p w:rsidR="00F44C8D" w:rsidRPr="00CA6FAB" w:rsidRDefault="00F44C8D" w:rsidP="00C07A60">
            <w:pPr>
              <w:pStyle w:val="naiskr"/>
              <w:spacing w:before="0" w:after="0"/>
            </w:pPr>
            <w:r w:rsidRPr="00CA6FAB">
              <w:t>Cita informācija</w:t>
            </w:r>
          </w:p>
        </w:tc>
        <w:tc>
          <w:tcPr>
            <w:tcW w:w="5953" w:type="dxa"/>
          </w:tcPr>
          <w:p w:rsidR="00F44C8D" w:rsidRPr="00CA6FAB" w:rsidRDefault="00F44C8D" w:rsidP="00C07A60">
            <w:pPr>
              <w:pStyle w:val="naiskr"/>
              <w:spacing w:before="0" w:after="0"/>
            </w:pPr>
            <w:r w:rsidRPr="00CA6FAB">
              <w:t>Nav.</w:t>
            </w:r>
          </w:p>
        </w:tc>
      </w:tr>
    </w:tbl>
    <w:p w:rsidR="00F44C8D" w:rsidRPr="00CA6FAB" w:rsidRDefault="00F44C8D" w:rsidP="006B2B43">
      <w:pPr>
        <w:pStyle w:val="naisf"/>
        <w:spacing w:before="0" w:after="0"/>
      </w:pPr>
    </w:p>
    <w:p w:rsidR="00F44C8D" w:rsidRPr="00CA6FAB" w:rsidRDefault="00F44C8D" w:rsidP="006B2B43">
      <w:pPr>
        <w:pStyle w:val="naisf"/>
        <w:spacing w:before="0" w:after="0"/>
        <w:rPr>
          <w:i/>
        </w:rPr>
      </w:pPr>
      <w:r w:rsidRPr="00CA6FAB">
        <w:rPr>
          <w:i/>
        </w:rPr>
        <w:t>Anotācijas III un IV sadaļa – projekts šīs jomu neskar.</w:t>
      </w:r>
    </w:p>
    <w:p w:rsidR="00F44C8D" w:rsidRPr="00CA6FAB" w:rsidRDefault="00F44C8D" w:rsidP="006B2B43">
      <w:pPr>
        <w:pStyle w:val="naiskr"/>
        <w:tabs>
          <w:tab w:val="left" w:pos="2628"/>
        </w:tabs>
        <w:spacing w:before="0" w:after="0"/>
        <w:rPr>
          <w:i/>
        </w:rPr>
      </w:pPr>
    </w:p>
    <w:p w:rsidR="00F44C8D" w:rsidRPr="00CA6FAB" w:rsidRDefault="00F44C8D" w:rsidP="006B2B43">
      <w:pPr>
        <w:pStyle w:val="naiskr"/>
        <w:tabs>
          <w:tab w:val="left" w:pos="2628"/>
        </w:tabs>
        <w:spacing w:before="0" w:after="0"/>
      </w:pPr>
    </w:p>
    <w:tbl>
      <w:tblPr>
        <w:tblW w:w="9398"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469"/>
        <w:gridCol w:w="4533"/>
      </w:tblGrid>
      <w:tr w:rsidR="00F44C8D" w:rsidRPr="00CA6FAB" w:rsidTr="00A10E52">
        <w:trPr>
          <w:jc w:val="center"/>
        </w:trPr>
        <w:tc>
          <w:tcPr>
            <w:tcW w:w="9398" w:type="dxa"/>
            <w:gridSpan w:val="3"/>
          </w:tcPr>
          <w:p w:rsidR="00F44C8D" w:rsidRPr="00CA6FAB" w:rsidRDefault="00F44C8D" w:rsidP="00C07A60">
            <w:pPr>
              <w:pStyle w:val="naisnod"/>
              <w:spacing w:before="0" w:after="0"/>
              <w:jc w:val="both"/>
            </w:pPr>
            <w:r w:rsidRPr="00CA6FAB">
              <w:t>V. Tiesību akta projekta atbilstība Latvijas Republikas starptautiskajām saistībām</w:t>
            </w:r>
          </w:p>
        </w:tc>
      </w:tr>
      <w:tr w:rsidR="00F44C8D" w:rsidRPr="00CA6FAB" w:rsidTr="00A10E52">
        <w:trPr>
          <w:jc w:val="center"/>
        </w:trPr>
        <w:tc>
          <w:tcPr>
            <w:tcW w:w="284" w:type="dxa"/>
          </w:tcPr>
          <w:p w:rsidR="00F44C8D" w:rsidRPr="00CA6FAB" w:rsidRDefault="00F44C8D" w:rsidP="00C07A60">
            <w:pPr>
              <w:pStyle w:val="naiskr"/>
              <w:tabs>
                <w:tab w:val="left" w:pos="2628"/>
              </w:tabs>
              <w:spacing w:before="0" w:after="0"/>
              <w:jc w:val="both"/>
              <w:rPr>
                <w:iCs/>
              </w:rPr>
            </w:pPr>
            <w:r w:rsidRPr="00CA6FAB">
              <w:rPr>
                <w:iCs/>
              </w:rPr>
              <w:t>1.</w:t>
            </w:r>
          </w:p>
        </w:tc>
        <w:tc>
          <w:tcPr>
            <w:tcW w:w="4524" w:type="dxa"/>
          </w:tcPr>
          <w:p w:rsidR="00F44C8D" w:rsidRPr="00CA6FAB" w:rsidRDefault="00F44C8D" w:rsidP="00C07A60">
            <w:pPr>
              <w:pStyle w:val="naiskr"/>
              <w:tabs>
                <w:tab w:val="left" w:pos="2628"/>
              </w:tabs>
              <w:spacing w:before="0" w:after="0"/>
              <w:jc w:val="both"/>
              <w:rPr>
                <w:iCs/>
              </w:rPr>
            </w:pPr>
            <w:r w:rsidRPr="00CA6FAB">
              <w:t>Saistības pret Eiropas Savienību</w:t>
            </w:r>
          </w:p>
        </w:tc>
        <w:tc>
          <w:tcPr>
            <w:tcW w:w="4590" w:type="dxa"/>
          </w:tcPr>
          <w:p w:rsidR="00F44C8D" w:rsidRPr="00CA6FAB" w:rsidRDefault="00F44C8D" w:rsidP="00C07A60">
            <w:pPr>
              <w:pStyle w:val="naiskr"/>
              <w:tabs>
                <w:tab w:val="left" w:pos="2628"/>
              </w:tabs>
              <w:spacing w:before="0" w:after="0"/>
              <w:jc w:val="both"/>
            </w:pPr>
            <w:r w:rsidRPr="00CA6FAB">
              <w:t>Regula Nr.657/2008.</w:t>
            </w:r>
          </w:p>
        </w:tc>
      </w:tr>
      <w:tr w:rsidR="00F44C8D" w:rsidRPr="00CA6FAB" w:rsidTr="00A10E52">
        <w:trPr>
          <w:jc w:val="center"/>
        </w:trPr>
        <w:tc>
          <w:tcPr>
            <w:tcW w:w="284" w:type="dxa"/>
          </w:tcPr>
          <w:p w:rsidR="00F44C8D" w:rsidRPr="00CA6FAB" w:rsidRDefault="00F44C8D" w:rsidP="00C07A60">
            <w:pPr>
              <w:pStyle w:val="naiskr"/>
              <w:tabs>
                <w:tab w:val="left" w:pos="2628"/>
              </w:tabs>
              <w:spacing w:before="0" w:after="0"/>
              <w:jc w:val="both"/>
              <w:rPr>
                <w:iCs/>
              </w:rPr>
            </w:pPr>
            <w:r w:rsidRPr="00CA6FAB">
              <w:rPr>
                <w:iCs/>
              </w:rPr>
              <w:t>2.</w:t>
            </w:r>
          </w:p>
        </w:tc>
        <w:tc>
          <w:tcPr>
            <w:tcW w:w="4524" w:type="dxa"/>
          </w:tcPr>
          <w:p w:rsidR="00F44C8D" w:rsidRPr="00CA6FAB" w:rsidRDefault="00F44C8D" w:rsidP="00C07A60">
            <w:pPr>
              <w:pStyle w:val="naiskr"/>
              <w:tabs>
                <w:tab w:val="left" w:pos="2628"/>
              </w:tabs>
              <w:spacing w:before="0" w:after="0"/>
              <w:jc w:val="both"/>
              <w:rPr>
                <w:iCs/>
              </w:rPr>
            </w:pPr>
            <w:r w:rsidRPr="00CA6FAB">
              <w:t>Citas starptautiskās saistības</w:t>
            </w:r>
          </w:p>
        </w:tc>
        <w:tc>
          <w:tcPr>
            <w:tcW w:w="4590" w:type="dxa"/>
          </w:tcPr>
          <w:p w:rsidR="00F44C8D" w:rsidRPr="00CA6FAB" w:rsidRDefault="00F44C8D" w:rsidP="00C07A60">
            <w:pPr>
              <w:pStyle w:val="naiskr"/>
              <w:tabs>
                <w:tab w:val="left" w:pos="2628"/>
              </w:tabs>
              <w:spacing w:before="0" w:after="0"/>
              <w:jc w:val="both"/>
              <w:rPr>
                <w:iCs/>
              </w:rPr>
            </w:pPr>
            <w:r w:rsidRPr="00CA6FAB">
              <w:rPr>
                <w:iCs/>
              </w:rPr>
              <w:t>Nav attiecināms.</w:t>
            </w:r>
          </w:p>
        </w:tc>
      </w:tr>
      <w:tr w:rsidR="00F44C8D" w:rsidRPr="00CA6FAB" w:rsidTr="00A10E52">
        <w:trPr>
          <w:jc w:val="center"/>
        </w:trPr>
        <w:tc>
          <w:tcPr>
            <w:tcW w:w="284" w:type="dxa"/>
          </w:tcPr>
          <w:p w:rsidR="00F44C8D" w:rsidRPr="00CA6FAB" w:rsidRDefault="00F44C8D" w:rsidP="00C07A60">
            <w:pPr>
              <w:pStyle w:val="naiskr"/>
              <w:tabs>
                <w:tab w:val="left" w:pos="2628"/>
              </w:tabs>
              <w:spacing w:before="0" w:after="0"/>
              <w:jc w:val="both"/>
              <w:rPr>
                <w:iCs/>
              </w:rPr>
            </w:pPr>
            <w:r w:rsidRPr="00CA6FAB">
              <w:rPr>
                <w:iCs/>
              </w:rPr>
              <w:t>3.</w:t>
            </w:r>
          </w:p>
        </w:tc>
        <w:tc>
          <w:tcPr>
            <w:tcW w:w="4524" w:type="dxa"/>
          </w:tcPr>
          <w:p w:rsidR="00F44C8D" w:rsidRPr="00CA6FAB" w:rsidRDefault="00F44C8D" w:rsidP="00C07A60">
            <w:pPr>
              <w:pStyle w:val="naiskr"/>
              <w:tabs>
                <w:tab w:val="left" w:pos="2628"/>
              </w:tabs>
              <w:spacing w:before="0" w:after="0"/>
              <w:jc w:val="both"/>
            </w:pPr>
            <w:r w:rsidRPr="00CA6FAB">
              <w:t>Cita informācija</w:t>
            </w:r>
          </w:p>
        </w:tc>
        <w:tc>
          <w:tcPr>
            <w:tcW w:w="4590" w:type="dxa"/>
          </w:tcPr>
          <w:p w:rsidR="00F44C8D" w:rsidRPr="00CA6FAB" w:rsidRDefault="00F44C8D" w:rsidP="00C07A60">
            <w:pPr>
              <w:pStyle w:val="naiskr"/>
              <w:tabs>
                <w:tab w:val="left" w:pos="2628"/>
              </w:tabs>
              <w:spacing w:before="0" w:after="0"/>
              <w:jc w:val="both"/>
              <w:rPr>
                <w:iCs/>
              </w:rPr>
            </w:pPr>
            <w:r w:rsidRPr="00CA6FAB">
              <w:t>Nav.</w:t>
            </w:r>
          </w:p>
        </w:tc>
      </w:tr>
    </w:tbl>
    <w:p w:rsidR="00F44C8D" w:rsidRPr="00CA6FAB" w:rsidRDefault="00F44C8D" w:rsidP="006B2B43">
      <w:pPr>
        <w:pStyle w:val="naisf"/>
        <w:spacing w:before="0" w:after="0"/>
      </w:pPr>
    </w:p>
    <w:tbl>
      <w:tblPr>
        <w:tblW w:w="9424"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878"/>
        <w:gridCol w:w="1713"/>
        <w:gridCol w:w="3149"/>
        <w:gridCol w:w="2684"/>
      </w:tblGrid>
      <w:tr w:rsidR="00F44C8D" w:rsidRPr="00CA6FAB" w:rsidTr="00A10E52">
        <w:trPr>
          <w:trHeight w:val="523"/>
          <w:jc w:val="center"/>
        </w:trPr>
        <w:tc>
          <w:tcPr>
            <w:tcW w:w="9424" w:type="dxa"/>
            <w:gridSpan w:val="4"/>
            <w:vAlign w:val="center"/>
          </w:tcPr>
          <w:p w:rsidR="00F44C8D" w:rsidRPr="00CA6FAB" w:rsidRDefault="00F44C8D" w:rsidP="00C07A60">
            <w:pPr>
              <w:pStyle w:val="naisnod"/>
              <w:spacing w:before="0" w:after="0"/>
            </w:pPr>
            <w:r w:rsidRPr="00CA6FAB">
              <w:t xml:space="preserve">1.tabula </w:t>
            </w:r>
          </w:p>
          <w:p w:rsidR="00F44C8D" w:rsidRPr="00CA6FAB" w:rsidRDefault="00F44C8D" w:rsidP="00C07A60">
            <w:pPr>
              <w:pStyle w:val="naisnod"/>
              <w:spacing w:before="0" w:after="0"/>
              <w:rPr>
                <w:i/>
              </w:rPr>
            </w:pPr>
            <w:r w:rsidRPr="00CA6FAB">
              <w:t>Tiesību akta projekta atbilstība ES tiesību aktiem</w:t>
            </w:r>
          </w:p>
        </w:tc>
      </w:tr>
      <w:tr w:rsidR="00F44C8D" w:rsidRPr="00CA6FAB" w:rsidTr="00CA6FAB">
        <w:trPr>
          <w:trHeight w:val="1252"/>
          <w:jc w:val="center"/>
        </w:trPr>
        <w:tc>
          <w:tcPr>
            <w:tcW w:w="1878" w:type="dxa"/>
            <w:vAlign w:val="center"/>
          </w:tcPr>
          <w:p w:rsidR="00F44C8D" w:rsidRPr="00CA6FAB" w:rsidRDefault="00F44C8D" w:rsidP="00C07A60">
            <w:pPr>
              <w:pStyle w:val="naiskr"/>
              <w:spacing w:before="0" w:after="0"/>
              <w:ind w:hanging="10"/>
              <w:jc w:val="center"/>
            </w:pPr>
            <w:r w:rsidRPr="00CA6FAB">
              <w:t>Attiecīgā ES tiesību akta datums, numurs un nosaukums</w:t>
            </w:r>
          </w:p>
        </w:tc>
        <w:tc>
          <w:tcPr>
            <w:tcW w:w="7546" w:type="dxa"/>
            <w:gridSpan w:val="3"/>
            <w:vAlign w:val="center"/>
          </w:tcPr>
          <w:p w:rsidR="00F44C8D" w:rsidRPr="00CA6FAB" w:rsidRDefault="00F44C8D" w:rsidP="00C07A60">
            <w:pPr>
              <w:pStyle w:val="naiskr"/>
              <w:spacing w:before="0" w:after="0"/>
            </w:pPr>
            <w:r w:rsidRPr="00CA6FAB">
              <w:rPr>
                <w:rStyle w:val="Izteiksmgs"/>
                <w:b w:val="0"/>
                <w:bCs/>
              </w:rPr>
              <w:t>Regula Nr. 657/2008.</w:t>
            </w:r>
          </w:p>
        </w:tc>
      </w:tr>
      <w:tr w:rsidR="00F44C8D" w:rsidRPr="00CA6FAB" w:rsidTr="00A10E52">
        <w:trPr>
          <w:trHeight w:val="163"/>
          <w:jc w:val="center"/>
        </w:trPr>
        <w:tc>
          <w:tcPr>
            <w:tcW w:w="9424" w:type="dxa"/>
            <w:gridSpan w:val="4"/>
            <w:vAlign w:val="center"/>
          </w:tcPr>
          <w:p w:rsidR="00F44C8D" w:rsidRPr="00CA6FAB" w:rsidRDefault="00F44C8D" w:rsidP="00C07A60">
            <w:pPr>
              <w:pStyle w:val="naiskr"/>
              <w:spacing w:before="0" w:after="0"/>
              <w:rPr>
                <w:i/>
              </w:rPr>
            </w:pPr>
          </w:p>
        </w:tc>
      </w:tr>
      <w:tr w:rsidR="00F44C8D" w:rsidRPr="00CA6FAB" w:rsidTr="00CA6FAB">
        <w:trPr>
          <w:trHeight w:val="165"/>
          <w:jc w:val="center"/>
        </w:trPr>
        <w:tc>
          <w:tcPr>
            <w:tcW w:w="1878" w:type="dxa"/>
            <w:vAlign w:val="center"/>
          </w:tcPr>
          <w:p w:rsidR="00F44C8D" w:rsidRPr="00CA6FAB" w:rsidRDefault="00F44C8D" w:rsidP="00C07A60">
            <w:pPr>
              <w:pStyle w:val="naiskr"/>
              <w:spacing w:before="0" w:after="0"/>
              <w:jc w:val="center"/>
            </w:pPr>
            <w:r w:rsidRPr="00CA6FAB">
              <w:t>A</w:t>
            </w:r>
          </w:p>
        </w:tc>
        <w:tc>
          <w:tcPr>
            <w:tcW w:w="1713" w:type="dxa"/>
            <w:vAlign w:val="center"/>
          </w:tcPr>
          <w:p w:rsidR="00F44C8D" w:rsidRPr="00CA6FAB" w:rsidRDefault="00F44C8D" w:rsidP="00C07A60">
            <w:pPr>
              <w:pStyle w:val="naiskr"/>
              <w:spacing w:before="0" w:after="0"/>
              <w:jc w:val="center"/>
            </w:pPr>
            <w:r w:rsidRPr="00CA6FAB">
              <w:t>B</w:t>
            </w:r>
          </w:p>
        </w:tc>
        <w:tc>
          <w:tcPr>
            <w:tcW w:w="3149" w:type="dxa"/>
            <w:vAlign w:val="center"/>
          </w:tcPr>
          <w:p w:rsidR="00F44C8D" w:rsidRPr="00CA6FAB" w:rsidRDefault="00F44C8D" w:rsidP="00C07A60">
            <w:pPr>
              <w:pStyle w:val="naiskr"/>
              <w:spacing w:before="0" w:after="0"/>
              <w:jc w:val="center"/>
            </w:pPr>
            <w:r w:rsidRPr="00CA6FAB">
              <w:t>C</w:t>
            </w:r>
          </w:p>
        </w:tc>
        <w:tc>
          <w:tcPr>
            <w:tcW w:w="2684" w:type="dxa"/>
            <w:vAlign w:val="center"/>
          </w:tcPr>
          <w:p w:rsidR="00F44C8D" w:rsidRPr="00CA6FAB" w:rsidRDefault="00F44C8D" w:rsidP="00C07A60">
            <w:pPr>
              <w:pStyle w:val="naiskr"/>
              <w:spacing w:before="0" w:after="0"/>
              <w:jc w:val="center"/>
            </w:pPr>
            <w:r w:rsidRPr="00CA6FAB">
              <w:t>D</w:t>
            </w:r>
          </w:p>
        </w:tc>
      </w:tr>
      <w:tr w:rsidR="00F44C8D" w:rsidRPr="00CA6FAB" w:rsidTr="00CA6FAB">
        <w:trPr>
          <w:trHeight w:val="4708"/>
          <w:jc w:val="center"/>
        </w:trPr>
        <w:tc>
          <w:tcPr>
            <w:tcW w:w="1878" w:type="dxa"/>
          </w:tcPr>
          <w:p w:rsidR="00F44C8D" w:rsidRPr="00CA6FAB" w:rsidRDefault="00F44C8D" w:rsidP="00C07A60">
            <w:pPr>
              <w:pStyle w:val="naiskr"/>
              <w:spacing w:before="0" w:after="0"/>
            </w:pPr>
            <w:r w:rsidRPr="00CA6FAB">
              <w:lastRenderedPageBreak/>
              <w:t xml:space="preserve">Attiecīgā ES tiesību akta panta numurs (uzskaitot katru tiesību akta </w:t>
            </w:r>
            <w:r w:rsidRPr="00CA6FAB">
              <w:br/>
              <w:t>vienību – pantu, daļu, punktu, apakšpunktu)</w:t>
            </w:r>
          </w:p>
        </w:tc>
        <w:tc>
          <w:tcPr>
            <w:tcW w:w="1713" w:type="dxa"/>
          </w:tcPr>
          <w:p w:rsidR="00F44C8D" w:rsidRPr="00CA6FAB" w:rsidRDefault="00F44C8D" w:rsidP="00C07A60">
            <w:pPr>
              <w:pStyle w:val="naiskr"/>
              <w:spacing w:before="0" w:after="0"/>
            </w:pPr>
            <w:r w:rsidRPr="00CA6FAB">
              <w:t>Projekta vienība, kas pārņem vai ievieš katru šīs tabulas A ailē minēto ES tiesību akta vienību</w:t>
            </w:r>
          </w:p>
        </w:tc>
        <w:tc>
          <w:tcPr>
            <w:tcW w:w="3149" w:type="dxa"/>
          </w:tcPr>
          <w:p w:rsidR="00F44C8D" w:rsidRPr="00CA6FAB" w:rsidRDefault="00F44C8D" w:rsidP="00C07A60">
            <w:pPr>
              <w:pStyle w:val="naiskr"/>
              <w:spacing w:before="0" w:after="0"/>
            </w:pPr>
            <w:r w:rsidRPr="00CA6FAB">
              <w:t>Informācija par to, vai šīs tabulas A ailē minētās ES tiesību akta vienības tiek pārņemtas vai ieviestas pilnībā vai daļēji.</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Ja attiecīgā ES tiesību akta vienība tiek pārņemta vai ieviesta daļēji, – sniedz attiecīgu skaidrojumu, kā arī precīzi norāda, kad un kādā veidā ES tiesību akta vienība tiks pārņemta vai ieviesta pilnībā.</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Norāda institūciju, kas ir atbildīga par šo saistību izpildi pilnībā</w:t>
            </w:r>
          </w:p>
        </w:tc>
        <w:tc>
          <w:tcPr>
            <w:tcW w:w="2684" w:type="dxa"/>
          </w:tcPr>
          <w:p w:rsidR="00F44C8D" w:rsidRPr="00CA6FAB" w:rsidRDefault="00F44C8D" w:rsidP="00C07A60">
            <w:pPr>
              <w:pStyle w:val="naiskr"/>
              <w:spacing w:before="0" w:after="0"/>
            </w:pPr>
            <w:r w:rsidRPr="00CA6FAB">
              <w:t>Informācija par to, vai šīs tabulas B ailē minētās projekta vienības paredz stingrākas prasības nekā šīs tabulas A ailē minētās ES tiesību akta vienības.</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Ja projekts satur stingrākas prasības nekā attiecīgais ES tiesību akts, – norāda pamatojumu un samērīgumu.</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Norāda iespējamās alternatīvas (t.sk. alternatīvas, kas neparedz tiesiskā regulējuma izstrādi) – kādos gadījumos būtu iespējams izvairīties no stingrāku prasību noteikšanas, nekā paredzēts attiecīgajos ES tiesību aktos</w:t>
            </w:r>
          </w:p>
        </w:tc>
      </w:tr>
      <w:tr w:rsidR="00F44C8D" w:rsidRPr="00CA6FAB" w:rsidTr="00CA6FAB">
        <w:trPr>
          <w:trHeight w:val="20"/>
          <w:jc w:val="center"/>
        </w:trPr>
        <w:tc>
          <w:tcPr>
            <w:tcW w:w="1878" w:type="dxa"/>
            <w:vAlign w:val="center"/>
          </w:tcPr>
          <w:p w:rsidR="00F44C8D" w:rsidRPr="00CA6FAB" w:rsidRDefault="00F44C8D" w:rsidP="00D12880">
            <w:pPr>
              <w:pStyle w:val="naiskr"/>
              <w:spacing w:before="0" w:after="0"/>
              <w:jc w:val="center"/>
              <w:rPr>
                <w:b/>
                <w:i/>
              </w:rPr>
            </w:pPr>
            <w:r w:rsidRPr="00CA6FAB">
              <w:rPr>
                <w:b/>
                <w:i/>
              </w:rPr>
              <w:t xml:space="preserve">Regulas Nr.657/2008 12.panta 1.punkta </w:t>
            </w:r>
            <w:r w:rsidR="003372EC" w:rsidRPr="00CA6FAB">
              <w:rPr>
                <w:b/>
                <w:i/>
              </w:rPr>
              <w:t>„</w:t>
            </w:r>
            <w:r w:rsidRPr="00CA6FAB">
              <w:rPr>
                <w:b/>
                <w:i/>
              </w:rPr>
              <w:t>c</w:t>
            </w:r>
            <w:r w:rsidR="003372EC" w:rsidRPr="00CA6FAB">
              <w:rPr>
                <w:b/>
                <w:i/>
              </w:rPr>
              <w:t>”</w:t>
            </w:r>
            <w:r w:rsidRPr="00CA6FAB">
              <w:rPr>
                <w:b/>
                <w:i/>
              </w:rPr>
              <w:t xml:space="preserve"> apakšpunkts</w:t>
            </w:r>
          </w:p>
        </w:tc>
        <w:tc>
          <w:tcPr>
            <w:tcW w:w="1713" w:type="dxa"/>
            <w:vAlign w:val="center"/>
          </w:tcPr>
          <w:p w:rsidR="00F44C8D" w:rsidRPr="00CA6FAB" w:rsidRDefault="00F44C8D" w:rsidP="00C07A60">
            <w:pPr>
              <w:pStyle w:val="naiskr"/>
              <w:spacing w:before="0" w:after="0"/>
              <w:jc w:val="center"/>
              <w:rPr>
                <w:b/>
                <w:i/>
              </w:rPr>
            </w:pPr>
            <w:r w:rsidRPr="00CA6FAB">
              <w:rPr>
                <w:b/>
                <w:i/>
              </w:rPr>
              <w:t>7.3.punkts</w:t>
            </w:r>
          </w:p>
        </w:tc>
        <w:tc>
          <w:tcPr>
            <w:tcW w:w="3149" w:type="dxa"/>
            <w:vAlign w:val="center"/>
          </w:tcPr>
          <w:p w:rsidR="00F44C8D" w:rsidRPr="00CA6FAB" w:rsidRDefault="00F44C8D" w:rsidP="00C07A60">
            <w:pPr>
              <w:pStyle w:val="naiskr"/>
              <w:spacing w:before="0" w:after="0"/>
              <w:jc w:val="center"/>
              <w:rPr>
                <w:b/>
                <w:i/>
              </w:rPr>
            </w:pPr>
            <w:r w:rsidRPr="00CA6FAB">
              <w:rPr>
                <w:b/>
                <w:i/>
              </w:rPr>
              <w:t>Ieviests pilnībā</w:t>
            </w:r>
          </w:p>
        </w:tc>
        <w:tc>
          <w:tcPr>
            <w:tcW w:w="2684" w:type="dxa"/>
            <w:vAlign w:val="center"/>
          </w:tcPr>
          <w:p w:rsidR="00F44C8D" w:rsidRPr="00CA6FAB" w:rsidRDefault="00F44C8D" w:rsidP="00D12880">
            <w:pPr>
              <w:pStyle w:val="naiskr"/>
              <w:spacing w:before="0" w:after="0"/>
              <w:jc w:val="center"/>
              <w:rPr>
                <w:b/>
                <w:i/>
              </w:rPr>
            </w:pPr>
            <w:r w:rsidRPr="00CA6FAB">
              <w:rPr>
                <w:b/>
                <w:i/>
              </w:rPr>
              <w:t>Netiek noteiktas stingrākas prasības</w:t>
            </w:r>
          </w:p>
        </w:tc>
      </w:tr>
      <w:tr w:rsidR="00F44C8D" w:rsidRPr="00CA6FAB" w:rsidTr="00CA6FAB">
        <w:trPr>
          <w:trHeight w:val="281"/>
          <w:jc w:val="center"/>
        </w:trPr>
        <w:tc>
          <w:tcPr>
            <w:tcW w:w="1878" w:type="dxa"/>
            <w:vAlign w:val="center"/>
          </w:tcPr>
          <w:p w:rsidR="00F44C8D" w:rsidRPr="00CA6FAB" w:rsidRDefault="00F44C8D" w:rsidP="00C07A60">
            <w:pPr>
              <w:pStyle w:val="naiskr"/>
              <w:spacing w:before="0" w:after="0"/>
            </w:pPr>
            <w:r w:rsidRPr="00CA6FAB">
              <w:t>Kā ir izmantota ES tiesību aktā paredzētā rīcības brīvība dalībvalstij pārņemt vai ieviest noteiktas ES tiesību akta normas.</w:t>
            </w:r>
          </w:p>
          <w:p w:rsidR="00F44C8D" w:rsidRPr="00CA6FAB" w:rsidRDefault="00F44C8D" w:rsidP="00C07A60">
            <w:pPr>
              <w:pStyle w:val="naiskr"/>
              <w:spacing w:before="0" w:after="0"/>
            </w:pPr>
            <w:r w:rsidRPr="00CA6FAB">
              <w:t>Kādēļ?</w:t>
            </w:r>
          </w:p>
        </w:tc>
        <w:tc>
          <w:tcPr>
            <w:tcW w:w="7546" w:type="dxa"/>
            <w:gridSpan w:val="3"/>
          </w:tcPr>
          <w:p w:rsidR="00F44C8D" w:rsidRPr="00CA6FAB" w:rsidRDefault="00F44C8D" w:rsidP="003372EC">
            <w:pPr>
              <w:pStyle w:val="naiskr"/>
              <w:spacing w:before="0" w:after="0"/>
              <w:ind w:firstLine="255"/>
              <w:jc w:val="both"/>
            </w:pPr>
            <w:r w:rsidRPr="00CA6FAB">
              <w:t xml:space="preserve">Regulas Nr.657/2008 12.panta 1.punkta </w:t>
            </w:r>
            <w:r w:rsidR="003372EC" w:rsidRPr="00CA6FAB">
              <w:t>„</w:t>
            </w:r>
            <w:r w:rsidRPr="00CA6FAB">
              <w:t>c</w:t>
            </w:r>
            <w:r w:rsidR="003372EC" w:rsidRPr="00CA6FAB">
              <w:t>”</w:t>
            </w:r>
            <w:r w:rsidRPr="00CA6FAB">
              <w:t xml:space="preserve"> apakšpunkts paredz, ka dalībvalsts </w:t>
            </w:r>
            <w:r w:rsidR="003372EC" w:rsidRPr="00CA6FAB">
              <w:t>par pierādījumu tam</w:t>
            </w:r>
            <w:r w:rsidRPr="00CA6FAB">
              <w:t>, ka pretendents ir samaksājis par piegādāt</w:t>
            </w:r>
            <w:r w:rsidR="003372EC" w:rsidRPr="00CA6FAB">
              <w:t>o</w:t>
            </w:r>
            <w:r w:rsidRPr="00CA6FAB">
              <w:t xml:space="preserve"> produktu daudzum</w:t>
            </w:r>
            <w:r w:rsidR="003372EC" w:rsidRPr="00CA6FAB">
              <w:t>u</w:t>
            </w:r>
            <w:r w:rsidRPr="00CA6FAB">
              <w:t xml:space="preserve">, </w:t>
            </w:r>
            <w:r w:rsidR="003372EC" w:rsidRPr="00CA6FAB">
              <w:t xml:space="preserve">var izvēlēties </w:t>
            </w:r>
            <w:r w:rsidRPr="00CA6FAB">
              <w:t>iesniegt cita veida pierādījumu, nevis kvīti. Līdz šim noteikumu Nr.106 7.3.apakšpunkts paredzēja, ka šie alternatīvie pierādījumi ir pavaddokumentu (pavadzīmju) atvasinājumi. Projekts paredz turpmāk atļaut iesniegt arī pavadzīmju kopsavilkumus</w:t>
            </w:r>
            <w:r w:rsidR="003372EC" w:rsidRPr="00CA6FAB">
              <w:t> –</w:t>
            </w:r>
            <w:r w:rsidRPr="00CA6FAB">
              <w:t xml:space="preserve"> </w:t>
            </w:r>
            <w:r w:rsidR="003372EC" w:rsidRPr="00CA6FAB">
              <w:t>t</w:t>
            </w:r>
            <w:r w:rsidRPr="00CA6FAB">
              <w:t xml:space="preserve">as dienestam ļaus operatīvāk izvērtēt iesniegtos iesniegumus atbalsta saņemšanai un tā mazinās iespēju, ka </w:t>
            </w:r>
            <w:r w:rsidR="003372EC" w:rsidRPr="00CA6FAB">
              <w:t xml:space="preserve">kontroļu dēļ </w:t>
            </w:r>
            <w:r w:rsidRPr="00CA6FAB">
              <w:t>atbalsta izmaksa varētu aizkavēties.</w:t>
            </w:r>
          </w:p>
        </w:tc>
      </w:tr>
      <w:tr w:rsidR="00F44C8D" w:rsidRPr="00CA6FAB" w:rsidTr="00CA6FAB">
        <w:trPr>
          <w:trHeight w:val="913"/>
          <w:jc w:val="center"/>
        </w:trPr>
        <w:tc>
          <w:tcPr>
            <w:tcW w:w="1878" w:type="dxa"/>
            <w:vAlign w:val="center"/>
          </w:tcPr>
          <w:p w:rsidR="00F44C8D" w:rsidRPr="00CA6FAB" w:rsidRDefault="00F44C8D" w:rsidP="00C07A60">
            <w:pPr>
              <w:pStyle w:val="naiskr"/>
              <w:spacing w:before="0" w:after="0"/>
              <w:rPr>
                <w:i/>
              </w:rPr>
            </w:pPr>
            <w:r w:rsidRPr="00CA6FAB">
              <w:t xml:space="preserve">Saistības sniegt paziņojumu ES institūcijām un ES dalībvalstīm atbilstoši normatīvajiem aktiem, kas regulē informācijas sniegšanu par tehnisko noteikumu, valsts atbalsta piešķiršanas un </w:t>
            </w:r>
            <w:r w:rsidRPr="00CA6FAB">
              <w:lastRenderedPageBreak/>
              <w:t>finanšu noteikumu (attiecībā uz monetāro politiku) projektiem</w:t>
            </w:r>
          </w:p>
        </w:tc>
        <w:tc>
          <w:tcPr>
            <w:tcW w:w="7546" w:type="dxa"/>
            <w:gridSpan w:val="3"/>
          </w:tcPr>
          <w:p w:rsidR="00F44C8D" w:rsidRPr="00CA6FAB" w:rsidRDefault="00F44C8D" w:rsidP="00C07A60">
            <w:pPr>
              <w:pStyle w:val="naiskr"/>
              <w:spacing w:before="0" w:after="0"/>
            </w:pPr>
            <w:r w:rsidRPr="00CA6FAB">
              <w:rPr>
                <w:rFonts w:ascii="TimesNewRomanPSMT" w:hAnsi="TimesNewRomanPSMT" w:cs="TimesNewRomanPSMT"/>
              </w:rPr>
              <w:lastRenderedPageBreak/>
              <w:t>Nav attiecināms.</w:t>
            </w:r>
          </w:p>
        </w:tc>
      </w:tr>
      <w:tr w:rsidR="00F44C8D" w:rsidRPr="00CA6FAB" w:rsidTr="00CA6FAB">
        <w:trPr>
          <w:trHeight w:val="579"/>
          <w:jc w:val="center"/>
        </w:trPr>
        <w:tc>
          <w:tcPr>
            <w:tcW w:w="1878" w:type="dxa"/>
          </w:tcPr>
          <w:p w:rsidR="00F44C8D" w:rsidRPr="00CA6FAB" w:rsidRDefault="00F44C8D" w:rsidP="00C07A60">
            <w:pPr>
              <w:pStyle w:val="naiskr"/>
              <w:spacing w:before="0" w:after="0"/>
            </w:pPr>
            <w:r w:rsidRPr="00CA6FAB">
              <w:lastRenderedPageBreak/>
              <w:t>Cita informācija</w:t>
            </w:r>
          </w:p>
        </w:tc>
        <w:tc>
          <w:tcPr>
            <w:tcW w:w="7546" w:type="dxa"/>
            <w:gridSpan w:val="3"/>
          </w:tcPr>
          <w:p w:rsidR="00F44C8D" w:rsidRPr="00CA6FAB" w:rsidRDefault="00F44C8D" w:rsidP="00C07A60">
            <w:pPr>
              <w:pStyle w:val="naiskr"/>
              <w:spacing w:before="0" w:after="0"/>
              <w:rPr>
                <w:i/>
              </w:rPr>
            </w:pPr>
            <w:r w:rsidRPr="00CA6FAB">
              <w:t>Nav.</w:t>
            </w:r>
          </w:p>
        </w:tc>
      </w:tr>
    </w:tbl>
    <w:p w:rsidR="00F44C8D" w:rsidRPr="00CA6FAB" w:rsidRDefault="00F44C8D" w:rsidP="006B2B43">
      <w:pPr>
        <w:pStyle w:val="naisf"/>
        <w:spacing w:before="0" w:after="0"/>
        <w:ind w:firstLine="0"/>
      </w:pPr>
    </w:p>
    <w:tbl>
      <w:tblPr>
        <w:tblW w:w="9422"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7"/>
        <w:gridCol w:w="3544"/>
        <w:gridCol w:w="4001"/>
      </w:tblGrid>
      <w:tr w:rsidR="00F44C8D" w:rsidRPr="00CA6FAB" w:rsidTr="00A10E52">
        <w:trPr>
          <w:trHeight w:val="792"/>
          <w:jc w:val="center"/>
        </w:trPr>
        <w:tc>
          <w:tcPr>
            <w:tcW w:w="9422" w:type="dxa"/>
            <w:gridSpan w:val="3"/>
            <w:vAlign w:val="center"/>
          </w:tcPr>
          <w:p w:rsidR="00F44C8D" w:rsidRPr="00CA6FAB" w:rsidRDefault="00F44C8D" w:rsidP="00C07A60">
            <w:pPr>
              <w:pStyle w:val="naisnod"/>
              <w:spacing w:before="0" w:after="0"/>
            </w:pPr>
            <w:r w:rsidRPr="00CA6FAB">
              <w:t xml:space="preserve">2.tabula </w:t>
            </w:r>
          </w:p>
          <w:p w:rsidR="00F44C8D" w:rsidRPr="00CA6FAB" w:rsidRDefault="00F44C8D" w:rsidP="00C07A60">
            <w:pPr>
              <w:pStyle w:val="naisnod"/>
              <w:spacing w:before="0" w:after="0"/>
            </w:pPr>
            <w:r w:rsidRPr="00CA6FAB">
              <w:t>Ar tiesību akta projektu uzņemtās saistības, kas izriet no starptautiskajiem tiesību aktiem vai starptautiskas institūcijas vai organizācijas dokumentiem</w:t>
            </w:r>
          </w:p>
          <w:p w:rsidR="00F44C8D" w:rsidRPr="00CA6FAB" w:rsidRDefault="00F44C8D" w:rsidP="00C07A60">
            <w:pPr>
              <w:pStyle w:val="naisnod"/>
              <w:spacing w:before="0" w:after="0"/>
            </w:pPr>
            <w:r w:rsidRPr="00CA6FAB">
              <w:t>Pasākumi šo saistību izpildei</w:t>
            </w:r>
          </w:p>
        </w:tc>
      </w:tr>
      <w:tr w:rsidR="00F44C8D" w:rsidRPr="00CA6FAB" w:rsidTr="00CA6FAB">
        <w:trPr>
          <w:trHeight w:val="1596"/>
          <w:jc w:val="center"/>
        </w:trPr>
        <w:tc>
          <w:tcPr>
            <w:tcW w:w="1877" w:type="dxa"/>
            <w:vAlign w:val="center"/>
          </w:tcPr>
          <w:p w:rsidR="00F44C8D" w:rsidRPr="00CA6FAB" w:rsidRDefault="00F44C8D" w:rsidP="00C07A60">
            <w:pPr>
              <w:pStyle w:val="naiskr"/>
              <w:spacing w:before="0" w:after="0"/>
              <w:ind w:hanging="10"/>
            </w:pPr>
            <w:r w:rsidRPr="00CA6FAB">
              <w:t>Attiecīgā starptautiskā tiesību akta vai starptautiskas institūcijas vai organizācijas dokumenta (turpmāk – starptautiskais dokuments) datums, numurs un nosaukums</w:t>
            </w:r>
          </w:p>
        </w:tc>
        <w:tc>
          <w:tcPr>
            <w:tcW w:w="7545" w:type="dxa"/>
            <w:gridSpan w:val="2"/>
          </w:tcPr>
          <w:p w:rsidR="00F44C8D" w:rsidRPr="00CA6FAB" w:rsidRDefault="00F44C8D" w:rsidP="00C07A60">
            <w:pPr>
              <w:pStyle w:val="naiskr"/>
              <w:spacing w:before="0" w:after="0"/>
            </w:pPr>
            <w:r w:rsidRPr="00CA6FAB">
              <w:t>Nav attiecināms.</w:t>
            </w:r>
          </w:p>
        </w:tc>
      </w:tr>
      <w:tr w:rsidR="00F44C8D" w:rsidRPr="00CA6FAB" w:rsidTr="00CA6FAB">
        <w:trPr>
          <w:trHeight w:val="297"/>
          <w:jc w:val="center"/>
        </w:trPr>
        <w:tc>
          <w:tcPr>
            <w:tcW w:w="9422" w:type="dxa"/>
            <w:gridSpan w:val="3"/>
            <w:vAlign w:val="center"/>
          </w:tcPr>
          <w:p w:rsidR="00F44C8D" w:rsidRPr="00CA6FAB" w:rsidRDefault="00F44C8D" w:rsidP="00C07A60">
            <w:pPr>
              <w:pStyle w:val="naiskr"/>
              <w:spacing w:before="0" w:after="0"/>
              <w:rPr>
                <w:i/>
              </w:rPr>
            </w:pPr>
          </w:p>
        </w:tc>
      </w:tr>
      <w:tr w:rsidR="00F44C8D" w:rsidRPr="00CA6FAB" w:rsidTr="00CA6FAB">
        <w:trPr>
          <w:trHeight w:val="341"/>
          <w:jc w:val="center"/>
        </w:trPr>
        <w:tc>
          <w:tcPr>
            <w:tcW w:w="1877" w:type="dxa"/>
            <w:vAlign w:val="center"/>
          </w:tcPr>
          <w:p w:rsidR="00F44C8D" w:rsidRPr="00CA6FAB" w:rsidRDefault="00F44C8D" w:rsidP="00C07A60">
            <w:pPr>
              <w:pStyle w:val="naiskr"/>
              <w:spacing w:before="0" w:after="0"/>
              <w:jc w:val="center"/>
            </w:pPr>
            <w:r w:rsidRPr="00CA6FAB">
              <w:t>A</w:t>
            </w:r>
          </w:p>
        </w:tc>
        <w:tc>
          <w:tcPr>
            <w:tcW w:w="3544" w:type="dxa"/>
            <w:vAlign w:val="center"/>
          </w:tcPr>
          <w:p w:rsidR="00F44C8D" w:rsidRPr="00CA6FAB" w:rsidRDefault="00F44C8D" w:rsidP="00C07A60">
            <w:pPr>
              <w:pStyle w:val="naiskr"/>
              <w:spacing w:before="0" w:after="0"/>
              <w:jc w:val="center"/>
            </w:pPr>
            <w:r w:rsidRPr="00CA6FAB">
              <w:t>B</w:t>
            </w:r>
          </w:p>
        </w:tc>
        <w:tc>
          <w:tcPr>
            <w:tcW w:w="4001" w:type="dxa"/>
            <w:vAlign w:val="center"/>
          </w:tcPr>
          <w:p w:rsidR="00F44C8D" w:rsidRPr="00CA6FAB" w:rsidRDefault="00F44C8D" w:rsidP="00C07A60">
            <w:pPr>
              <w:pStyle w:val="naiskr"/>
              <w:spacing w:before="0" w:after="0"/>
              <w:jc w:val="center"/>
            </w:pPr>
            <w:r w:rsidRPr="00CA6FAB">
              <w:t>C</w:t>
            </w:r>
          </w:p>
        </w:tc>
      </w:tr>
      <w:tr w:rsidR="00F44C8D" w:rsidRPr="00CA6FAB" w:rsidTr="00CA6FAB">
        <w:trPr>
          <w:trHeight w:val="341"/>
          <w:jc w:val="center"/>
        </w:trPr>
        <w:tc>
          <w:tcPr>
            <w:tcW w:w="1877" w:type="dxa"/>
          </w:tcPr>
          <w:p w:rsidR="00F44C8D" w:rsidRPr="00CA6FAB" w:rsidRDefault="00F44C8D" w:rsidP="00C07A60">
            <w:pPr>
              <w:pStyle w:val="naiskr"/>
              <w:spacing w:before="0" w:after="0"/>
            </w:pPr>
            <w:r w:rsidRPr="00CA6FAB">
              <w:t>Starptautiskās saistības (pēc būtības), kas izriet no norādītā starptautiskā dokumenta.</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Konkrēti veicamie pasākumi vai uzdevumi, kas nepieciešami šo starptautisko saistību izpildei</w:t>
            </w:r>
          </w:p>
        </w:tc>
        <w:tc>
          <w:tcPr>
            <w:tcW w:w="3544" w:type="dxa"/>
          </w:tcPr>
          <w:p w:rsidR="00F44C8D" w:rsidRPr="00CA6FAB" w:rsidRDefault="00F44C8D" w:rsidP="00C07A60">
            <w:pPr>
              <w:pStyle w:val="naiskr"/>
              <w:spacing w:before="0" w:after="0"/>
            </w:pPr>
            <w:r w:rsidRPr="00CA6FAB">
              <w:t>Ja pasākumi vai uzdevumi, ar ko tiks izpildītas starptautiskās saistības, tiek noteikti projektā, norāda attiecīgo projekta vienību.</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Vai arī norāda dokumentu, kurā sniegts izvērsts skaidrojums, kādā veidā tiks nodrošināta starptautisko saistību izpilde</w:t>
            </w:r>
          </w:p>
        </w:tc>
        <w:tc>
          <w:tcPr>
            <w:tcW w:w="4001" w:type="dxa"/>
          </w:tcPr>
          <w:p w:rsidR="00F44C8D" w:rsidRPr="00CA6FAB" w:rsidRDefault="00F44C8D" w:rsidP="00C07A60">
            <w:pPr>
              <w:pStyle w:val="naiskr"/>
              <w:spacing w:before="0" w:after="0"/>
            </w:pPr>
            <w:r w:rsidRPr="00CA6FAB">
              <w:t>Informācija par to, vai starptautiskās saistības, kas minētas šīs tabulas A ailē, tiek izpildītas pilnībā vai daļēji.</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Ja attiecīgās starptautiskās saistības tiek izpildītas daļēji, sniedz attiecīgu skaidrojumu, kā arī precīzi norāda, kad un kādā veidā starptautiskās saistības tiks izpildītas pilnībā.</w:t>
            </w:r>
          </w:p>
          <w:p w:rsidR="00F44C8D" w:rsidRPr="00CA6FAB" w:rsidRDefault="00F44C8D" w:rsidP="00C07A60">
            <w:pPr>
              <w:pStyle w:val="naiskr"/>
              <w:spacing w:before="0" w:after="0"/>
            </w:pPr>
          </w:p>
          <w:p w:rsidR="00F44C8D" w:rsidRPr="00CA6FAB" w:rsidRDefault="00F44C8D" w:rsidP="00C07A60">
            <w:pPr>
              <w:pStyle w:val="naiskr"/>
              <w:spacing w:before="0" w:after="0"/>
            </w:pPr>
            <w:r w:rsidRPr="00CA6FAB">
              <w:t>Norāda institūciju, kas ir atbildīga par šo saistību izpildi pilnībā</w:t>
            </w:r>
          </w:p>
        </w:tc>
      </w:tr>
      <w:tr w:rsidR="00F44C8D" w:rsidRPr="00CA6FAB" w:rsidTr="00CA6FAB">
        <w:trPr>
          <w:trHeight w:val="161"/>
          <w:jc w:val="center"/>
        </w:trPr>
        <w:tc>
          <w:tcPr>
            <w:tcW w:w="1877" w:type="dxa"/>
            <w:vAlign w:val="center"/>
          </w:tcPr>
          <w:p w:rsidR="00F44C8D" w:rsidRPr="00CA6FAB" w:rsidRDefault="00F44C8D" w:rsidP="00C07A60">
            <w:pPr>
              <w:pStyle w:val="naiskr"/>
              <w:spacing w:before="0" w:after="0"/>
              <w:jc w:val="center"/>
            </w:pPr>
            <w:r w:rsidRPr="00CA6FAB">
              <w:t>Nav attiecināms.</w:t>
            </w:r>
          </w:p>
        </w:tc>
        <w:tc>
          <w:tcPr>
            <w:tcW w:w="3544" w:type="dxa"/>
            <w:vAlign w:val="center"/>
          </w:tcPr>
          <w:p w:rsidR="00F44C8D" w:rsidRPr="00CA6FAB" w:rsidRDefault="00F44C8D" w:rsidP="00C07A60">
            <w:pPr>
              <w:pStyle w:val="naiskr"/>
              <w:spacing w:before="0" w:after="0"/>
              <w:jc w:val="center"/>
            </w:pPr>
            <w:r w:rsidRPr="00CA6FAB">
              <w:t>Nav attiecināms.</w:t>
            </w:r>
          </w:p>
        </w:tc>
        <w:tc>
          <w:tcPr>
            <w:tcW w:w="4001" w:type="dxa"/>
            <w:vAlign w:val="center"/>
          </w:tcPr>
          <w:p w:rsidR="00F44C8D" w:rsidRPr="00CA6FAB" w:rsidRDefault="00F44C8D" w:rsidP="00C07A60">
            <w:pPr>
              <w:pStyle w:val="naiskr"/>
              <w:spacing w:before="0" w:after="0"/>
              <w:jc w:val="center"/>
            </w:pPr>
            <w:r w:rsidRPr="00CA6FAB">
              <w:t>Nav attiecināms.</w:t>
            </w:r>
          </w:p>
        </w:tc>
      </w:tr>
      <w:tr w:rsidR="00F44C8D" w:rsidRPr="00CA6FAB" w:rsidTr="00CA6FAB">
        <w:trPr>
          <w:trHeight w:val="161"/>
          <w:jc w:val="center"/>
        </w:trPr>
        <w:tc>
          <w:tcPr>
            <w:tcW w:w="1877" w:type="dxa"/>
            <w:vAlign w:val="center"/>
          </w:tcPr>
          <w:p w:rsidR="00CA6FAB" w:rsidRPr="00CA6FAB" w:rsidRDefault="00F44C8D" w:rsidP="00C07A60">
            <w:pPr>
              <w:pStyle w:val="naisf"/>
              <w:tabs>
                <w:tab w:val="left" w:pos="900"/>
              </w:tabs>
              <w:spacing w:before="0" w:after="0"/>
              <w:ind w:firstLine="0"/>
              <w:jc w:val="left"/>
            </w:pPr>
            <w:r w:rsidRPr="00CA6FAB">
              <w:t>Vai starptautiskajā dokumentā paredzētās saistības nav pretrunā ar jau esošajām Latvijas Republikas starptautiskajām saistībām</w:t>
            </w:r>
          </w:p>
        </w:tc>
        <w:tc>
          <w:tcPr>
            <w:tcW w:w="7545" w:type="dxa"/>
            <w:gridSpan w:val="2"/>
          </w:tcPr>
          <w:p w:rsidR="00F44C8D" w:rsidRPr="00CA6FAB" w:rsidRDefault="00F44C8D" w:rsidP="00C07A60">
            <w:pPr>
              <w:pStyle w:val="naiskr"/>
              <w:spacing w:before="0" w:after="0"/>
            </w:pPr>
            <w:r w:rsidRPr="00CA6FAB">
              <w:t>Nav attiecināms.</w:t>
            </w:r>
          </w:p>
        </w:tc>
      </w:tr>
      <w:tr w:rsidR="00F44C8D" w:rsidRPr="00CA6FAB" w:rsidTr="00CA6FAB">
        <w:trPr>
          <w:trHeight w:val="457"/>
          <w:jc w:val="center"/>
        </w:trPr>
        <w:tc>
          <w:tcPr>
            <w:tcW w:w="1877" w:type="dxa"/>
          </w:tcPr>
          <w:p w:rsidR="00F44C8D" w:rsidRPr="00CA6FAB" w:rsidRDefault="00F44C8D" w:rsidP="00C07A60">
            <w:pPr>
              <w:pStyle w:val="naiskr"/>
              <w:spacing w:before="0" w:after="0"/>
            </w:pPr>
            <w:r w:rsidRPr="00CA6FAB">
              <w:lastRenderedPageBreak/>
              <w:t>Cita informācija</w:t>
            </w:r>
          </w:p>
        </w:tc>
        <w:tc>
          <w:tcPr>
            <w:tcW w:w="7545" w:type="dxa"/>
            <w:gridSpan w:val="2"/>
          </w:tcPr>
          <w:p w:rsidR="00F44C8D" w:rsidRPr="00CA6FAB" w:rsidRDefault="00F44C8D" w:rsidP="00C07A60">
            <w:pPr>
              <w:pStyle w:val="naiskr"/>
              <w:spacing w:before="0" w:after="0"/>
            </w:pPr>
            <w:r w:rsidRPr="00CA6FAB">
              <w:t>Nav.</w:t>
            </w:r>
          </w:p>
        </w:tc>
      </w:tr>
    </w:tbl>
    <w:p w:rsidR="00F44C8D" w:rsidRPr="00CA6FAB" w:rsidRDefault="00F44C8D" w:rsidP="006B2B43">
      <w:pPr>
        <w:pStyle w:val="naisf"/>
        <w:spacing w:before="0" w:after="0"/>
        <w:jc w:val="center"/>
        <w:rPr>
          <w:b/>
        </w:rPr>
      </w:pPr>
    </w:p>
    <w:tbl>
      <w:tblPr>
        <w:tblW w:w="9420"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992"/>
        <w:gridCol w:w="4969"/>
      </w:tblGrid>
      <w:tr w:rsidR="00F44C8D" w:rsidRPr="00CA6FAB" w:rsidTr="00A10E52">
        <w:trPr>
          <w:jc w:val="center"/>
        </w:trPr>
        <w:tc>
          <w:tcPr>
            <w:tcW w:w="9420" w:type="dxa"/>
            <w:gridSpan w:val="3"/>
          </w:tcPr>
          <w:p w:rsidR="00F44C8D" w:rsidRPr="00CA6FAB" w:rsidRDefault="00F44C8D" w:rsidP="00C07A60">
            <w:pPr>
              <w:pStyle w:val="naisnod"/>
              <w:spacing w:before="0" w:after="0"/>
              <w:ind w:left="57" w:right="57"/>
            </w:pPr>
            <w:r w:rsidRPr="00CA6FAB">
              <w:t>VI. Sabiedrības līdzdalība un šīs līdzdalības rezultāti</w:t>
            </w:r>
          </w:p>
        </w:tc>
      </w:tr>
      <w:tr w:rsidR="00F44C8D" w:rsidRPr="00CA6FAB" w:rsidTr="00A10E52">
        <w:trPr>
          <w:trHeight w:val="553"/>
          <w:jc w:val="center"/>
        </w:trPr>
        <w:tc>
          <w:tcPr>
            <w:tcW w:w="459" w:type="dxa"/>
          </w:tcPr>
          <w:p w:rsidR="00F44C8D" w:rsidRPr="00CA6FAB" w:rsidRDefault="00F44C8D" w:rsidP="00C07A60">
            <w:pPr>
              <w:pStyle w:val="naiskr"/>
              <w:spacing w:before="0" w:after="0"/>
              <w:ind w:left="57" w:right="57"/>
              <w:rPr>
                <w:bCs/>
              </w:rPr>
            </w:pPr>
            <w:r w:rsidRPr="00CA6FAB">
              <w:rPr>
                <w:bCs/>
              </w:rPr>
              <w:t>1.</w:t>
            </w:r>
          </w:p>
        </w:tc>
        <w:tc>
          <w:tcPr>
            <w:tcW w:w="3992" w:type="dxa"/>
          </w:tcPr>
          <w:p w:rsidR="00F44C8D" w:rsidRPr="00CA6FAB" w:rsidRDefault="00F44C8D" w:rsidP="00C07A60">
            <w:pPr>
              <w:pStyle w:val="naiskr"/>
              <w:tabs>
                <w:tab w:val="left" w:pos="170"/>
              </w:tabs>
              <w:spacing w:before="0" w:after="0"/>
              <w:ind w:left="57" w:right="57"/>
            </w:pPr>
            <w:r w:rsidRPr="00CA6FAB">
              <w:t>Sabiedrības informēšana par projekta izstrādes uzsākšanu</w:t>
            </w:r>
          </w:p>
        </w:tc>
        <w:tc>
          <w:tcPr>
            <w:tcW w:w="4969" w:type="dxa"/>
          </w:tcPr>
          <w:p w:rsidR="00F44C8D" w:rsidRPr="00CA6FAB" w:rsidRDefault="00F44C8D" w:rsidP="00D12880">
            <w:pPr>
              <w:pStyle w:val="naiskr"/>
              <w:spacing w:before="0" w:after="0"/>
              <w:ind w:left="57" w:right="57" w:firstLine="345"/>
              <w:jc w:val="both"/>
              <w:rPr>
                <w:iCs/>
              </w:rPr>
            </w:pPr>
            <w:r w:rsidRPr="00CA6FAB">
              <w:rPr>
                <w:iCs/>
              </w:rPr>
              <w:t>Projekts š.g. 11.jūlijā tika elektroniski nosūtīts Latvijas Piensaimnieku centrāla</w:t>
            </w:r>
            <w:r w:rsidR="003372EC" w:rsidRPr="00CA6FAB">
              <w:rPr>
                <w:iCs/>
              </w:rPr>
              <w:t>ja</w:t>
            </w:r>
            <w:r w:rsidRPr="00CA6FAB">
              <w:rPr>
                <w:iCs/>
              </w:rPr>
              <w:t xml:space="preserve">i savienībai, Lauksaimnieku organizāciju sadarbības padomei, Latvijas lauksaimniecības kooperatīvu asociācijai, kā arī 9 piena pārstrādes uzņēmumiem, kas atbalsta programmā darbojas kā atbalsta pretendenti. </w:t>
            </w:r>
          </w:p>
          <w:p w:rsidR="00F44C8D" w:rsidRPr="00CA6FAB" w:rsidRDefault="003372EC" w:rsidP="00D12880">
            <w:pPr>
              <w:pStyle w:val="naiskr"/>
              <w:spacing w:before="0" w:after="0"/>
              <w:ind w:left="57" w:right="57" w:firstLine="345"/>
              <w:jc w:val="both"/>
            </w:pPr>
            <w:r w:rsidRPr="00CA6FAB">
              <w:rPr>
                <w:iCs/>
              </w:rPr>
              <w:t>Par k</w:t>
            </w:r>
            <w:r w:rsidR="00F44C8D" w:rsidRPr="00CA6FAB">
              <w:rPr>
                <w:iCs/>
              </w:rPr>
              <w:t>omentāru sniegšanas termiņ</w:t>
            </w:r>
            <w:r w:rsidRPr="00CA6FAB">
              <w:rPr>
                <w:iCs/>
              </w:rPr>
              <w:t>u</w:t>
            </w:r>
            <w:r w:rsidR="00F44C8D" w:rsidRPr="00CA6FAB">
              <w:rPr>
                <w:iCs/>
              </w:rPr>
              <w:t xml:space="preserve"> tika noteikts š.g. 16.jūlijs.</w:t>
            </w:r>
          </w:p>
        </w:tc>
      </w:tr>
      <w:tr w:rsidR="00F44C8D" w:rsidRPr="00CA6FAB" w:rsidTr="00A10E52">
        <w:trPr>
          <w:trHeight w:val="339"/>
          <w:jc w:val="center"/>
        </w:trPr>
        <w:tc>
          <w:tcPr>
            <w:tcW w:w="459" w:type="dxa"/>
          </w:tcPr>
          <w:p w:rsidR="00F44C8D" w:rsidRPr="00CA6FAB" w:rsidRDefault="00F44C8D" w:rsidP="00C07A60">
            <w:pPr>
              <w:pStyle w:val="naiskr"/>
              <w:spacing w:before="0" w:after="0"/>
              <w:ind w:left="57" w:right="57"/>
              <w:rPr>
                <w:bCs/>
              </w:rPr>
            </w:pPr>
            <w:r w:rsidRPr="00CA6FAB">
              <w:rPr>
                <w:bCs/>
              </w:rPr>
              <w:t>2.</w:t>
            </w:r>
          </w:p>
        </w:tc>
        <w:tc>
          <w:tcPr>
            <w:tcW w:w="3992" w:type="dxa"/>
          </w:tcPr>
          <w:p w:rsidR="00F44C8D" w:rsidRPr="00CA6FAB" w:rsidRDefault="00F44C8D" w:rsidP="00C07A60">
            <w:pPr>
              <w:pStyle w:val="naiskr"/>
              <w:spacing w:before="0" w:after="0"/>
              <w:ind w:left="57" w:right="57"/>
            </w:pPr>
            <w:r w:rsidRPr="00CA6FAB">
              <w:t xml:space="preserve">Sabiedrības līdzdalība projekta izstrādē </w:t>
            </w:r>
          </w:p>
        </w:tc>
        <w:tc>
          <w:tcPr>
            <w:tcW w:w="4969" w:type="dxa"/>
          </w:tcPr>
          <w:p w:rsidR="00F44C8D" w:rsidRPr="00CA6FAB" w:rsidRDefault="00F44C8D" w:rsidP="000479D6">
            <w:pPr>
              <w:pStyle w:val="naiskr"/>
              <w:spacing w:before="0" w:after="0"/>
              <w:ind w:left="57" w:right="57"/>
              <w:jc w:val="both"/>
            </w:pPr>
            <w:r w:rsidRPr="00CA6FAB">
              <w:rPr>
                <w:iCs/>
              </w:rPr>
              <w:t xml:space="preserve">No viena atbalsta pretendenta telefoniski tika saņemts atbalsts projekta tālākai virzīšanai. </w:t>
            </w:r>
            <w:r w:rsidR="000479D6" w:rsidRPr="00CA6FAB">
              <w:rPr>
                <w:b/>
                <w:iCs/>
              </w:rPr>
              <w:t>Viens atbalsta pretendents iesniedza priekšlikumus elektroniski.</w:t>
            </w:r>
            <w:r w:rsidR="000479D6" w:rsidRPr="00CA6FAB">
              <w:rPr>
                <w:iCs/>
              </w:rPr>
              <w:t xml:space="preserve"> </w:t>
            </w:r>
            <w:r w:rsidRPr="00CA6FAB">
              <w:rPr>
                <w:iCs/>
              </w:rPr>
              <w:t xml:space="preserve">No pārējiem adresātiem komentāri saņemti netika. </w:t>
            </w:r>
          </w:p>
        </w:tc>
      </w:tr>
      <w:tr w:rsidR="00F44C8D" w:rsidRPr="00CA6FAB" w:rsidTr="00A10E52">
        <w:trPr>
          <w:trHeight w:val="375"/>
          <w:jc w:val="center"/>
        </w:trPr>
        <w:tc>
          <w:tcPr>
            <w:tcW w:w="459" w:type="dxa"/>
          </w:tcPr>
          <w:p w:rsidR="00F44C8D" w:rsidRPr="00CA6FAB" w:rsidRDefault="00F44C8D" w:rsidP="00C07A60">
            <w:pPr>
              <w:pStyle w:val="naiskr"/>
              <w:spacing w:before="0" w:after="0"/>
              <w:ind w:left="57" w:right="57"/>
              <w:rPr>
                <w:bCs/>
              </w:rPr>
            </w:pPr>
            <w:r w:rsidRPr="00CA6FAB">
              <w:rPr>
                <w:bCs/>
              </w:rPr>
              <w:t>3.</w:t>
            </w:r>
          </w:p>
        </w:tc>
        <w:tc>
          <w:tcPr>
            <w:tcW w:w="3992" w:type="dxa"/>
          </w:tcPr>
          <w:p w:rsidR="00F44C8D" w:rsidRPr="00CA6FAB" w:rsidRDefault="00F44C8D" w:rsidP="00C07A60">
            <w:pPr>
              <w:pStyle w:val="naiskr"/>
              <w:spacing w:before="0" w:after="0"/>
              <w:ind w:left="57" w:right="57"/>
            </w:pPr>
            <w:r w:rsidRPr="00CA6FAB">
              <w:t xml:space="preserve">Sabiedrības līdzdalības rezultāti </w:t>
            </w:r>
          </w:p>
        </w:tc>
        <w:tc>
          <w:tcPr>
            <w:tcW w:w="4969" w:type="dxa"/>
          </w:tcPr>
          <w:p w:rsidR="00F44C8D" w:rsidRPr="00CA6FAB" w:rsidRDefault="000479D6" w:rsidP="000479D6">
            <w:pPr>
              <w:pStyle w:val="naiskr"/>
              <w:spacing w:before="0" w:after="0"/>
              <w:ind w:left="57" w:right="57"/>
              <w:jc w:val="both"/>
            </w:pPr>
            <w:r w:rsidRPr="00CA6FAB">
              <w:rPr>
                <w:b/>
                <w:iCs/>
              </w:rPr>
              <w:t>Elektroniski iesniegtie priekšlikumi par valsts līdzfinansējuma piešķiršanas kārtību trīs mēnešu periodam ir ņemti vērā.</w:t>
            </w:r>
            <w:r w:rsidRPr="00CA6FAB">
              <w:rPr>
                <w:iCs/>
              </w:rPr>
              <w:t xml:space="preserve"> </w:t>
            </w:r>
          </w:p>
        </w:tc>
      </w:tr>
      <w:tr w:rsidR="00F44C8D" w:rsidRPr="00CA6FAB" w:rsidTr="00A10E52">
        <w:trPr>
          <w:trHeight w:val="397"/>
          <w:jc w:val="center"/>
        </w:trPr>
        <w:tc>
          <w:tcPr>
            <w:tcW w:w="459" w:type="dxa"/>
          </w:tcPr>
          <w:p w:rsidR="00F44C8D" w:rsidRPr="00CA6FAB" w:rsidRDefault="00F44C8D" w:rsidP="00C07A60">
            <w:pPr>
              <w:pStyle w:val="naiskr"/>
              <w:spacing w:before="0" w:after="0"/>
              <w:ind w:left="57" w:right="57"/>
              <w:rPr>
                <w:bCs/>
              </w:rPr>
            </w:pPr>
            <w:r w:rsidRPr="00CA6FAB">
              <w:rPr>
                <w:bCs/>
              </w:rPr>
              <w:t>4.</w:t>
            </w:r>
          </w:p>
        </w:tc>
        <w:tc>
          <w:tcPr>
            <w:tcW w:w="3992" w:type="dxa"/>
          </w:tcPr>
          <w:p w:rsidR="00F44C8D" w:rsidRPr="00CA6FAB" w:rsidRDefault="00F44C8D" w:rsidP="00C07A60">
            <w:pPr>
              <w:pStyle w:val="naiskr"/>
              <w:spacing w:before="0" w:after="0"/>
              <w:ind w:left="57" w:right="57"/>
            </w:pPr>
            <w:r w:rsidRPr="00CA6FAB">
              <w:t>Saeimas un ekspertu līdzdalība</w:t>
            </w:r>
          </w:p>
        </w:tc>
        <w:tc>
          <w:tcPr>
            <w:tcW w:w="4969" w:type="dxa"/>
          </w:tcPr>
          <w:p w:rsidR="00F44C8D" w:rsidRPr="00CA6FAB" w:rsidRDefault="00F44C8D" w:rsidP="00C07A60">
            <w:pPr>
              <w:pStyle w:val="naiskr"/>
              <w:spacing w:before="0" w:after="0"/>
              <w:ind w:left="57" w:right="57"/>
              <w:jc w:val="both"/>
            </w:pPr>
            <w:r w:rsidRPr="00CA6FAB">
              <w:rPr>
                <w:iCs/>
              </w:rPr>
              <w:t>Nav attiecināms.</w:t>
            </w:r>
          </w:p>
        </w:tc>
      </w:tr>
      <w:tr w:rsidR="00F44C8D" w:rsidRPr="00CA6FAB" w:rsidTr="00A10E52">
        <w:trPr>
          <w:trHeight w:val="476"/>
          <w:jc w:val="center"/>
        </w:trPr>
        <w:tc>
          <w:tcPr>
            <w:tcW w:w="459" w:type="dxa"/>
          </w:tcPr>
          <w:p w:rsidR="00F44C8D" w:rsidRPr="00CA6FAB" w:rsidRDefault="00F44C8D" w:rsidP="00C07A60">
            <w:pPr>
              <w:pStyle w:val="naiskr"/>
              <w:spacing w:before="0" w:after="0"/>
              <w:ind w:left="57" w:right="57"/>
              <w:rPr>
                <w:bCs/>
              </w:rPr>
            </w:pPr>
            <w:r w:rsidRPr="00CA6FAB">
              <w:rPr>
                <w:bCs/>
              </w:rPr>
              <w:t>5.</w:t>
            </w:r>
          </w:p>
        </w:tc>
        <w:tc>
          <w:tcPr>
            <w:tcW w:w="3992" w:type="dxa"/>
          </w:tcPr>
          <w:p w:rsidR="00F44C8D" w:rsidRPr="00CA6FAB" w:rsidRDefault="00F44C8D" w:rsidP="00C07A60">
            <w:pPr>
              <w:pStyle w:val="naiskr"/>
              <w:spacing w:before="0" w:after="0"/>
              <w:ind w:left="57" w:right="57"/>
            </w:pPr>
            <w:r w:rsidRPr="00CA6FAB">
              <w:t>Cita informācija</w:t>
            </w:r>
          </w:p>
          <w:p w:rsidR="00F44C8D" w:rsidRPr="00CA6FAB" w:rsidRDefault="00F44C8D" w:rsidP="00C07A60">
            <w:pPr>
              <w:pStyle w:val="naiskr"/>
              <w:spacing w:before="0" w:after="0"/>
              <w:ind w:left="57" w:right="57"/>
            </w:pPr>
          </w:p>
        </w:tc>
        <w:tc>
          <w:tcPr>
            <w:tcW w:w="4969" w:type="dxa"/>
          </w:tcPr>
          <w:p w:rsidR="00F44C8D" w:rsidRPr="00CA6FAB" w:rsidRDefault="00F44C8D" w:rsidP="00C07A60">
            <w:pPr>
              <w:pStyle w:val="naiskr"/>
              <w:spacing w:before="0" w:after="0"/>
              <w:ind w:left="57" w:right="57"/>
              <w:jc w:val="both"/>
            </w:pPr>
            <w:r w:rsidRPr="00CA6FAB">
              <w:rPr>
                <w:iCs/>
              </w:rPr>
              <w:t>Nav.</w:t>
            </w:r>
          </w:p>
        </w:tc>
      </w:tr>
    </w:tbl>
    <w:p w:rsidR="00F44C8D" w:rsidRPr="00CA6FAB" w:rsidRDefault="000479D6" w:rsidP="001F3E2A">
      <w:pPr>
        <w:pStyle w:val="naisf"/>
        <w:tabs>
          <w:tab w:val="left" w:pos="7440"/>
        </w:tabs>
        <w:spacing w:before="0" w:after="0"/>
      </w:pPr>
      <w:r w:rsidRPr="00CA6FAB">
        <w:tab/>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3969"/>
        <w:gridCol w:w="4961"/>
      </w:tblGrid>
      <w:tr w:rsidR="00F44C8D" w:rsidRPr="00CA6FAB" w:rsidTr="00C16A25">
        <w:tc>
          <w:tcPr>
            <w:tcW w:w="9356" w:type="dxa"/>
            <w:gridSpan w:val="3"/>
          </w:tcPr>
          <w:p w:rsidR="00F44C8D" w:rsidRPr="00CA6FAB" w:rsidRDefault="00F44C8D" w:rsidP="00C07A60">
            <w:pPr>
              <w:pStyle w:val="naisnod"/>
              <w:spacing w:before="0" w:after="0"/>
              <w:ind w:left="57" w:right="57"/>
            </w:pPr>
            <w:r w:rsidRPr="00CA6FAB">
              <w:t>VII. Tiesību akta projekta izpildes nodrošināšana un tās ietekme uz institūcijām</w:t>
            </w:r>
          </w:p>
        </w:tc>
      </w:tr>
      <w:tr w:rsidR="00F44C8D" w:rsidRPr="00CA6FAB" w:rsidTr="00C16A25">
        <w:trPr>
          <w:trHeight w:val="427"/>
        </w:trPr>
        <w:tc>
          <w:tcPr>
            <w:tcW w:w="426" w:type="dxa"/>
          </w:tcPr>
          <w:p w:rsidR="00F44C8D" w:rsidRPr="00CA6FAB" w:rsidRDefault="00F44C8D" w:rsidP="00C07A60">
            <w:pPr>
              <w:pStyle w:val="naisnod"/>
              <w:spacing w:before="0" w:after="0"/>
              <w:ind w:left="57" w:right="57"/>
              <w:jc w:val="left"/>
              <w:rPr>
                <w:b w:val="0"/>
              </w:rPr>
            </w:pPr>
            <w:r w:rsidRPr="00CA6FAB">
              <w:rPr>
                <w:b w:val="0"/>
              </w:rPr>
              <w:t>1.</w:t>
            </w:r>
          </w:p>
        </w:tc>
        <w:tc>
          <w:tcPr>
            <w:tcW w:w="3969" w:type="dxa"/>
          </w:tcPr>
          <w:p w:rsidR="00F44C8D" w:rsidRPr="00CA6FAB" w:rsidRDefault="00F44C8D" w:rsidP="00C07A60">
            <w:pPr>
              <w:pStyle w:val="naisf"/>
              <w:spacing w:before="0" w:after="0"/>
              <w:ind w:left="57" w:right="57" w:firstLine="0"/>
              <w:jc w:val="left"/>
            </w:pPr>
            <w:r w:rsidRPr="00CA6FAB">
              <w:t xml:space="preserve">Projekta izpildē iesaistītās institūcijas </w:t>
            </w:r>
          </w:p>
        </w:tc>
        <w:tc>
          <w:tcPr>
            <w:tcW w:w="4961" w:type="dxa"/>
          </w:tcPr>
          <w:p w:rsidR="00F44C8D" w:rsidRPr="00CA6FAB" w:rsidRDefault="00F44C8D" w:rsidP="00C07A60">
            <w:pPr>
              <w:jc w:val="both"/>
            </w:pPr>
            <w:r w:rsidRPr="00CA6FAB">
              <w:t>Izpildi nodrošinās Lauku atbalsta dienests.</w:t>
            </w:r>
          </w:p>
          <w:p w:rsidR="00F44C8D" w:rsidRPr="00CA6FAB" w:rsidRDefault="00F44C8D" w:rsidP="00C07A60">
            <w:pPr>
              <w:pStyle w:val="naisnod"/>
              <w:spacing w:before="0" w:after="0"/>
              <w:ind w:left="57" w:right="57"/>
              <w:jc w:val="left"/>
              <w:rPr>
                <w:b w:val="0"/>
              </w:rPr>
            </w:pPr>
          </w:p>
        </w:tc>
      </w:tr>
      <w:tr w:rsidR="00F44C8D" w:rsidRPr="00CA6FAB" w:rsidTr="00C16A25">
        <w:trPr>
          <w:trHeight w:val="463"/>
        </w:trPr>
        <w:tc>
          <w:tcPr>
            <w:tcW w:w="426" w:type="dxa"/>
          </w:tcPr>
          <w:p w:rsidR="00F44C8D" w:rsidRPr="00CA6FAB" w:rsidRDefault="00F44C8D" w:rsidP="00C07A60">
            <w:pPr>
              <w:pStyle w:val="naisnod"/>
              <w:spacing w:before="0" w:after="0"/>
              <w:ind w:left="57" w:right="57"/>
              <w:jc w:val="left"/>
              <w:rPr>
                <w:b w:val="0"/>
              </w:rPr>
            </w:pPr>
            <w:r w:rsidRPr="00CA6FAB">
              <w:rPr>
                <w:b w:val="0"/>
              </w:rPr>
              <w:t>2.</w:t>
            </w:r>
          </w:p>
        </w:tc>
        <w:tc>
          <w:tcPr>
            <w:tcW w:w="3969" w:type="dxa"/>
          </w:tcPr>
          <w:p w:rsidR="00F44C8D" w:rsidRPr="00CA6FAB" w:rsidRDefault="00F44C8D" w:rsidP="00C07A60">
            <w:pPr>
              <w:pStyle w:val="naisf"/>
              <w:spacing w:before="0" w:after="0"/>
              <w:ind w:left="57" w:right="57" w:firstLine="0"/>
              <w:jc w:val="left"/>
            </w:pPr>
            <w:r w:rsidRPr="00CA6FAB">
              <w:t xml:space="preserve">Projekta izpildes ietekme uz pārvaldes funkcijām </w:t>
            </w:r>
          </w:p>
        </w:tc>
        <w:tc>
          <w:tcPr>
            <w:tcW w:w="4961" w:type="dxa"/>
          </w:tcPr>
          <w:p w:rsidR="00F44C8D" w:rsidRPr="00CA6FAB" w:rsidRDefault="00F44C8D" w:rsidP="00C07A60">
            <w:pPr>
              <w:pStyle w:val="naisnod"/>
              <w:spacing w:before="0" w:after="0"/>
              <w:ind w:left="57" w:right="57"/>
              <w:jc w:val="left"/>
              <w:rPr>
                <w:b w:val="0"/>
              </w:rPr>
            </w:pPr>
            <w:r w:rsidRPr="00CA6FAB">
              <w:rPr>
                <w:b w:val="0"/>
                <w:iCs/>
              </w:rPr>
              <w:t>Funkcijas un uzdevumus noteikumu projekta izpilde neietekmēs.</w:t>
            </w:r>
          </w:p>
        </w:tc>
      </w:tr>
      <w:tr w:rsidR="00F44C8D" w:rsidRPr="00CA6FAB" w:rsidTr="00C16A25">
        <w:trPr>
          <w:trHeight w:val="725"/>
        </w:trPr>
        <w:tc>
          <w:tcPr>
            <w:tcW w:w="426" w:type="dxa"/>
          </w:tcPr>
          <w:p w:rsidR="00F44C8D" w:rsidRPr="00CA6FAB" w:rsidRDefault="00F44C8D" w:rsidP="00C07A60">
            <w:pPr>
              <w:pStyle w:val="naisnod"/>
              <w:spacing w:before="0" w:after="0"/>
              <w:ind w:left="57" w:right="57"/>
              <w:jc w:val="left"/>
              <w:rPr>
                <w:b w:val="0"/>
              </w:rPr>
            </w:pPr>
            <w:r w:rsidRPr="00CA6FAB">
              <w:rPr>
                <w:b w:val="0"/>
              </w:rPr>
              <w:t>3.</w:t>
            </w:r>
          </w:p>
        </w:tc>
        <w:tc>
          <w:tcPr>
            <w:tcW w:w="3969" w:type="dxa"/>
          </w:tcPr>
          <w:p w:rsidR="00F44C8D" w:rsidRPr="00CA6FAB" w:rsidRDefault="00F44C8D" w:rsidP="00C07A60">
            <w:pPr>
              <w:pStyle w:val="naisf"/>
              <w:spacing w:before="0" w:after="0"/>
              <w:ind w:left="57" w:right="57" w:firstLine="0"/>
              <w:jc w:val="left"/>
            </w:pPr>
            <w:r w:rsidRPr="00CA6FAB">
              <w:t>Projekta izpildes ietekme uz pārvaldes institucionālo struktūru.</w:t>
            </w:r>
          </w:p>
          <w:p w:rsidR="00F44C8D" w:rsidRPr="00CA6FAB" w:rsidRDefault="00F44C8D" w:rsidP="00C07A60">
            <w:pPr>
              <w:pStyle w:val="naisf"/>
              <w:spacing w:before="0" w:after="0"/>
              <w:ind w:left="57" w:right="57" w:firstLine="0"/>
              <w:jc w:val="left"/>
            </w:pPr>
            <w:r w:rsidRPr="00CA6FAB">
              <w:t>Jaunu institūciju izveide</w:t>
            </w:r>
          </w:p>
        </w:tc>
        <w:tc>
          <w:tcPr>
            <w:tcW w:w="4961" w:type="dxa"/>
          </w:tcPr>
          <w:p w:rsidR="00F44C8D" w:rsidRPr="00CA6FAB" w:rsidRDefault="00F44C8D" w:rsidP="00C07A60">
            <w:pPr>
              <w:pStyle w:val="naisnod"/>
              <w:spacing w:before="0" w:after="0"/>
              <w:ind w:left="57" w:right="57"/>
              <w:jc w:val="left"/>
              <w:rPr>
                <w:b w:val="0"/>
              </w:rPr>
            </w:pPr>
            <w:r w:rsidRPr="00CA6FAB">
              <w:rPr>
                <w:b w:val="0"/>
                <w:iCs/>
              </w:rPr>
              <w:t>Saistībā ar noteikumu projekta izpildi nebūs nepieciešams veidot jaunas institūcijas.</w:t>
            </w:r>
          </w:p>
        </w:tc>
      </w:tr>
      <w:tr w:rsidR="00F44C8D" w:rsidRPr="00CA6FAB" w:rsidTr="00C16A25">
        <w:trPr>
          <w:trHeight w:val="780"/>
        </w:trPr>
        <w:tc>
          <w:tcPr>
            <w:tcW w:w="426" w:type="dxa"/>
          </w:tcPr>
          <w:p w:rsidR="00F44C8D" w:rsidRPr="00CA6FAB" w:rsidRDefault="00F44C8D" w:rsidP="00C07A60">
            <w:pPr>
              <w:pStyle w:val="naisnod"/>
              <w:spacing w:before="0" w:after="0"/>
              <w:ind w:left="57" w:right="57"/>
              <w:jc w:val="left"/>
              <w:rPr>
                <w:b w:val="0"/>
              </w:rPr>
            </w:pPr>
            <w:r w:rsidRPr="00CA6FAB">
              <w:rPr>
                <w:b w:val="0"/>
              </w:rPr>
              <w:t>4.</w:t>
            </w:r>
          </w:p>
        </w:tc>
        <w:tc>
          <w:tcPr>
            <w:tcW w:w="3969" w:type="dxa"/>
          </w:tcPr>
          <w:p w:rsidR="00F44C8D" w:rsidRPr="00CA6FAB" w:rsidRDefault="00F44C8D" w:rsidP="00C07A60">
            <w:pPr>
              <w:pStyle w:val="naisf"/>
              <w:spacing w:before="0" w:after="0"/>
              <w:ind w:left="57" w:right="57" w:firstLine="0"/>
              <w:jc w:val="left"/>
            </w:pPr>
            <w:r w:rsidRPr="00CA6FAB">
              <w:t>Projekta izpildes ietekme uz pārvaldes institucionālo struktūru.</w:t>
            </w:r>
          </w:p>
          <w:p w:rsidR="00F44C8D" w:rsidRPr="00CA6FAB" w:rsidRDefault="00F44C8D" w:rsidP="00C07A60">
            <w:pPr>
              <w:pStyle w:val="naisf"/>
              <w:spacing w:before="0" w:after="0"/>
              <w:ind w:left="57" w:right="57" w:firstLine="0"/>
              <w:jc w:val="left"/>
            </w:pPr>
            <w:r w:rsidRPr="00CA6FAB">
              <w:t>Esošu institūciju likvidācija</w:t>
            </w:r>
          </w:p>
        </w:tc>
        <w:tc>
          <w:tcPr>
            <w:tcW w:w="4961" w:type="dxa"/>
          </w:tcPr>
          <w:p w:rsidR="00F44C8D" w:rsidRPr="00CA6FAB" w:rsidRDefault="00F44C8D" w:rsidP="00C07A60">
            <w:pPr>
              <w:pStyle w:val="naisnod"/>
              <w:spacing w:before="0" w:after="0"/>
              <w:ind w:left="57" w:right="57" w:firstLine="13"/>
              <w:jc w:val="both"/>
              <w:rPr>
                <w:b w:val="0"/>
              </w:rPr>
            </w:pPr>
            <w:r w:rsidRPr="00CA6FAB">
              <w:rPr>
                <w:b w:val="0"/>
                <w:iCs/>
              </w:rPr>
              <w:t>Saistībā ar noteikumu projekta izpildi nav plānots likvidēt esošu institūciju.</w:t>
            </w:r>
          </w:p>
        </w:tc>
      </w:tr>
      <w:tr w:rsidR="00F44C8D" w:rsidRPr="00CA6FAB" w:rsidTr="00C16A25">
        <w:trPr>
          <w:trHeight w:val="703"/>
        </w:trPr>
        <w:tc>
          <w:tcPr>
            <w:tcW w:w="426" w:type="dxa"/>
          </w:tcPr>
          <w:p w:rsidR="00F44C8D" w:rsidRPr="00CA6FAB" w:rsidRDefault="00F44C8D" w:rsidP="00C07A60">
            <w:pPr>
              <w:pStyle w:val="naisnod"/>
              <w:spacing w:before="0" w:after="0"/>
              <w:ind w:left="57" w:right="57"/>
              <w:jc w:val="left"/>
              <w:rPr>
                <w:b w:val="0"/>
              </w:rPr>
            </w:pPr>
            <w:r w:rsidRPr="00CA6FAB">
              <w:rPr>
                <w:b w:val="0"/>
              </w:rPr>
              <w:t>5.</w:t>
            </w:r>
          </w:p>
        </w:tc>
        <w:tc>
          <w:tcPr>
            <w:tcW w:w="3969" w:type="dxa"/>
          </w:tcPr>
          <w:p w:rsidR="00F44C8D" w:rsidRPr="00CA6FAB" w:rsidRDefault="00F44C8D" w:rsidP="00C07A60">
            <w:pPr>
              <w:pStyle w:val="naisf"/>
              <w:spacing w:before="0" w:after="0"/>
              <w:ind w:left="57" w:right="57" w:firstLine="0"/>
              <w:jc w:val="left"/>
            </w:pPr>
            <w:r w:rsidRPr="00CA6FAB">
              <w:t>Projekta izpildes ietekme uz pārvaldes institucionālo struktūru.</w:t>
            </w:r>
          </w:p>
          <w:p w:rsidR="00F44C8D" w:rsidRPr="00CA6FAB" w:rsidRDefault="00F44C8D" w:rsidP="00C07A60">
            <w:pPr>
              <w:pStyle w:val="naisf"/>
              <w:spacing w:before="0" w:after="0"/>
              <w:ind w:left="57" w:right="57" w:firstLine="0"/>
              <w:jc w:val="left"/>
            </w:pPr>
            <w:r w:rsidRPr="00CA6FAB">
              <w:t>Esošu institūciju reorganizācija</w:t>
            </w:r>
          </w:p>
        </w:tc>
        <w:tc>
          <w:tcPr>
            <w:tcW w:w="4961" w:type="dxa"/>
          </w:tcPr>
          <w:p w:rsidR="00F44C8D" w:rsidRPr="00CA6FAB" w:rsidRDefault="00F44C8D" w:rsidP="00C07A60">
            <w:pPr>
              <w:pStyle w:val="naisnod"/>
              <w:spacing w:before="0" w:after="0"/>
              <w:ind w:left="57" w:right="57" w:firstLine="13"/>
              <w:jc w:val="both"/>
              <w:rPr>
                <w:b w:val="0"/>
              </w:rPr>
            </w:pPr>
            <w:r w:rsidRPr="00CA6FAB">
              <w:rPr>
                <w:b w:val="0"/>
                <w:iCs/>
              </w:rPr>
              <w:t>Saistībā ar noteikumu projekta izpildi nav plānots reorganizēt esošu institūciju vai arī apvienot esošas institūcijas.</w:t>
            </w:r>
          </w:p>
        </w:tc>
      </w:tr>
      <w:tr w:rsidR="00F44C8D" w:rsidRPr="00CA6FAB" w:rsidTr="00C16A25">
        <w:trPr>
          <w:trHeight w:val="476"/>
        </w:trPr>
        <w:tc>
          <w:tcPr>
            <w:tcW w:w="426" w:type="dxa"/>
          </w:tcPr>
          <w:p w:rsidR="00F44C8D" w:rsidRPr="00CA6FAB" w:rsidRDefault="00F44C8D" w:rsidP="00C07A60">
            <w:pPr>
              <w:pStyle w:val="naiskr"/>
              <w:spacing w:before="0" w:after="0"/>
              <w:ind w:left="57" w:right="57"/>
            </w:pPr>
            <w:r w:rsidRPr="00CA6FAB">
              <w:t>6.</w:t>
            </w:r>
          </w:p>
        </w:tc>
        <w:tc>
          <w:tcPr>
            <w:tcW w:w="3969" w:type="dxa"/>
          </w:tcPr>
          <w:p w:rsidR="00F44C8D" w:rsidRPr="00CA6FAB" w:rsidRDefault="00F44C8D" w:rsidP="00C07A60">
            <w:pPr>
              <w:pStyle w:val="naiskr"/>
              <w:spacing w:before="0" w:after="0"/>
              <w:ind w:left="57" w:right="57"/>
            </w:pPr>
            <w:r w:rsidRPr="00CA6FAB">
              <w:t>Cita informācija</w:t>
            </w:r>
          </w:p>
        </w:tc>
        <w:tc>
          <w:tcPr>
            <w:tcW w:w="4961" w:type="dxa"/>
          </w:tcPr>
          <w:p w:rsidR="00F44C8D" w:rsidRPr="00CA6FAB" w:rsidRDefault="00F44C8D" w:rsidP="00C07A60">
            <w:pPr>
              <w:pStyle w:val="naiskr"/>
              <w:spacing w:before="0" w:after="0"/>
              <w:ind w:left="57" w:right="57"/>
            </w:pPr>
            <w:r w:rsidRPr="00CA6FAB">
              <w:t>Nav.</w:t>
            </w:r>
          </w:p>
        </w:tc>
      </w:tr>
    </w:tbl>
    <w:p w:rsidR="00F44C8D" w:rsidRPr="00996A74" w:rsidRDefault="00F44C8D" w:rsidP="00CA6FAB">
      <w:pPr>
        <w:pStyle w:val="naisf"/>
        <w:spacing w:before="0" w:after="0"/>
        <w:ind w:firstLine="0"/>
      </w:pPr>
    </w:p>
    <w:p w:rsidR="00F44C8D" w:rsidRDefault="00F44C8D" w:rsidP="00C10F85">
      <w:pPr>
        <w:ind w:firstLine="709"/>
        <w:jc w:val="both"/>
        <w:rPr>
          <w:sz w:val="28"/>
          <w:szCs w:val="28"/>
        </w:rPr>
      </w:pPr>
      <w:r w:rsidRPr="00996A74">
        <w:rPr>
          <w:sz w:val="28"/>
          <w:szCs w:val="28"/>
        </w:rPr>
        <w:t>Zemkopības ministr</w:t>
      </w:r>
      <w:r>
        <w:rPr>
          <w:sz w:val="28"/>
          <w:szCs w:val="28"/>
        </w:rPr>
        <w:t>e</w:t>
      </w:r>
      <w:r w:rsidRPr="00996A74">
        <w:rPr>
          <w:sz w:val="28"/>
          <w:szCs w:val="28"/>
        </w:rPr>
        <w:t xml:space="preserve"> </w:t>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Pr>
          <w:sz w:val="28"/>
          <w:szCs w:val="28"/>
        </w:rPr>
        <w:t>L.Straujuma</w:t>
      </w:r>
    </w:p>
    <w:p w:rsidR="00CA6FAB" w:rsidRPr="00996A74" w:rsidRDefault="00CA6FAB" w:rsidP="00C10F85">
      <w:pPr>
        <w:ind w:firstLine="709"/>
        <w:jc w:val="both"/>
        <w:rPr>
          <w:sz w:val="28"/>
          <w:szCs w:val="28"/>
        </w:rPr>
      </w:pPr>
    </w:p>
    <w:p w:rsidR="00CA6FAB" w:rsidRPr="00CA6FAB" w:rsidRDefault="00CA6FAB" w:rsidP="00C10F85">
      <w:pPr>
        <w:rPr>
          <w:sz w:val="20"/>
          <w:szCs w:val="20"/>
        </w:rPr>
      </w:pPr>
      <w:r w:rsidRPr="00CA6FAB">
        <w:rPr>
          <w:sz w:val="20"/>
          <w:szCs w:val="20"/>
        </w:rPr>
        <w:t>2013.08.19. 16:20</w:t>
      </w:r>
    </w:p>
    <w:p w:rsidR="00CA6FAB" w:rsidRPr="00CA6FAB" w:rsidRDefault="00CA6FAB" w:rsidP="00C10F85">
      <w:pPr>
        <w:rPr>
          <w:sz w:val="20"/>
          <w:szCs w:val="20"/>
        </w:rPr>
      </w:pPr>
      <w:fldSimple w:instr=" NUMWORDS   \* MERGEFORMAT ">
        <w:r w:rsidRPr="00CA6FAB">
          <w:rPr>
            <w:noProof/>
            <w:sz w:val="20"/>
            <w:szCs w:val="20"/>
          </w:rPr>
          <w:t>2698</w:t>
        </w:r>
      </w:fldSimple>
    </w:p>
    <w:p w:rsidR="00F44C8D" w:rsidRPr="00CA6FAB" w:rsidRDefault="00F44C8D" w:rsidP="00C10F85">
      <w:pPr>
        <w:rPr>
          <w:sz w:val="20"/>
          <w:szCs w:val="20"/>
          <w:lang w:val="pl-PL"/>
        </w:rPr>
      </w:pPr>
      <w:r w:rsidRPr="00CA6FAB">
        <w:rPr>
          <w:sz w:val="20"/>
          <w:szCs w:val="20"/>
          <w:lang w:val="pl-PL"/>
        </w:rPr>
        <w:t>I.Orlova</w:t>
      </w:r>
    </w:p>
    <w:p w:rsidR="00F44C8D" w:rsidRPr="00CA6FAB" w:rsidRDefault="00F44C8D" w:rsidP="00225EC9">
      <w:pPr>
        <w:rPr>
          <w:sz w:val="20"/>
          <w:szCs w:val="20"/>
        </w:rPr>
      </w:pPr>
      <w:r w:rsidRPr="00CA6FAB">
        <w:rPr>
          <w:sz w:val="20"/>
          <w:szCs w:val="20"/>
          <w:lang w:val="pl-PL"/>
        </w:rPr>
        <w:t>67027376, Inga.Orlova@zm.gov.lv</w:t>
      </w:r>
    </w:p>
    <w:sectPr w:rsidR="00F44C8D" w:rsidRPr="00CA6FAB" w:rsidSect="0084581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13" w:rsidRDefault="00652013">
      <w:r>
        <w:separator/>
      </w:r>
    </w:p>
  </w:endnote>
  <w:endnote w:type="continuationSeparator" w:id="0">
    <w:p w:rsidR="00652013" w:rsidRDefault="0065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C3" w:rsidRPr="00A72B83" w:rsidRDefault="001F3E2A" w:rsidP="00A72B83">
    <w:pPr>
      <w:jc w:val="both"/>
      <w:rPr>
        <w:szCs w:val="16"/>
      </w:rPr>
    </w:pPr>
    <w:r>
      <w:rPr>
        <w:sz w:val="22"/>
        <w:szCs w:val="22"/>
      </w:rPr>
      <w:t>ZMAnot_1</w:t>
    </w:r>
    <w:r w:rsidR="00453220">
      <w:rPr>
        <w:sz w:val="22"/>
        <w:szCs w:val="22"/>
      </w:rPr>
      <w:t>908</w:t>
    </w:r>
    <w:r>
      <w:rPr>
        <w:sz w:val="22"/>
        <w:szCs w:val="22"/>
      </w:rPr>
      <w:t xml:space="preserve">13_Skolas piens; </w:t>
    </w:r>
    <w:r w:rsidRPr="008F14BE">
      <w:rPr>
        <w:sz w:val="20"/>
        <w:szCs w:val="20"/>
      </w:rPr>
      <w:t xml:space="preserve">Grozījumi Ministru kabineta </w:t>
    </w:r>
    <w:r w:rsidRPr="008F14BE">
      <w:t xml:space="preserve">2011.gada 1.februāra noteikumos Nr.106 „Kārtība, kādā piešķir, administrē un uzrauga valsts un Eiropas Savienības atbalstu piena produktu piegādei izglītojamiem </w:t>
    </w:r>
    <w:r>
      <w:t>vispārējās izglītības iestādēs”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C3" w:rsidRPr="00C10F85" w:rsidRDefault="001F3E2A" w:rsidP="00BD7DFC">
    <w:pPr>
      <w:jc w:val="both"/>
      <w:rPr>
        <w:szCs w:val="16"/>
      </w:rPr>
    </w:pPr>
    <w:r>
      <w:rPr>
        <w:sz w:val="22"/>
        <w:szCs w:val="22"/>
      </w:rPr>
      <w:t>ZMAnot_1</w:t>
    </w:r>
    <w:r w:rsidR="00453220">
      <w:rPr>
        <w:sz w:val="22"/>
        <w:szCs w:val="22"/>
      </w:rPr>
      <w:t>90</w:t>
    </w:r>
    <w:r>
      <w:rPr>
        <w:sz w:val="22"/>
        <w:szCs w:val="22"/>
      </w:rPr>
      <w:t xml:space="preserve">813_Skolas piens; </w:t>
    </w:r>
    <w:r w:rsidRPr="008F14BE">
      <w:rPr>
        <w:sz w:val="20"/>
        <w:szCs w:val="20"/>
      </w:rPr>
      <w:t xml:space="preserve">Grozījumi Ministru kabineta </w:t>
    </w:r>
    <w:r w:rsidRPr="008F14BE">
      <w:t xml:space="preserve">2011.gada 1.februāra noteikumos Nr.106 „Kārtība, kādā piešķir, administrē un uzrauga valsts un Eiropas Savienības atbalstu piena produktu piegādei izglītojamiem </w:t>
    </w:r>
    <w:r>
      <w:t>vispārējās izglītības iestādēs”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13" w:rsidRDefault="00652013">
      <w:r>
        <w:separator/>
      </w:r>
    </w:p>
  </w:footnote>
  <w:footnote w:type="continuationSeparator" w:id="0">
    <w:p w:rsidR="00652013" w:rsidRDefault="0065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C3" w:rsidRDefault="000918C2" w:rsidP="003C449B">
    <w:pPr>
      <w:pStyle w:val="Galvene"/>
      <w:framePr w:wrap="around" w:vAnchor="text" w:hAnchor="margin" w:xAlign="center" w:y="1"/>
      <w:rPr>
        <w:rStyle w:val="Lappusesnumurs"/>
      </w:rPr>
    </w:pPr>
    <w:r>
      <w:rPr>
        <w:rStyle w:val="Lappusesnumurs"/>
      </w:rPr>
      <w:fldChar w:fldCharType="begin"/>
    </w:r>
    <w:r w:rsidR="00AB0FC3">
      <w:rPr>
        <w:rStyle w:val="Lappusesnumurs"/>
      </w:rPr>
      <w:instrText xml:space="preserve">PAGE  </w:instrText>
    </w:r>
    <w:r>
      <w:rPr>
        <w:rStyle w:val="Lappusesnumurs"/>
      </w:rPr>
      <w:fldChar w:fldCharType="end"/>
    </w:r>
  </w:p>
  <w:p w:rsidR="00AB0FC3" w:rsidRDefault="00AB0FC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C3" w:rsidRDefault="000918C2" w:rsidP="003C449B">
    <w:pPr>
      <w:pStyle w:val="Galvene"/>
      <w:framePr w:wrap="around" w:vAnchor="text" w:hAnchor="margin" w:xAlign="center" w:y="1"/>
      <w:rPr>
        <w:rStyle w:val="Lappusesnumurs"/>
      </w:rPr>
    </w:pPr>
    <w:r>
      <w:rPr>
        <w:rStyle w:val="Lappusesnumurs"/>
      </w:rPr>
      <w:fldChar w:fldCharType="begin"/>
    </w:r>
    <w:r w:rsidR="00AB0FC3">
      <w:rPr>
        <w:rStyle w:val="Lappusesnumurs"/>
      </w:rPr>
      <w:instrText xml:space="preserve">PAGE  </w:instrText>
    </w:r>
    <w:r>
      <w:rPr>
        <w:rStyle w:val="Lappusesnumurs"/>
      </w:rPr>
      <w:fldChar w:fldCharType="separate"/>
    </w:r>
    <w:r w:rsidR="00CA6FAB">
      <w:rPr>
        <w:rStyle w:val="Lappusesnumurs"/>
        <w:noProof/>
      </w:rPr>
      <w:t>10</w:t>
    </w:r>
    <w:r>
      <w:rPr>
        <w:rStyle w:val="Lappusesnumurs"/>
      </w:rPr>
      <w:fldChar w:fldCharType="end"/>
    </w:r>
  </w:p>
  <w:p w:rsidR="00AB0FC3" w:rsidRDefault="00AB0FC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B65E13"/>
    <w:multiLevelType w:val="hybridMultilevel"/>
    <w:tmpl w:val="7DA23B82"/>
    <w:lvl w:ilvl="0" w:tplc="4D704D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43ABA"/>
    <w:multiLevelType w:val="hybridMultilevel"/>
    <w:tmpl w:val="405216EA"/>
    <w:lvl w:ilvl="0" w:tplc="04260001">
      <w:start w:val="2010"/>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E86442B"/>
    <w:multiLevelType w:val="hybridMultilevel"/>
    <w:tmpl w:val="175C633A"/>
    <w:lvl w:ilvl="0" w:tplc="F8A8118A">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9C20013"/>
    <w:multiLevelType w:val="multilevel"/>
    <w:tmpl w:val="2340958E"/>
    <w:lvl w:ilvl="0">
      <w:start w:val="1"/>
      <w:numFmt w:val="decimal"/>
      <w:lvlText w:val="%1."/>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B35575"/>
    <w:multiLevelType w:val="hybridMultilevel"/>
    <w:tmpl w:val="29063F3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717E451F"/>
    <w:multiLevelType w:val="hybridMultilevel"/>
    <w:tmpl w:val="4A2E5BDA"/>
    <w:lvl w:ilvl="0" w:tplc="685E69D4">
      <w:start w:val="1"/>
      <w:numFmt w:val="decimal"/>
      <w:lvlText w:val="%1)"/>
      <w:lvlJc w:val="left"/>
      <w:pPr>
        <w:ind w:left="363" w:hanging="360"/>
      </w:pPr>
      <w:rPr>
        <w:rFonts w:cs="Times New Roman" w:hint="default"/>
      </w:rPr>
    </w:lvl>
    <w:lvl w:ilvl="1" w:tplc="04260019" w:tentative="1">
      <w:start w:val="1"/>
      <w:numFmt w:val="lowerLetter"/>
      <w:lvlText w:val="%2."/>
      <w:lvlJc w:val="left"/>
      <w:pPr>
        <w:ind w:left="1083" w:hanging="360"/>
      </w:pPr>
      <w:rPr>
        <w:rFonts w:cs="Times New Roman"/>
      </w:rPr>
    </w:lvl>
    <w:lvl w:ilvl="2" w:tplc="0426001B" w:tentative="1">
      <w:start w:val="1"/>
      <w:numFmt w:val="lowerRoman"/>
      <w:lvlText w:val="%3."/>
      <w:lvlJc w:val="right"/>
      <w:pPr>
        <w:ind w:left="1803" w:hanging="180"/>
      </w:pPr>
      <w:rPr>
        <w:rFonts w:cs="Times New Roman"/>
      </w:rPr>
    </w:lvl>
    <w:lvl w:ilvl="3" w:tplc="0426000F" w:tentative="1">
      <w:start w:val="1"/>
      <w:numFmt w:val="decimal"/>
      <w:lvlText w:val="%4."/>
      <w:lvlJc w:val="left"/>
      <w:pPr>
        <w:ind w:left="2523" w:hanging="360"/>
      </w:pPr>
      <w:rPr>
        <w:rFonts w:cs="Times New Roman"/>
      </w:rPr>
    </w:lvl>
    <w:lvl w:ilvl="4" w:tplc="04260019" w:tentative="1">
      <w:start w:val="1"/>
      <w:numFmt w:val="lowerLetter"/>
      <w:lvlText w:val="%5."/>
      <w:lvlJc w:val="left"/>
      <w:pPr>
        <w:ind w:left="3243" w:hanging="360"/>
      </w:pPr>
      <w:rPr>
        <w:rFonts w:cs="Times New Roman"/>
      </w:rPr>
    </w:lvl>
    <w:lvl w:ilvl="5" w:tplc="0426001B" w:tentative="1">
      <w:start w:val="1"/>
      <w:numFmt w:val="lowerRoman"/>
      <w:lvlText w:val="%6."/>
      <w:lvlJc w:val="right"/>
      <w:pPr>
        <w:ind w:left="3963" w:hanging="180"/>
      </w:pPr>
      <w:rPr>
        <w:rFonts w:cs="Times New Roman"/>
      </w:rPr>
    </w:lvl>
    <w:lvl w:ilvl="6" w:tplc="0426000F" w:tentative="1">
      <w:start w:val="1"/>
      <w:numFmt w:val="decimal"/>
      <w:lvlText w:val="%7."/>
      <w:lvlJc w:val="left"/>
      <w:pPr>
        <w:ind w:left="4683" w:hanging="360"/>
      </w:pPr>
      <w:rPr>
        <w:rFonts w:cs="Times New Roman"/>
      </w:rPr>
    </w:lvl>
    <w:lvl w:ilvl="7" w:tplc="04260019" w:tentative="1">
      <w:start w:val="1"/>
      <w:numFmt w:val="lowerLetter"/>
      <w:lvlText w:val="%8."/>
      <w:lvlJc w:val="left"/>
      <w:pPr>
        <w:ind w:left="5403" w:hanging="360"/>
      </w:pPr>
      <w:rPr>
        <w:rFonts w:cs="Times New Roman"/>
      </w:rPr>
    </w:lvl>
    <w:lvl w:ilvl="8" w:tplc="0426001B" w:tentative="1">
      <w:start w:val="1"/>
      <w:numFmt w:val="lowerRoman"/>
      <w:lvlText w:val="%9."/>
      <w:lvlJc w:val="right"/>
      <w:pPr>
        <w:ind w:left="6123" w:hanging="180"/>
      </w:pPr>
      <w:rPr>
        <w:rFonts w:cs="Times New Roman"/>
      </w:rPr>
    </w:lvl>
  </w:abstractNum>
  <w:abstractNum w:abstractNumId="20">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4"/>
  </w:num>
  <w:num w:numId="5">
    <w:abstractNumId w:val="2"/>
  </w:num>
  <w:num w:numId="6">
    <w:abstractNumId w:val="13"/>
  </w:num>
  <w:num w:numId="7">
    <w:abstractNumId w:val="17"/>
  </w:num>
  <w:num w:numId="8">
    <w:abstractNumId w:val="10"/>
  </w:num>
  <w:num w:numId="9">
    <w:abstractNumId w:val="5"/>
  </w:num>
  <w:num w:numId="10">
    <w:abstractNumId w:val="11"/>
  </w:num>
  <w:num w:numId="11">
    <w:abstractNumId w:val="12"/>
  </w:num>
  <w:num w:numId="12">
    <w:abstractNumId w:val="14"/>
  </w:num>
  <w:num w:numId="13">
    <w:abstractNumId w:val="15"/>
  </w:num>
  <w:num w:numId="14">
    <w:abstractNumId w:val="3"/>
  </w:num>
  <w:num w:numId="15">
    <w:abstractNumId w:val="20"/>
  </w:num>
  <w:num w:numId="16">
    <w:abstractNumId w:val="0"/>
  </w:num>
  <w:num w:numId="17">
    <w:abstractNumId w:val="18"/>
  </w:num>
  <w:num w:numId="18">
    <w:abstractNumId w:val="9"/>
  </w:num>
  <w:num w:numId="19">
    <w:abstractNumId w:val="1"/>
  </w:num>
  <w:num w:numId="20">
    <w:abstractNumId w:val="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11D24"/>
    <w:rsid w:val="00013FF4"/>
    <w:rsid w:val="00020FE1"/>
    <w:rsid w:val="00022BDA"/>
    <w:rsid w:val="00022E13"/>
    <w:rsid w:val="00025DE3"/>
    <w:rsid w:val="0002604C"/>
    <w:rsid w:val="00031E69"/>
    <w:rsid w:val="00032388"/>
    <w:rsid w:val="00034F8E"/>
    <w:rsid w:val="00035CE2"/>
    <w:rsid w:val="0003648C"/>
    <w:rsid w:val="00043586"/>
    <w:rsid w:val="000479D6"/>
    <w:rsid w:val="00051B7E"/>
    <w:rsid w:val="0005553B"/>
    <w:rsid w:val="000604D2"/>
    <w:rsid w:val="00061312"/>
    <w:rsid w:val="000630C6"/>
    <w:rsid w:val="00075F8E"/>
    <w:rsid w:val="0008154A"/>
    <w:rsid w:val="0009005E"/>
    <w:rsid w:val="00090575"/>
    <w:rsid w:val="000918C2"/>
    <w:rsid w:val="000941C5"/>
    <w:rsid w:val="000A50B7"/>
    <w:rsid w:val="000A6451"/>
    <w:rsid w:val="000A677E"/>
    <w:rsid w:val="000A69EC"/>
    <w:rsid w:val="000B064E"/>
    <w:rsid w:val="000B69CF"/>
    <w:rsid w:val="000B6D78"/>
    <w:rsid w:val="000C04A6"/>
    <w:rsid w:val="000C790C"/>
    <w:rsid w:val="000D1B14"/>
    <w:rsid w:val="000D68FA"/>
    <w:rsid w:val="000E0C0A"/>
    <w:rsid w:val="000E0C6A"/>
    <w:rsid w:val="000F061D"/>
    <w:rsid w:val="000F3DD5"/>
    <w:rsid w:val="000F4794"/>
    <w:rsid w:val="001014E8"/>
    <w:rsid w:val="001018B6"/>
    <w:rsid w:val="001058F5"/>
    <w:rsid w:val="00116A8D"/>
    <w:rsid w:val="00124F12"/>
    <w:rsid w:val="00124F58"/>
    <w:rsid w:val="001307BA"/>
    <w:rsid w:val="0013176D"/>
    <w:rsid w:val="001365E2"/>
    <w:rsid w:val="00136909"/>
    <w:rsid w:val="00137D57"/>
    <w:rsid w:val="00143846"/>
    <w:rsid w:val="00144E3A"/>
    <w:rsid w:val="00147657"/>
    <w:rsid w:val="0015060C"/>
    <w:rsid w:val="0016018A"/>
    <w:rsid w:val="00161F0E"/>
    <w:rsid w:val="00166020"/>
    <w:rsid w:val="00170E2A"/>
    <w:rsid w:val="00177394"/>
    <w:rsid w:val="00182C18"/>
    <w:rsid w:val="00183CC2"/>
    <w:rsid w:val="00184ED4"/>
    <w:rsid w:val="00185A79"/>
    <w:rsid w:val="00187C75"/>
    <w:rsid w:val="001900E4"/>
    <w:rsid w:val="00190F88"/>
    <w:rsid w:val="00193390"/>
    <w:rsid w:val="001A4066"/>
    <w:rsid w:val="001A6AE4"/>
    <w:rsid w:val="001B01FD"/>
    <w:rsid w:val="001B2903"/>
    <w:rsid w:val="001B4A71"/>
    <w:rsid w:val="001B5BEC"/>
    <w:rsid w:val="001C0C35"/>
    <w:rsid w:val="001D5B54"/>
    <w:rsid w:val="001E1DBF"/>
    <w:rsid w:val="001E4639"/>
    <w:rsid w:val="001E4A7D"/>
    <w:rsid w:val="001E5389"/>
    <w:rsid w:val="001E6247"/>
    <w:rsid w:val="001E775B"/>
    <w:rsid w:val="001F3464"/>
    <w:rsid w:val="001F3E2A"/>
    <w:rsid w:val="001F43A8"/>
    <w:rsid w:val="001F55D2"/>
    <w:rsid w:val="001F5CD6"/>
    <w:rsid w:val="00207704"/>
    <w:rsid w:val="00211CAD"/>
    <w:rsid w:val="0021263D"/>
    <w:rsid w:val="00213F0C"/>
    <w:rsid w:val="00214094"/>
    <w:rsid w:val="0021506D"/>
    <w:rsid w:val="0021592D"/>
    <w:rsid w:val="00215946"/>
    <w:rsid w:val="00222D76"/>
    <w:rsid w:val="00223EB1"/>
    <w:rsid w:val="00225EC9"/>
    <w:rsid w:val="00231344"/>
    <w:rsid w:val="0023436E"/>
    <w:rsid w:val="002347C0"/>
    <w:rsid w:val="00235E8A"/>
    <w:rsid w:val="00236B31"/>
    <w:rsid w:val="00241A6C"/>
    <w:rsid w:val="00242D2B"/>
    <w:rsid w:val="00242F4B"/>
    <w:rsid w:val="00262E2B"/>
    <w:rsid w:val="00270429"/>
    <w:rsid w:val="002723E9"/>
    <w:rsid w:val="00274D97"/>
    <w:rsid w:val="00276B31"/>
    <w:rsid w:val="00277929"/>
    <w:rsid w:val="00283B82"/>
    <w:rsid w:val="002846E9"/>
    <w:rsid w:val="00284C34"/>
    <w:rsid w:val="00285778"/>
    <w:rsid w:val="0029066C"/>
    <w:rsid w:val="00292F1D"/>
    <w:rsid w:val="002A1D9F"/>
    <w:rsid w:val="002B4EBE"/>
    <w:rsid w:val="002B50DB"/>
    <w:rsid w:val="002B5319"/>
    <w:rsid w:val="002C0446"/>
    <w:rsid w:val="002C12AB"/>
    <w:rsid w:val="002C7CAC"/>
    <w:rsid w:val="002D3306"/>
    <w:rsid w:val="002D48AA"/>
    <w:rsid w:val="002D647D"/>
    <w:rsid w:val="002D7BAA"/>
    <w:rsid w:val="002D7F54"/>
    <w:rsid w:val="002E3934"/>
    <w:rsid w:val="002E3FF4"/>
    <w:rsid w:val="002F78C8"/>
    <w:rsid w:val="00301988"/>
    <w:rsid w:val="00301CF3"/>
    <w:rsid w:val="00313E03"/>
    <w:rsid w:val="003260A6"/>
    <w:rsid w:val="0032715C"/>
    <w:rsid w:val="00332464"/>
    <w:rsid w:val="003372EC"/>
    <w:rsid w:val="00337CA5"/>
    <w:rsid w:val="0034577E"/>
    <w:rsid w:val="003608D6"/>
    <w:rsid w:val="00362478"/>
    <w:rsid w:val="00362DD6"/>
    <w:rsid w:val="00365226"/>
    <w:rsid w:val="003734BC"/>
    <w:rsid w:val="0037514E"/>
    <w:rsid w:val="00375B25"/>
    <w:rsid w:val="00376D99"/>
    <w:rsid w:val="0037788E"/>
    <w:rsid w:val="00386A3B"/>
    <w:rsid w:val="003902DD"/>
    <w:rsid w:val="00396542"/>
    <w:rsid w:val="0039685B"/>
    <w:rsid w:val="00397B85"/>
    <w:rsid w:val="003A31A6"/>
    <w:rsid w:val="003A3AE7"/>
    <w:rsid w:val="003A5A10"/>
    <w:rsid w:val="003A7F0C"/>
    <w:rsid w:val="003A7F79"/>
    <w:rsid w:val="003B6404"/>
    <w:rsid w:val="003C449B"/>
    <w:rsid w:val="003D0560"/>
    <w:rsid w:val="003D21FF"/>
    <w:rsid w:val="003D7A08"/>
    <w:rsid w:val="003F0112"/>
    <w:rsid w:val="003F071A"/>
    <w:rsid w:val="003F160B"/>
    <w:rsid w:val="00400032"/>
    <w:rsid w:val="00400B5B"/>
    <w:rsid w:val="00405A00"/>
    <w:rsid w:val="00412C60"/>
    <w:rsid w:val="004202B7"/>
    <w:rsid w:val="00420870"/>
    <w:rsid w:val="0042519F"/>
    <w:rsid w:val="0043289A"/>
    <w:rsid w:val="004370BA"/>
    <w:rsid w:val="0043791B"/>
    <w:rsid w:val="00441483"/>
    <w:rsid w:val="00441BCB"/>
    <w:rsid w:val="004461E6"/>
    <w:rsid w:val="00450025"/>
    <w:rsid w:val="0045176A"/>
    <w:rsid w:val="00453220"/>
    <w:rsid w:val="0045345A"/>
    <w:rsid w:val="00456332"/>
    <w:rsid w:val="00457D2E"/>
    <w:rsid w:val="00461826"/>
    <w:rsid w:val="004625DB"/>
    <w:rsid w:val="004731CF"/>
    <w:rsid w:val="0047638D"/>
    <w:rsid w:val="004800F9"/>
    <w:rsid w:val="00481878"/>
    <w:rsid w:val="0049134A"/>
    <w:rsid w:val="004924CF"/>
    <w:rsid w:val="004A58CB"/>
    <w:rsid w:val="004A5E37"/>
    <w:rsid w:val="004B1795"/>
    <w:rsid w:val="004B56DD"/>
    <w:rsid w:val="004B7587"/>
    <w:rsid w:val="004C020F"/>
    <w:rsid w:val="004C1AFD"/>
    <w:rsid w:val="004C558B"/>
    <w:rsid w:val="004F1629"/>
    <w:rsid w:val="004F1F88"/>
    <w:rsid w:val="004F4CFE"/>
    <w:rsid w:val="004F5F1B"/>
    <w:rsid w:val="00502374"/>
    <w:rsid w:val="005060A1"/>
    <w:rsid w:val="005120DC"/>
    <w:rsid w:val="0051495E"/>
    <w:rsid w:val="00515052"/>
    <w:rsid w:val="005155C5"/>
    <w:rsid w:val="00516072"/>
    <w:rsid w:val="005266FD"/>
    <w:rsid w:val="005332EC"/>
    <w:rsid w:val="00534418"/>
    <w:rsid w:val="005353AB"/>
    <w:rsid w:val="005507D0"/>
    <w:rsid w:val="0055212A"/>
    <w:rsid w:val="00555462"/>
    <w:rsid w:val="005560BC"/>
    <w:rsid w:val="005573BE"/>
    <w:rsid w:val="00572700"/>
    <w:rsid w:val="00580468"/>
    <w:rsid w:val="0058603B"/>
    <w:rsid w:val="005913E0"/>
    <w:rsid w:val="0059431B"/>
    <w:rsid w:val="0059500E"/>
    <w:rsid w:val="00597991"/>
    <w:rsid w:val="005A39CC"/>
    <w:rsid w:val="005A4467"/>
    <w:rsid w:val="005B4730"/>
    <w:rsid w:val="005B53F2"/>
    <w:rsid w:val="005B7688"/>
    <w:rsid w:val="005C53F1"/>
    <w:rsid w:val="005C7E70"/>
    <w:rsid w:val="005D31C4"/>
    <w:rsid w:val="005E05D7"/>
    <w:rsid w:val="005E41E7"/>
    <w:rsid w:val="005E450F"/>
    <w:rsid w:val="005F1895"/>
    <w:rsid w:val="005F2B6C"/>
    <w:rsid w:val="005F2D9F"/>
    <w:rsid w:val="005F7887"/>
    <w:rsid w:val="0060293B"/>
    <w:rsid w:val="00606778"/>
    <w:rsid w:val="006155E4"/>
    <w:rsid w:val="00615877"/>
    <w:rsid w:val="0062298A"/>
    <w:rsid w:val="00626514"/>
    <w:rsid w:val="00626589"/>
    <w:rsid w:val="006339A0"/>
    <w:rsid w:val="006367BD"/>
    <w:rsid w:val="00640CD9"/>
    <w:rsid w:val="006413A8"/>
    <w:rsid w:val="00642E56"/>
    <w:rsid w:val="0064318C"/>
    <w:rsid w:val="00651E00"/>
    <w:rsid w:val="00652013"/>
    <w:rsid w:val="00666A8C"/>
    <w:rsid w:val="006710B6"/>
    <w:rsid w:val="00674572"/>
    <w:rsid w:val="00674665"/>
    <w:rsid w:val="00687763"/>
    <w:rsid w:val="00692B0D"/>
    <w:rsid w:val="00693E0E"/>
    <w:rsid w:val="006A1AE3"/>
    <w:rsid w:val="006A3552"/>
    <w:rsid w:val="006B1558"/>
    <w:rsid w:val="006B2B43"/>
    <w:rsid w:val="006C30E1"/>
    <w:rsid w:val="006C3836"/>
    <w:rsid w:val="006C4607"/>
    <w:rsid w:val="006D48F1"/>
    <w:rsid w:val="006D7D75"/>
    <w:rsid w:val="006E163F"/>
    <w:rsid w:val="006E298C"/>
    <w:rsid w:val="006E5841"/>
    <w:rsid w:val="006E691F"/>
    <w:rsid w:val="006F0E44"/>
    <w:rsid w:val="006F45BE"/>
    <w:rsid w:val="007004FC"/>
    <w:rsid w:val="007033E4"/>
    <w:rsid w:val="00706670"/>
    <w:rsid w:val="00707467"/>
    <w:rsid w:val="00714F8E"/>
    <w:rsid w:val="00720743"/>
    <w:rsid w:val="00724099"/>
    <w:rsid w:val="0072417C"/>
    <w:rsid w:val="00733E09"/>
    <w:rsid w:val="00734450"/>
    <w:rsid w:val="00736ED2"/>
    <w:rsid w:val="00744BE7"/>
    <w:rsid w:val="007455B3"/>
    <w:rsid w:val="00745F67"/>
    <w:rsid w:val="0075039E"/>
    <w:rsid w:val="00751AF4"/>
    <w:rsid w:val="00752D9D"/>
    <w:rsid w:val="00754784"/>
    <w:rsid w:val="0075610E"/>
    <w:rsid w:val="00757C3D"/>
    <w:rsid w:val="00757C6E"/>
    <w:rsid w:val="00760F3C"/>
    <w:rsid w:val="007629A7"/>
    <w:rsid w:val="00762BDA"/>
    <w:rsid w:val="00767021"/>
    <w:rsid w:val="007805FD"/>
    <w:rsid w:val="0078088A"/>
    <w:rsid w:val="00784422"/>
    <w:rsid w:val="00786057"/>
    <w:rsid w:val="00790FD4"/>
    <w:rsid w:val="007A4E45"/>
    <w:rsid w:val="007B3B54"/>
    <w:rsid w:val="007B3FA0"/>
    <w:rsid w:val="007C0F2C"/>
    <w:rsid w:val="007C1B12"/>
    <w:rsid w:val="007C2BCC"/>
    <w:rsid w:val="007C4EF0"/>
    <w:rsid w:val="007D099D"/>
    <w:rsid w:val="007E150B"/>
    <w:rsid w:val="007E2664"/>
    <w:rsid w:val="007E3ABF"/>
    <w:rsid w:val="007E5BFA"/>
    <w:rsid w:val="007E6171"/>
    <w:rsid w:val="007E6689"/>
    <w:rsid w:val="007E731C"/>
    <w:rsid w:val="007F0A03"/>
    <w:rsid w:val="007F22CC"/>
    <w:rsid w:val="007F4A7D"/>
    <w:rsid w:val="00801078"/>
    <w:rsid w:val="00805E5D"/>
    <w:rsid w:val="00810040"/>
    <w:rsid w:val="0082023A"/>
    <w:rsid w:val="00821095"/>
    <w:rsid w:val="00821A7A"/>
    <w:rsid w:val="008253F8"/>
    <w:rsid w:val="008313C6"/>
    <w:rsid w:val="008325E4"/>
    <w:rsid w:val="00832A2B"/>
    <w:rsid w:val="00835ABD"/>
    <w:rsid w:val="00845811"/>
    <w:rsid w:val="00846994"/>
    <w:rsid w:val="00847704"/>
    <w:rsid w:val="00850451"/>
    <w:rsid w:val="00852042"/>
    <w:rsid w:val="008534C9"/>
    <w:rsid w:val="00854018"/>
    <w:rsid w:val="0085599D"/>
    <w:rsid w:val="00857CC9"/>
    <w:rsid w:val="00857CD3"/>
    <w:rsid w:val="008642FF"/>
    <w:rsid w:val="00870B9F"/>
    <w:rsid w:val="0087324B"/>
    <w:rsid w:val="0087510C"/>
    <w:rsid w:val="00880646"/>
    <w:rsid w:val="008874F1"/>
    <w:rsid w:val="00890F5B"/>
    <w:rsid w:val="00895329"/>
    <w:rsid w:val="0089738E"/>
    <w:rsid w:val="008A592F"/>
    <w:rsid w:val="008B5FDB"/>
    <w:rsid w:val="008C38B0"/>
    <w:rsid w:val="008C50F4"/>
    <w:rsid w:val="008C5649"/>
    <w:rsid w:val="008D2501"/>
    <w:rsid w:val="008D27E2"/>
    <w:rsid w:val="008D7D52"/>
    <w:rsid w:val="008E24C4"/>
    <w:rsid w:val="008E44A2"/>
    <w:rsid w:val="008E4FF5"/>
    <w:rsid w:val="008E697D"/>
    <w:rsid w:val="008E7CE1"/>
    <w:rsid w:val="008F0FB4"/>
    <w:rsid w:val="008F14BE"/>
    <w:rsid w:val="008F74CA"/>
    <w:rsid w:val="00903263"/>
    <w:rsid w:val="00906A21"/>
    <w:rsid w:val="009079C3"/>
    <w:rsid w:val="00910462"/>
    <w:rsid w:val="0091271F"/>
    <w:rsid w:val="00914EA3"/>
    <w:rsid w:val="00915AB1"/>
    <w:rsid w:val="00917532"/>
    <w:rsid w:val="009203AE"/>
    <w:rsid w:val="00920B53"/>
    <w:rsid w:val="009235BA"/>
    <w:rsid w:val="00924023"/>
    <w:rsid w:val="00924CE2"/>
    <w:rsid w:val="00925B9F"/>
    <w:rsid w:val="00926CB6"/>
    <w:rsid w:val="00931AED"/>
    <w:rsid w:val="0093681B"/>
    <w:rsid w:val="009476A3"/>
    <w:rsid w:val="0095334F"/>
    <w:rsid w:val="00953AD9"/>
    <w:rsid w:val="00955D21"/>
    <w:rsid w:val="00960105"/>
    <w:rsid w:val="009608AF"/>
    <w:rsid w:val="00965897"/>
    <w:rsid w:val="00967656"/>
    <w:rsid w:val="0096765C"/>
    <w:rsid w:val="009727E4"/>
    <w:rsid w:val="00980793"/>
    <w:rsid w:val="00984D04"/>
    <w:rsid w:val="009859EF"/>
    <w:rsid w:val="009908E8"/>
    <w:rsid w:val="009934C5"/>
    <w:rsid w:val="009937C3"/>
    <w:rsid w:val="00994C0F"/>
    <w:rsid w:val="009963E9"/>
    <w:rsid w:val="00996A74"/>
    <w:rsid w:val="009972B6"/>
    <w:rsid w:val="009A34CE"/>
    <w:rsid w:val="009A3ABC"/>
    <w:rsid w:val="009B22D7"/>
    <w:rsid w:val="009B3C9B"/>
    <w:rsid w:val="009B46AA"/>
    <w:rsid w:val="009B72ED"/>
    <w:rsid w:val="009B7BFD"/>
    <w:rsid w:val="009C1F29"/>
    <w:rsid w:val="009C5068"/>
    <w:rsid w:val="009C6DEB"/>
    <w:rsid w:val="009D042F"/>
    <w:rsid w:val="009D1566"/>
    <w:rsid w:val="009D41F5"/>
    <w:rsid w:val="009D5658"/>
    <w:rsid w:val="009D6504"/>
    <w:rsid w:val="009E12D7"/>
    <w:rsid w:val="009E2C7F"/>
    <w:rsid w:val="009E661A"/>
    <w:rsid w:val="009F21E0"/>
    <w:rsid w:val="009F6209"/>
    <w:rsid w:val="00A012EB"/>
    <w:rsid w:val="00A06781"/>
    <w:rsid w:val="00A074C3"/>
    <w:rsid w:val="00A103EF"/>
    <w:rsid w:val="00A10E52"/>
    <w:rsid w:val="00A1509C"/>
    <w:rsid w:val="00A17BBF"/>
    <w:rsid w:val="00A3220C"/>
    <w:rsid w:val="00A34260"/>
    <w:rsid w:val="00A60863"/>
    <w:rsid w:val="00A61D72"/>
    <w:rsid w:val="00A70408"/>
    <w:rsid w:val="00A70CFD"/>
    <w:rsid w:val="00A71F0B"/>
    <w:rsid w:val="00A72A0B"/>
    <w:rsid w:val="00A72B83"/>
    <w:rsid w:val="00A81E42"/>
    <w:rsid w:val="00A864FE"/>
    <w:rsid w:val="00A86F41"/>
    <w:rsid w:val="00A87D04"/>
    <w:rsid w:val="00A90B45"/>
    <w:rsid w:val="00A950C5"/>
    <w:rsid w:val="00A96756"/>
    <w:rsid w:val="00AA1D25"/>
    <w:rsid w:val="00AA5CD2"/>
    <w:rsid w:val="00AB0FC3"/>
    <w:rsid w:val="00AB2B1A"/>
    <w:rsid w:val="00AB397F"/>
    <w:rsid w:val="00AB5832"/>
    <w:rsid w:val="00AC4E3E"/>
    <w:rsid w:val="00AC51F2"/>
    <w:rsid w:val="00AD0733"/>
    <w:rsid w:val="00AD0E7A"/>
    <w:rsid w:val="00AE2CF0"/>
    <w:rsid w:val="00AE4C12"/>
    <w:rsid w:val="00AE5066"/>
    <w:rsid w:val="00AE5E24"/>
    <w:rsid w:val="00AE61B7"/>
    <w:rsid w:val="00AE6CBA"/>
    <w:rsid w:val="00AE79AD"/>
    <w:rsid w:val="00AF2415"/>
    <w:rsid w:val="00AF35E4"/>
    <w:rsid w:val="00AF51E1"/>
    <w:rsid w:val="00AF5CDE"/>
    <w:rsid w:val="00B038E5"/>
    <w:rsid w:val="00B055DD"/>
    <w:rsid w:val="00B11A57"/>
    <w:rsid w:val="00B211C3"/>
    <w:rsid w:val="00B25377"/>
    <w:rsid w:val="00B25597"/>
    <w:rsid w:val="00B267B9"/>
    <w:rsid w:val="00B2719F"/>
    <w:rsid w:val="00B33E09"/>
    <w:rsid w:val="00B42F47"/>
    <w:rsid w:val="00B4352D"/>
    <w:rsid w:val="00B50708"/>
    <w:rsid w:val="00B50C68"/>
    <w:rsid w:val="00B51293"/>
    <w:rsid w:val="00B5130F"/>
    <w:rsid w:val="00B52073"/>
    <w:rsid w:val="00B52B1E"/>
    <w:rsid w:val="00B55481"/>
    <w:rsid w:val="00B56138"/>
    <w:rsid w:val="00B56C32"/>
    <w:rsid w:val="00B57ACF"/>
    <w:rsid w:val="00B64BB1"/>
    <w:rsid w:val="00B6578C"/>
    <w:rsid w:val="00B71DF0"/>
    <w:rsid w:val="00B73166"/>
    <w:rsid w:val="00B73ABC"/>
    <w:rsid w:val="00B8426C"/>
    <w:rsid w:val="00B86D3B"/>
    <w:rsid w:val="00B9068C"/>
    <w:rsid w:val="00B91B8D"/>
    <w:rsid w:val="00B92297"/>
    <w:rsid w:val="00B9268B"/>
    <w:rsid w:val="00B93D80"/>
    <w:rsid w:val="00B94E90"/>
    <w:rsid w:val="00BB0A82"/>
    <w:rsid w:val="00BB2ACF"/>
    <w:rsid w:val="00BB7C94"/>
    <w:rsid w:val="00BC0A9D"/>
    <w:rsid w:val="00BC3A82"/>
    <w:rsid w:val="00BD6034"/>
    <w:rsid w:val="00BD7DFC"/>
    <w:rsid w:val="00BF40ED"/>
    <w:rsid w:val="00BF5BC2"/>
    <w:rsid w:val="00C07A60"/>
    <w:rsid w:val="00C10F85"/>
    <w:rsid w:val="00C1133D"/>
    <w:rsid w:val="00C128FA"/>
    <w:rsid w:val="00C16A25"/>
    <w:rsid w:val="00C16D03"/>
    <w:rsid w:val="00C25EB7"/>
    <w:rsid w:val="00C27A08"/>
    <w:rsid w:val="00C31312"/>
    <w:rsid w:val="00C326C6"/>
    <w:rsid w:val="00C35295"/>
    <w:rsid w:val="00C36231"/>
    <w:rsid w:val="00C36ADD"/>
    <w:rsid w:val="00C36E74"/>
    <w:rsid w:val="00C40595"/>
    <w:rsid w:val="00C41621"/>
    <w:rsid w:val="00C449FA"/>
    <w:rsid w:val="00C47498"/>
    <w:rsid w:val="00C5384F"/>
    <w:rsid w:val="00C56964"/>
    <w:rsid w:val="00C656D5"/>
    <w:rsid w:val="00C67103"/>
    <w:rsid w:val="00C71BB9"/>
    <w:rsid w:val="00C768AD"/>
    <w:rsid w:val="00C854E9"/>
    <w:rsid w:val="00C86234"/>
    <w:rsid w:val="00C86778"/>
    <w:rsid w:val="00C94C28"/>
    <w:rsid w:val="00CA0A06"/>
    <w:rsid w:val="00CA0C39"/>
    <w:rsid w:val="00CA6FAB"/>
    <w:rsid w:val="00CB0247"/>
    <w:rsid w:val="00CB3440"/>
    <w:rsid w:val="00CC076D"/>
    <w:rsid w:val="00CC1692"/>
    <w:rsid w:val="00CD138B"/>
    <w:rsid w:val="00CD3E31"/>
    <w:rsid w:val="00CD74A3"/>
    <w:rsid w:val="00CE02CB"/>
    <w:rsid w:val="00CE0527"/>
    <w:rsid w:val="00CE351F"/>
    <w:rsid w:val="00CE4216"/>
    <w:rsid w:val="00CE5701"/>
    <w:rsid w:val="00CE5B23"/>
    <w:rsid w:val="00CE68A0"/>
    <w:rsid w:val="00CF70AD"/>
    <w:rsid w:val="00CF7729"/>
    <w:rsid w:val="00D00059"/>
    <w:rsid w:val="00D00088"/>
    <w:rsid w:val="00D02E53"/>
    <w:rsid w:val="00D107FA"/>
    <w:rsid w:val="00D12275"/>
    <w:rsid w:val="00D12766"/>
    <w:rsid w:val="00D12880"/>
    <w:rsid w:val="00D171BF"/>
    <w:rsid w:val="00D20FF4"/>
    <w:rsid w:val="00D229B0"/>
    <w:rsid w:val="00D24D2C"/>
    <w:rsid w:val="00D265DF"/>
    <w:rsid w:val="00D35881"/>
    <w:rsid w:val="00D63CB5"/>
    <w:rsid w:val="00D70996"/>
    <w:rsid w:val="00D84B84"/>
    <w:rsid w:val="00DA24F6"/>
    <w:rsid w:val="00DA3E63"/>
    <w:rsid w:val="00DA7DA5"/>
    <w:rsid w:val="00DB073B"/>
    <w:rsid w:val="00DB78F0"/>
    <w:rsid w:val="00DC2E43"/>
    <w:rsid w:val="00DC33E1"/>
    <w:rsid w:val="00DD095C"/>
    <w:rsid w:val="00DD1020"/>
    <w:rsid w:val="00DD1330"/>
    <w:rsid w:val="00DD48F3"/>
    <w:rsid w:val="00DE0B83"/>
    <w:rsid w:val="00DE1A81"/>
    <w:rsid w:val="00DE1C13"/>
    <w:rsid w:val="00DE4E10"/>
    <w:rsid w:val="00DE7395"/>
    <w:rsid w:val="00DF5C15"/>
    <w:rsid w:val="00DF6764"/>
    <w:rsid w:val="00DF6C5B"/>
    <w:rsid w:val="00E02ABF"/>
    <w:rsid w:val="00E02EF3"/>
    <w:rsid w:val="00E14995"/>
    <w:rsid w:val="00E179CD"/>
    <w:rsid w:val="00E22C2B"/>
    <w:rsid w:val="00E23E8D"/>
    <w:rsid w:val="00E30AFE"/>
    <w:rsid w:val="00E33E8A"/>
    <w:rsid w:val="00E37F98"/>
    <w:rsid w:val="00E442AE"/>
    <w:rsid w:val="00E46559"/>
    <w:rsid w:val="00E53B66"/>
    <w:rsid w:val="00E5553C"/>
    <w:rsid w:val="00E632F7"/>
    <w:rsid w:val="00E6670C"/>
    <w:rsid w:val="00E71777"/>
    <w:rsid w:val="00E733FE"/>
    <w:rsid w:val="00E7391A"/>
    <w:rsid w:val="00E749B3"/>
    <w:rsid w:val="00E762E4"/>
    <w:rsid w:val="00E776E8"/>
    <w:rsid w:val="00E84776"/>
    <w:rsid w:val="00E92C1F"/>
    <w:rsid w:val="00E95D4B"/>
    <w:rsid w:val="00EA78AF"/>
    <w:rsid w:val="00EB199F"/>
    <w:rsid w:val="00EB4B7F"/>
    <w:rsid w:val="00EB5E87"/>
    <w:rsid w:val="00EC145E"/>
    <w:rsid w:val="00EC23F7"/>
    <w:rsid w:val="00EC3834"/>
    <w:rsid w:val="00EC4BD8"/>
    <w:rsid w:val="00EC63EB"/>
    <w:rsid w:val="00ED0655"/>
    <w:rsid w:val="00ED2014"/>
    <w:rsid w:val="00ED412F"/>
    <w:rsid w:val="00ED70A9"/>
    <w:rsid w:val="00ED7CE1"/>
    <w:rsid w:val="00EE083D"/>
    <w:rsid w:val="00EE5FB9"/>
    <w:rsid w:val="00EF36B2"/>
    <w:rsid w:val="00EF71ED"/>
    <w:rsid w:val="00F123BF"/>
    <w:rsid w:val="00F201EC"/>
    <w:rsid w:val="00F208A9"/>
    <w:rsid w:val="00F21E76"/>
    <w:rsid w:val="00F30C0C"/>
    <w:rsid w:val="00F311D2"/>
    <w:rsid w:val="00F320FE"/>
    <w:rsid w:val="00F41D75"/>
    <w:rsid w:val="00F42A18"/>
    <w:rsid w:val="00F44C8D"/>
    <w:rsid w:val="00F50805"/>
    <w:rsid w:val="00F5139D"/>
    <w:rsid w:val="00F540A1"/>
    <w:rsid w:val="00F63DAC"/>
    <w:rsid w:val="00F709FE"/>
    <w:rsid w:val="00F7454F"/>
    <w:rsid w:val="00F77988"/>
    <w:rsid w:val="00F77F48"/>
    <w:rsid w:val="00F8053C"/>
    <w:rsid w:val="00F8079A"/>
    <w:rsid w:val="00F93A94"/>
    <w:rsid w:val="00FA2C59"/>
    <w:rsid w:val="00FA5712"/>
    <w:rsid w:val="00FB30F1"/>
    <w:rsid w:val="00FB53E7"/>
    <w:rsid w:val="00FC214D"/>
    <w:rsid w:val="00FC3550"/>
    <w:rsid w:val="00FC35E5"/>
    <w:rsid w:val="00FE01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locked/>
    <w:rsid w:val="00147657"/>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ais"/>
    <w:link w:val="BalontekstsRakstz"/>
    <w:uiPriority w:val="99"/>
    <w:semiHidden/>
    <w:rsid w:val="008C56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2A3"/>
    <w:rPr>
      <w:sz w:val="0"/>
      <w:szCs w:val="0"/>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3102A3"/>
    <w:rPr>
      <w:sz w:val="20"/>
      <w:szCs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rsid w:val="003102A3"/>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ai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rsid w:val="003102A3"/>
    <w:rPr>
      <w:sz w:val="0"/>
      <w:szCs w:val="0"/>
    </w:rPr>
  </w:style>
  <w:style w:type="character" w:styleId="Izteiksmgs">
    <w:name w:val="Strong"/>
    <w:basedOn w:val="Noklusjumarindkopasfonts"/>
    <w:uiPriority w:val="99"/>
    <w:qFormat/>
    <w:rsid w:val="00F50805"/>
    <w:rPr>
      <w:rFonts w:cs="Times New Roman"/>
      <w:b/>
    </w:rPr>
  </w:style>
  <w:style w:type="paragraph" w:styleId="Sarakstarindkopa">
    <w:name w:val="List Paragraph"/>
    <w:basedOn w:val="Parastais"/>
    <w:uiPriority w:val="99"/>
    <w:qFormat/>
    <w:rsid w:val="00A90B45"/>
    <w:pPr>
      <w:ind w:left="720"/>
    </w:pPr>
  </w:style>
  <w:style w:type="paragraph" w:customStyle="1" w:styleId="CM4">
    <w:name w:val="CM4"/>
    <w:basedOn w:val="Parastais"/>
    <w:next w:val="Parastais"/>
    <w:uiPriority w:val="99"/>
    <w:rsid w:val="0091271F"/>
    <w:pPr>
      <w:autoSpaceDE w:val="0"/>
      <w:autoSpaceDN w:val="0"/>
      <w:adjustRightInd w:val="0"/>
    </w:pPr>
  </w:style>
  <w:style w:type="paragraph" w:styleId="Pamattekstaatkpe2">
    <w:name w:val="Body Text Indent 2"/>
    <w:basedOn w:val="Parastai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basedOn w:val="Noklusjumarindkopasfonts"/>
    <w:link w:val="Pamattekstaatkpe2"/>
    <w:uiPriority w:val="99"/>
    <w:locked/>
    <w:rsid w:val="00143846"/>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customStyle="1" w:styleId="GalveneRakstz">
    <w:name w:val="Galvene Rakstz."/>
    <w:basedOn w:val="Noklusjumarindkopasfonts"/>
    <w:link w:val="Galvene"/>
    <w:uiPriority w:val="99"/>
    <w:locked/>
    <w:rsid w:val="00147657"/>
    <w:rPr>
      <w:sz w:val="24"/>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lang w:val="lv-LV" w:eastAsia="lv-LV"/>
    </w:rPr>
  </w:style>
  <w:style w:type="paragraph" w:styleId="Balonteksts">
    <w:name w:val="Balloon Text"/>
    <w:basedOn w:val="Parasts"/>
    <w:link w:val="BalontekstsRakstz"/>
    <w:uiPriority w:val="99"/>
    <w:semiHidden/>
    <w:rsid w:val="008C56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2A3"/>
    <w:rPr>
      <w:sz w:val="0"/>
      <w:szCs w:val="0"/>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rsid w:val="003102A3"/>
    <w:rPr>
      <w:sz w:val="20"/>
      <w:szCs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rsid w:val="003102A3"/>
    <w:rPr>
      <w:b/>
      <w:bCs/>
      <w:sz w:val="20"/>
      <w:szCs w:val="20"/>
      <w:lang w:val="lv-LV" w:eastAsia="lv-LV"/>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rsid w:val="003102A3"/>
    <w:rPr>
      <w:sz w:val="0"/>
      <w:szCs w:val="0"/>
    </w:rPr>
  </w:style>
  <w:style w:type="character" w:styleId="Izteiksmgs">
    <w:name w:val="Strong"/>
    <w:basedOn w:val="Noklusjumarindkopasfonts"/>
    <w:uiPriority w:val="99"/>
    <w:qFormat/>
    <w:rsid w:val="00F50805"/>
    <w:rPr>
      <w:rFonts w:cs="Times New Roman"/>
      <w:b/>
    </w:rPr>
  </w:style>
  <w:style w:type="paragraph" w:styleId="Sarakstarindkopa">
    <w:name w:val="List Paragraph"/>
    <w:basedOn w:val="Parasts"/>
    <w:uiPriority w:val="99"/>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uiPriority w:val="99"/>
    <w:rsid w:val="00143846"/>
    <w:pPr>
      <w:ind w:firstLine="720"/>
      <w:jc w:val="center"/>
    </w:pPr>
    <w:rPr>
      <w:b/>
      <w:sz w:val="28"/>
      <w:szCs w:val="20"/>
      <w:lang w:eastAsia="en-US"/>
    </w:rPr>
  </w:style>
  <w:style w:type="character" w:customStyle="1" w:styleId="Pamattekstaatkpe2Rakstz">
    <w:name w:val="Pamatteksta atkāpe 2 Rakstz."/>
    <w:basedOn w:val="Noklusjumarindkopasfonts"/>
    <w:link w:val="Pamattekstaatkpe2"/>
    <w:uiPriority w:val="99"/>
    <w:locked/>
    <w:rsid w:val="00143846"/>
    <w:rPr>
      <w:b/>
      <w:sz w:val="28"/>
      <w:lang w:eastAsia="en-US"/>
    </w:rPr>
  </w:style>
</w:styles>
</file>

<file path=word/webSettings.xml><?xml version="1.0" encoding="utf-8"?>
<w:webSettings xmlns:r="http://schemas.openxmlformats.org/officeDocument/2006/relationships" xmlns:w="http://schemas.openxmlformats.org/wordprocessingml/2006/main">
  <w:divs>
    <w:div w:id="1758670871">
      <w:marLeft w:val="0"/>
      <w:marRight w:val="0"/>
      <w:marTop w:val="0"/>
      <w:marBottom w:val="0"/>
      <w:divBdr>
        <w:top w:val="none" w:sz="0" w:space="0" w:color="auto"/>
        <w:left w:val="none" w:sz="0" w:space="0" w:color="auto"/>
        <w:bottom w:val="none" w:sz="0" w:space="0" w:color="auto"/>
        <w:right w:val="none" w:sz="0" w:space="0" w:color="auto"/>
      </w:divBdr>
    </w:div>
    <w:div w:id="175867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2721</Words>
  <Characters>19458</Characters>
  <Application>Microsoft Office Word</Application>
  <DocSecurity>0</DocSecurity>
  <Lines>648</Lines>
  <Paragraphs>191</Paragraphs>
  <ScaleCrop>false</ScaleCrop>
  <HeadingPairs>
    <vt:vector size="2" baseType="variant">
      <vt:variant>
        <vt:lpstr>Nosaukums</vt:lpstr>
      </vt:variant>
      <vt:variant>
        <vt:i4>1</vt:i4>
      </vt:variant>
    </vt:vector>
  </HeadingPairs>
  <TitlesOfParts>
    <vt:vector size="1" baseType="lpstr">
      <vt:lpstr>Grozījumi Ministru kabineta 2011.gada 1.februāra noteikumos Nr.106 „Kārtība,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1.februāra noteikumos Nr.106 „Kārtība, kādā piešķir, administrē un uzrauga valsts un Eiropas Savienības atbalstu piena produktu piegādei izglītojamiem vispārējās izglītības iestādēs”</dc:title>
  <dc:subject>Anotācija</dc:subject>
  <dc:creator>Inga Orlova</dc:creator>
  <dc:description>Inga.Orlova@zm.gov.lv, 67027376</dc:description>
  <cp:lastModifiedBy>Renārs Žagars</cp:lastModifiedBy>
  <cp:revision>5</cp:revision>
  <cp:lastPrinted>2013-08-13T10:51:00Z</cp:lastPrinted>
  <dcterms:created xsi:type="dcterms:W3CDTF">2013-08-14T12:10:00Z</dcterms:created>
  <dcterms:modified xsi:type="dcterms:W3CDTF">2013-08-19T13:21:00Z</dcterms:modified>
</cp:coreProperties>
</file>