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8F" w:rsidRPr="00D75E57" w:rsidRDefault="0091408F" w:rsidP="00876F35">
      <w:pPr>
        <w:jc w:val="center"/>
        <w:rPr>
          <w:b/>
          <w:sz w:val="28"/>
          <w:szCs w:val="28"/>
        </w:rPr>
      </w:pPr>
      <w:bookmarkStart w:id="0" w:name="_GoBack"/>
      <w:bookmarkEnd w:id="0"/>
      <w:r w:rsidRPr="00D75E57">
        <w:rPr>
          <w:b/>
          <w:sz w:val="28"/>
          <w:szCs w:val="28"/>
        </w:rPr>
        <w:t>Ministru kabineta noteikumu projekta</w:t>
      </w:r>
    </w:p>
    <w:p w:rsidR="0091408F" w:rsidRPr="00D75E57" w:rsidRDefault="00F40550" w:rsidP="00876F35">
      <w:pPr>
        <w:pStyle w:val="Kjene"/>
        <w:tabs>
          <w:tab w:val="clear" w:pos="4153"/>
          <w:tab w:val="clear" w:pos="8306"/>
        </w:tabs>
        <w:jc w:val="center"/>
        <w:rPr>
          <w:sz w:val="28"/>
          <w:szCs w:val="28"/>
        </w:rPr>
      </w:pPr>
      <w:r w:rsidRPr="00D75E57">
        <w:rPr>
          <w:b/>
          <w:bCs/>
          <w:sz w:val="28"/>
          <w:szCs w:val="28"/>
        </w:rPr>
        <w:t>„</w:t>
      </w:r>
      <w:r w:rsidR="0091408F" w:rsidRPr="00D75E57">
        <w:rPr>
          <w:b/>
          <w:bCs/>
          <w:sz w:val="28"/>
          <w:szCs w:val="28"/>
        </w:rPr>
        <w:t>Grozījumi Ministru kabineta 2012.gada 10.jūlija noteikumos Nr.493„Noteikumi par Valsts augu aizsardzības dienesta sniegto maksas pakalpojumu cenrādi”</w:t>
      </w:r>
      <w:r w:rsidRPr="00D75E57">
        <w:rPr>
          <w:b/>
          <w:bCs/>
          <w:sz w:val="28"/>
          <w:szCs w:val="28"/>
        </w:rPr>
        <w:t>”</w:t>
      </w:r>
    </w:p>
    <w:p w:rsidR="0091408F" w:rsidRPr="00D75E57" w:rsidRDefault="0091408F" w:rsidP="00876F35">
      <w:pPr>
        <w:jc w:val="center"/>
        <w:rPr>
          <w:b/>
          <w:sz w:val="28"/>
          <w:szCs w:val="28"/>
        </w:rPr>
      </w:pPr>
      <w:r w:rsidRPr="00D75E5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D75E57">
          <w:rPr>
            <w:b/>
            <w:sz w:val="28"/>
            <w:szCs w:val="28"/>
          </w:rPr>
          <w:t>ziņojums</w:t>
        </w:r>
      </w:smartTag>
      <w:r w:rsidRPr="00D75E57">
        <w:rPr>
          <w:b/>
          <w:sz w:val="28"/>
          <w:szCs w:val="28"/>
        </w:rPr>
        <w:t xml:space="preserve"> (anotācija)</w:t>
      </w:r>
    </w:p>
    <w:p w:rsidR="0091408F" w:rsidRPr="00D75E57" w:rsidRDefault="0091408F" w:rsidP="00876F35">
      <w:pPr>
        <w:jc w:val="center"/>
        <w:rPr>
          <w:b/>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779"/>
      </w:tblGrid>
      <w:tr w:rsidR="00D75E57" w:rsidRPr="00D75E57" w:rsidTr="00551C1F">
        <w:tc>
          <w:tcPr>
            <w:tcW w:w="9644" w:type="dxa"/>
            <w:gridSpan w:val="3"/>
            <w:vAlign w:val="center"/>
          </w:tcPr>
          <w:p w:rsidR="0091408F" w:rsidRPr="00D75E57" w:rsidRDefault="0091408F" w:rsidP="00876F35">
            <w:pPr>
              <w:pStyle w:val="naisnod"/>
              <w:spacing w:before="0" w:after="0"/>
            </w:pPr>
            <w:r w:rsidRPr="00D75E57">
              <w:t>I. Tiesību akta projekta izstrādes nepieciešamība</w:t>
            </w:r>
          </w:p>
        </w:tc>
      </w:tr>
      <w:tr w:rsidR="00D75E57" w:rsidRPr="00D75E57" w:rsidTr="00551C1F">
        <w:trPr>
          <w:trHeight w:val="630"/>
        </w:trPr>
        <w:tc>
          <w:tcPr>
            <w:tcW w:w="550" w:type="dxa"/>
          </w:tcPr>
          <w:p w:rsidR="0091408F" w:rsidRPr="00D75E57" w:rsidRDefault="0091408F" w:rsidP="00876F35">
            <w:pPr>
              <w:pStyle w:val="naiskr"/>
              <w:spacing w:before="0" w:after="0"/>
            </w:pPr>
            <w:r w:rsidRPr="00D75E57">
              <w:rPr>
                <w:sz w:val="22"/>
                <w:szCs w:val="22"/>
              </w:rPr>
              <w:t>1.</w:t>
            </w:r>
          </w:p>
        </w:tc>
        <w:tc>
          <w:tcPr>
            <w:tcW w:w="4315" w:type="dxa"/>
          </w:tcPr>
          <w:p w:rsidR="0091408F" w:rsidRPr="00D75E57" w:rsidRDefault="0091408F" w:rsidP="00876F35">
            <w:pPr>
              <w:pStyle w:val="naiskr"/>
              <w:spacing w:before="0" w:after="0"/>
              <w:ind w:hanging="10"/>
            </w:pPr>
            <w:r w:rsidRPr="00D75E57">
              <w:rPr>
                <w:sz w:val="22"/>
                <w:szCs w:val="22"/>
              </w:rPr>
              <w:t>Pamatojums</w:t>
            </w:r>
          </w:p>
        </w:tc>
        <w:tc>
          <w:tcPr>
            <w:tcW w:w="4779" w:type="dxa"/>
          </w:tcPr>
          <w:p w:rsidR="0091408F" w:rsidRPr="00D75E57" w:rsidRDefault="0091408F" w:rsidP="00876F35">
            <w:pPr>
              <w:pStyle w:val="ParastaisWeb"/>
              <w:spacing w:before="0" w:after="0"/>
              <w:jc w:val="both"/>
              <w:rPr>
                <w:noProof w:val="0"/>
                <w:szCs w:val="24"/>
                <w:lang w:val="lv-LV"/>
              </w:rPr>
            </w:pPr>
            <w:r w:rsidRPr="00D75E57">
              <w:rPr>
                <w:lang w:val="lv-LV"/>
              </w:rPr>
              <w:t>Likuma par budžetu un finanšu vadību 5.panta devītā daļa</w:t>
            </w:r>
            <w:r w:rsidRPr="00D75E57">
              <w:rPr>
                <w:sz w:val="22"/>
                <w:szCs w:val="22"/>
                <w:lang w:val="lv-LV"/>
              </w:rPr>
              <w:t>.</w:t>
            </w:r>
          </w:p>
        </w:tc>
      </w:tr>
      <w:tr w:rsidR="00D75E57" w:rsidRPr="00D75E57" w:rsidTr="00876F35">
        <w:trPr>
          <w:trHeight w:val="472"/>
        </w:trPr>
        <w:tc>
          <w:tcPr>
            <w:tcW w:w="550" w:type="dxa"/>
          </w:tcPr>
          <w:p w:rsidR="0091408F" w:rsidRPr="00D75E57" w:rsidRDefault="0091408F" w:rsidP="00876F35">
            <w:pPr>
              <w:pStyle w:val="naiskr"/>
              <w:spacing w:before="0" w:after="0"/>
            </w:pPr>
            <w:r w:rsidRPr="00D75E57">
              <w:rPr>
                <w:sz w:val="22"/>
                <w:szCs w:val="22"/>
              </w:rPr>
              <w:t>2.</w:t>
            </w:r>
          </w:p>
        </w:tc>
        <w:tc>
          <w:tcPr>
            <w:tcW w:w="4315" w:type="dxa"/>
            <w:shd w:val="clear" w:color="auto" w:fill="auto"/>
          </w:tcPr>
          <w:p w:rsidR="0091408F" w:rsidRPr="00D75E57" w:rsidRDefault="0091408F" w:rsidP="00876F35">
            <w:pPr>
              <w:pStyle w:val="naiskr"/>
              <w:tabs>
                <w:tab w:val="left" w:pos="170"/>
              </w:tabs>
              <w:spacing w:before="0" w:after="0"/>
            </w:pPr>
            <w:r w:rsidRPr="00D75E57">
              <w:rPr>
                <w:sz w:val="22"/>
                <w:szCs w:val="22"/>
              </w:rPr>
              <w:t>Pašreizējā situācija un problēmas</w:t>
            </w:r>
          </w:p>
          <w:p w:rsidR="0091408F" w:rsidRPr="00D75E57" w:rsidRDefault="0091408F" w:rsidP="00876F35">
            <w:pPr>
              <w:pStyle w:val="naiskr"/>
              <w:tabs>
                <w:tab w:val="left" w:pos="170"/>
              </w:tabs>
              <w:spacing w:before="0" w:after="0"/>
            </w:pPr>
          </w:p>
          <w:p w:rsidR="0091408F" w:rsidRPr="00D75E57" w:rsidRDefault="0091408F" w:rsidP="00876F35">
            <w:pPr>
              <w:pStyle w:val="naiskr"/>
              <w:tabs>
                <w:tab w:val="left" w:pos="170"/>
              </w:tabs>
              <w:spacing w:before="0" w:after="0"/>
            </w:pPr>
          </w:p>
          <w:p w:rsidR="0091408F" w:rsidRPr="00D75E57" w:rsidRDefault="0091408F" w:rsidP="00876F35">
            <w:pPr>
              <w:pStyle w:val="naiskr"/>
              <w:tabs>
                <w:tab w:val="left" w:pos="170"/>
              </w:tabs>
              <w:spacing w:before="0" w:after="0"/>
            </w:pPr>
          </w:p>
          <w:p w:rsidR="0091408F" w:rsidRPr="00D75E57" w:rsidRDefault="0091408F" w:rsidP="00876F35">
            <w:pPr>
              <w:pStyle w:val="naiskr"/>
              <w:tabs>
                <w:tab w:val="left" w:pos="170"/>
              </w:tabs>
              <w:spacing w:before="0" w:after="0"/>
            </w:pPr>
          </w:p>
        </w:tc>
        <w:tc>
          <w:tcPr>
            <w:tcW w:w="4779" w:type="dxa"/>
            <w:shd w:val="clear" w:color="auto" w:fill="auto"/>
          </w:tcPr>
          <w:p w:rsidR="0091408F" w:rsidRPr="00D75E57" w:rsidRDefault="0091408F" w:rsidP="00876F35">
            <w:pPr>
              <w:ind w:firstLine="385"/>
              <w:jc w:val="both"/>
              <w:rPr>
                <w:bCs/>
              </w:rPr>
            </w:pPr>
            <w:r w:rsidRPr="00D75E57">
              <w:rPr>
                <w:iCs/>
              </w:rPr>
              <w:t>Patlaban ir spēkā Ministru kabineta 2012.gada 10.jūlija noteikumi Nr.493 „</w:t>
            </w:r>
            <w:r w:rsidRPr="00D75E57">
              <w:rPr>
                <w:bCs/>
              </w:rPr>
              <w:t xml:space="preserve">Noteikumi par Valsts augu aizsardzības dienesta sniegto maksas pakalpojumu cenrādi” (turpmāk –noteikumi Nr.493). </w:t>
            </w:r>
          </w:p>
          <w:p w:rsidR="006E61AD" w:rsidRPr="00D75E57" w:rsidRDefault="006E61AD" w:rsidP="00876F35">
            <w:pPr>
              <w:ind w:firstLine="385"/>
              <w:jc w:val="both"/>
              <w:rPr>
                <w:bCs/>
              </w:rPr>
            </w:pPr>
          </w:p>
          <w:p w:rsidR="00B74CF8" w:rsidRPr="00D75E57" w:rsidRDefault="00CD4627" w:rsidP="00876F35">
            <w:pPr>
              <w:ind w:firstLine="385"/>
              <w:jc w:val="both"/>
            </w:pPr>
            <w:r w:rsidRPr="00D75E57">
              <w:t>1.</w:t>
            </w:r>
            <w:r w:rsidR="00046F4B" w:rsidRPr="00D75E57">
              <w:t xml:space="preserve"> </w:t>
            </w:r>
            <w:r w:rsidR="00667040" w:rsidRPr="00D75E57">
              <w:t>Pamatojoties uz Sēklu un šķirņu aprites likuma 2.panta 5.punktu, Pārejas noteikumu 15.punktu, Ministru kabineta 2012.gada 24.jūlija noteikumu Nr.</w:t>
            </w:r>
            <w:r w:rsidR="00667040" w:rsidRPr="00D75E57">
              <w:rPr>
                <w:bCs/>
              </w:rPr>
              <w:t>518</w:t>
            </w:r>
            <w:hyperlink r:id="rId8" w:tgtFrame="_blank" w:history="1">
              <w:r w:rsidR="00667040" w:rsidRPr="00D75E57">
                <w:rPr>
                  <w:rStyle w:val="Hipersaite"/>
                  <w:bCs/>
                  <w:color w:val="auto"/>
                  <w:u w:val="none"/>
                </w:rPr>
                <w:t xml:space="preserve"> "Augu šķirnes saimniecisko īpašību novērtēšanas noteikumi</w:t>
              </w:r>
            </w:hyperlink>
            <w:r w:rsidR="00667040" w:rsidRPr="00D75E57">
              <w:rPr>
                <w:bCs/>
              </w:rPr>
              <w:t xml:space="preserve">" 11.punktu un </w:t>
            </w:r>
            <w:r w:rsidR="00046F4B" w:rsidRPr="00D75E57">
              <w:rPr>
                <w:bCs/>
              </w:rPr>
              <w:t>n</w:t>
            </w:r>
            <w:r w:rsidR="00667040" w:rsidRPr="00D75E57">
              <w:rPr>
                <w:bCs/>
              </w:rPr>
              <w:t xml:space="preserve">oslēguma jautājumu 55.punktu, </w:t>
            </w:r>
            <w:r w:rsidR="00667040" w:rsidRPr="00D75E57">
              <w:t>no 2012.gada 1.augusta augu šķirņu saimniecisko īpašību novērtēšanu nodrošina Latvijas Lauksaimniecības universitāte</w:t>
            </w:r>
            <w:r w:rsidR="0052329E" w:rsidRPr="00D75E57">
              <w:t xml:space="preserve">. </w:t>
            </w:r>
          </w:p>
          <w:p w:rsidR="0091408F" w:rsidRPr="00D75E57" w:rsidRDefault="0052329E" w:rsidP="00876F35">
            <w:pPr>
              <w:ind w:firstLine="385"/>
              <w:jc w:val="both"/>
            </w:pPr>
            <w:r w:rsidRPr="00D75E57">
              <w:t xml:space="preserve">Tāpēc no </w:t>
            </w:r>
            <w:r w:rsidR="00F40550" w:rsidRPr="00D75E57">
              <w:t>n</w:t>
            </w:r>
            <w:r w:rsidRPr="00D75E57">
              <w:t>oteikumu Nr.493</w:t>
            </w:r>
            <w:r w:rsidR="00F40550" w:rsidRPr="00D75E57">
              <w:t xml:space="preserve"> </w:t>
            </w:r>
            <w:r w:rsidR="00CD4627" w:rsidRPr="00D75E57">
              <w:t xml:space="preserve">pielikuma </w:t>
            </w:r>
            <w:r w:rsidRPr="00D75E57">
              <w:t>svītro</w:t>
            </w:r>
            <w:r w:rsidR="00046F4B" w:rsidRPr="00D75E57">
              <w:t>jams</w:t>
            </w:r>
            <w:r w:rsidRPr="00D75E57">
              <w:t xml:space="preserve"> 28.punkt</w:t>
            </w:r>
            <w:r w:rsidR="00046F4B" w:rsidRPr="00D75E57">
              <w:t>s</w:t>
            </w:r>
            <w:r w:rsidRPr="00D75E57">
              <w:t>, k</w:t>
            </w:r>
            <w:r w:rsidR="00046F4B" w:rsidRPr="00D75E57">
              <w:t>as</w:t>
            </w:r>
            <w:r w:rsidRPr="00D75E57">
              <w:t xml:space="preserve"> nosaka, ka Valsts augu aizsardzības dienests</w:t>
            </w:r>
            <w:r w:rsidR="00CD4627" w:rsidRPr="00D75E57">
              <w:t xml:space="preserve"> (turpmāk – dienests)</w:t>
            </w:r>
            <w:r w:rsidRPr="00D75E57">
              <w:t xml:space="preserve"> veic </w:t>
            </w:r>
            <w:r w:rsidR="00CD4627" w:rsidRPr="00D75E57">
              <w:t>d</w:t>
            </w:r>
            <w:r w:rsidRPr="00D75E57">
              <w:t xml:space="preserve">okumentu pārbaudi, saņemot iesniegumu par augu šķirnes saimniecisko īpašību novērtēšanu. </w:t>
            </w:r>
          </w:p>
          <w:p w:rsidR="00197739" w:rsidRPr="00D75E57" w:rsidRDefault="00B74CF8" w:rsidP="00876F35">
            <w:pPr>
              <w:ind w:firstLine="385"/>
              <w:jc w:val="both"/>
            </w:pPr>
            <w:r w:rsidRPr="00D75E57">
              <w:t>Sēklu un šķirņu aprites likuma Pārejas noteikumu 16.punkts nosaka, ka to augu šķirņu saimniecisko īpašību novērtēšanu, kuru raža tiek novākta 2012.gadā, Valsts augu aizsardzības dienests nodrošina saskaņā ar tām metodikām, ar kurām šķirņu novērtēšana ir uzsākta.</w:t>
            </w:r>
            <w:r w:rsidR="00197739" w:rsidRPr="00D75E57">
              <w:t xml:space="preserve"> </w:t>
            </w:r>
          </w:p>
          <w:p w:rsidR="00CD4627" w:rsidRPr="00D75E57" w:rsidRDefault="00197739" w:rsidP="00876F35">
            <w:pPr>
              <w:ind w:firstLine="385"/>
              <w:jc w:val="both"/>
              <w:rPr>
                <w:szCs w:val="28"/>
              </w:rPr>
            </w:pPr>
            <w:r w:rsidRPr="00D75E57">
              <w:t>Līdz Ministru kabineta 2012.gada 24.jūlija noteikumu Nr.</w:t>
            </w:r>
            <w:r w:rsidRPr="00D75E57">
              <w:rPr>
                <w:bCs/>
              </w:rPr>
              <w:t>518</w:t>
            </w:r>
            <w:hyperlink r:id="rId9" w:tgtFrame="_blank" w:history="1">
              <w:r w:rsidRPr="00D75E57">
                <w:rPr>
                  <w:rStyle w:val="Hipersaite"/>
                  <w:bCs/>
                  <w:color w:val="auto"/>
                  <w:u w:val="none"/>
                </w:rPr>
                <w:t xml:space="preserve"> "Augu šķirnes saimniecisko īpašību novērtēšanas noteikumi</w:t>
              </w:r>
            </w:hyperlink>
            <w:r w:rsidRPr="00D75E57">
              <w:rPr>
                <w:bCs/>
              </w:rPr>
              <w:t xml:space="preserve">" </w:t>
            </w:r>
            <w:r w:rsidR="002455E0">
              <w:rPr>
                <w:bCs/>
              </w:rPr>
              <w:t xml:space="preserve">spēkā </w:t>
            </w:r>
            <w:r w:rsidRPr="00D75E57">
              <w:t xml:space="preserve">stāšanās </w:t>
            </w:r>
            <w:r w:rsidR="002455E0">
              <w:t>brīdim</w:t>
            </w:r>
            <w:r w:rsidRPr="00D75E57">
              <w:t xml:space="preserve"> augu šķirņu novērtēšanas kārtību un metodikas noteica Ministru kabineta 2008.gada 30.jūnija noteikum</w:t>
            </w:r>
            <w:r w:rsidR="00B94AF0" w:rsidRPr="00D75E57">
              <w:t>i</w:t>
            </w:r>
            <w:r w:rsidRPr="00D75E57">
              <w:t xml:space="preserve"> Nr.</w:t>
            </w:r>
            <w:r w:rsidRPr="00D75E57">
              <w:rPr>
                <w:bCs/>
              </w:rPr>
              <w:t>469</w:t>
            </w:r>
            <w:hyperlink r:id="rId10" w:tgtFrame="_blank" w:history="1">
              <w:r w:rsidRPr="00D75E57">
                <w:rPr>
                  <w:rStyle w:val="Hipersaite"/>
                  <w:bCs/>
                  <w:color w:val="auto"/>
                  <w:u w:val="none"/>
                </w:rPr>
                <w:t xml:space="preserve"> "Augu šķirnes saimniecisko īpašību novērtēšanas noteikumi</w:t>
              </w:r>
            </w:hyperlink>
            <w:r w:rsidRPr="00D75E57">
              <w:rPr>
                <w:bCs/>
              </w:rPr>
              <w:t>"</w:t>
            </w:r>
            <w:r w:rsidR="002455E0">
              <w:rPr>
                <w:bCs/>
              </w:rPr>
              <w:t>.</w:t>
            </w:r>
            <w:r w:rsidRPr="00D75E57">
              <w:rPr>
                <w:bCs/>
              </w:rPr>
              <w:t xml:space="preserve"> </w:t>
            </w:r>
            <w:r w:rsidR="002455E0">
              <w:rPr>
                <w:bCs/>
              </w:rPr>
              <w:t>Taj</w:t>
            </w:r>
            <w:r w:rsidRPr="00D75E57">
              <w:rPr>
                <w:bCs/>
              </w:rPr>
              <w:t xml:space="preserve">os </w:t>
            </w:r>
            <w:r w:rsidR="002455E0">
              <w:rPr>
                <w:bCs/>
              </w:rPr>
              <w:t>bija</w:t>
            </w:r>
            <w:r w:rsidRPr="00D75E57">
              <w:rPr>
                <w:bCs/>
              </w:rPr>
              <w:t xml:space="preserve"> noteikts, ka dienests </w:t>
            </w:r>
            <w:r w:rsidRPr="00D75E57">
              <w:t>saskaņā ar normatīvajiem aktiem par publisko iepirkumu</w:t>
            </w:r>
            <w:r w:rsidRPr="00D75E57">
              <w:rPr>
                <w:bCs/>
              </w:rPr>
              <w:t xml:space="preserve"> </w:t>
            </w:r>
            <w:r w:rsidRPr="00D75E57">
              <w:t xml:space="preserve">noslēdz līgumu ar personu, kas veic lauku izmēģinājumus (turpmāk – Izpildītājs). </w:t>
            </w:r>
            <w:r w:rsidR="00B74CF8" w:rsidRPr="00D75E57">
              <w:rPr>
                <w:szCs w:val="28"/>
              </w:rPr>
              <w:t>Par 2012.gada vērtētajiem izmēģinājumiem Izpildītāji dienestam iesniedz izmēģinājumu rezultātus līdz 2012.gada 1.oktobrim</w:t>
            </w:r>
            <w:r w:rsidR="002455E0">
              <w:rPr>
                <w:szCs w:val="28"/>
              </w:rPr>
              <w:t>.</w:t>
            </w:r>
            <w:r w:rsidR="00B74CF8" w:rsidRPr="00D75E57">
              <w:rPr>
                <w:szCs w:val="28"/>
              </w:rPr>
              <w:t xml:space="preserve"> </w:t>
            </w:r>
            <w:r w:rsidR="002455E0">
              <w:rPr>
                <w:szCs w:val="28"/>
              </w:rPr>
              <w:t>D</w:t>
            </w:r>
            <w:r w:rsidR="002455E0" w:rsidRPr="00D75E57">
              <w:rPr>
                <w:szCs w:val="28"/>
              </w:rPr>
              <w:t xml:space="preserve">ienests </w:t>
            </w:r>
            <w:r w:rsidR="002455E0">
              <w:rPr>
                <w:szCs w:val="28"/>
              </w:rPr>
              <w:lastRenderedPageBreak/>
              <w:t>tos</w:t>
            </w:r>
            <w:r w:rsidR="00B74CF8" w:rsidRPr="00D75E57">
              <w:rPr>
                <w:szCs w:val="28"/>
              </w:rPr>
              <w:t xml:space="preserve"> apstrādā un </w:t>
            </w:r>
            <w:r w:rsidR="00F52F19" w:rsidRPr="00D75E57">
              <w:rPr>
                <w:szCs w:val="28"/>
              </w:rPr>
              <w:t xml:space="preserve">līdz 2012.gada beigām </w:t>
            </w:r>
            <w:r w:rsidR="00B74CF8" w:rsidRPr="00D75E57">
              <w:rPr>
                <w:szCs w:val="28"/>
              </w:rPr>
              <w:t xml:space="preserve">nodod </w:t>
            </w:r>
            <w:r w:rsidRPr="00D75E57">
              <w:rPr>
                <w:szCs w:val="28"/>
              </w:rPr>
              <w:t xml:space="preserve">iesniegumu </w:t>
            </w:r>
            <w:r w:rsidR="00327274" w:rsidRPr="00D75E57">
              <w:rPr>
                <w:szCs w:val="28"/>
              </w:rPr>
              <w:t>personām</w:t>
            </w:r>
            <w:r w:rsidRPr="00D75E57">
              <w:rPr>
                <w:szCs w:val="28"/>
              </w:rPr>
              <w:t>, k</w:t>
            </w:r>
            <w:r w:rsidR="00327274" w:rsidRPr="00D75E57">
              <w:rPr>
                <w:szCs w:val="28"/>
              </w:rPr>
              <w:t>as</w:t>
            </w:r>
            <w:r w:rsidRPr="00D75E57">
              <w:rPr>
                <w:szCs w:val="28"/>
              </w:rPr>
              <w:t xml:space="preserve"> iesnieguš</w:t>
            </w:r>
            <w:r w:rsidR="00327274" w:rsidRPr="00D75E57">
              <w:rPr>
                <w:szCs w:val="28"/>
              </w:rPr>
              <w:t>as</w:t>
            </w:r>
            <w:r w:rsidR="00B74CF8" w:rsidRPr="00D75E57">
              <w:rPr>
                <w:szCs w:val="28"/>
              </w:rPr>
              <w:t xml:space="preserve"> </w:t>
            </w:r>
            <w:r w:rsidRPr="00D75E57">
              <w:t xml:space="preserve"> iesniegumu </w:t>
            </w:r>
            <w:r w:rsidR="00B94AF0" w:rsidRPr="00D75E57">
              <w:t xml:space="preserve">dienestā </w:t>
            </w:r>
            <w:r w:rsidRPr="00D75E57">
              <w:t>par augu šķirnes saimniecisko īpašību novērtēšanu</w:t>
            </w:r>
            <w:r w:rsidR="00F52F19" w:rsidRPr="00D75E57">
              <w:t xml:space="preserve"> (turpmāk – </w:t>
            </w:r>
            <w:r w:rsidR="00B94AF0" w:rsidRPr="00D75E57">
              <w:t>I</w:t>
            </w:r>
            <w:r w:rsidR="00F52F19" w:rsidRPr="00D75E57">
              <w:t>esniedzējs)</w:t>
            </w:r>
            <w:r w:rsidR="00B74CF8" w:rsidRPr="00D75E57">
              <w:rPr>
                <w:szCs w:val="28"/>
              </w:rPr>
              <w:t xml:space="preserve">. </w:t>
            </w:r>
            <w:r w:rsidR="00F52F19" w:rsidRPr="00D75E57">
              <w:rPr>
                <w:szCs w:val="28"/>
              </w:rPr>
              <w:t>Dienests Iesniedzējiem</w:t>
            </w:r>
            <w:r w:rsidR="00B74CF8" w:rsidRPr="00D75E57">
              <w:rPr>
                <w:szCs w:val="28"/>
              </w:rPr>
              <w:t xml:space="preserve"> rēķin</w:t>
            </w:r>
            <w:r w:rsidR="00F52F19" w:rsidRPr="00D75E57">
              <w:rPr>
                <w:szCs w:val="28"/>
              </w:rPr>
              <w:t>us</w:t>
            </w:r>
            <w:r w:rsidR="00B74CF8" w:rsidRPr="00D75E57">
              <w:rPr>
                <w:szCs w:val="28"/>
              </w:rPr>
              <w:t xml:space="preserve"> par sniegto pakalpojumu izraksta līdz 2012.gada 31.decembrim, </w:t>
            </w:r>
            <w:r w:rsidR="00051ABE" w:rsidRPr="00D75E57">
              <w:t>tāpēc</w:t>
            </w:r>
            <w:r w:rsidR="00B74CF8" w:rsidRPr="00D75E57">
              <w:t xml:space="preserve"> ar 2013.gada 1.janvāri no </w:t>
            </w:r>
            <w:r w:rsidR="00B74CF8" w:rsidRPr="00D75E57">
              <w:rPr>
                <w:bCs/>
              </w:rPr>
              <w:t xml:space="preserve">noteikumiem Nr.493 </w:t>
            </w:r>
            <w:r w:rsidR="00051ABE" w:rsidRPr="00D75E57">
              <w:rPr>
                <w:bCs/>
              </w:rPr>
              <w:t>svītroj</w:t>
            </w:r>
            <w:r w:rsidR="00B74CF8" w:rsidRPr="00D75E57">
              <w:rPr>
                <w:bCs/>
              </w:rPr>
              <w:t>ams pielikuma 29. un 31.punkts</w:t>
            </w:r>
            <w:r w:rsidR="00B74CF8" w:rsidRPr="00D75E57">
              <w:t xml:space="preserve">. </w:t>
            </w:r>
          </w:p>
          <w:p w:rsidR="00551C1F" w:rsidRPr="00D75E57" w:rsidRDefault="00CD4627" w:rsidP="00876F35">
            <w:pPr>
              <w:jc w:val="both"/>
            </w:pPr>
            <w:r w:rsidRPr="00D75E57">
              <w:rPr>
                <w:szCs w:val="28"/>
              </w:rPr>
              <w:t>2</w:t>
            </w:r>
            <w:r w:rsidRPr="00D75E57">
              <w:t>.</w:t>
            </w:r>
            <w:r w:rsidR="00551C1F" w:rsidRPr="00D75E57">
              <w:t xml:space="preserve"> Latvijas lauksaimnieki </w:t>
            </w:r>
            <w:r w:rsidR="00046F4B" w:rsidRPr="00D75E57">
              <w:t>savās saimniecībā</w:t>
            </w:r>
            <w:r w:rsidR="00421EF7" w:rsidRPr="00D75E57">
              <w:t>s</w:t>
            </w:r>
            <w:r w:rsidR="00046F4B" w:rsidRPr="00D75E57">
              <w:t xml:space="preserve"> </w:t>
            </w:r>
            <w:r w:rsidR="00551C1F" w:rsidRPr="00D75E57">
              <w:t>ievieš precīzās lauksaimniecības tehnoloģijas, kas balstās uz programmatūras, tehnikas</w:t>
            </w:r>
            <w:r w:rsidR="00421EF7" w:rsidRPr="00D75E57">
              <w:t xml:space="preserve"> un</w:t>
            </w:r>
            <w:r w:rsidR="00551C1F" w:rsidRPr="00D75E57">
              <w:t xml:space="preserve"> iekārtu izmantošanu</w:t>
            </w:r>
            <w:r w:rsidR="00421EF7" w:rsidRPr="00D75E57">
              <w:t>. Tiek</w:t>
            </w:r>
            <w:r w:rsidR="00046F4B" w:rsidRPr="00D75E57">
              <w:t xml:space="preserve"> </w:t>
            </w:r>
            <w:r w:rsidR="00551C1F" w:rsidRPr="00D75E57">
              <w:t>lieto</w:t>
            </w:r>
            <w:r w:rsidR="00421EF7" w:rsidRPr="00D75E57">
              <w:t>tas</w:t>
            </w:r>
            <w:r w:rsidR="00551C1F" w:rsidRPr="00D75E57">
              <w:t xml:space="preserve"> programmatūras, kas spēj gan </w:t>
            </w:r>
            <w:r w:rsidR="00421EF7" w:rsidRPr="00D75E57">
              <w:t xml:space="preserve">apstrādāt </w:t>
            </w:r>
            <w:r w:rsidR="00551C1F" w:rsidRPr="00D75E57">
              <w:t xml:space="preserve">ražas datus no kombainiem, gan </w:t>
            </w:r>
            <w:r w:rsidR="00421EF7" w:rsidRPr="00D75E57">
              <w:t xml:space="preserve">veikt </w:t>
            </w:r>
            <w:r w:rsidR="00551C1F" w:rsidRPr="00D75E57">
              <w:t xml:space="preserve">lauku robežu un platību uzskaiti, gan arī </w:t>
            </w:r>
            <w:r w:rsidR="00421EF7" w:rsidRPr="00D75E57">
              <w:t xml:space="preserve">nodrošināt </w:t>
            </w:r>
            <w:r w:rsidR="00551C1F" w:rsidRPr="00D75E57">
              <w:t xml:space="preserve">precīzo lauksaimniecības </w:t>
            </w:r>
            <w:r w:rsidR="00421EF7" w:rsidRPr="00D75E57">
              <w:t xml:space="preserve">datu </w:t>
            </w:r>
            <w:r w:rsidR="00551C1F" w:rsidRPr="00D75E57">
              <w:t xml:space="preserve">uzskaiti, vadīšanu un </w:t>
            </w:r>
            <w:r w:rsidR="00046F4B" w:rsidRPr="00D75E57">
              <w:t>izman</w:t>
            </w:r>
            <w:r w:rsidR="00551C1F" w:rsidRPr="00D75E57">
              <w:t>tošanu</w:t>
            </w:r>
            <w:r w:rsidR="00421EF7" w:rsidRPr="00D75E57">
              <w:t xml:space="preserve">. Šī iemesla dēļ </w:t>
            </w:r>
            <w:r w:rsidR="00551C1F" w:rsidRPr="00D75E57">
              <w:t>lauksaimniekiem ir nepieciešami kvalitatīvi, mūsdienu apstākļiem piemēroti augšņu analīžu rezultāti</w:t>
            </w:r>
            <w:r w:rsidR="00046F4B" w:rsidRPr="00D75E57">
              <w:t>, k</w:t>
            </w:r>
            <w:r w:rsidR="002455E0">
              <w:t>as</w:t>
            </w:r>
            <w:r w:rsidR="00551C1F" w:rsidRPr="00D75E57">
              <w:t xml:space="preserve"> </w:t>
            </w:r>
            <w:r w:rsidR="00421EF7" w:rsidRPr="00D75E57">
              <w:t>būtu</w:t>
            </w:r>
            <w:r w:rsidR="00551C1F" w:rsidRPr="00D75E57">
              <w:t xml:space="preserve"> piesaistīti </w:t>
            </w:r>
            <w:r w:rsidR="00421EF7" w:rsidRPr="00D75E57">
              <w:t>ar koordināt</w:t>
            </w:r>
            <w:r w:rsidR="00F52F19" w:rsidRPr="00D75E57">
              <w:t>ā</w:t>
            </w:r>
            <w:r w:rsidR="00421EF7" w:rsidRPr="00D75E57">
              <w:t xml:space="preserve">m </w:t>
            </w:r>
            <w:r w:rsidR="00551C1F" w:rsidRPr="00D75E57">
              <w:t>katram lauka nogabalam</w:t>
            </w:r>
            <w:r w:rsidR="00421EF7" w:rsidRPr="00D75E57">
              <w:t>, kurā</w:t>
            </w:r>
            <w:r w:rsidR="00551C1F" w:rsidRPr="00D75E57">
              <w:t xml:space="preserve"> </w:t>
            </w:r>
            <w:r w:rsidR="00421EF7" w:rsidRPr="00D75E57">
              <w:t xml:space="preserve">nepieciešami </w:t>
            </w:r>
            <w:r w:rsidR="00046F4B" w:rsidRPr="00D75E57">
              <w:t xml:space="preserve">ieteikumi par </w:t>
            </w:r>
            <w:r w:rsidR="00551C1F" w:rsidRPr="00D75E57">
              <w:t>mēslošanas devām.</w:t>
            </w:r>
          </w:p>
          <w:p w:rsidR="0008570B" w:rsidRPr="00D75E57" w:rsidRDefault="006B1A89" w:rsidP="00876F35">
            <w:pPr>
              <w:ind w:firstLine="385"/>
              <w:jc w:val="both"/>
            </w:pPr>
            <w:r w:rsidRPr="00D75E57">
              <w:rPr>
                <w:szCs w:val="28"/>
              </w:rPr>
              <w:t>Ņ</w:t>
            </w:r>
            <w:r w:rsidR="00551C1F" w:rsidRPr="00D75E57">
              <w:rPr>
                <w:szCs w:val="28"/>
              </w:rPr>
              <w:t xml:space="preserve">emot vērā nevalstisko organizāciju ierosinājumus modernizēt datu ieguvi, apstrādi un nodošanu lauksaimniekiem dažādos formātos, dienests </w:t>
            </w:r>
            <w:r w:rsidRPr="00D75E57">
              <w:rPr>
                <w:szCs w:val="28"/>
              </w:rPr>
              <w:t xml:space="preserve">paplašina pakalpojumu klāstu un </w:t>
            </w:r>
            <w:r w:rsidR="00551C1F" w:rsidRPr="00D75E57">
              <w:rPr>
                <w:szCs w:val="28"/>
              </w:rPr>
              <w:t xml:space="preserve">ievieš jaunās tehnoloģijas augšņu agroķīmiskās izpētes pakalpojumā, </w:t>
            </w:r>
            <w:r w:rsidR="00CF3C1C" w:rsidRPr="00D75E57">
              <w:t>noņemto</w:t>
            </w:r>
            <w:r w:rsidR="00046F4B" w:rsidRPr="00D75E57">
              <w:t>s</w:t>
            </w:r>
            <w:r w:rsidR="00CF3C1C" w:rsidRPr="00D75E57">
              <w:t xml:space="preserve"> augšņu paraugu</w:t>
            </w:r>
            <w:r w:rsidR="00046F4B" w:rsidRPr="00D75E57">
              <w:t>s</w:t>
            </w:r>
            <w:r w:rsidR="00CF3C1C" w:rsidRPr="00D75E57">
              <w:t xml:space="preserve"> piesaist</w:t>
            </w:r>
            <w:r w:rsidR="00046F4B" w:rsidRPr="00D75E57">
              <w:t>ot</w:t>
            </w:r>
            <w:r w:rsidR="00CF3C1C" w:rsidRPr="00D75E57">
              <w:t xml:space="preserve"> koordināt</w:t>
            </w:r>
            <w:r w:rsidR="00046F4B" w:rsidRPr="00D75E57">
              <w:t>ā</w:t>
            </w:r>
            <w:r w:rsidR="00CF3C1C" w:rsidRPr="00D75E57">
              <w:t>m</w:t>
            </w:r>
            <w:r w:rsidR="00046F4B" w:rsidRPr="00D75E57">
              <w:t xml:space="preserve"> ar</w:t>
            </w:r>
            <w:r w:rsidR="00CF3C1C" w:rsidRPr="00D75E57">
              <w:t xml:space="preserve"> Globālās pozicionēšanas sistēmas (turpmāk – GPS) ierīc</w:t>
            </w:r>
            <w:r w:rsidR="00046F4B" w:rsidRPr="00D75E57">
              <w:t>es palīdzību</w:t>
            </w:r>
            <w:r w:rsidR="00CF3C1C" w:rsidRPr="00D75E57">
              <w:t xml:space="preserve">, rezultātus apstrādājot un novērtējumu sagatavojot ar piesaisti GPS ierīces nolasījumiem, digitālās augšņu agroķīmiskās kartes sagatavošanu un augšņu agroķīmiskās izpētes materiālu noformēšanu, iekļaujot GPS gājiena grafisku attēlojumu. </w:t>
            </w:r>
            <w:r w:rsidR="00046F4B" w:rsidRPr="00D75E57">
              <w:t>Tiek piedāvāts arī</w:t>
            </w:r>
            <w:r w:rsidR="00CF3C1C" w:rsidRPr="00D75E57">
              <w:t xml:space="preserve"> jauns pakalpojums </w:t>
            </w:r>
            <w:r w:rsidR="00046F4B" w:rsidRPr="00D75E57">
              <w:t xml:space="preserve">– </w:t>
            </w:r>
            <w:r w:rsidR="00CF3C1C" w:rsidRPr="00D75E57">
              <w:t xml:space="preserve">paraugu ņemšanas </w:t>
            </w:r>
            <w:proofErr w:type="spellStart"/>
            <w:r w:rsidR="00CF3C1C" w:rsidRPr="00D75E57">
              <w:t>elementārkontūru</w:t>
            </w:r>
            <w:proofErr w:type="spellEnd"/>
            <w:r w:rsidR="00046F4B" w:rsidRPr="00D75E57">
              <w:t xml:space="preserve"> un</w:t>
            </w:r>
            <w:r w:rsidR="00CF3C1C" w:rsidRPr="00D75E57">
              <w:t xml:space="preserve"> </w:t>
            </w:r>
            <w:proofErr w:type="spellStart"/>
            <w:r w:rsidR="00CF3C1C" w:rsidRPr="00D75E57">
              <w:t>el</w:t>
            </w:r>
            <w:r w:rsidR="00046F4B" w:rsidRPr="00D75E57">
              <w:t>e</w:t>
            </w:r>
            <w:r w:rsidR="00CF3C1C" w:rsidRPr="00D75E57">
              <w:t>mentārkontūru</w:t>
            </w:r>
            <w:proofErr w:type="spellEnd"/>
            <w:r w:rsidR="00CF3C1C" w:rsidRPr="00D75E57">
              <w:t xml:space="preserve"> viduspunktu datu faila sagatavošana .</w:t>
            </w:r>
            <w:proofErr w:type="spellStart"/>
            <w:r w:rsidR="00CF3C1C" w:rsidRPr="00D75E57">
              <w:t>shp</w:t>
            </w:r>
            <w:proofErr w:type="spellEnd"/>
            <w:r w:rsidR="00CF3C1C" w:rsidRPr="00D75E57">
              <w:t xml:space="preserve"> formātā. </w:t>
            </w:r>
            <w:r w:rsidR="00046F4B" w:rsidRPr="00D75E57">
              <w:t>A</w:t>
            </w:r>
            <w:r w:rsidR="00CF3C1C" w:rsidRPr="00D75E57">
              <w:t>prēķin</w:t>
            </w:r>
            <w:r w:rsidR="00046F4B" w:rsidRPr="00D75E57">
              <w:t>i par</w:t>
            </w:r>
            <w:r w:rsidR="00CF3C1C" w:rsidRPr="00D75E57">
              <w:t xml:space="preserve"> jaunajiem pakalpojumiem, kuros tiek izmantotas GPS ierīces un atbilstoša datu apstrāde un noformēšana, </w:t>
            </w:r>
            <w:r w:rsidR="00046F4B" w:rsidRPr="00D75E57">
              <w:t xml:space="preserve">liecina, ka </w:t>
            </w:r>
            <w:r w:rsidR="00CF3C1C" w:rsidRPr="00D75E57">
              <w:t>augšņu agroķīmiskās izpētes pakalpojum</w:t>
            </w:r>
            <w:r w:rsidR="00046F4B" w:rsidRPr="00D75E57">
              <w:t>s</w:t>
            </w:r>
            <w:r w:rsidR="00CF3C1C" w:rsidRPr="00D75E57">
              <w:t xml:space="preserve"> </w:t>
            </w:r>
            <w:r w:rsidR="00046F4B" w:rsidRPr="00D75E57">
              <w:t xml:space="preserve">vidēji sadārdzinās </w:t>
            </w:r>
            <w:r w:rsidR="00CF3C1C" w:rsidRPr="00D75E57">
              <w:t>par 28%. Visticamāk</w:t>
            </w:r>
            <w:r w:rsidR="00046F4B" w:rsidRPr="00D75E57">
              <w:t>,</w:t>
            </w:r>
            <w:r w:rsidR="00CF3C1C" w:rsidRPr="00D75E57">
              <w:t xml:space="preserve"> jaunos pakalpojumus izmantos tikai lielākās saimniecības, kas jau lieto modernās tehnoloģijas un iekārtas</w:t>
            </w:r>
            <w:r w:rsidR="006E61AD" w:rsidRPr="00D75E57">
              <w:t xml:space="preserve">, taču dienests piedāvā iespēju izvēlēties, vai izmantot jau esošos augšņu agroķīmiskās izpētes pakalpojumus (izcenojumi nemainās) </w:t>
            </w:r>
            <w:r w:rsidR="0005625A" w:rsidRPr="00D75E57">
              <w:t>vai</w:t>
            </w:r>
            <w:r w:rsidR="006E61AD" w:rsidRPr="00D75E57">
              <w:t xml:space="preserve"> jaunos, </w:t>
            </w:r>
            <w:r w:rsidRPr="00D75E57">
              <w:t xml:space="preserve">kuru izcenojumi </w:t>
            </w:r>
            <w:r w:rsidR="006E61AD" w:rsidRPr="00D75E57">
              <w:t xml:space="preserve">attiecīgi ir </w:t>
            </w:r>
            <w:r w:rsidR="006E61AD" w:rsidRPr="00D75E57">
              <w:lastRenderedPageBreak/>
              <w:t>palielināti, ņemot vērā modernizāciju.</w:t>
            </w:r>
            <w:r w:rsidR="00ED1FD0" w:rsidRPr="00D75E57">
              <w:t xml:space="preserve"> </w:t>
            </w:r>
          </w:p>
          <w:p w:rsidR="00CD4627" w:rsidRPr="00D75E57" w:rsidRDefault="00F52F19" w:rsidP="00876F35">
            <w:pPr>
              <w:ind w:firstLine="385"/>
              <w:jc w:val="both"/>
            </w:pPr>
            <w:r w:rsidRPr="00D75E57">
              <w:t xml:space="preserve">Kā piemēru dienests salīdzina pētāmo platību </w:t>
            </w:r>
            <w:r w:rsidR="00ED1FD0" w:rsidRPr="00D75E57">
              <w:t>1700 ha lielā platībā</w:t>
            </w:r>
            <w:r w:rsidR="00E12D9F" w:rsidRPr="00D75E57">
              <w:t xml:space="preserve">. Atkarībā no pētāmās platības augšņu tipiem, nogabalu lielumiem tiek noteikts noņemto un uz noteiktiem elementiem analizējamo paraugu daudzums, rezultātu attēlojums kartē. </w:t>
            </w:r>
            <w:r w:rsidR="002455E0">
              <w:t>Bez</w:t>
            </w:r>
            <w:r w:rsidR="00E12D9F" w:rsidRPr="00D75E57">
              <w:t xml:space="preserve"> GPS ierīces </w:t>
            </w:r>
            <w:r w:rsidR="002455E0">
              <w:t xml:space="preserve">izmantošanas </w:t>
            </w:r>
            <w:r w:rsidR="00E12D9F" w:rsidRPr="00D75E57">
              <w:t>augšņu agroķīmiskās izpētes pakalpojums šai konkrētai platībai izmaksātu Ls 9</w:t>
            </w:r>
            <w:r w:rsidR="0008570B" w:rsidRPr="00D75E57">
              <w:t>129</w:t>
            </w:r>
            <w:r w:rsidR="00ED1FD0" w:rsidRPr="00D75E57">
              <w:t>, lietojot GPS ierīces,</w:t>
            </w:r>
            <w:r w:rsidR="0008570B" w:rsidRPr="00D75E57">
              <w:t xml:space="preserve"> </w:t>
            </w:r>
            <w:r w:rsidR="002455E0">
              <w:t>–</w:t>
            </w:r>
            <w:r w:rsidR="00ED1FD0" w:rsidRPr="00D75E57">
              <w:t xml:space="preserve"> līdz 11</w:t>
            </w:r>
            <w:r w:rsidR="002455E0">
              <w:t> </w:t>
            </w:r>
            <w:r w:rsidR="00ED1FD0" w:rsidRPr="00D75E57">
              <w:t>740 latu.</w:t>
            </w:r>
            <w:r w:rsidRPr="00D75E57">
              <w:t xml:space="preserve"> </w:t>
            </w:r>
          </w:p>
          <w:p w:rsidR="00CF3C1C" w:rsidRPr="00D75E57" w:rsidRDefault="00CF3C1C" w:rsidP="00876F35">
            <w:pPr>
              <w:ind w:firstLine="385"/>
              <w:jc w:val="both"/>
              <w:rPr>
                <w:bCs/>
              </w:rPr>
            </w:pPr>
          </w:p>
          <w:p w:rsidR="0091408F" w:rsidRPr="00D75E57" w:rsidRDefault="00C76396" w:rsidP="00876F35">
            <w:pPr>
              <w:pStyle w:val="Sarakstarindkopa"/>
              <w:autoSpaceDE w:val="0"/>
              <w:autoSpaceDN w:val="0"/>
              <w:ind w:left="0"/>
              <w:jc w:val="both"/>
              <w:rPr>
                <w:rFonts w:ascii="TimesNewRomanPSMT" w:hAnsi="TimesNewRomanPSMT"/>
                <w:sz w:val="24"/>
                <w:szCs w:val="24"/>
              </w:rPr>
            </w:pPr>
            <w:r w:rsidRPr="00D75E57">
              <w:rPr>
                <w:sz w:val="24"/>
                <w:szCs w:val="24"/>
              </w:rPr>
              <w:t>3</w:t>
            </w:r>
            <w:r w:rsidR="00CD4627" w:rsidRPr="00D75E57">
              <w:rPr>
                <w:sz w:val="24"/>
                <w:szCs w:val="24"/>
              </w:rPr>
              <w:t>. Nepieciešams tehnisk</w:t>
            </w:r>
            <w:r w:rsidR="0005625A" w:rsidRPr="00D75E57">
              <w:rPr>
                <w:sz w:val="24"/>
                <w:szCs w:val="24"/>
              </w:rPr>
              <w:t>s</w:t>
            </w:r>
            <w:r w:rsidR="00CD4627" w:rsidRPr="00D75E57">
              <w:rPr>
                <w:sz w:val="24"/>
                <w:szCs w:val="24"/>
              </w:rPr>
              <w:t xml:space="preserve"> precizējum</w:t>
            </w:r>
            <w:r w:rsidR="0005625A" w:rsidRPr="00D75E57">
              <w:rPr>
                <w:sz w:val="24"/>
                <w:szCs w:val="24"/>
              </w:rPr>
              <w:t>s</w:t>
            </w:r>
            <w:r w:rsidR="00CD4627" w:rsidRPr="00D75E57">
              <w:rPr>
                <w:sz w:val="24"/>
                <w:szCs w:val="24"/>
              </w:rPr>
              <w:t xml:space="preserve">  </w:t>
            </w:r>
            <w:r w:rsidR="0076267E" w:rsidRPr="00D75E57">
              <w:rPr>
                <w:sz w:val="24"/>
                <w:szCs w:val="24"/>
              </w:rPr>
              <w:t>n</w:t>
            </w:r>
            <w:r w:rsidR="00CD4627" w:rsidRPr="00D75E57">
              <w:rPr>
                <w:sz w:val="24"/>
                <w:szCs w:val="24"/>
              </w:rPr>
              <w:t>oteikumu Nr.493</w:t>
            </w:r>
            <w:r w:rsidR="0076267E" w:rsidRPr="00D75E57">
              <w:rPr>
                <w:sz w:val="24"/>
                <w:szCs w:val="24"/>
              </w:rPr>
              <w:t xml:space="preserve"> </w:t>
            </w:r>
            <w:r w:rsidR="00CD4627" w:rsidRPr="00D75E57">
              <w:rPr>
                <w:sz w:val="24"/>
                <w:szCs w:val="24"/>
              </w:rPr>
              <w:t>pielikuma</w:t>
            </w:r>
            <w:r w:rsidR="00CD4627" w:rsidRPr="00D75E57">
              <w:rPr>
                <w:rFonts w:ascii="TimesNewRomanPSMT" w:hAnsi="TimesNewRomanPSMT"/>
                <w:sz w:val="24"/>
                <w:szCs w:val="24"/>
              </w:rPr>
              <w:t xml:space="preserve"> 69.punkt</w:t>
            </w:r>
            <w:r w:rsidR="00CD4627" w:rsidRPr="00D75E57">
              <w:rPr>
                <w:rFonts w:ascii="TimesNewRomanPSMT" w:hAnsi="TimesNewRomanPSMT" w:hint="eastAsia"/>
                <w:sz w:val="24"/>
                <w:szCs w:val="24"/>
              </w:rPr>
              <w:t>ā</w:t>
            </w:r>
            <w:r w:rsidR="0005625A" w:rsidRPr="00D75E57">
              <w:rPr>
                <w:rFonts w:ascii="TimesNewRomanPSMT" w:hAnsi="TimesNewRomanPSMT"/>
                <w:sz w:val="24"/>
                <w:szCs w:val="24"/>
              </w:rPr>
              <w:t>,</w:t>
            </w:r>
            <w:r w:rsidR="00CD4627" w:rsidRPr="00D75E57">
              <w:rPr>
                <w:rFonts w:ascii="TimesNewRomanPSMT" w:hAnsi="TimesNewRomanPSMT"/>
                <w:sz w:val="24"/>
                <w:szCs w:val="24"/>
              </w:rPr>
              <w:t xml:space="preserve"> nor</w:t>
            </w:r>
            <w:r w:rsidR="00CD4627" w:rsidRPr="00D75E57">
              <w:rPr>
                <w:rFonts w:ascii="TimesNewRomanPSMT" w:hAnsi="TimesNewRomanPSMT" w:hint="eastAsia"/>
                <w:sz w:val="24"/>
                <w:szCs w:val="24"/>
              </w:rPr>
              <w:t>ā</w:t>
            </w:r>
            <w:r w:rsidR="00CD4627" w:rsidRPr="00D75E57">
              <w:rPr>
                <w:rFonts w:ascii="TimesNewRomanPSMT" w:hAnsi="TimesNewRomanPSMT"/>
                <w:sz w:val="24"/>
                <w:szCs w:val="24"/>
              </w:rPr>
              <w:t>dot pareiz</w:t>
            </w:r>
            <w:r w:rsidR="0005625A" w:rsidRPr="00D75E57">
              <w:rPr>
                <w:rFonts w:ascii="TimesNewRomanPSMT" w:hAnsi="TimesNewRomanPSMT"/>
                <w:sz w:val="24"/>
                <w:szCs w:val="24"/>
              </w:rPr>
              <w:t>u</w:t>
            </w:r>
            <w:r w:rsidR="00CD4627" w:rsidRPr="00D75E57">
              <w:rPr>
                <w:rFonts w:ascii="TimesNewRomanPSMT" w:hAnsi="TimesNewRomanPSMT"/>
                <w:sz w:val="24"/>
                <w:szCs w:val="24"/>
              </w:rPr>
              <w:t xml:space="preserve"> atsauci uz atbilstoša</w:t>
            </w:r>
            <w:r w:rsidR="0076267E" w:rsidRPr="00D75E57">
              <w:rPr>
                <w:rFonts w:ascii="TimesNewRomanPSMT" w:hAnsi="TimesNewRomanPSMT"/>
                <w:sz w:val="24"/>
                <w:szCs w:val="24"/>
              </w:rPr>
              <w:t>j</w:t>
            </w:r>
            <w:r w:rsidR="00CD4627" w:rsidRPr="00D75E57">
              <w:rPr>
                <w:rFonts w:ascii="TimesNewRomanPSMT" w:hAnsi="TimesNewRomanPSMT"/>
                <w:sz w:val="24"/>
                <w:szCs w:val="24"/>
              </w:rPr>
              <w:t>iem pielikuma punktiem, k</w:t>
            </w:r>
            <w:r w:rsidR="00CD4627" w:rsidRPr="00D75E57">
              <w:rPr>
                <w:rFonts w:ascii="TimesNewRomanPSMT" w:hAnsi="TimesNewRomanPSMT" w:hint="eastAsia"/>
                <w:sz w:val="24"/>
                <w:szCs w:val="24"/>
              </w:rPr>
              <w:t>ā</w:t>
            </w:r>
            <w:r w:rsidR="00CD4627" w:rsidRPr="00D75E57">
              <w:rPr>
                <w:rFonts w:ascii="TimesNewRomanPSMT" w:hAnsi="TimesNewRomanPSMT"/>
                <w:sz w:val="24"/>
                <w:szCs w:val="24"/>
              </w:rPr>
              <w:t xml:space="preserve"> ar</w:t>
            </w:r>
            <w:r w:rsidR="00CD4627" w:rsidRPr="00D75E57">
              <w:rPr>
                <w:rFonts w:ascii="TimesNewRomanPSMT" w:hAnsi="TimesNewRomanPSMT" w:hint="eastAsia"/>
                <w:sz w:val="24"/>
                <w:szCs w:val="24"/>
              </w:rPr>
              <w:t>ī</w:t>
            </w:r>
            <w:r w:rsidR="00CD4627" w:rsidRPr="00D75E57">
              <w:rPr>
                <w:rFonts w:ascii="TimesNewRomanPSMT" w:hAnsi="TimesNewRomanPSMT"/>
                <w:sz w:val="24"/>
                <w:szCs w:val="24"/>
              </w:rPr>
              <w:t xml:space="preserve"> pielikuma 32.punkt</w:t>
            </w:r>
            <w:r w:rsidR="00CD4627" w:rsidRPr="00D75E57">
              <w:rPr>
                <w:rFonts w:ascii="TimesNewRomanPSMT" w:hAnsi="TimesNewRomanPSMT" w:hint="eastAsia"/>
                <w:sz w:val="24"/>
                <w:szCs w:val="24"/>
              </w:rPr>
              <w:t>ā</w:t>
            </w:r>
            <w:r w:rsidR="00CD4627" w:rsidRPr="00D75E57">
              <w:rPr>
                <w:rFonts w:ascii="TimesNewRomanPSMT" w:hAnsi="TimesNewRomanPSMT"/>
                <w:sz w:val="24"/>
                <w:szCs w:val="24"/>
              </w:rPr>
              <w:t xml:space="preserve"> min</w:t>
            </w:r>
            <w:r w:rsidR="00CD4627" w:rsidRPr="00D75E57">
              <w:rPr>
                <w:rFonts w:ascii="TimesNewRomanPSMT" w:hAnsi="TimesNewRomanPSMT" w:hint="eastAsia"/>
                <w:sz w:val="24"/>
                <w:szCs w:val="24"/>
              </w:rPr>
              <w:t>ē</w:t>
            </w:r>
            <w:r w:rsidR="00CD4627" w:rsidRPr="00D75E57">
              <w:rPr>
                <w:rFonts w:ascii="TimesNewRomanPSMT" w:hAnsi="TimesNewRomanPSMT"/>
                <w:sz w:val="24"/>
                <w:szCs w:val="24"/>
              </w:rPr>
              <w:t>t</w:t>
            </w:r>
            <w:r w:rsidR="0005625A" w:rsidRPr="00D75E57">
              <w:rPr>
                <w:rFonts w:ascii="TimesNewRomanPSMT" w:hAnsi="TimesNewRomanPSMT" w:hint="eastAsia"/>
                <w:sz w:val="24"/>
                <w:szCs w:val="24"/>
              </w:rPr>
              <w:t>ā</w:t>
            </w:r>
            <w:r w:rsidR="00CD4627" w:rsidRPr="00D75E57">
              <w:rPr>
                <w:rFonts w:ascii="TimesNewRomanPSMT" w:hAnsi="TimesNewRomanPSMT"/>
                <w:sz w:val="24"/>
                <w:szCs w:val="24"/>
              </w:rPr>
              <w:t xml:space="preserve"> pakalpojuma formul</w:t>
            </w:r>
            <w:r w:rsidR="00CD4627" w:rsidRPr="00D75E57">
              <w:rPr>
                <w:rFonts w:ascii="TimesNewRomanPSMT" w:hAnsi="TimesNewRomanPSMT" w:hint="eastAsia"/>
                <w:sz w:val="24"/>
                <w:szCs w:val="24"/>
              </w:rPr>
              <w:t>ē</w:t>
            </w:r>
            <w:r w:rsidR="00CD4627" w:rsidRPr="00D75E57">
              <w:rPr>
                <w:rFonts w:ascii="TimesNewRomanPSMT" w:hAnsi="TimesNewRomanPSMT"/>
                <w:sz w:val="24"/>
                <w:szCs w:val="24"/>
              </w:rPr>
              <w:t>jum</w:t>
            </w:r>
            <w:r w:rsidR="0005625A" w:rsidRPr="00D75E57">
              <w:rPr>
                <w:rFonts w:ascii="TimesNewRomanPSMT" w:hAnsi="TimesNewRomanPSMT" w:hint="eastAsia"/>
                <w:sz w:val="24"/>
                <w:szCs w:val="24"/>
              </w:rPr>
              <w:t>ā</w:t>
            </w:r>
            <w:r w:rsidR="00CD4627" w:rsidRPr="00D75E57">
              <w:rPr>
                <w:rFonts w:ascii="TimesNewRomanPSMT" w:hAnsi="TimesNewRomanPSMT"/>
                <w:sz w:val="24"/>
                <w:szCs w:val="24"/>
              </w:rPr>
              <w:t xml:space="preserve">. </w:t>
            </w:r>
          </w:p>
          <w:p w:rsidR="006E61AD" w:rsidRPr="00D75E57" w:rsidRDefault="006E61AD" w:rsidP="00876F35">
            <w:pPr>
              <w:pStyle w:val="Sarakstarindkopa"/>
              <w:autoSpaceDE w:val="0"/>
              <w:autoSpaceDN w:val="0"/>
              <w:ind w:left="0" w:firstLine="360"/>
              <w:jc w:val="both"/>
              <w:rPr>
                <w:rFonts w:ascii="TimesNewRomanPSMT" w:hAnsi="TimesNewRomanPSMT"/>
                <w:sz w:val="24"/>
                <w:szCs w:val="24"/>
              </w:rPr>
            </w:pPr>
          </w:p>
          <w:p w:rsidR="0091408F" w:rsidRPr="00D75E57" w:rsidRDefault="00C76396" w:rsidP="00876F35">
            <w:pPr>
              <w:pStyle w:val="Sarakstarindkopa"/>
              <w:autoSpaceDE w:val="0"/>
              <w:autoSpaceDN w:val="0"/>
              <w:ind w:left="0" w:firstLine="360"/>
              <w:jc w:val="both"/>
              <w:rPr>
                <w:rFonts w:ascii="TimesNewRomanPSMT" w:hAnsi="TimesNewRomanPSMT"/>
                <w:sz w:val="24"/>
                <w:szCs w:val="24"/>
              </w:rPr>
            </w:pPr>
            <w:r w:rsidRPr="00D75E57">
              <w:rPr>
                <w:rFonts w:ascii="TimesNewRomanPSMT" w:hAnsi="TimesNewRomanPSMT"/>
                <w:sz w:val="24"/>
                <w:szCs w:val="24"/>
              </w:rPr>
              <w:t>4</w:t>
            </w:r>
            <w:r w:rsidR="006E61AD" w:rsidRPr="00D75E57">
              <w:rPr>
                <w:rFonts w:ascii="TimesNewRomanPSMT" w:hAnsi="TimesNewRomanPSMT"/>
                <w:sz w:val="24"/>
                <w:szCs w:val="24"/>
              </w:rPr>
              <w:t xml:space="preserve">. </w:t>
            </w:r>
            <w:r w:rsidR="0005625A" w:rsidRPr="00D75E57">
              <w:rPr>
                <w:rFonts w:ascii="TimesNewRomanPSMT" w:hAnsi="TimesNewRomanPSMT"/>
                <w:sz w:val="24"/>
                <w:szCs w:val="24"/>
              </w:rPr>
              <w:t>Iev</w:t>
            </w:r>
            <w:r w:rsidR="0005625A" w:rsidRPr="00D75E57">
              <w:rPr>
                <w:rFonts w:ascii="TimesNewRomanPSMT" w:hAnsi="TimesNewRomanPSMT" w:hint="eastAsia"/>
                <w:sz w:val="24"/>
                <w:szCs w:val="24"/>
              </w:rPr>
              <w:t>ē</w:t>
            </w:r>
            <w:r w:rsidR="0005625A" w:rsidRPr="00D75E57">
              <w:rPr>
                <w:rFonts w:ascii="TimesNewRomanPSMT" w:hAnsi="TimesNewRomanPSMT"/>
                <w:sz w:val="24"/>
                <w:szCs w:val="24"/>
              </w:rPr>
              <w:t>rojot</w:t>
            </w:r>
            <w:r w:rsidR="006E61AD" w:rsidRPr="00D75E57">
              <w:rPr>
                <w:rFonts w:ascii="TimesNewRomanPSMT" w:hAnsi="TimesNewRomanPSMT"/>
                <w:sz w:val="24"/>
                <w:szCs w:val="24"/>
              </w:rPr>
              <w:t xml:space="preserve"> piepras</w:t>
            </w:r>
            <w:r w:rsidR="006E61AD" w:rsidRPr="00D75E57">
              <w:rPr>
                <w:rFonts w:ascii="TimesNewRomanPSMT" w:hAnsi="TimesNewRomanPSMT" w:hint="eastAsia"/>
                <w:sz w:val="24"/>
                <w:szCs w:val="24"/>
              </w:rPr>
              <w:t>ī</w:t>
            </w:r>
            <w:r w:rsidR="006E61AD" w:rsidRPr="00D75E57">
              <w:rPr>
                <w:rFonts w:ascii="TimesNewRomanPSMT" w:hAnsi="TimesNewRomanPSMT"/>
                <w:sz w:val="24"/>
                <w:szCs w:val="24"/>
              </w:rPr>
              <w:t>jumu kop</w:t>
            </w:r>
            <w:r w:rsidR="006E61AD" w:rsidRPr="00D75E57">
              <w:rPr>
                <w:rFonts w:ascii="TimesNewRomanPSMT" w:hAnsi="TimesNewRomanPSMT" w:hint="eastAsia"/>
                <w:sz w:val="24"/>
                <w:szCs w:val="24"/>
              </w:rPr>
              <w:t>ē</w:t>
            </w:r>
            <w:r w:rsidR="006E61AD" w:rsidRPr="00D75E57">
              <w:rPr>
                <w:rFonts w:ascii="TimesNewRomanPSMT" w:hAnsi="TimesNewRomanPSMT"/>
                <w:sz w:val="24"/>
                <w:szCs w:val="24"/>
              </w:rPr>
              <w:t>t daž</w:t>
            </w:r>
            <w:r w:rsidR="006E61AD" w:rsidRPr="00D75E57">
              <w:rPr>
                <w:rFonts w:ascii="TimesNewRomanPSMT" w:hAnsi="TimesNewRomanPSMT" w:hint="eastAsia"/>
                <w:sz w:val="24"/>
                <w:szCs w:val="24"/>
              </w:rPr>
              <w:t>ā</w:t>
            </w:r>
            <w:r w:rsidR="006E61AD" w:rsidRPr="00D75E57">
              <w:rPr>
                <w:rFonts w:ascii="TimesNewRomanPSMT" w:hAnsi="TimesNewRomanPSMT"/>
                <w:sz w:val="24"/>
                <w:szCs w:val="24"/>
              </w:rPr>
              <w:t>dus dienesta r</w:t>
            </w:r>
            <w:r w:rsidR="006E61AD" w:rsidRPr="00D75E57">
              <w:rPr>
                <w:rFonts w:ascii="TimesNewRomanPSMT" w:hAnsi="TimesNewRomanPSMT" w:hint="eastAsia"/>
                <w:sz w:val="24"/>
                <w:szCs w:val="24"/>
              </w:rPr>
              <w:t>ī</w:t>
            </w:r>
            <w:r w:rsidR="006E61AD" w:rsidRPr="00D75E57">
              <w:rPr>
                <w:rFonts w:ascii="TimesNewRomanPSMT" w:hAnsi="TimesNewRomanPSMT"/>
                <w:sz w:val="24"/>
                <w:szCs w:val="24"/>
              </w:rPr>
              <w:t>c</w:t>
            </w:r>
            <w:r w:rsidR="006E61AD" w:rsidRPr="00D75E57">
              <w:rPr>
                <w:rFonts w:ascii="TimesNewRomanPSMT" w:hAnsi="TimesNewRomanPSMT" w:hint="eastAsia"/>
                <w:sz w:val="24"/>
                <w:szCs w:val="24"/>
              </w:rPr>
              <w:t>ī</w:t>
            </w:r>
            <w:r w:rsidR="006E61AD" w:rsidRPr="00D75E57">
              <w:rPr>
                <w:rFonts w:ascii="TimesNewRomanPSMT" w:hAnsi="TimesNewRomanPSMT"/>
                <w:sz w:val="24"/>
                <w:szCs w:val="24"/>
              </w:rPr>
              <w:t>b</w:t>
            </w:r>
            <w:r w:rsidR="006E61AD" w:rsidRPr="00D75E57">
              <w:rPr>
                <w:rFonts w:ascii="TimesNewRomanPSMT" w:hAnsi="TimesNewRomanPSMT" w:hint="eastAsia"/>
                <w:sz w:val="24"/>
                <w:szCs w:val="24"/>
              </w:rPr>
              <w:t>ā</w:t>
            </w:r>
            <w:r w:rsidR="006E61AD" w:rsidRPr="00D75E57">
              <w:rPr>
                <w:rFonts w:ascii="TimesNewRomanPSMT" w:hAnsi="TimesNewRomanPSMT"/>
                <w:sz w:val="24"/>
                <w:szCs w:val="24"/>
              </w:rPr>
              <w:t xml:space="preserve"> esošos materi</w:t>
            </w:r>
            <w:r w:rsidR="006E61AD" w:rsidRPr="00D75E57">
              <w:rPr>
                <w:rFonts w:ascii="TimesNewRomanPSMT" w:hAnsi="TimesNewRomanPSMT" w:hint="eastAsia"/>
                <w:sz w:val="24"/>
                <w:szCs w:val="24"/>
              </w:rPr>
              <w:t>ā</w:t>
            </w:r>
            <w:r w:rsidR="006E61AD" w:rsidRPr="00D75E57">
              <w:rPr>
                <w:rFonts w:ascii="TimesNewRomanPSMT" w:hAnsi="TimesNewRomanPSMT"/>
                <w:sz w:val="24"/>
                <w:szCs w:val="24"/>
              </w:rPr>
              <w:t>lus, dienests pied</w:t>
            </w:r>
            <w:r w:rsidR="006E61AD" w:rsidRPr="00D75E57">
              <w:rPr>
                <w:rFonts w:ascii="TimesNewRomanPSMT" w:hAnsi="TimesNewRomanPSMT" w:hint="eastAsia"/>
                <w:sz w:val="24"/>
                <w:szCs w:val="24"/>
              </w:rPr>
              <w:t>ā</w:t>
            </w:r>
            <w:r w:rsidR="006E61AD" w:rsidRPr="00D75E57">
              <w:rPr>
                <w:rFonts w:ascii="TimesNewRomanPSMT" w:hAnsi="TimesNewRomanPSMT"/>
                <w:sz w:val="24"/>
                <w:szCs w:val="24"/>
              </w:rPr>
              <w:t>v</w:t>
            </w:r>
            <w:r w:rsidR="006E61AD" w:rsidRPr="00D75E57">
              <w:rPr>
                <w:rFonts w:ascii="TimesNewRomanPSMT" w:hAnsi="TimesNewRomanPSMT" w:hint="eastAsia"/>
                <w:sz w:val="24"/>
                <w:szCs w:val="24"/>
              </w:rPr>
              <w:t>ā</w:t>
            </w:r>
            <w:r w:rsidR="006E61AD" w:rsidRPr="00D75E57">
              <w:rPr>
                <w:rFonts w:ascii="TimesNewRomanPSMT" w:hAnsi="TimesNewRomanPSMT"/>
                <w:sz w:val="24"/>
                <w:szCs w:val="24"/>
              </w:rPr>
              <w:t xml:space="preserve"> ar</w:t>
            </w:r>
            <w:r w:rsidR="006E61AD" w:rsidRPr="00D75E57">
              <w:rPr>
                <w:rFonts w:ascii="TimesNewRomanPSMT" w:hAnsi="TimesNewRomanPSMT" w:hint="eastAsia"/>
                <w:sz w:val="24"/>
                <w:szCs w:val="24"/>
              </w:rPr>
              <w:t>ī</w:t>
            </w:r>
            <w:r w:rsidR="006E61AD" w:rsidRPr="00D75E57">
              <w:rPr>
                <w:rFonts w:ascii="TimesNewRomanPSMT" w:hAnsi="TimesNewRomanPSMT"/>
                <w:sz w:val="24"/>
                <w:szCs w:val="24"/>
              </w:rPr>
              <w:t xml:space="preserve"> dokument</w:t>
            </w:r>
            <w:r w:rsidRPr="00D75E57">
              <w:rPr>
                <w:rFonts w:ascii="TimesNewRomanPSMT" w:hAnsi="TimesNewRomanPSMT"/>
                <w:sz w:val="24"/>
                <w:szCs w:val="24"/>
              </w:rPr>
              <w:t>u melnbaltu A4 form</w:t>
            </w:r>
            <w:r w:rsidRPr="00D75E57">
              <w:rPr>
                <w:rFonts w:ascii="TimesNewRomanPSMT" w:hAnsi="TimesNewRomanPSMT" w:hint="eastAsia"/>
                <w:sz w:val="24"/>
                <w:szCs w:val="24"/>
              </w:rPr>
              <w:t>ā</w:t>
            </w:r>
            <w:r w:rsidRPr="00D75E57">
              <w:rPr>
                <w:rFonts w:ascii="TimesNewRomanPSMT" w:hAnsi="TimesNewRomanPSMT"/>
                <w:sz w:val="24"/>
                <w:szCs w:val="24"/>
              </w:rPr>
              <w:t>ta kop</w:t>
            </w:r>
            <w:r w:rsidRPr="00D75E57">
              <w:rPr>
                <w:rFonts w:ascii="TimesNewRomanPSMT" w:hAnsi="TimesNewRomanPSMT" w:hint="eastAsia"/>
                <w:sz w:val="24"/>
                <w:szCs w:val="24"/>
              </w:rPr>
              <w:t>ēš</w:t>
            </w:r>
            <w:r w:rsidRPr="00D75E57">
              <w:rPr>
                <w:rFonts w:ascii="TimesNewRomanPSMT" w:hAnsi="TimesNewRomanPSMT"/>
                <w:sz w:val="24"/>
                <w:szCs w:val="24"/>
              </w:rPr>
              <w:t>anu.</w:t>
            </w:r>
          </w:p>
        </w:tc>
      </w:tr>
      <w:tr w:rsidR="00D75E57" w:rsidRPr="00D75E57" w:rsidTr="00551C1F">
        <w:trPr>
          <w:trHeight w:val="811"/>
        </w:trPr>
        <w:tc>
          <w:tcPr>
            <w:tcW w:w="550" w:type="dxa"/>
          </w:tcPr>
          <w:p w:rsidR="0091408F" w:rsidRPr="00D75E57" w:rsidRDefault="0091408F" w:rsidP="00876F35">
            <w:pPr>
              <w:pStyle w:val="naiskr"/>
              <w:spacing w:before="0" w:after="0"/>
            </w:pPr>
            <w:r w:rsidRPr="00D75E57">
              <w:rPr>
                <w:sz w:val="22"/>
                <w:szCs w:val="22"/>
              </w:rPr>
              <w:lastRenderedPageBreak/>
              <w:t>3.</w:t>
            </w:r>
          </w:p>
        </w:tc>
        <w:tc>
          <w:tcPr>
            <w:tcW w:w="4315" w:type="dxa"/>
          </w:tcPr>
          <w:p w:rsidR="0091408F" w:rsidRPr="00D75E57" w:rsidRDefault="0091408F" w:rsidP="00876F35">
            <w:pPr>
              <w:pStyle w:val="naiskr"/>
              <w:spacing w:before="0" w:after="0"/>
            </w:pPr>
            <w:r w:rsidRPr="00D75E57">
              <w:rPr>
                <w:sz w:val="22"/>
                <w:szCs w:val="22"/>
              </w:rPr>
              <w:t>Saistītie politikas ietekmes novērtējumi un pētījumi</w:t>
            </w:r>
          </w:p>
        </w:tc>
        <w:tc>
          <w:tcPr>
            <w:tcW w:w="4779" w:type="dxa"/>
          </w:tcPr>
          <w:p w:rsidR="0091408F" w:rsidRPr="00D75E57" w:rsidRDefault="0091408F" w:rsidP="00876F35">
            <w:pPr>
              <w:pStyle w:val="Vresteksts"/>
              <w:rPr>
                <w:sz w:val="28"/>
                <w:szCs w:val="28"/>
              </w:rPr>
            </w:pPr>
            <w:r w:rsidRPr="00D75E57">
              <w:rPr>
                <w:sz w:val="24"/>
                <w:szCs w:val="28"/>
              </w:rPr>
              <w:t>Projekts šo jomu neskar.</w:t>
            </w:r>
          </w:p>
        </w:tc>
      </w:tr>
      <w:tr w:rsidR="00D75E57" w:rsidRPr="00D75E57" w:rsidTr="00551C1F">
        <w:trPr>
          <w:trHeight w:val="384"/>
        </w:trPr>
        <w:tc>
          <w:tcPr>
            <w:tcW w:w="550" w:type="dxa"/>
          </w:tcPr>
          <w:p w:rsidR="0091408F" w:rsidRPr="00D75E57" w:rsidRDefault="0091408F" w:rsidP="00876F35">
            <w:pPr>
              <w:pStyle w:val="naiskr"/>
              <w:spacing w:before="0" w:after="0"/>
            </w:pPr>
            <w:r w:rsidRPr="00D75E57">
              <w:rPr>
                <w:sz w:val="22"/>
                <w:szCs w:val="22"/>
              </w:rPr>
              <w:t>4.</w:t>
            </w:r>
          </w:p>
        </w:tc>
        <w:tc>
          <w:tcPr>
            <w:tcW w:w="4315" w:type="dxa"/>
          </w:tcPr>
          <w:p w:rsidR="0091408F" w:rsidRPr="00D75E57" w:rsidRDefault="0091408F" w:rsidP="00876F35">
            <w:pPr>
              <w:pStyle w:val="naiskr"/>
              <w:spacing w:before="0" w:after="0"/>
            </w:pPr>
            <w:r w:rsidRPr="00D75E57">
              <w:rPr>
                <w:sz w:val="22"/>
                <w:szCs w:val="22"/>
              </w:rPr>
              <w:t>Tiesiskā regulējuma mērķis un būtība</w:t>
            </w:r>
          </w:p>
        </w:tc>
        <w:tc>
          <w:tcPr>
            <w:tcW w:w="4779" w:type="dxa"/>
          </w:tcPr>
          <w:p w:rsidR="0091408F" w:rsidRPr="00D75E57" w:rsidRDefault="0091408F" w:rsidP="00876F35">
            <w:pPr>
              <w:pStyle w:val="ParastaisWeb"/>
              <w:spacing w:before="0" w:after="0"/>
              <w:jc w:val="both"/>
              <w:rPr>
                <w:lang w:val="lv-LV"/>
              </w:rPr>
            </w:pPr>
            <w:r w:rsidRPr="00D75E57">
              <w:rPr>
                <w:lang w:val="lv-LV"/>
              </w:rPr>
              <w:t>Ministru kabineta noteikumu projekts „</w:t>
            </w:r>
            <w:r w:rsidRPr="00D75E57">
              <w:rPr>
                <w:bCs/>
                <w:szCs w:val="24"/>
                <w:lang w:val="lv-LV"/>
              </w:rPr>
              <w:t>Grozījumi Ministru kabineta 201</w:t>
            </w:r>
            <w:r w:rsidR="006E61AD" w:rsidRPr="00D75E57">
              <w:rPr>
                <w:bCs/>
                <w:szCs w:val="24"/>
                <w:lang w:val="lv-LV"/>
              </w:rPr>
              <w:t>2</w:t>
            </w:r>
            <w:r w:rsidRPr="00D75E57">
              <w:rPr>
                <w:bCs/>
                <w:szCs w:val="24"/>
                <w:lang w:val="lv-LV"/>
              </w:rPr>
              <w:t xml:space="preserve">.gada </w:t>
            </w:r>
            <w:r w:rsidR="006E61AD" w:rsidRPr="00D75E57">
              <w:rPr>
                <w:bCs/>
                <w:szCs w:val="24"/>
                <w:lang w:val="lv-LV"/>
              </w:rPr>
              <w:t>10</w:t>
            </w:r>
            <w:r w:rsidRPr="00D75E57">
              <w:rPr>
                <w:bCs/>
                <w:szCs w:val="24"/>
                <w:lang w:val="lv-LV"/>
              </w:rPr>
              <w:t>.</w:t>
            </w:r>
            <w:r w:rsidR="006E61AD" w:rsidRPr="00D75E57">
              <w:rPr>
                <w:bCs/>
                <w:szCs w:val="24"/>
                <w:lang w:val="lv-LV"/>
              </w:rPr>
              <w:t>jūlija</w:t>
            </w:r>
            <w:r w:rsidRPr="00D75E57">
              <w:rPr>
                <w:bCs/>
                <w:szCs w:val="24"/>
                <w:lang w:val="lv-LV"/>
              </w:rPr>
              <w:t xml:space="preserve"> noteikumos Nr.</w:t>
            </w:r>
            <w:r w:rsidR="006E61AD" w:rsidRPr="00D75E57">
              <w:rPr>
                <w:bCs/>
                <w:szCs w:val="24"/>
                <w:lang w:val="lv-LV"/>
              </w:rPr>
              <w:t>49</w:t>
            </w:r>
            <w:r w:rsidRPr="00D75E57">
              <w:rPr>
                <w:bCs/>
                <w:szCs w:val="24"/>
                <w:lang w:val="lv-LV"/>
              </w:rPr>
              <w:t>3 „Noteikumi par Valsts augu aizsardzības dienesta sniegto maksas pakalpojumu cenrādi</w:t>
            </w:r>
            <w:r w:rsidRPr="00D75E57">
              <w:rPr>
                <w:lang w:val="lv-LV"/>
              </w:rPr>
              <w:t xml:space="preserve">”” (turpmāk – noteikumu projekts) ir sagatavots, ievērojot normatīvajos aktos noteikto. </w:t>
            </w:r>
            <w:r w:rsidR="0005625A" w:rsidRPr="00D75E57">
              <w:rPr>
                <w:lang w:val="lv-LV"/>
              </w:rPr>
              <w:t>Pamatojoties uz</w:t>
            </w:r>
            <w:r w:rsidRPr="00D75E57">
              <w:rPr>
                <w:lang w:val="lv-LV"/>
              </w:rPr>
              <w:t xml:space="preserve"> šīs anotācijas I sadaļas 2.punktā minēto,</w:t>
            </w:r>
            <w:r w:rsidRPr="00D75E57">
              <w:rPr>
                <w:iCs/>
                <w:szCs w:val="24"/>
                <w:lang w:val="lv-LV"/>
              </w:rPr>
              <w:t xml:space="preserve"> jānosaka jauni maksas pakalpojumu veidi</w:t>
            </w:r>
            <w:r w:rsidR="006E61AD" w:rsidRPr="00D75E57">
              <w:rPr>
                <w:iCs/>
                <w:szCs w:val="24"/>
                <w:lang w:val="lv-LV"/>
              </w:rPr>
              <w:t>, jāprecizē pakalpojumu spēkā darbības laiks</w:t>
            </w:r>
            <w:r w:rsidR="0005625A" w:rsidRPr="00D75E57">
              <w:rPr>
                <w:iCs/>
                <w:szCs w:val="24"/>
                <w:lang w:val="lv-LV"/>
              </w:rPr>
              <w:t xml:space="preserve"> un</w:t>
            </w:r>
            <w:r w:rsidR="006E61AD" w:rsidRPr="00D75E57">
              <w:rPr>
                <w:iCs/>
                <w:szCs w:val="24"/>
                <w:lang w:val="lv-LV"/>
              </w:rPr>
              <w:t xml:space="preserve"> jā</w:t>
            </w:r>
            <w:r w:rsidR="0005625A" w:rsidRPr="00D75E57">
              <w:rPr>
                <w:iCs/>
                <w:szCs w:val="24"/>
                <w:lang w:val="lv-LV"/>
              </w:rPr>
              <w:t>izdara</w:t>
            </w:r>
            <w:r w:rsidR="006E61AD" w:rsidRPr="00D75E57">
              <w:rPr>
                <w:iCs/>
                <w:szCs w:val="24"/>
                <w:lang w:val="lv-LV"/>
              </w:rPr>
              <w:t xml:space="preserve"> tehniski precizējumi formulējumos. </w:t>
            </w:r>
          </w:p>
          <w:p w:rsidR="0091408F" w:rsidRPr="00D75E57" w:rsidRDefault="0091408F" w:rsidP="00876F35">
            <w:pPr>
              <w:jc w:val="both"/>
            </w:pPr>
            <w:r w:rsidRPr="00D75E57">
              <w:t>Šīs anotācijas I sadaļas 2.punktā minētās problēmas noteikumu projekts atrisinās pilnībā.</w:t>
            </w:r>
          </w:p>
          <w:p w:rsidR="0091408F" w:rsidRPr="00D75E57" w:rsidRDefault="0091408F" w:rsidP="00876F35">
            <w:pPr>
              <w:ind w:firstLine="709"/>
              <w:jc w:val="both"/>
            </w:pPr>
            <w:r w:rsidRPr="00D75E57">
              <w:t xml:space="preserve">Noteikumu projektā </w:t>
            </w:r>
            <w:r w:rsidR="002F324D" w:rsidRPr="00D75E57">
              <w:t>ietvertie jaunie pakalpojumi saistībā ar augšņu agroķīmisko izpēti</w:t>
            </w:r>
            <w:r w:rsidR="00CA728A" w:rsidRPr="00D75E57">
              <w:t xml:space="preserve"> un kopēšanu</w:t>
            </w:r>
            <w:r w:rsidR="002F324D" w:rsidRPr="00D75E57">
              <w:t xml:space="preserve"> ir apliekami ar pievienotās vērtības nodokli 21% apmērā.</w:t>
            </w:r>
          </w:p>
        </w:tc>
      </w:tr>
      <w:tr w:rsidR="00D75E57" w:rsidRPr="00D75E57" w:rsidTr="00551C1F">
        <w:trPr>
          <w:trHeight w:val="476"/>
        </w:trPr>
        <w:tc>
          <w:tcPr>
            <w:tcW w:w="550" w:type="dxa"/>
          </w:tcPr>
          <w:p w:rsidR="0091408F" w:rsidRPr="00D75E57" w:rsidRDefault="0091408F" w:rsidP="00876F35">
            <w:pPr>
              <w:pStyle w:val="naiskr"/>
              <w:spacing w:before="0" w:after="0"/>
            </w:pPr>
            <w:r w:rsidRPr="00D75E57">
              <w:rPr>
                <w:sz w:val="22"/>
                <w:szCs w:val="22"/>
              </w:rPr>
              <w:t>5.</w:t>
            </w:r>
          </w:p>
        </w:tc>
        <w:tc>
          <w:tcPr>
            <w:tcW w:w="4315" w:type="dxa"/>
          </w:tcPr>
          <w:p w:rsidR="0091408F" w:rsidRPr="00D75E57" w:rsidRDefault="0091408F" w:rsidP="00876F35">
            <w:pPr>
              <w:pStyle w:val="naiskr"/>
              <w:spacing w:before="0" w:after="0"/>
            </w:pPr>
            <w:r w:rsidRPr="00D75E57">
              <w:rPr>
                <w:sz w:val="22"/>
                <w:szCs w:val="22"/>
              </w:rPr>
              <w:t>Projekta izstrādē iesaistītās institūcijas</w:t>
            </w:r>
          </w:p>
        </w:tc>
        <w:tc>
          <w:tcPr>
            <w:tcW w:w="4779" w:type="dxa"/>
          </w:tcPr>
          <w:p w:rsidR="0091408F" w:rsidRPr="00D75E57" w:rsidRDefault="0091408F" w:rsidP="00876F35">
            <w:pPr>
              <w:pStyle w:val="naiskr"/>
              <w:spacing w:before="0" w:after="0"/>
            </w:pPr>
            <w:r w:rsidRPr="00D75E57">
              <w:rPr>
                <w:iCs/>
              </w:rPr>
              <w:t>Zemkopības ministrija</w:t>
            </w:r>
            <w:r w:rsidR="0005625A" w:rsidRPr="00D75E57">
              <w:rPr>
                <w:iCs/>
              </w:rPr>
              <w:t xml:space="preserve"> un</w:t>
            </w:r>
            <w:r w:rsidRPr="00D75E57">
              <w:rPr>
                <w:iCs/>
              </w:rPr>
              <w:t xml:space="preserve"> Valsts augu aizsardzības dienests</w:t>
            </w:r>
          </w:p>
        </w:tc>
      </w:tr>
      <w:tr w:rsidR="00D75E57" w:rsidRPr="00D75E57" w:rsidTr="00551C1F">
        <w:trPr>
          <w:trHeight w:val="1103"/>
        </w:trPr>
        <w:tc>
          <w:tcPr>
            <w:tcW w:w="550" w:type="dxa"/>
          </w:tcPr>
          <w:p w:rsidR="0091408F" w:rsidRPr="00D75E57" w:rsidRDefault="0091408F" w:rsidP="00876F35">
            <w:pPr>
              <w:pStyle w:val="naiskr"/>
              <w:spacing w:before="0" w:after="0"/>
            </w:pPr>
            <w:r w:rsidRPr="00D75E57">
              <w:rPr>
                <w:sz w:val="22"/>
                <w:szCs w:val="22"/>
              </w:rPr>
              <w:t>6.</w:t>
            </w:r>
          </w:p>
        </w:tc>
        <w:tc>
          <w:tcPr>
            <w:tcW w:w="4315" w:type="dxa"/>
          </w:tcPr>
          <w:p w:rsidR="0091408F" w:rsidRPr="00D75E57" w:rsidRDefault="0091408F" w:rsidP="00876F35">
            <w:pPr>
              <w:pStyle w:val="naiskr"/>
              <w:spacing w:before="0" w:after="0"/>
              <w:rPr>
                <w:i/>
              </w:rPr>
            </w:pPr>
            <w:r w:rsidRPr="00D75E57">
              <w:rPr>
                <w:sz w:val="22"/>
                <w:szCs w:val="22"/>
              </w:rPr>
              <w:t>Iemesli, kādēļ netika nodrošināta sabiedrības līdzdalība</w:t>
            </w:r>
          </w:p>
        </w:tc>
        <w:tc>
          <w:tcPr>
            <w:tcW w:w="4779" w:type="dxa"/>
          </w:tcPr>
          <w:p w:rsidR="0091408F" w:rsidRPr="00D75E57" w:rsidRDefault="0091408F" w:rsidP="00876F35">
            <w:pPr>
              <w:jc w:val="both"/>
            </w:pPr>
            <w:r w:rsidRPr="00D75E57">
              <w:t>Projekts šo jomu neskar.</w:t>
            </w:r>
          </w:p>
        </w:tc>
      </w:tr>
      <w:tr w:rsidR="00D75E57" w:rsidRPr="00D75E57" w:rsidTr="00551C1F">
        <w:tc>
          <w:tcPr>
            <w:tcW w:w="550" w:type="dxa"/>
          </w:tcPr>
          <w:p w:rsidR="0091408F" w:rsidRPr="00D75E57" w:rsidRDefault="0091408F" w:rsidP="00876F35">
            <w:pPr>
              <w:pStyle w:val="naiskr"/>
              <w:spacing w:before="0" w:after="0"/>
            </w:pPr>
            <w:r w:rsidRPr="00D75E57">
              <w:rPr>
                <w:sz w:val="22"/>
                <w:szCs w:val="22"/>
              </w:rPr>
              <w:t>7.</w:t>
            </w:r>
          </w:p>
        </w:tc>
        <w:tc>
          <w:tcPr>
            <w:tcW w:w="4315" w:type="dxa"/>
          </w:tcPr>
          <w:p w:rsidR="0091408F" w:rsidRPr="00D75E57" w:rsidRDefault="0091408F" w:rsidP="00876F35">
            <w:pPr>
              <w:pStyle w:val="naiskr"/>
              <w:spacing w:before="0" w:after="0"/>
            </w:pPr>
            <w:r w:rsidRPr="00D75E57">
              <w:rPr>
                <w:sz w:val="22"/>
                <w:szCs w:val="22"/>
              </w:rPr>
              <w:t>Cita informācija</w:t>
            </w:r>
          </w:p>
        </w:tc>
        <w:tc>
          <w:tcPr>
            <w:tcW w:w="4779" w:type="dxa"/>
          </w:tcPr>
          <w:p w:rsidR="0091408F" w:rsidRPr="00D75E57" w:rsidRDefault="0091408F" w:rsidP="00876F35">
            <w:pPr>
              <w:pStyle w:val="naiskr"/>
              <w:spacing w:before="0" w:after="0"/>
            </w:pPr>
            <w:r w:rsidRPr="00D75E57">
              <w:rPr>
                <w:sz w:val="22"/>
                <w:szCs w:val="22"/>
              </w:rPr>
              <w:t>Nav</w:t>
            </w:r>
          </w:p>
        </w:tc>
      </w:tr>
    </w:tbl>
    <w:p w:rsidR="0091408F" w:rsidRDefault="0091408F" w:rsidP="00876F35">
      <w:pPr>
        <w:pStyle w:val="naiskr"/>
        <w:tabs>
          <w:tab w:val="left" w:pos="2628"/>
        </w:tabs>
        <w:spacing w:before="0" w:after="0"/>
        <w:jc w:val="center"/>
        <w:rPr>
          <w:sz w:val="22"/>
          <w:szCs w:val="22"/>
        </w:rPr>
      </w:pPr>
    </w:p>
    <w:p w:rsidR="0084784F" w:rsidRDefault="0084784F" w:rsidP="00876F35">
      <w:pPr>
        <w:pStyle w:val="naiskr"/>
        <w:tabs>
          <w:tab w:val="left" w:pos="2628"/>
        </w:tabs>
        <w:spacing w:before="0" w:after="0"/>
        <w:jc w:val="center"/>
        <w:rPr>
          <w:sz w:val="22"/>
          <w:szCs w:val="22"/>
        </w:rPr>
      </w:pPr>
    </w:p>
    <w:p w:rsidR="0084784F" w:rsidRPr="00D75E57" w:rsidRDefault="0084784F" w:rsidP="00876F35">
      <w:pPr>
        <w:pStyle w:val="naiskr"/>
        <w:tabs>
          <w:tab w:val="left" w:pos="2628"/>
        </w:tabs>
        <w:spacing w:before="0" w:after="0"/>
        <w:jc w:val="center"/>
        <w:rPr>
          <w:sz w:val="22"/>
          <w:szCs w:val="22"/>
        </w:rPr>
      </w:pPr>
    </w:p>
    <w:tbl>
      <w:tblPr>
        <w:tblpPr w:leftFromText="180" w:rightFromText="180" w:vertAnchor="text" w:horzAnchor="margin" w:tblpXSpec="center" w:tblpY="140"/>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495"/>
        <w:gridCol w:w="4860"/>
      </w:tblGrid>
      <w:tr w:rsidR="00D75E57" w:rsidRPr="00D75E57" w:rsidTr="00551C1F">
        <w:tc>
          <w:tcPr>
            <w:tcW w:w="9905" w:type="dxa"/>
            <w:gridSpan w:val="3"/>
            <w:vAlign w:val="center"/>
          </w:tcPr>
          <w:p w:rsidR="0091408F" w:rsidRPr="00D75E57" w:rsidRDefault="0091408F" w:rsidP="00876F35">
            <w:pPr>
              <w:pStyle w:val="naisf"/>
              <w:jc w:val="center"/>
              <w:rPr>
                <w:b/>
                <w:bCs/>
                <w:kern w:val="32"/>
                <w:sz w:val="32"/>
                <w:szCs w:val="32"/>
              </w:rPr>
            </w:pPr>
            <w:r w:rsidRPr="00D75E57">
              <w:rPr>
                <w:b/>
                <w:bCs/>
              </w:rPr>
              <w:lastRenderedPageBreak/>
              <w:t>II. Tiesību akta projekta ietekme uz sabiedrību</w:t>
            </w:r>
          </w:p>
        </w:tc>
      </w:tr>
      <w:tr w:rsidR="00D75E57" w:rsidRPr="00D75E57" w:rsidTr="00551C1F">
        <w:trPr>
          <w:trHeight w:val="467"/>
        </w:trPr>
        <w:tc>
          <w:tcPr>
            <w:tcW w:w="550" w:type="dxa"/>
          </w:tcPr>
          <w:p w:rsidR="0091408F" w:rsidRPr="00D75E57" w:rsidRDefault="0091408F" w:rsidP="00876F35">
            <w:pPr>
              <w:pStyle w:val="naisf"/>
              <w:ind w:firstLine="0"/>
            </w:pPr>
            <w:r w:rsidRPr="00D75E57">
              <w:t>1.</w:t>
            </w:r>
          </w:p>
        </w:tc>
        <w:tc>
          <w:tcPr>
            <w:tcW w:w="4495" w:type="dxa"/>
          </w:tcPr>
          <w:p w:rsidR="0091408F" w:rsidRPr="00D75E57" w:rsidRDefault="0091408F" w:rsidP="00876F35">
            <w:pPr>
              <w:pStyle w:val="naisf"/>
            </w:pPr>
            <w:r w:rsidRPr="00D75E57">
              <w:t>Sabiedrības mērķgrupa</w:t>
            </w:r>
          </w:p>
        </w:tc>
        <w:tc>
          <w:tcPr>
            <w:tcW w:w="4860" w:type="dxa"/>
          </w:tcPr>
          <w:p w:rsidR="0091408F" w:rsidRPr="00D75E57" w:rsidRDefault="0091408F" w:rsidP="0008570B">
            <w:pPr>
              <w:pStyle w:val="naisf"/>
              <w:rPr>
                <w:b/>
                <w:bCs/>
              </w:rPr>
            </w:pPr>
            <w:r w:rsidRPr="00D75E57">
              <w:rPr>
                <w:iCs/>
              </w:rPr>
              <w:t> </w:t>
            </w:r>
            <w:r w:rsidR="002F324D" w:rsidRPr="00D75E57">
              <w:rPr>
                <w:iCs/>
              </w:rPr>
              <w:t>Personas, kas nodarbojas ar lauksai</w:t>
            </w:r>
            <w:r w:rsidR="00C76396" w:rsidRPr="00D75E57">
              <w:rPr>
                <w:iCs/>
              </w:rPr>
              <w:t>mniecību</w:t>
            </w:r>
            <w:r w:rsidR="0008570B" w:rsidRPr="00D75E57">
              <w:rPr>
                <w:iCs/>
              </w:rPr>
              <w:t>. Pēc Lauku atbalsta dienesta datiem</w:t>
            </w:r>
            <w:r w:rsidR="002455E0">
              <w:rPr>
                <w:iCs/>
              </w:rPr>
              <w:t>,</w:t>
            </w:r>
            <w:r w:rsidR="0008570B" w:rsidRPr="00D75E57">
              <w:rPr>
                <w:iCs/>
              </w:rPr>
              <w:t xml:space="preserve"> š</w:t>
            </w:r>
            <w:r w:rsidR="002455E0">
              <w:rPr>
                <w:iCs/>
              </w:rPr>
              <w:t>ādu</w:t>
            </w:r>
            <w:r w:rsidR="0008570B" w:rsidRPr="00D75E57">
              <w:rPr>
                <w:iCs/>
              </w:rPr>
              <w:t xml:space="preserve"> personu varētu būt ap 40</w:t>
            </w:r>
            <w:r w:rsidR="002455E0">
              <w:rPr>
                <w:iCs/>
              </w:rPr>
              <w:t> </w:t>
            </w:r>
            <w:r w:rsidR="0008570B" w:rsidRPr="00D75E57">
              <w:rPr>
                <w:iCs/>
              </w:rPr>
              <w:t>000.</w:t>
            </w:r>
          </w:p>
        </w:tc>
      </w:tr>
      <w:tr w:rsidR="00D75E57" w:rsidRPr="00D75E57" w:rsidTr="00551C1F">
        <w:trPr>
          <w:trHeight w:val="523"/>
        </w:trPr>
        <w:tc>
          <w:tcPr>
            <w:tcW w:w="550" w:type="dxa"/>
          </w:tcPr>
          <w:p w:rsidR="0091408F" w:rsidRPr="00D75E57" w:rsidRDefault="0091408F" w:rsidP="00876F35">
            <w:pPr>
              <w:pStyle w:val="naisf"/>
              <w:ind w:firstLine="0"/>
            </w:pPr>
            <w:r w:rsidRPr="00D75E57">
              <w:t>2.</w:t>
            </w:r>
          </w:p>
        </w:tc>
        <w:tc>
          <w:tcPr>
            <w:tcW w:w="4495" w:type="dxa"/>
          </w:tcPr>
          <w:p w:rsidR="0091408F" w:rsidRPr="00D75E57" w:rsidRDefault="0091408F" w:rsidP="00876F35">
            <w:pPr>
              <w:pStyle w:val="naisf"/>
            </w:pPr>
            <w:r w:rsidRPr="00D75E57">
              <w:t>Citas sabiedrības grupas (bez mērķgrupas), kuras tiesiskais regulējums arī ietekmē vai varētu ietekmēt</w:t>
            </w:r>
          </w:p>
        </w:tc>
        <w:tc>
          <w:tcPr>
            <w:tcW w:w="4860" w:type="dxa"/>
          </w:tcPr>
          <w:p w:rsidR="0091408F" w:rsidRPr="00D75E57" w:rsidRDefault="0091408F" w:rsidP="00876F35">
            <w:pPr>
              <w:pStyle w:val="naisf"/>
            </w:pPr>
            <w:r w:rsidRPr="00D75E57">
              <w:t>Projekts šo jomu neskar.</w:t>
            </w:r>
          </w:p>
        </w:tc>
      </w:tr>
      <w:tr w:rsidR="00D75E57" w:rsidRPr="00D75E57" w:rsidTr="00551C1F">
        <w:trPr>
          <w:trHeight w:val="517"/>
        </w:trPr>
        <w:tc>
          <w:tcPr>
            <w:tcW w:w="550" w:type="dxa"/>
          </w:tcPr>
          <w:p w:rsidR="0091408F" w:rsidRPr="00D75E57" w:rsidRDefault="0091408F" w:rsidP="00876F35">
            <w:pPr>
              <w:pStyle w:val="naisf"/>
              <w:ind w:firstLine="0"/>
            </w:pPr>
            <w:r w:rsidRPr="00D75E57">
              <w:t>3.</w:t>
            </w:r>
          </w:p>
        </w:tc>
        <w:tc>
          <w:tcPr>
            <w:tcW w:w="4495" w:type="dxa"/>
          </w:tcPr>
          <w:p w:rsidR="0091408F" w:rsidRPr="00D75E57" w:rsidRDefault="0091408F" w:rsidP="00876F35">
            <w:pPr>
              <w:pStyle w:val="naisf"/>
            </w:pPr>
            <w:r w:rsidRPr="00D75E57">
              <w:t>Tiesiskā regulējuma finansiālā ietekme</w:t>
            </w:r>
          </w:p>
        </w:tc>
        <w:tc>
          <w:tcPr>
            <w:tcW w:w="4860" w:type="dxa"/>
          </w:tcPr>
          <w:p w:rsidR="0091408F" w:rsidRPr="00D75E57" w:rsidRDefault="0091408F" w:rsidP="00876F35">
            <w:pPr>
              <w:pStyle w:val="naisf"/>
            </w:pPr>
            <w:r w:rsidRPr="00D75E57">
              <w:t>Projekts radīs finansiālās izmaksas tām personām, kas vēlēsies saņemt atbilstošus maksas pakalpojumus. Tā kā tie ir jauni pakalpojumi, līdzšinējās izmaksas nemainīsies.</w:t>
            </w:r>
          </w:p>
        </w:tc>
      </w:tr>
      <w:tr w:rsidR="00D75E57" w:rsidRPr="00D75E57" w:rsidTr="00551C1F">
        <w:trPr>
          <w:trHeight w:val="517"/>
        </w:trPr>
        <w:tc>
          <w:tcPr>
            <w:tcW w:w="550" w:type="dxa"/>
          </w:tcPr>
          <w:p w:rsidR="0091408F" w:rsidRPr="00D75E57" w:rsidRDefault="0091408F" w:rsidP="00876F35">
            <w:pPr>
              <w:pStyle w:val="naisf"/>
              <w:ind w:firstLine="0"/>
            </w:pPr>
            <w:r w:rsidRPr="00D75E57">
              <w:t>4.</w:t>
            </w:r>
          </w:p>
        </w:tc>
        <w:tc>
          <w:tcPr>
            <w:tcW w:w="4495" w:type="dxa"/>
          </w:tcPr>
          <w:p w:rsidR="0091408F" w:rsidRPr="00D75E57" w:rsidRDefault="0091408F" w:rsidP="00876F35">
            <w:pPr>
              <w:pStyle w:val="naisf"/>
            </w:pPr>
            <w:r w:rsidRPr="00D75E57">
              <w:t>Tiesiskā regulējuma nefinansiālā ietekme</w:t>
            </w:r>
          </w:p>
        </w:tc>
        <w:tc>
          <w:tcPr>
            <w:tcW w:w="4860" w:type="dxa"/>
          </w:tcPr>
          <w:p w:rsidR="0091408F" w:rsidRPr="00D75E57" w:rsidRDefault="0091408F" w:rsidP="00876F35">
            <w:pPr>
              <w:pStyle w:val="naisf"/>
              <w:ind w:firstLine="0"/>
            </w:pPr>
            <w:r w:rsidRPr="00D75E57">
              <w:t>Tiesiskais regulējums radīs jaunas tiesības un pienākumus – personām būs pieejami jauni papildu pakalpojumi atbilstoši esošajam pieprasījumam.</w:t>
            </w:r>
          </w:p>
        </w:tc>
      </w:tr>
      <w:tr w:rsidR="00D75E57" w:rsidRPr="00D75E57" w:rsidTr="00551C1F">
        <w:trPr>
          <w:trHeight w:val="531"/>
        </w:trPr>
        <w:tc>
          <w:tcPr>
            <w:tcW w:w="550" w:type="dxa"/>
          </w:tcPr>
          <w:p w:rsidR="0091408F" w:rsidRPr="00D75E57" w:rsidRDefault="0091408F" w:rsidP="00876F35">
            <w:pPr>
              <w:pStyle w:val="naisf"/>
              <w:ind w:firstLine="0"/>
            </w:pPr>
            <w:r w:rsidRPr="00D75E57">
              <w:t>5.</w:t>
            </w:r>
          </w:p>
        </w:tc>
        <w:tc>
          <w:tcPr>
            <w:tcW w:w="4495" w:type="dxa"/>
          </w:tcPr>
          <w:p w:rsidR="0091408F" w:rsidRPr="00D75E57" w:rsidRDefault="0091408F" w:rsidP="00876F35">
            <w:pPr>
              <w:pStyle w:val="naisf"/>
            </w:pPr>
            <w:r w:rsidRPr="00D75E57">
              <w:t>Administratīvās procedūras raksturojums</w:t>
            </w:r>
          </w:p>
        </w:tc>
        <w:tc>
          <w:tcPr>
            <w:tcW w:w="4860" w:type="dxa"/>
          </w:tcPr>
          <w:p w:rsidR="0091408F" w:rsidRPr="00D75E57" w:rsidRDefault="0091408F" w:rsidP="00876F35">
            <w:pPr>
              <w:pStyle w:val="naisf"/>
            </w:pPr>
            <w:r w:rsidRPr="00D75E57">
              <w:t>Projekts šo jomu neskar.</w:t>
            </w:r>
          </w:p>
        </w:tc>
      </w:tr>
      <w:tr w:rsidR="00D75E57" w:rsidRPr="00D75E57" w:rsidTr="00551C1F">
        <w:trPr>
          <w:trHeight w:val="357"/>
        </w:trPr>
        <w:tc>
          <w:tcPr>
            <w:tcW w:w="550" w:type="dxa"/>
          </w:tcPr>
          <w:p w:rsidR="0091408F" w:rsidRPr="00D75E57" w:rsidRDefault="0091408F" w:rsidP="00876F35">
            <w:pPr>
              <w:pStyle w:val="naisf"/>
              <w:ind w:firstLine="0"/>
            </w:pPr>
            <w:r w:rsidRPr="00D75E57">
              <w:t>6.</w:t>
            </w:r>
          </w:p>
        </w:tc>
        <w:tc>
          <w:tcPr>
            <w:tcW w:w="4495" w:type="dxa"/>
          </w:tcPr>
          <w:p w:rsidR="0091408F" w:rsidRPr="00D75E57" w:rsidRDefault="0091408F" w:rsidP="00876F35">
            <w:pPr>
              <w:pStyle w:val="naisf"/>
            </w:pPr>
            <w:r w:rsidRPr="00D75E57">
              <w:t>Administratīvo izmaksu monetārs novērtējums</w:t>
            </w:r>
          </w:p>
        </w:tc>
        <w:tc>
          <w:tcPr>
            <w:tcW w:w="4860" w:type="dxa"/>
          </w:tcPr>
          <w:p w:rsidR="0091408F" w:rsidRPr="00D75E57" w:rsidRDefault="0091408F" w:rsidP="00876F35">
            <w:pPr>
              <w:pStyle w:val="naisf"/>
            </w:pPr>
            <w:r w:rsidRPr="00D75E57">
              <w:t>Projekts šo jomu neskar.</w:t>
            </w:r>
          </w:p>
        </w:tc>
      </w:tr>
      <w:tr w:rsidR="00D75E57" w:rsidRPr="00D75E57" w:rsidTr="00551C1F">
        <w:tc>
          <w:tcPr>
            <w:tcW w:w="550" w:type="dxa"/>
          </w:tcPr>
          <w:p w:rsidR="0091408F" w:rsidRPr="00D75E57" w:rsidRDefault="0091408F" w:rsidP="00876F35">
            <w:pPr>
              <w:pStyle w:val="naisf"/>
              <w:ind w:firstLine="0"/>
            </w:pPr>
            <w:r w:rsidRPr="00D75E57">
              <w:t>7.</w:t>
            </w:r>
          </w:p>
        </w:tc>
        <w:tc>
          <w:tcPr>
            <w:tcW w:w="4495" w:type="dxa"/>
          </w:tcPr>
          <w:p w:rsidR="0091408F" w:rsidRPr="00D75E57" w:rsidRDefault="0091408F" w:rsidP="00876F35">
            <w:pPr>
              <w:pStyle w:val="naisf"/>
            </w:pPr>
            <w:r w:rsidRPr="00D75E57">
              <w:t>Cita informācija</w:t>
            </w:r>
          </w:p>
        </w:tc>
        <w:tc>
          <w:tcPr>
            <w:tcW w:w="4860" w:type="dxa"/>
          </w:tcPr>
          <w:p w:rsidR="0091408F" w:rsidRPr="00D75E57" w:rsidRDefault="0091408F" w:rsidP="00876F35">
            <w:pPr>
              <w:pStyle w:val="naisf"/>
            </w:pPr>
            <w:r w:rsidRPr="00D75E57">
              <w:t>Nav.</w:t>
            </w:r>
          </w:p>
        </w:tc>
      </w:tr>
    </w:tbl>
    <w:p w:rsidR="0091408F" w:rsidRPr="00D75E57" w:rsidRDefault="0091408F" w:rsidP="00876F35">
      <w:pPr>
        <w:pStyle w:val="naiskr"/>
        <w:tabs>
          <w:tab w:val="left" w:pos="2628"/>
        </w:tabs>
        <w:spacing w:before="0" w:after="0"/>
        <w:rPr>
          <w:sz w:val="22"/>
          <w:szCs w:val="22"/>
        </w:rPr>
      </w:pPr>
    </w:p>
    <w:p w:rsidR="0091408F" w:rsidRPr="00D75E57" w:rsidRDefault="0091408F" w:rsidP="00876F35">
      <w:pPr>
        <w:pStyle w:val="naiskr"/>
        <w:tabs>
          <w:tab w:val="left" w:pos="2628"/>
        </w:tabs>
        <w:spacing w:before="0" w:after="0"/>
        <w:rPr>
          <w:sz w:val="22"/>
          <w:szCs w:val="22"/>
        </w:rPr>
      </w:pPr>
    </w:p>
    <w:tbl>
      <w:tblPr>
        <w:tblpPr w:leftFromText="180" w:rightFromText="180" w:vertAnchor="text" w:horzAnchor="margin" w:tblpXSpec="center" w:tblpY="37"/>
        <w:tblW w:w="541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338"/>
        <w:gridCol w:w="1100"/>
        <w:gridCol w:w="995"/>
        <w:gridCol w:w="1436"/>
        <w:gridCol w:w="1539"/>
        <w:gridCol w:w="1481"/>
      </w:tblGrid>
      <w:tr w:rsidR="00D75E57" w:rsidRPr="00D75E57" w:rsidTr="00551C1F">
        <w:tc>
          <w:tcPr>
            <w:tcW w:w="5000" w:type="pct"/>
            <w:gridSpan w:val="6"/>
            <w:tcBorders>
              <w:top w:val="outset" w:sz="6" w:space="0" w:color="000000"/>
              <w:bottom w:val="outset" w:sz="6" w:space="0" w:color="000000"/>
            </w:tcBorders>
          </w:tcPr>
          <w:p w:rsidR="0091408F" w:rsidRPr="00D75E57" w:rsidRDefault="0091408F" w:rsidP="00876F35">
            <w:pPr>
              <w:spacing w:before="100" w:beforeAutospacing="1" w:after="100" w:afterAutospacing="1"/>
              <w:jc w:val="center"/>
              <w:rPr>
                <w:b/>
                <w:bCs/>
              </w:rPr>
            </w:pPr>
            <w:r w:rsidRPr="00D75E57">
              <w:rPr>
                <w:b/>
                <w:bCs/>
              </w:rPr>
              <w:t>III. Tiesību akta projekta ietekme uz valsts budžetu un pašvaldību budžetiem</w:t>
            </w:r>
          </w:p>
        </w:tc>
      </w:tr>
      <w:tr w:rsidR="00D75E57" w:rsidRPr="00D75E57" w:rsidTr="00551C1F">
        <w:tc>
          <w:tcPr>
            <w:tcW w:w="1688" w:type="pct"/>
            <w:vMerge w:val="restart"/>
            <w:tcBorders>
              <w:top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rPr>
                <w:b/>
                <w:bCs/>
              </w:rPr>
            </w:pPr>
            <w:r w:rsidRPr="00D75E57">
              <w:rPr>
                <w:b/>
                <w:bCs/>
              </w:rPr>
              <w:t>Rādītāji</w:t>
            </w:r>
          </w:p>
        </w:tc>
        <w:tc>
          <w:tcPr>
            <w:tcW w:w="1059" w:type="pct"/>
            <w:gridSpan w:val="2"/>
            <w:vMerge w:val="restar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rPr>
                <w:b/>
                <w:bCs/>
              </w:rPr>
            </w:pPr>
            <w:r w:rsidRPr="00D75E57">
              <w:rPr>
                <w:b/>
                <w:bCs/>
              </w:rPr>
              <w:t>2012. gads</w:t>
            </w:r>
          </w:p>
        </w:tc>
        <w:tc>
          <w:tcPr>
            <w:tcW w:w="2253" w:type="pct"/>
            <w:gridSpan w:val="3"/>
            <w:tcBorders>
              <w:top w:val="outset" w:sz="6" w:space="0" w:color="000000"/>
              <w:left w:val="outset" w:sz="6" w:space="0" w:color="000000"/>
              <w:bottom w:val="outset" w:sz="6" w:space="0" w:color="000000"/>
            </w:tcBorders>
            <w:vAlign w:val="center"/>
          </w:tcPr>
          <w:p w:rsidR="0091408F" w:rsidRPr="00D75E57" w:rsidRDefault="0091408F" w:rsidP="00876F35">
            <w:pPr>
              <w:spacing w:before="100" w:beforeAutospacing="1" w:after="100" w:afterAutospacing="1"/>
              <w:jc w:val="center"/>
            </w:pPr>
            <w:r w:rsidRPr="00D75E57">
              <w:t>Turpmākie trīs gadi (tūkst</w:t>
            </w:r>
            <w:smartTag w:uri="schemas-tilde-lv/tildestengine" w:element="currency2">
              <w:smartTagPr>
                <w:attr w:name="currency_text" w:val="latu"/>
                <w:attr w:name="currency_value" w:val="."/>
                <w:attr w:name="currency_key" w:val="LVL"/>
                <w:attr w:name="currency_id" w:val="48"/>
              </w:smartTagPr>
              <w:r w:rsidRPr="00D75E57">
                <w:t>. latu</w:t>
              </w:r>
            </w:smartTag>
            <w:r w:rsidRPr="00D75E57">
              <w:t>)</w:t>
            </w:r>
          </w:p>
        </w:tc>
      </w:tr>
      <w:tr w:rsidR="00D75E57" w:rsidRPr="00D75E57" w:rsidTr="00551C1F">
        <w:tc>
          <w:tcPr>
            <w:tcW w:w="1688" w:type="pct"/>
            <w:vMerge/>
            <w:tcBorders>
              <w:top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rPr>
                <w:b/>
                <w:bCs/>
              </w:rPr>
            </w:pPr>
          </w:p>
        </w:tc>
        <w:tc>
          <w:tcPr>
            <w:tcW w:w="1059" w:type="pct"/>
            <w:gridSpan w:val="2"/>
            <w:vMerge/>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rPr>
                <w:b/>
                <w:bCs/>
              </w:rPr>
            </w:pPr>
          </w:p>
        </w:tc>
        <w:tc>
          <w:tcPr>
            <w:tcW w:w="2253" w:type="pct"/>
            <w:gridSpan w:val="3"/>
            <w:tcBorders>
              <w:top w:val="outset" w:sz="6" w:space="0" w:color="000000"/>
              <w:left w:val="outset" w:sz="6" w:space="0" w:color="000000"/>
              <w:bottom w:val="outset" w:sz="6" w:space="0" w:color="000000"/>
            </w:tcBorders>
            <w:vAlign w:val="center"/>
          </w:tcPr>
          <w:p w:rsidR="0091408F" w:rsidRPr="00D75E57" w:rsidRDefault="0091408F" w:rsidP="00876F35">
            <w:pPr>
              <w:spacing w:before="100" w:beforeAutospacing="1" w:after="100" w:afterAutospacing="1"/>
              <w:jc w:val="center"/>
            </w:pPr>
          </w:p>
        </w:tc>
      </w:tr>
      <w:tr w:rsidR="00D75E57" w:rsidRPr="00D75E57" w:rsidTr="00551C1F">
        <w:tc>
          <w:tcPr>
            <w:tcW w:w="1688" w:type="pct"/>
            <w:vMerge/>
            <w:tcBorders>
              <w:top w:val="outset" w:sz="6" w:space="0" w:color="000000"/>
              <w:bottom w:val="outset" w:sz="6" w:space="0" w:color="000000"/>
              <w:right w:val="outset" w:sz="6" w:space="0" w:color="000000"/>
            </w:tcBorders>
            <w:vAlign w:val="center"/>
          </w:tcPr>
          <w:p w:rsidR="0091408F" w:rsidRPr="00D75E57" w:rsidRDefault="0091408F" w:rsidP="00876F35">
            <w:pPr>
              <w:rPr>
                <w:b/>
                <w:bCs/>
              </w:rPr>
            </w:pPr>
          </w:p>
        </w:tc>
        <w:tc>
          <w:tcPr>
            <w:tcW w:w="1059" w:type="pct"/>
            <w:gridSpan w:val="2"/>
            <w:vMerge/>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rPr>
                <w:b/>
                <w:bCs/>
              </w:rPr>
            </w:pPr>
          </w:p>
        </w:tc>
        <w:tc>
          <w:tcPr>
            <w:tcW w:w="72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rPr>
                <w:b/>
                <w:bCs/>
              </w:rPr>
            </w:pPr>
            <w:r w:rsidRPr="00D75E57">
              <w:rPr>
                <w:b/>
                <w:bCs/>
              </w:rPr>
              <w:t>2013</w:t>
            </w:r>
          </w:p>
        </w:tc>
        <w:tc>
          <w:tcPr>
            <w:tcW w:w="778"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rPr>
                <w:b/>
                <w:bCs/>
              </w:rPr>
            </w:pPr>
            <w:r w:rsidRPr="00D75E57">
              <w:rPr>
                <w:b/>
                <w:bCs/>
              </w:rPr>
              <w:t>2014</w:t>
            </w:r>
          </w:p>
        </w:tc>
        <w:tc>
          <w:tcPr>
            <w:tcW w:w="749" w:type="pct"/>
            <w:tcBorders>
              <w:top w:val="outset" w:sz="6" w:space="0" w:color="000000"/>
              <w:left w:val="outset" w:sz="6" w:space="0" w:color="000000"/>
              <w:bottom w:val="outset" w:sz="6" w:space="0" w:color="000000"/>
            </w:tcBorders>
            <w:vAlign w:val="center"/>
          </w:tcPr>
          <w:p w:rsidR="0091408F" w:rsidRPr="00D75E57" w:rsidRDefault="0091408F" w:rsidP="00876F35">
            <w:pPr>
              <w:spacing w:before="100" w:beforeAutospacing="1" w:after="100" w:afterAutospacing="1"/>
              <w:jc w:val="center"/>
              <w:rPr>
                <w:b/>
                <w:bCs/>
              </w:rPr>
            </w:pPr>
            <w:r w:rsidRPr="00D75E57">
              <w:rPr>
                <w:b/>
                <w:bCs/>
              </w:rPr>
              <w:t>2015</w:t>
            </w:r>
          </w:p>
        </w:tc>
      </w:tr>
      <w:tr w:rsidR="00D75E57" w:rsidRPr="00D75E57" w:rsidTr="00551C1F">
        <w:tc>
          <w:tcPr>
            <w:tcW w:w="1688" w:type="pct"/>
            <w:vMerge/>
            <w:tcBorders>
              <w:top w:val="outset" w:sz="6" w:space="0" w:color="000000"/>
              <w:bottom w:val="outset" w:sz="6" w:space="0" w:color="000000"/>
              <w:right w:val="outset" w:sz="6" w:space="0" w:color="000000"/>
            </w:tcBorders>
            <w:vAlign w:val="center"/>
          </w:tcPr>
          <w:p w:rsidR="0091408F" w:rsidRPr="00D75E57" w:rsidRDefault="0091408F" w:rsidP="00876F35">
            <w:pPr>
              <w:rPr>
                <w:b/>
                <w:bCs/>
              </w:rPr>
            </w:pPr>
          </w:p>
        </w:tc>
        <w:tc>
          <w:tcPr>
            <w:tcW w:w="55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Saskaņā ar valsts budžetu kārtējam gadam</w:t>
            </w:r>
          </w:p>
        </w:tc>
        <w:tc>
          <w:tcPr>
            <w:tcW w:w="503"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Izmaiņas kārtējā gadā, salīdzinot ar budžetu kārtējam gadam</w:t>
            </w:r>
          </w:p>
        </w:tc>
        <w:tc>
          <w:tcPr>
            <w:tcW w:w="72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Izmaiņas, salīdzinot ar kārtējo (n) gadu</w:t>
            </w:r>
          </w:p>
        </w:tc>
        <w:tc>
          <w:tcPr>
            <w:tcW w:w="778"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Izmaiņas, salīdzinot ar kārtējo (n) gadu</w:t>
            </w:r>
          </w:p>
        </w:tc>
        <w:tc>
          <w:tcPr>
            <w:tcW w:w="749" w:type="pct"/>
            <w:tcBorders>
              <w:top w:val="outset" w:sz="6" w:space="0" w:color="000000"/>
              <w:left w:val="outset" w:sz="6" w:space="0" w:color="000000"/>
              <w:bottom w:val="outset" w:sz="6" w:space="0" w:color="000000"/>
            </w:tcBorders>
            <w:vAlign w:val="center"/>
          </w:tcPr>
          <w:p w:rsidR="0091408F" w:rsidRPr="00D75E57" w:rsidRDefault="0091408F" w:rsidP="00876F35">
            <w:pPr>
              <w:spacing w:before="100" w:beforeAutospacing="1" w:after="100" w:afterAutospacing="1"/>
              <w:jc w:val="center"/>
            </w:pPr>
            <w:r w:rsidRPr="00D75E57">
              <w:t>Izmaiņas, salīdzinot ar kārtējo (n) gadu</w:t>
            </w:r>
          </w:p>
        </w:tc>
      </w:tr>
      <w:tr w:rsidR="00D75E57" w:rsidRPr="00D75E57" w:rsidTr="00551C1F">
        <w:tc>
          <w:tcPr>
            <w:tcW w:w="1688" w:type="pct"/>
            <w:tcBorders>
              <w:top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1</w:t>
            </w:r>
          </w:p>
        </w:tc>
        <w:tc>
          <w:tcPr>
            <w:tcW w:w="55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2</w:t>
            </w:r>
          </w:p>
        </w:tc>
        <w:tc>
          <w:tcPr>
            <w:tcW w:w="503"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3</w:t>
            </w:r>
          </w:p>
        </w:tc>
        <w:tc>
          <w:tcPr>
            <w:tcW w:w="72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4</w:t>
            </w:r>
          </w:p>
        </w:tc>
        <w:tc>
          <w:tcPr>
            <w:tcW w:w="778"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before="100" w:beforeAutospacing="1" w:after="100" w:afterAutospacing="1"/>
              <w:jc w:val="center"/>
            </w:pPr>
            <w:r w:rsidRPr="00D75E57">
              <w:t>5</w:t>
            </w:r>
          </w:p>
        </w:tc>
        <w:tc>
          <w:tcPr>
            <w:tcW w:w="749" w:type="pct"/>
            <w:tcBorders>
              <w:top w:val="outset" w:sz="6" w:space="0" w:color="000000"/>
              <w:left w:val="outset" w:sz="6" w:space="0" w:color="000000"/>
              <w:bottom w:val="outset" w:sz="6" w:space="0" w:color="000000"/>
            </w:tcBorders>
            <w:vAlign w:val="center"/>
          </w:tcPr>
          <w:p w:rsidR="0091408F" w:rsidRPr="00D75E57" w:rsidRDefault="0091408F" w:rsidP="00876F35">
            <w:pPr>
              <w:spacing w:before="100" w:beforeAutospacing="1" w:after="100" w:afterAutospacing="1"/>
              <w:jc w:val="center"/>
            </w:pPr>
            <w:r w:rsidRPr="00D75E57">
              <w:t>6</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1. Budžeta ieņēmumi:</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jc w:val="both"/>
            </w:pPr>
            <w:r w:rsidRPr="00D75E57">
              <w:t>9</w:t>
            </w:r>
            <w:r w:rsidR="002F324D" w:rsidRPr="00D75E57">
              <w:t>4</w:t>
            </w:r>
            <w:r w:rsidRPr="00D75E57">
              <w:t>9,8</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2F324D" w:rsidRPr="00D75E57">
              <w:t>0</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ED1FD0" w:rsidP="00876F35">
            <w:pPr>
              <w:spacing w:line="360" w:lineRule="auto"/>
            </w:pPr>
            <w:r w:rsidRPr="00D75E57">
              <w:t>0</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ED1FD0" w:rsidP="00876F35">
            <w:pPr>
              <w:spacing w:line="360" w:lineRule="auto"/>
            </w:pPr>
            <w:r w:rsidRPr="00D75E57">
              <w:t>0</w:t>
            </w:r>
          </w:p>
        </w:tc>
        <w:tc>
          <w:tcPr>
            <w:tcW w:w="749" w:type="pct"/>
            <w:tcBorders>
              <w:top w:val="outset" w:sz="6" w:space="0" w:color="000000"/>
              <w:left w:val="outset" w:sz="6" w:space="0" w:color="000000"/>
              <w:bottom w:val="outset" w:sz="6" w:space="0" w:color="000000"/>
            </w:tcBorders>
          </w:tcPr>
          <w:p w:rsidR="0091408F" w:rsidRPr="00D75E57" w:rsidRDefault="00ED1FD0" w:rsidP="00876F35">
            <w:pPr>
              <w:spacing w:line="360" w:lineRule="auto"/>
            </w:pPr>
            <w:r w:rsidRPr="00D75E57">
              <w:t>0</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1.1. valsts pamatbudžets, tai skaitā ieņēmumi no maksas pakalpojumiem un citi pašu ieņēmumi</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jc w:val="both"/>
            </w:pPr>
            <w:r w:rsidRPr="00D75E57">
              <w:t>9</w:t>
            </w:r>
            <w:r w:rsidR="002F324D" w:rsidRPr="00D75E57">
              <w:t>4</w:t>
            </w:r>
            <w:r w:rsidRPr="00D75E57">
              <w:t>9,8</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2F324D" w:rsidRPr="00D75E57">
              <w:t>0</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ED1FD0" w:rsidRPr="00D75E57">
              <w:t>0</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ED1FD0" w:rsidRPr="00D75E57">
              <w:t>0</w:t>
            </w:r>
          </w:p>
        </w:tc>
        <w:tc>
          <w:tcPr>
            <w:tcW w:w="749" w:type="pct"/>
            <w:tcBorders>
              <w:top w:val="outset" w:sz="6" w:space="0" w:color="000000"/>
              <w:left w:val="outset" w:sz="6" w:space="0" w:color="000000"/>
              <w:bottom w:val="outset" w:sz="6" w:space="0" w:color="000000"/>
            </w:tcBorders>
          </w:tcPr>
          <w:p w:rsidR="0091408F" w:rsidRPr="00D75E57" w:rsidRDefault="00ED1FD0" w:rsidP="00876F35">
            <w:pPr>
              <w:spacing w:line="360" w:lineRule="auto"/>
            </w:pPr>
            <w:r w:rsidRPr="00D75E57">
              <w:t>0</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1.2. valsts speciālais 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jc w:val="both"/>
            </w:pP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1.3. pašvaldību 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jc w:val="both"/>
            </w:pP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lastRenderedPageBreak/>
              <w:t>2. Budžeta izdevumi:</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jc w:val="both"/>
            </w:pPr>
            <w:r w:rsidRPr="00D75E57">
              <w:t>9</w:t>
            </w:r>
            <w:r w:rsidR="002F324D" w:rsidRPr="00D75E57">
              <w:t>4</w:t>
            </w:r>
            <w:r w:rsidRPr="00D75E57">
              <w:t>9,8</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2F324D" w:rsidRPr="00D75E57">
              <w:t>0</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ED1FD0" w:rsidP="00876F35">
            <w:pPr>
              <w:spacing w:line="360" w:lineRule="auto"/>
            </w:pPr>
            <w:r w:rsidRPr="00D75E57">
              <w:t>0</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ED1FD0" w:rsidRPr="00D75E57">
              <w:t>0</w:t>
            </w:r>
          </w:p>
        </w:tc>
        <w:tc>
          <w:tcPr>
            <w:tcW w:w="749" w:type="pct"/>
            <w:tcBorders>
              <w:top w:val="outset" w:sz="6" w:space="0" w:color="000000"/>
              <w:left w:val="outset" w:sz="6" w:space="0" w:color="000000"/>
              <w:bottom w:val="outset" w:sz="6" w:space="0" w:color="000000"/>
            </w:tcBorders>
          </w:tcPr>
          <w:p w:rsidR="0091408F" w:rsidRPr="00D75E57" w:rsidRDefault="00ED1FD0" w:rsidP="00876F35">
            <w:pPr>
              <w:spacing w:line="360" w:lineRule="auto"/>
            </w:pPr>
            <w:r w:rsidRPr="00D75E57">
              <w:t>0</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2.1. valsts pamatbudžets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jc w:val="both"/>
            </w:pPr>
            <w:r w:rsidRPr="00D75E57">
              <w:t>9</w:t>
            </w:r>
            <w:r w:rsidR="002F324D" w:rsidRPr="00D75E57">
              <w:t>4</w:t>
            </w:r>
            <w:r w:rsidRPr="00D75E57">
              <w:t>9,8</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2F324D" w:rsidRPr="00D75E57">
              <w:t>0</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ED1FD0" w:rsidRPr="00D75E57">
              <w:t>0</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r w:rsidR="00ED1FD0" w:rsidRPr="00D75E57">
              <w:t>0</w:t>
            </w:r>
          </w:p>
        </w:tc>
        <w:tc>
          <w:tcPr>
            <w:tcW w:w="749" w:type="pct"/>
            <w:tcBorders>
              <w:top w:val="outset" w:sz="6" w:space="0" w:color="000000"/>
              <w:left w:val="outset" w:sz="6" w:space="0" w:color="000000"/>
              <w:bottom w:val="outset" w:sz="6" w:space="0" w:color="000000"/>
            </w:tcBorders>
          </w:tcPr>
          <w:p w:rsidR="0091408F" w:rsidRPr="00D75E57" w:rsidRDefault="00ED1FD0" w:rsidP="00876F35">
            <w:pPr>
              <w:spacing w:line="360" w:lineRule="auto"/>
            </w:pPr>
            <w:r w:rsidRPr="00D75E57">
              <w:t>0</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2.2. valsts speciālais 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2.3. pašvaldību 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3. Finansiālā ietekme:</w:t>
            </w:r>
          </w:p>
        </w:tc>
        <w:tc>
          <w:tcPr>
            <w:tcW w:w="55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spacing w:line="360" w:lineRule="auto"/>
            </w:pPr>
            <w:r w:rsidRPr="00D75E57">
              <w:t> 0</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0</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0</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0</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0</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3.1. valsts pamatbudžets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3.2. speciālais 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3.3. pašvaldību budžets</w:t>
            </w:r>
          </w:p>
        </w:tc>
        <w:tc>
          <w:tcPr>
            <w:tcW w:w="55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vMerge w:val="restar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4. Finanšu līdzekļi papildu izde</w:t>
            </w:r>
            <w:r w:rsidRPr="00D75E57">
              <w:softHyphen/>
              <w:t>vumu finansēšanai (kompensējošu izdevumu samazinājumu norāda ar "+" zīmi)</w:t>
            </w:r>
          </w:p>
        </w:tc>
        <w:tc>
          <w:tcPr>
            <w:tcW w:w="556" w:type="pct"/>
            <w:vMerge w:val="restar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jc w:val="center"/>
            </w:pPr>
            <w:r w:rsidRPr="00D75E57">
              <w:t>X</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vMerge/>
            <w:tcBorders>
              <w:top w:val="outset" w:sz="6" w:space="0" w:color="000000"/>
              <w:bottom w:val="outset" w:sz="6" w:space="0" w:color="000000"/>
              <w:right w:val="outset" w:sz="6" w:space="0" w:color="000000"/>
            </w:tcBorders>
            <w:vAlign w:val="center"/>
          </w:tcPr>
          <w:p w:rsidR="0091408F" w:rsidRPr="00D75E57" w:rsidRDefault="0091408F" w:rsidP="00876F35"/>
        </w:tc>
        <w:tc>
          <w:tcPr>
            <w:tcW w:w="556" w:type="pct"/>
            <w:vMerge/>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vMerge/>
            <w:tcBorders>
              <w:top w:val="outset" w:sz="6" w:space="0" w:color="000000"/>
              <w:bottom w:val="outset" w:sz="6" w:space="0" w:color="000000"/>
              <w:right w:val="outset" w:sz="6" w:space="0" w:color="000000"/>
            </w:tcBorders>
            <w:vAlign w:val="center"/>
          </w:tcPr>
          <w:p w:rsidR="0091408F" w:rsidRPr="00D75E57" w:rsidRDefault="0091408F" w:rsidP="00876F35"/>
        </w:tc>
        <w:tc>
          <w:tcPr>
            <w:tcW w:w="556" w:type="pct"/>
            <w:vMerge/>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5. Precizēta finansiālā ietekme:</w:t>
            </w:r>
          </w:p>
        </w:tc>
        <w:tc>
          <w:tcPr>
            <w:tcW w:w="556" w:type="pct"/>
            <w:vMerge w:val="restar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jc w:val="center"/>
            </w:pPr>
            <w:r w:rsidRPr="00D75E57">
              <w:t>X</w:t>
            </w:r>
          </w:p>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5.1. valsts pamatbudžets</w:t>
            </w:r>
          </w:p>
        </w:tc>
        <w:tc>
          <w:tcPr>
            <w:tcW w:w="556" w:type="pct"/>
            <w:vMerge/>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5.2. speciālais budžets</w:t>
            </w:r>
          </w:p>
        </w:tc>
        <w:tc>
          <w:tcPr>
            <w:tcW w:w="556" w:type="pct"/>
            <w:vMerge/>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rPr>
          <w:trHeight w:val="331"/>
        </w:trPr>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5.3. pašvaldību budžets</w:t>
            </w:r>
          </w:p>
        </w:tc>
        <w:tc>
          <w:tcPr>
            <w:tcW w:w="556" w:type="pct"/>
            <w:vMerge/>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tc>
        <w:tc>
          <w:tcPr>
            <w:tcW w:w="503"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26"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78" w:type="pct"/>
            <w:tcBorders>
              <w:top w:val="outset" w:sz="6" w:space="0" w:color="000000"/>
              <w:left w:val="outset" w:sz="6" w:space="0" w:color="000000"/>
              <w:bottom w:val="outset" w:sz="6" w:space="0" w:color="000000"/>
              <w:right w:val="outset" w:sz="6" w:space="0" w:color="000000"/>
            </w:tcBorders>
          </w:tcPr>
          <w:p w:rsidR="0091408F" w:rsidRPr="00D75E57" w:rsidRDefault="0091408F" w:rsidP="00876F35">
            <w:pPr>
              <w:spacing w:line="360" w:lineRule="auto"/>
            </w:pPr>
            <w:r w:rsidRPr="00D75E57">
              <w:t> </w:t>
            </w:r>
          </w:p>
        </w:tc>
        <w:tc>
          <w:tcPr>
            <w:tcW w:w="749" w:type="pct"/>
            <w:tcBorders>
              <w:top w:val="outset" w:sz="6" w:space="0" w:color="000000"/>
              <w:left w:val="outset" w:sz="6" w:space="0" w:color="000000"/>
              <w:bottom w:val="outset" w:sz="6" w:space="0" w:color="000000"/>
            </w:tcBorders>
          </w:tcPr>
          <w:p w:rsidR="0091408F" w:rsidRPr="00D75E57" w:rsidRDefault="0091408F" w:rsidP="00876F35">
            <w:pPr>
              <w:spacing w:line="360" w:lineRule="auto"/>
            </w:pPr>
            <w:r w:rsidRPr="00D75E57">
              <w:t> </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t>6. Detalizēts ieņēmumu un izdevu</w:t>
            </w:r>
            <w:r w:rsidRPr="00D75E57">
              <w:softHyphen/>
              <w:t>mu aprēķins (ja nepieciešams, detalizētu ieņēmumu un izdevumu aprēķinu var pievienot anotācijas pielikumā):</w:t>
            </w:r>
          </w:p>
        </w:tc>
        <w:tc>
          <w:tcPr>
            <w:tcW w:w="55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rPr>
                <w:b/>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rPr>
                <w:b/>
              </w:rPr>
            </w:pPr>
          </w:p>
        </w:tc>
        <w:tc>
          <w:tcPr>
            <w:tcW w:w="726"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rPr>
                <w:b/>
              </w:rPr>
            </w:pPr>
          </w:p>
        </w:tc>
        <w:tc>
          <w:tcPr>
            <w:tcW w:w="778" w:type="pct"/>
            <w:tcBorders>
              <w:top w:val="outset" w:sz="6" w:space="0" w:color="000000"/>
              <w:left w:val="outset" w:sz="6" w:space="0" w:color="000000"/>
              <w:bottom w:val="outset" w:sz="6" w:space="0" w:color="000000"/>
              <w:right w:val="outset" w:sz="6" w:space="0" w:color="000000"/>
            </w:tcBorders>
            <w:vAlign w:val="center"/>
          </w:tcPr>
          <w:p w:rsidR="0091408F" w:rsidRPr="00D75E57" w:rsidRDefault="0091408F" w:rsidP="00876F35">
            <w:pPr>
              <w:rPr>
                <w:b/>
              </w:rPr>
            </w:pPr>
          </w:p>
        </w:tc>
        <w:tc>
          <w:tcPr>
            <w:tcW w:w="749" w:type="pct"/>
            <w:tcBorders>
              <w:top w:val="outset" w:sz="6" w:space="0" w:color="000000"/>
              <w:left w:val="outset" w:sz="6" w:space="0" w:color="000000"/>
              <w:bottom w:val="outset" w:sz="6" w:space="0" w:color="000000"/>
            </w:tcBorders>
            <w:vAlign w:val="center"/>
          </w:tcPr>
          <w:p w:rsidR="0091408F" w:rsidRPr="00D75E57" w:rsidRDefault="0091408F" w:rsidP="00876F35">
            <w:pPr>
              <w:rPr>
                <w:b/>
              </w:rPr>
            </w:pP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r w:rsidRPr="00D75E57">
              <w:t>6.1. detalizēts ieņēmumu aprēķins</w:t>
            </w:r>
          </w:p>
        </w:tc>
        <w:tc>
          <w:tcPr>
            <w:tcW w:w="3312" w:type="pct"/>
            <w:gridSpan w:val="5"/>
            <w:tcBorders>
              <w:top w:val="outset" w:sz="6" w:space="0" w:color="000000"/>
              <w:left w:val="outset" w:sz="6" w:space="0" w:color="000000"/>
              <w:bottom w:val="outset" w:sz="6" w:space="0" w:color="000000"/>
            </w:tcBorders>
            <w:vAlign w:val="center"/>
          </w:tcPr>
          <w:p w:rsidR="00235216" w:rsidRPr="00D75E57" w:rsidRDefault="009D406C" w:rsidP="00876F35">
            <w:r w:rsidRPr="00D75E57">
              <w:rPr>
                <w:b/>
              </w:rPr>
              <w:t>2013.g., 2014. un 2015.gad</w:t>
            </w:r>
            <w:r w:rsidR="0005625A" w:rsidRPr="00D75E57">
              <w:rPr>
                <w:b/>
              </w:rPr>
              <w:t>ā</w:t>
            </w:r>
            <w:r w:rsidRPr="00D75E57">
              <w:t xml:space="preserve"> </w:t>
            </w:r>
            <w:r w:rsidR="0091408F" w:rsidRPr="00D75E57">
              <w:t>papildus plānot</w:t>
            </w:r>
            <w:r w:rsidR="006B257A" w:rsidRPr="00D75E57">
              <w:t xml:space="preserve">i </w:t>
            </w:r>
            <w:r w:rsidR="0091408F" w:rsidRPr="00D75E57">
              <w:t>ieņ</w:t>
            </w:r>
            <w:r w:rsidR="006B257A" w:rsidRPr="00D75E57">
              <w:t>ēmumi</w:t>
            </w:r>
            <w:r w:rsidR="0091408F" w:rsidRPr="00D75E57">
              <w:t xml:space="preserve"> Ls </w:t>
            </w:r>
            <w:r w:rsidR="00862F86" w:rsidRPr="00D75E57">
              <w:t>500</w:t>
            </w:r>
            <w:r w:rsidR="0091408F" w:rsidRPr="00D75E57">
              <w:t>00</w:t>
            </w:r>
            <w:r w:rsidR="006B257A" w:rsidRPr="00D75E57">
              <w:t xml:space="preserve"> gadā</w:t>
            </w:r>
            <w:r w:rsidR="0091408F" w:rsidRPr="00D75E57">
              <w:t>, t</w:t>
            </w:r>
            <w:r w:rsidR="00FB0E3B" w:rsidRPr="00D75E57">
              <w:t>ai skaitā:</w:t>
            </w:r>
          </w:p>
          <w:p w:rsidR="00235216" w:rsidRPr="00D75E57" w:rsidRDefault="00235216" w:rsidP="00876F35">
            <w:r w:rsidRPr="00D75E57">
              <w:t>par augšņu agroķīmisko izpēti</w:t>
            </w:r>
            <w:r w:rsidR="00FB0E3B" w:rsidRPr="00D75E57">
              <w:t>, lietojot jaunās tehnoloģijas</w:t>
            </w:r>
            <w:r w:rsidR="002455E0">
              <w:t>,</w:t>
            </w:r>
            <w:r w:rsidRPr="00D75E57">
              <w:t xml:space="preserve"> vidēji 5</w:t>
            </w:r>
            <w:r w:rsidR="00862F86" w:rsidRPr="00D75E57">
              <w:t>200</w:t>
            </w:r>
            <w:r w:rsidRPr="00D75E57">
              <w:t xml:space="preserve"> ha platībā</w:t>
            </w:r>
            <w:r w:rsidR="00FB0E3B" w:rsidRPr="00D75E57">
              <w:t xml:space="preserve"> plānots ieņemt</w:t>
            </w:r>
            <w:r w:rsidRPr="00D75E57">
              <w:t xml:space="preserve"> Ls </w:t>
            </w:r>
            <w:r w:rsidR="00862F86" w:rsidRPr="00D75E57">
              <w:t>35</w:t>
            </w:r>
            <w:r w:rsidR="0005625A" w:rsidRPr="00D75E57">
              <w:t> </w:t>
            </w:r>
            <w:r w:rsidR="00862F86" w:rsidRPr="00D75E57">
              <w:t>2</w:t>
            </w:r>
            <w:r w:rsidR="009D406C" w:rsidRPr="00D75E57">
              <w:t>3</w:t>
            </w:r>
            <w:r w:rsidR="00862F86" w:rsidRPr="00D75E57">
              <w:t>0</w:t>
            </w:r>
            <w:r w:rsidR="00FB0E3B" w:rsidRPr="00D75E57">
              <w:t>;</w:t>
            </w:r>
          </w:p>
          <w:p w:rsidR="00FB0E3B" w:rsidRPr="00D75E57" w:rsidRDefault="00FB0E3B" w:rsidP="00876F35">
            <w:r w:rsidRPr="00D75E57">
              <w:t xml:space="preserve">sakarā ar lauksaimnieku pieprasījumu papildus plānotajam par augšņu izpēti, </w:t>
            </w:r>
            <w:r w:rsidR="0005625A" w:rsidRPr="00D75E57">
              <w:t>neizmantojot</w:t>
            </w:r>
            <w:r w:rsidRPr="00D75E57">
              <w:t xml:space="preserve"> jaunās tehnoloģijas</w:t>
            </w:r>
            <w:r w:rsidR="0005625A" w:rsidRPr="00D75E57">
              <w:t>,</w:t>
            </w:r>
            <w:r w:rsidRPr="00D75E57">
              <w:t xml:space="preserve"> plānot</w:t>
            </w:r>
            <w:r w:rsidR="006B257A" w:rsidRPr="00D75E57">
              <w:t>i</w:t>
            </w:r>
            <w:r w:rsidRPr="00D75E57">
              <w:t xml:space="preserve"> ieņ</w:t>
            </w:r>
            <w:r w:rsidR="006B257A" w:rsidRPr="00D75E57">
              <w:t>ēmumi</w:t>
            </w:r>
            <w:r w:rsidRPr="00D75E57">
              <w:t xml:space="preserve"> Ls 14</w:t>
            </w:r>
            <w:r w:rsidR="0005625A" w:rsidRPr="00D75E57">
              <w:t> </w:t>
            </w:r>
            <w:r w:rsidRPr="00D75E57">
              <w:t>770</w:t>
            </w:r>
            <w:r w:rsidR="0005625A" w:rsidRPr="00D75E57">
              <w:t xml:space="preserve"> apmērā</w:t>
            </w:r>
            <w:r w:rsidRPr="00D75E57">
              <w:t xml:space="preserve">. </w:t>
            </w:r>
          </w:p>
          <w:p w:rsidR="00862F86" w:rsidRPr="00D75E57" w:rsidRDefault="00862F86" w:rsidP="00876F35">
            <w:r w:rsidRPr="00D75E57">
              <w:t xml:space="preserve">Ieņēmumu samazinājums saistībā ar augu šķirņu saimniecisko īpašību novērtēšanas funkcijas nodošanu Latvijas Lauksaimniecības universitātei </w:t>
            </w:r>
            <w:r w:rsidR="0005625A" w:rsidRPr="00D75E57">
              <w:t xml:space="preserve">– </w:t>
            </w:r>
            <w:r w:rsidRPr="00D75E57">
              <w:t>Ls 50</w:t>
            </w:r>
            <w:r w:rsidR="0005625A" w:rsidRPr="00D75E57">
              <w:t> </w:t>
            </w:r>
            <w:r w:rsidRPr="00D75E57">
              <w:t>000 gadā.</w:t>
            </w:r>
          </w:p>
          <w:p w:rsidR="00FB0E3B" w:rsidRPr="00D75E57" w:rsidRDefault="00FB0E3B" w:rsidP="00876F35"/>
        </w:tc>
      </w:tr>
      <w:tr w:rsidR="00D75E57" w:rsidRPr="00D75E57" w:rsidTr="00551C1F">
        <w:trPr>
          <w:trHeight w:val="641"/>
        </w:trPr>
        <w:tc>
          <w:tcPr>
            <w:tcW w:w="1688" w:type="pct"/>
            <w:tcBorders>
              <w:top w:val="outset" w:sz="6" w:space="0" w:color="000000"/>
              <w:bottom w:val="outset" w:sz="6" w:space="0" w:color="000000"/>
              <w:right w:val="outset" w:sz="6" w:space="0" w:color="000000"/>
            </w:tcBorders>
          </w:tcPr>
          <w:p w:rsidR="0091408F" w:rsidRPr="00D75E57" w:rsidRDefault="0091408F" w:rsidP="00876F35">
            <w:r w:rsidRPr="00D75E57">
              <w:t>6.2. detalizēts izdevumu aprēķins</w:t>
            </w:r>
          </w:p>
        </w:tc>
        <w:tc>
          <w:tcPr>
            <w:tcW w:w="3312" w:type="pct"/>
            <w:gridSpan w:val="5"/>
            <w:tcBorders>
              <w:top w:val="outset" w:sz="6" w:space="0" w:color="000000"/>
              <w:left w:val="outset" w:sz="6" w:space="0" w:color="000000"/>
              <w:bottom w:val="outset" w:sz="6" w:space="0" w:color="000000"/>
            </w:tcBorders>
            <w:vAlign w:val="center"/>
          </w:tcPr>
          <w:p w:rsidR="0091408F" w:rsidRPr="00D75E57" w:rsidRDefault="0091408F" w:rsidP="00876F35">
            <w:r w:rsidRPr="00D75E57">
              <w:t xml:space="preserve">Izcenojumu aprēķinu skatīt anotācijas pielikumā. Lai nodrošinātu jauno </w:t>
            </w:r>
            <w:r w:rsidR="00BA0871" w:rsidRPr="00D75E57">
              <w:t>pakalpojumu sniegšanu</w:t>
            </w:r>
            <w:r w:rsidRPr="00D75E57">
              <w:t xml:space="preserve">, plānoti </w:t>
            </w:r>
            <w:r w:rsidR="00862F86" w:rsidRPr="00D75E57">
              <w:t xml:space="preserve">izdevumi Ls </w:t>
            </w:r>
            <w:r w:rsidR="00BA0871" w:rsidRPr="00D75E57">
              <w:t>35</w:t>
            </w:r>
            <w:r w:rsidR="0005625A" w:rsidRPr="00D75E57">
              <w:t> </w:t>
            </w:r>
            <w:r w:rsidR="00BA0871" w:rsidRPr="00D75E57">
              <w:t>230</w:t>
            </w:r>
            <w:r w:rsidR="00862F86" w:rsidRPr="00D75E57">
              <w:t xml:space="preserve"> apmērā</w:t>
            </w:r>
            <w:r w:rsidR="00FB0E3B" w:rsidRPr="00D75E57">
              <w:t>, kā arī papildus plānotajam par augšņu agroķīmisko izpēti</w:t>
            </w:r>
            <w:r w:rsidR="0005625A" w:rsidRPr="00D75E57">
              <w:t>,</w:t>
            </w:r>
            <w:r w:rsidR="00FB0E3B" w:rsidRPr="00D75E57">
              <w:t xml:space="preserve"> ne</w:t>
            </w:r>
            <w:r w:rsidR="0005625A" w:rsidRPr="00D75E57">
              <w:t>izman</w:t>
            </w:r>
            <w:r w:rsidR="00FB0E3B" w:rsidRPr="00D75E57">
              <w:t>tojot jaunās tehnoloģijas</w:t>
            </w:r>
            <w:r w:rsidR="0005625A" w:rsidRPr="00D75E57">
              <w:t>, –</w:t>
            </w:r>
            <w:r w:rsidR="00FB0E3B" w:rsidRPr="00D75E57">
              <w:t xml:space="preserve"> Ls 14770.</w:t>
            </w:r>
          </w:p>
          <w:p w:rsidR="0091408F" w:rsidRPr="00D75E57" w:rsidRDefault="009D406C" w:rsidP="00876F35">
            <w:pPr>
              <w:rPr>
                <w:iCs/>
              </w:rPr>
            </w:pPr>
            <w:r w:rsidRPr="00D75E57">
              <w:rPr>
                <w:iCs/>
              </w:rPr>
              <w:t>Taču saistībā ar</w:t>
            </w:r>
            <w:r w:rsidR="00862F86" w:rsidRPr="00D75E57">
              <w:t xml:space="preserve"> augu šķirņu saimniecisko īpašību novērtēšanas funkcijas nodošanu Latvijas Lauksaimniecības universitātei, samazinās</w:t>
            </w:r>
            <w:r w:rsidR="006B257A" w:rsidRPr="00D75E57">
              <w:t>ies</w:t>
            </w:r>
            <w:r w:rsidR="00862F86" w:rsidRPr="00D75E57">
              <w:t xml:space="preserve"> arī izdevumi Ls 50</w:t>
            </w:r>
            <w:r w:rsidR="0005625A" w:rsidRPr="00D75E57">
              <w:t> </w:t>
            </w:r>
            <w:r w:rsidR="00862F86" w:rsidRPr="00D75E57">
              <w:t>000 apmērā.</w:t>
            </w:r>
          </w:p>
        </w:tc>
      </w:tr>
      <w:tr w:rsidR="00D75E57" w:rsidRPr="00D75E57" w:rsidTr="00551C1F">
        <w:tc>
          <w:tcPr>
            <w:tcW w:w="1688" w:type="pct"/>
            <w:tcBorders>
              <w:top w:val="outset" w:sz="6" w:space="0" w:color="000000"/>
              <w:bottom w:val="outset" w:sz="6" w:space="0" w:color="000000"/>
              <w:right w:val="outset" w:sz="6" w:space="0" w:color="000000"/>
            </w:tcBorders>
          </w:tcPr>
          <w:p w:rsidR="0091408F" w:rsidRPr="00D75E57" w:rsidRDefault="0091408F" w:rsidP="00876F35">
            <w:pPr>
              <w:spacing w:before="100" w:beforeAutospacing="1" w:after="100" w:afterAutospacing="1"/>
            </w:pPr>
            <w:r w:rsidRPr="00D75E57">
              <w:lastRenderedPageBreak/>
              <w:t>7. Cita informācija</w:t>
            </w:r>
          </w:p>
        </w:tc>
        <w:tc>
          <w:tcPr>
            <w:tcW w:w="3312" w:type="pct"/>
            <w:gridSpan w:val="5"/>
            <w:tcBorders>
              <w:top w:val="outset" w:sz="6" w:space="0" w:color="000000"/>
              <w:left w:val="outset" w:sz="6" w:space="0" w:color="000000"/>
              <w:bottom w:val="outset" w:sz="6" w:space="0" w:color="000000"/>
            </w:tcBorders>
          </w:tcPr>
          <w:p w:rsidR="0091408F" w:rsidRPr="00D75E57" w:rsidRDefault="0091408F" w:rsidP="00876F35">
            <w:pPr>
              <w:jc w:val="both"/>
            </w:pPr>
            <w:r w:rsidRPr="00D75E57">
              <w:t>Saskaņā ar jauno izcenojumu piemērošanu ieņēmumi par sniegtajiem maksa pakalpojumiem palielinās kopējo ieņēmumu apmēru programmā 27.00.00. „Augu veselība un augu aprites uzraudzība” 201</w:t>
            </w:r>
            <w:r w:rsidR="002F324D" w:rsidRPr="00D75E57">
              <w:t>3</w:t>
            </w:r>
            <w:r w:rsidRPr="00D75E57">
              <w:t xml:space="preserve">.–2015.g. vidēji par </w:t>
            </w:r>
            <w:r w:rsidR="002F324D" w:rsidRPr="00D75E57">
              <w:t>50</w:t>
            </w:r>
            <w:r w:rsidRPr="00D75E57">
              <w:t xml:space="preserve"> tūkst. latu gadā. Ieņēmumi paredzēti to izdevumu segšanai, kas radīsies, Valsts augu aizsardzības dienestam </w:t>
            </w:r>
            <w:r w:rsidR="00FB0E3B" w:rsidRPr="00D75E57">
              <w:t>sniedzot augšņu agroķīmiskās izpētes pakalpojumus</w:t>
            </w:r>
          </w:p>
          <w:p w:rsidR="0091408F" w:rsidRPr="00D75E57" w:rsidRDefault="002F324D" w:rsidP="00876F35">
            <w:pPr>
              <w:jc w:val="both"/>
            </w:pPr>
            <w:r w:rsidRPr="00D75E57">
              <w:t>Taču</w:t>
            </w:r>
            <w:r w:rsidR="0005625A" w:rsidRPr="00D75E57">
              <w:t xml:space="preserve">, nododot </w:t>
            </w:r>
            <w:r w:rsidRPr="00D75E57">
              <w:t xml:space="preserve">augu šķirņu saimniecisko īpašību novērtēšanas funkciju Latvijas Lauksaimniecības universitātei, </w:t>
            </w:r>
            <w:r w:rsidR="006B257A" w:rsidRPr="00D75E57">
              <w:t>V</w:t>
            </w:r>
            <w:r w:rsidRPr="00D75E57">
              <w:t>alsts augu aizsardzības dienesta ieņēmumi samazināsies par 50 tūkst.</w:t>
            </w:r>
            <w:r w:rsidR="00ED1FD0" w:rsidRPr="00D75E57">
              <w:t xml:space="preserve"> </w:t>
            </w:r>
            <w:r w:rsidRPr="00D75E57">
              <w:t>latu, kā arī samazināsies attiecīgie izdevumi. Tāpēc kopējā ieņēmumu un izdevumu summa salīdzin</w:t>
            </w:r>
            <w:r w:rsidR="0005625A" w:rsidRPr="00D75E57">
              <w:t>ājumā</w:t>
            </w:r>
            <w:r w:rsidRPr="00D75E57">
              <w:t xml:space="preserve"> ar 2012.gadu nemainīsies.</w:t>
            </w:r>
          </w:p>
        </w:tc>
      </w:tr>
    </w:tbl>
    <w:p w:rsidR="0091408F" w:rsidRPr="00D75E57" w:rsidRDefault="0091408F" w:rsidP="00876F35">
      <w:pPr>
        <w:pStyle w:val="naiskr"/>
        <w:tabs>
          <w:tab w:val="left" w:pos="2628"/>
        </w:tabs>
        <w:spacing w:before="0" w:after="0"/>
        <w:rPr>
          <w:sz w:val="22"/>
          <w:szCs w:val="22"/>
        </w:rPr>
      </w:pPr>
    </w:p>
    <w:p w:rsidR="002B694C" w:rsidRPr="00D75E57" w:rsidRDefault="002B694C" w:rsidP="00876F35">
      <w:pPr>
        <w:pStyle w:val="naiskr"/>
        <w:tabs>
          <w:tab w:val="left" w:pos="2628"/>
        </w:tabs>
        <w:spacing w:before="0" w:after="0"/>
        <w:rPr>
          <w:sz w:val="22"/>
          <w:szCs w:val="22"/>
        </w:rPr>
      </w:pPr>
      <w:r w:rsidRPr="00D75E57">
        <w:rPr>
          <w:sz w:val="22"/>
          <w:szCs w:val="22"/>
        </w:rPr>
        <w:t>Anotācijas IV un  V sadaļa – projekts šīs jomas neskar.</w:t>
      </w:r>
    </w:p>
    <w:tbl>
      <w:tblPr>
        <w:tblpPr w:leftFromText="180" w:rightFromText="180" w:vertAnchor="text" w:horzAnchor="margin" w:tblpXSpec="center" w:tblpY="185"/>
        <w:tblW w:w="55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79"/>
        <w:gridCol w:w="4492"/>
        <w:gridCol w:w="4800"/>
      </w:tblGrid>
      <w:tr w:rsidR="00373C8A" w:rsidRPr="00D75E57" w:rsidTr="00551C1F">
        <w:tc>
          <w:tcPr>
            <w:tcW w:w="5000" w:type="pct"/>
            <w:gridSpan w:val="3"/>
          </w:tcPr>
          <w:p w:rsidR="0091408F" w:rsidRPr="00D75E57" w:rsidRDefault="0091408F" w:rsidP="00876F35">
            <w:pPr>
              <w:pStyle w:val="naisnod"/>
              <w:spacing w:before="0" w:after="0"/>
              <w:ind w:left="57"/>
            </w:pPr>
            <w:r w:rsidRPr="00D75E57">
              <w:t>VI. Sabiedrības līdzdalība un šīs līdzdalības rezultāti</w:t>
            </w:r>
          </w:p>
        </w:tc>
      </w:tr>
      <w:tr w:rsidR="00373C8A" w:rsidRPr="00D75E57" w:rsidTr="00551C1F">
        <w:trPr>
          <w:trHeight w:val="553"/>
        </w:trPr>
        <w:tc>
          <w:tcPr>
            <w:tcW w:w="387" w:type="pct"/>
          </w:tcPr>
          <w:p w:rsidR="0091408F" w:rsidRPr="00D75E57" w:rsidRDefault="0091408F" w:rsidP="00876F35">
            <w:pPr>
              <w:pStyle w:val="naiskr"/>
              <w:spacing w:before="0" w:after="0"/>
              <w:ind w:left="57"/>
              <w:rPr>
                <w:bCs/>
              </w:rPr>
            </w:pPr>
            <w:r w:rsidRPr="00D75E57">
              <w:rPr>
                <w:bCs/>
              </w:rPr>
              <w:t>1.</w:t>
            </w:r>
          </w:p>
        </w:tc>
        <w:tc>
          <w:tcPr>
            <w:tcW w:w="2230" w:type="pct"/>
          </w:tcPr>
          <w:p w:rsidR="0091408F" w:rsidRPr="00D75E57" w:rsidRDefault="0091408F" w:rsidP="00876F35">
            <w:pPr>
              <w:pStyle w:val="naiskr"/>
              <w:tabs>
                <w:tab w:val="left" w:pos="170"/>
              </w:tabs>
              <w:spacing w:before="0" w:after="0"/>
              <w:ind w:left="57"/>
            </w:pPr>
            <w:r w:rsidRPr="00D75E57">
              <w:t>Sabiedrības informēšana par projekta izstrādes uzsākšanu</w:t>
            </w:r>
          </w:p>
        </w:tc>
        <w:tc>
          <w:tcPr>
            <w:tcW w:w="2383" w:type="pct"/>
          </w:tcPr>
          <w:p w:rsidR="0091408F" w:rsidRPr="00D75E57" w:rsidRDefault="0091408F" w:rsidP="00876F35">
            <w:pPr>
              <w:pStyle w:val="naiskr"/>
              <w:spacing w:before="0" w:after="0"/>
              <w:ind w:left="57"/>
              <w:jc w:val="both"/>
            </w:pPr>
            <w:r w:rsidRPr="00D75E57">
              <w:rPr>
                <w:kern w:val="36"/>
              </w:rPr>
              <w:t xml:space="preserve">Noteikumu projekts 2012.gada </w:t>
            </w:r>
            <w:r w:rsidR="00050A36" w:rsidRPr="00D75E57">
              <w:rPr>
                <w:kern w:val="36"/>
              </w:rPr>
              <w:t>20</w:t>
            </w:r>
            <w:r w:rsidRPr="00D75E57">
              <w:rPr>
                <w:kern w:val="36"/>
              </w:rPr>
              <w:t>.</w:t>
            </w:r>
            <w:r w:rsidR="00050A36" w:rsidRPr="00D75E57">
              <w:rPr>
                <w:kern w:val="36"/>
              </w:rPr>
              <w:t>septembrī</w:t>
            </w:r>
            <w:r w:rsidRPr="00D75E57">
              <w:rPr>
                <w:kern w:val="36"/>
              </w:rPr>
              <w:t xml:space="preserve"> tika nosūtīts saskaņošanai Latvijas augu aizsardzības līdzekļu ražotāju un tirgotāju asociācijai, </w:t>
            </w:r>
            <w:r w:rsidRPr="00D75E57">
              <w:rPr>
                <w:iCs/>
              </w:rPr>
              <w:t xml:space="preserve"> </w:t>
            </w:r>
            <w:r w:rsidR="00050A36" w:rsidRPr="00D75E57">
              <w:rPr>
                <w:iCs/>
              </w:rPr>
              <w:t xml:space="preserve"> </w:t>
            </w:r>
            <w:r w:rsidRPr="00D75E57">
              <w:rPr>
                <w:rStyle w:val="st"/>
              </w:rPr>
              <w:t>Latvijas Lauksaimniecības Kooperatīvu Asociācijai</w:t>
            </w:r>
            <w:r w:rsidRPr="00D75E57">
              <w:rPr>
                <w:rStyle w:val="st"/>
                <w:rFonts w:ascii="Arial" w:hAnsi="Arial" w:cs="Arial"/>
              </w:rPr>
              <w:t xml:space="preserve">, </w:t>
            </w:r>
            <w:r w:rsidRPr="00D75E57">
              <w:rPr>
                <w:iCs/>
              </w:rPr>
              <w:t>Zemnieku saeimai un Lauksaimnieku organizācijas sadarbības padomei.</w:t>
            </w:r>
          </w:p>
        </w:tc>
      </w:tr>
      <w:tr w:rsidR="00373C8A" w:rsidRPr="00D75E57" w:rsidTr="00551C1F">
        <w:trPr>
          <w:trHeight w:val="339"/>
        </w:trPr>
        <w:tc>
          <w:tcPr>
            <w:tcW w:w="387" w:type="pct"/>
          </w:tcPr>
          <w:p w:rsidR="0091408F" w:rsidRPr="00D75E57" w:rsidRDefault="0091408F" w:rsidP="00876F35">
            <w:pPr>
              <w:pStyle w:val="naiskr"/>
              <w:spacing w:before="0" w:after="0"/>
              <w:ind w:left="57"/>
              <w:rPr>
                <w:bCs/>
              </w:rPr>
            </w:pPr>
            <w:r w:rsidRPr="00D75E57">
              <w:rPr>
                <w:bCs/>
              </w:rPr>
              <w:t>2.</w:t>
            </w:r>
          </w:p>
        </w:tc>
        <w:tc>
          <w:tcPr>
            <w:tcW w:w="2230" w:type="pct"/>
          </w:tcPr>
          <w:p w:rsidR="0091408F" w:rsidRPr="00D75E57" w:rsidRDefault="0091408F" w:rsidP="00876F35">
            <w:pPr>
              <w:pStyle w:val="naiskr"/>
              <w:spacing w:before="0" w:after="0"/>
              <w:ind w:left="57"/>
            </w:pPr>
            <w:r w:rsidRPr="00D75E57">
              <w:t xml:space="preserve">Sabiedrības līdzdalība projekta izstrādē </w:t>
            </w:r>
          </w:p>
        </w:tc>
        <w:tc>
          <w:tcPr>
            <w:tcW w:w="2383" w:type="pct"/>
          </w:tcPr>
          <w:p w:rsidR="0091408F" w:rsidRPr="00D75E57" w:rsidRDefault="0091408F" w:rsidP="00876F35">
            <w:pPr>
              <w:pStyle w:val="naiskr"/>
              <w:spacing w:before="0" w:after="0"/>
              <w:ind w:left="57"/>
              <w:jc w:val="both"/>
            </w:pPr>
            <w:r w:rsidRPr="00D75E57">
              <w:t xml:space="preserve">Projekts saskaņošanai nosūtīts tām sabiedriskajām organizācijām, kas pārstāv projekta mērķgrupas intereses. </w:t>
            </w:r>
          </w:p>
        </w:tc>
      </w:tr>
      <w:tr w:rsidR="00373C8A" w:rsidRPr="00D75E57" w:rsidTr="00551C1F">
        <w:trPr>
          <w:trHeight w:val="375"/>
        </w:trPr>
        <w:tc>
          <w:tcPr>
            <w:tcW w:w="387" w:type="pct"/>
          </w:tcPr>
          <w:p w:rsidR="0091408F" w:rsidRPr="00D75E57" w:rsidRDefault="0091408F" w:rsidP="00876F35">
            <w:pPr>
              <w:pStyle w:val="naiskr"/>
              <w:spacing w:before="0" w:after="0"/>
              <w:ind w:left="57"/>
              <w:rPr>
                <w:bCs/>
              </w:rPr>
            </w:pPr>
            <w:r w:rsidRPr="00D75E57">
              <w:rPr>
                <w:bCs/>
              </w:rPr>
              <w:t>3.</w:t>
            </w:r>
          </w:p>
        </w:tc>
        <w:tc>
          <w:tcPr>
            <w:tcW w:w="2230" w:type="pct"/>
          </w:tcPr>
          <w:p w:rsidR="0091408F" w:rsidRPr="00D75E57" w:rsidRDefault="0091408F" w:rsidP="00876F35">
            <w:pPr>
              <w:pStyle w:val="naiskr"/>
              <w:spacing w:before="0" w:after="0"/>
              <w:ind w:left="57"/>
            </w:pPr>
            <w:r w:rsidRPr="00D75E57">
              <w:t xml:space="preserve">Sabiedrības līdzdalības rezultāti </w:t>
            </w:r>
          </w:p>
        </w:tc>
        <w:tc>
          <w:tcPr>
            <w:tcW w:w="2383" w:type="pct"/>
          </w:tcPr>
          <w:p w:rsidR="0091408F" w:rsidRPr="00D75E57" w:rsidRDefault="00C76396" w:rsidP="00876F35">
            <w:pPr>
              <w:pStyle w:val="naiskr"/>
              <w:spacing w:before="0" w:after="0"/>
              <w:ind w:left="57"/>
              <w:jc w:val="both"/>
              <w:rPr>
                <w:kern w:val="36"/>
              </w:rPr>
            </w:pPr>
            <w:r w:rsidRPr="00D75E57">
              <w:t xml:space="preserve">Saskaņojumu noteikumu projektam sniedza </w:t>
            </w:r>
            <w:r w:rsidRPr="00D75E57">
              <w:rPr>
                <w:iCs/>
              </w:rPr>
              <w:t xml:space="preserve">Lauksaimnieku organizācijas sadarbības padome, Zemnieku saeima, kā arī </w:t>
            </w:r>
            <w:r w:rsidRPr="00D75E57">
              <w:rPr>
                <w:kern w:val="36"/>
              </w:rPr>
              <w:t xml:space="preserve">Latvijas augu aizsardzības līdzekļu ražotāju un tirgotāju asociācija. </w:t>
            </w:r>
          </w:p>
        </w:tc>
      </w:tr>
      <w:tr w:rsidR="00373C8A" w:rsidRPr="00D75E57" w:rsidTr="00551C1F">
        <w:trPr>
          <w:trHeight w:val="397"/>
        </w:trPr>
        <w:tc>
          <w:tcPr>
            <w:tcW w:w="387" w:type="pct"/>
          </w:tcPr>
          <w:p w:rsidR="0091408F" w:rsidRPr="00D75E57" w:rsidRDefault="0091408F" w:rsidP="00876F35">
            <w:pPr>
              <w:pStyle w:val="naiskr"/>
              <w:spacing w:before="0" w:after="0"/>
              <w:ind w:left="57"/>
              <w:rPr>
                <w:bCs/>
              </w:rPr>
            </w:pPr>
            <w:r w:rsidRPr="00D75E57">
              <w:rPr>
                <w:bCs/>
              </w:rPr>
              <w:t>4.</w:t>
            </w:r>
          </w:p>
        </w:tc>
        <w:tc>
          <w:tcPr>
            <w:tcW w:w="2230" w:type="pct"/>
          </w:tcPr>
          <w:p w:rsidR="0091408F" w:rsidRPr="00D75E57" w:rsidRDefault="0091408F" w:rsidP="00876F35">
            <w:pPr>
              <w:pStyle w:val="naiskr"/>
              <w:spacing w:before="0" w:after="0"/>
              <w:ind w:left="57"/>
            </w:pPr>
            <w:r w:rsidRPr="00D75E57">
              <w:t>Saeimas un ekspertu līdzdalība</w:t>
            </w:r>
          </w:p>
        </w:tc>
        <w:tc>
          <w:tcPr>
            <w:tcW w:w="2383" w:type="pct"/>
          </w:tcPr>
          <w:p w:rsidR="0091408F" w:rsidRPr="00D75E57" w:rsidRDefault="0091408F" w:rsidP="00876F35">
            <w:pPr>
              <w:pStyle w:val="naiskr"/>
              <w:spacing w:before="0" w:after="0"/>
              <w:ind w:left="57"/>
              <w:jc w:val="both"/>
            </w:pPr>
            <w:r w:rsidRPr="00D75E57">
              <w:rPr>
                <w:iCs/>
              </w:rPr>
              <w:t>Projekts šo jomu neskar</w:t>
            </w:r>
            <w:r w:rsidRPr="00D75E57">
              <w:t>.</w:t>
            </w:r>
          </w:p>
        </w:tc>
      </w:tr>
      <w:tr w:rsidR="00373C8A" w:rsidRPr="00D75E57" w:rsidTr="00551C1F">
        <w:trPr>
          <w:trHeight w:val="271"/>
        </w:trPr>
        <w:tc>
          <w:tcPr>
            <w:tcW w:w="387" w:type="pct"/>
          </w:tcPr>
          <w:p w:rsidR="0091408F" w:rsidRPr="00D75E57" w:rsidRDefault="0091408F" w:rsidP="00876F35">
            <w:pPr>
              <w:pStyle w:val="naiskr"/>
              <w:spacing w:before="0" w:after="0"/>
              <w:ind w:left="57"/>
              <w:rPr>
                <w:bCs/>
              </w:rPr>
            </w:pPr>
            <w:r w:rsidRPr="00D75E57">
              <w:rPr>
                <w:bCs/>
              </w:rPr>
              <w:t>5.</w:t>
            </w:r>
          </w:p>
        </w:tc>
        <w:tc>
          <w:tcPr>
            <w:tcW w:w="2230" w:type="pct"/>
          </w:tcPr>
          <w:p w:rsidR="0091408F" w:rsidRPr="00D75E57" w:rsidRDefault="0091408F" w:rsidP="00876F35">
            <w:pPr>
              <w:pStyle w:val="naiskr"/>
              <w:spacing w:before="0" w:after="0"/>
              <w:ind w:left="57"/>
            </w:pPr>
            <w:r w:rsidRPr="00D75E57">
              <w:t>Cita informācija</w:t>
            </w:r>
          </w:p>
        </w:tc>
        <w:tc>
          <w:tcPr>
            <w:tcW w:w="2383" w:type="pct"/>
          </w:tcPr>
          <w:p w:rsidR="0091408F" w:rsidRPr="00D75E57" w:rsidRDefault="0091408F" w:rsidP="00876F35">
            <w:pPr>
              <w:pStyle w:val="naiskr"/>
              <w:spacing w:before="0" w:after="0"/>
              <w:ind w:left="57" w:right="198"/>
              <w:jc w:val="both"/>
            </w:pPr>
            <w:r w:rsidRPr="00D75E57">
              <w:t>Nav.</w:t>
            </w:r>
          </w:p>
        </w:tc>
      </w:tr>
    </w:tbl>
    <w:p w:rsidR="0091408F" w:rsidRPr="00D75E57" w:rsidRDefault="0091408F" w:rsidP="00876F35">
      <w:pPr>
        <w:pStyle w:val="naisf"/>
        <w:spacing w:before="0" w:after="0"/>
        <w:ind w:firstLine="0"/>
        <w:rPr>
          <w:i/>
        </w:rPr>
      </w:pPr>
    </w:p>
    <w:p w:rsidR="0091408F" w:rsidRDefault="0091408F" w:rsidP="00876F35">
      <w:pPr>
        <w:pStyle w:val="naisf"/>
        <w:spacing w:before="0" w:after="0"/>
        <w:ind w:firstLine="0"/>
        <w:rPr>
          <w:i/>
        </w:rPr>
      </w:pPr>
    </w:p>
    <w:p w:rsidR="00373C8A" w:rsidRDefault="00373C8A"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p w:rsidR="009F6039" w:rsidRDefault="009F6039" w:rsidP="00876F35">
      <w:pPr>
        <w:pStyle w:val="naisf"/>
        <w:spacing w:before="0" w:after="0"/>
        <w:ind w:firstLine="0"/>
        <w:rPr>
          <w:i/>
        </w:rPr>
      </w:pPr>
    </w:p>
    <w:tbl>
      <w:tblPr>
        <w:tblpPr w:leftFromText="180" w:rightFromText="180" w:vertAnchor="page" w:horzAnchor="margin" w:tblpY="1306"/>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4490"/>
        <w:gridCol w:w="4486"/>
      </w:tblGrid>
      <w:tr w:rsidR="009F6039" w:rsidRPr="009F6039" w:rsidTr="006C4AA3">
        <w:tc>
          <w:tcPr>
            <w:tcW w:w="9526" w:type="dxa"/>
            <w:gridSpan w:val="3"/>
          </w:tcPr>
          <w:p w:rsidR="009F6039" w:rsidRPr="009F6039" w:rsidRDefault="009F6039" w:rsidP="006C4AA3">
            <w:pPr>
              <w:pStyle w:val="naisf"/>
              <w:rPr>
                <w:b/>
                <w:bCs/>
              </w:rPr>
            </w:pPr>
            <w:r w:rsidRPr="009F6039">
              <w:rPr>
                <w:b/>
                <w:bCs/>
              </w:rPr>
              <w:t>VII. Tiesību akta projekta izpildes nodrošināšana un tās ietekme uz institūcijām</w:t>
            </w:r>
          </w:p>
        </w:tc>
      </w:tr>
      <w:tr w:rsidR="009F6039" w:rsidRPr="009F6039" w:rsidTr="006C4AA3">
        <w:trPr>
          <w:trHeight w:val="427"/>
        </w:trPr>
        <w:tc>
          <w:tcPr>
            <w:tcW w:w="550" w:type="dxa"/>
          </w:tcPr>
          <w:p w:rsidR="009F6039" w:rsidRPr="009F6039" w:rsidRDefault="009F6039" w:rsidP="006C4AA3">
            <w:pPr>
              <w:pStyle w:val="naisf"/>
              <w:spacing w:before="0" w:after="0"/>
              <w:ind w:firstLine="0"/>
              <w:rPr>
                <w:bCs/>
              </w:rPr>
            </w:pPr>
            <w:r w:rsidRPr="009F6039">
              <w:rPr>
                <w:bCs/>
              </w:rPr>
              <w:t>1.</w:t>
            </w:r>
          </w:p>
        </w:tc>
        <w:tc>
          <w:tcPr>
            <w:tcW w:w="4490" w:type="dxa"/>
          </w:tcPr>
          <w:p w:rsidR="009F6039" w:rsidRPr="009F6039" w:rsidRDefault="009F6039" w:rsidP="006C4AA3">
            <w:pPr>
              <w:pStyle w:val="naisf"/>
              <w:spacing w:before="0" w:after="0"/>
              <w:ind w:firstLine="374"/>
              <w:jc w:val="center"/>
            </w:pPr>
            <w:r w:rsidRPr="009F6039">
              <w:t>Projekta izpildē iesaistītās institūcijas</w:t>
            </w:r>
          </w:p>
        </w:tc>
        <w:tc>
          <w:tcPr>
            <w:tcW w:w="4486" w:type="dxa"/>
          </w:tcPr>
          <w:p w:rsidR="009F6039" w:rsidRPr="009F6039" w:rsidRDefault="009F6039" w:rsidP="006C4AA3">
            <w:pPr>
              <w:pStyle w:val="naisf"/>
              <w:spacing w:before="0" w:after="0"/>
              <w:ind w:firstLine="374"/>
              <w:jc w:val="center"/>
              <w:rPr>
                <w:bCs/>
              </w:rPr>
            </w:pPr>
            <w:r w:rsidRPr="009F6039">
              <w:rPr>
                <w:bCs/>
                <w:iCs/>
              </w:rPr>
              <w:t>Izpildi nodrošinās Valsts augu aizsardzības dienests.</w:t>
            </w:r>
          </w:p>
        </w:tc>
      </w:tr>
      <w:tr w:rsidR="009F6039" w:rsidRPr="009F6039" w:rsidTr="006C4AA3">
        <w:trPr>
          <w:trHeight w:val="463"/>
        </w:trPr>
        <w:tc>
          <w:tcPr>
            <w:tcW w:w="550" w:type="dxa"/>
          </w:tcPr>
          <w:p w:rsidR="009F6039" w:rsidRPr="009F6039" w:rsidRDefault="009F6039" w:rsidP="006C4AA3">
            <w:pPr>
              <w:pStyle w:val="naisf"/>
              <w:spacing w:before="0" w:after="0"/>
              <w:ind w:firstLine="0"/>
              <w:rPr>
                <w:bCs/>
              </w:rPr>
            </w:pPr>
            <w:r>
              <w:rPr>
                <w:bCs/>
              </w:rPr>
              <w:t>2.</w:t>
            </w:r>
          </w:p>
        </w:tc>
        <w:tc>
          <w:tcPr>
            <w:tcW w:w="4490" w:type="dxa"/>
          </w:tcPr>
          <w:p w:rsidR="009F6039" w:rsidRPr="009F6039" w:rsidRDefault="009F6039" w:rsidP="006C4AA3">
            <w:pPr>
              <w:pStyle w:val="naisf"/>
              <w:spacing w:before="0" w:after="0"/>
              <w:ind w:firstLine="374"/>
              <w:jc w:val="center"/>
            </w:pPr>
            <w:r w:rsidRPr="009F6039">
              <w:t>Projekta izpildes ietekme uz pārvaldes funkcijām</w:t>
            </w:r>
          </w:p>
        </w:tc>
        <w:tc>
          <w:tcPr>
            <w:tcW w:w="4486" w:type="dxa"/>
          </w:tcPr>
          <w:p w:rsidR="009F6039" w:rsidRPr="009F6039" w:rsidRDefault="009F6039" w:rsidP="006C4AA3">
            <w:pPr>
              <w:pStyle w:val="naisf"/>
              <w:spacing w:before="0" w:after="0"/>
              <w:ind w:firstLine="374"/>
              <w:jc w:val="center"/>
              <w:rPr>
                <w:bCs/>
              </w:rPr>
            </w:pPr>
            <w:r w:rsidRPr="009F6039">
              <w:rPr>
                <w:bCs/>
              </w:rPr>
              <w:t>Dienesta funkcijas netiks paplašinātas. Dienesta sniegto maksas pakalpojumu klāsts tiek papildināts ar jauniem pakalpojumiem, pielietojot jaunākās tehnoloģijas, piedāvājot personām izvēlēties sev piemērotāko.</w:t>
            </w:r>
          </w:p>
        </w:tc>
      </w:tr>
      <w:tr w:rsidR="009F6039" w:rsidRPr="009F6039" w:rsidTr="006C4AA3">
        <w:trPr>
          <w:trHeight w:val="725"/>
        </w:trPr>
        <w:tc>
          <w:tcPr>
            <w:tcW w:w="550" w:type="dxa"/>
          </w:tcPr>
          <w:p w:rsidR="009F6039" w:rsidRPr="009F6039" w:rsidRDefault="009F6039" w:rsidP="006C4AA3">
            <w:pPr>
              <w:pStyle w:val="naisf"/>
              <w:spacing w:before="0" w:after="0"/>
              <w:ind w:firstLine="0"/>
              <w:rPr>
                <w:bCs/>
              </w:rPr>
            </w:pPr>
            <w:r>
              <w:rPr>
                <w:bCs/>
              </w:rPr>
              <w:t>3.</w:t>
            </w:r>
          </w:p>
        </w:tc>
        <w:tc>
          <w:tcPr>
            <w:tcW w:w="4490" w:type="dxa"/>
          </w:tcPr>
          <w:p w:rsidR="009F6039" w:rsidRPr="009F6039" w:rsidRDefault="009F6039" w:rsidP="006C4AA3">
            <w:pPr>
              <w:pStyle w:val="naisf"/>
              <w:spacing w:before="0" w:after="0"/>
              <w:ind w:firstLine="374"/>
              <w:jc w:val="center"/>
            </w:pPr>
            <w:r w:rsidRPr="009F6039">
              <w:t>Projekta izpildes ietekme uz pārvaldes institucionālo struktūru.</w:t>
            </w:r>
          </w:p>
          <w:p w:rsidR="009F6039" w:rsidRPr="009F6039" w:rsidRDefault="009F6039" w:rsidP="006C4AA3">
            <w:pPr>
              <w:pStyle w:val="naisf"/>
              <w:spacing w:before="0" w:after="0"/>
              <w:ind w:firstLine="374"/>
              <w:jc w:val="center"/>
            </w:pPr>
            <w:r w:rsidRPr="009F6039">
              <w:t>Jaunu institūciju izveide</w:t>
            </w:r>
          </w:p>
        </w:tc>
        <w:tc>
          <w:tcPr>
            <w:tcW w:w="4486" w:type="dxa"/>
          </w:tcPr>
          <w:p w:rsidR="009F6039" w:rsidRPr="009F6039" w:rsidRDefault="009F6039" w:rsidP="006C4AA3">
            <w:pPr>
              <w:pStyle w:val="naisf"/>
              <w:spacing w:before="0" w:after="0"/>
              <w:ind w:firstLine="374"/>
              <w:jc w:val="center"/>
              <w:rPr>
                <w:bCs/>
              </w:rPr>
            </w:pPr>
            <w:r w:rsidRPr="009F6039">
              <w:t>Projekts šo jomu neskar.</w:t>
            </w:r>
          </w:p>
        </w:tc>
      </w:tr>
      <w:tr w:rsidR="009F6039" w:rsidRPr="009F6039" w:rsidTr="006C4AA3">
        <w:trPr>
          <w:trHeight w:val="780"/>
        </w:trPr>
        <w:tc>
          <w:tcPr>
            <w:tcW w:w="550" w:type="dxa"/>
          </w:tcPr>
          <w:p w:rsidR="009F6039" w:rsidRPr="009F6039" w:rsidRDefault="009F6039" w:rsidP="006C4AA3">
            <w:pPr>
              <w:pStyle w:val="naisf"/>
              <w:spacing w:before="0" w:after="0"/>
              <w:ind w:firstLine="0"/>
              <w:rPr>
                <w:bCs/>
              </w:rPr>
            </w:pPr>
            <w:r>
              <w:rPr>
                <w:bCs/>
              </w:rPr>
              <w:t>4.</w:t>
            </w:r>
          </w:p>
        </w:tc>
        <w:tc>
          <w:tcPr>
            <w:tcW w:w="4490" w:type="dxa"/>
          </w:tcPr>
          <w:p w:rsidR="009F6039" w:rsidRPr="009F6039" w:rsidRDefault="009F6039" w:rsidP="006C4AA3">
            <w:pPr>
              <w:pStyle w:val="naisf"/>
              <w:spacing w:before="0" w:after="0"/>
              <w:ind w:firstLine="374"/>
              <w:jc w:val="center"/>
            </w:pPr>
            <w:r w:rsidRPr="009F6039">
              <w:t>Projekta izpildes ietekme uz pārvaldes institucionālo struktūru.</w:t>
            </w:r>
          </w:p>
          <w:p w:rsidR="009F6039" w:rsidRPr="009F6039" w:rsidRDefault="009F6039" w:rsidP="006C4AA3">
            <w:pPr>
              <w:pStyle w:val="naisf"/>
              <w:spacing w:before="0" w:after="0"/>
              <w:ind w:firstLine="374"/>
              <w:jc w:val="center"/>
            </w:pPr>
            <w:r w:rsidRPr="009F6039">
              <w:t>Esošu institūciju likvidācija</w:t>
            </w:r>
          </w:p>
        </w:tc>
        <w:tc>
          <w:tcPr>
            <w:tcW w:w="4486" w:type="dxa"/>
          </w:tcPr>
          <w:p w:rsidR="009F6039" w:rsidRPr="009F6039" w:rsidRDefault="009F6039" w:rsidP="006C4AA3">
            <w:pPr>
              <w:pStyle w:val="naisf"/>
              <w:spacing w:before="0" w:after="0"/>
              <w:ind w:firstLine="374"/>
              <w:jc w:val="center"/>
              <w:rPr>
                <w:bCs/>
              </w:rPr>
            </w:pPr>
            <w:r w:rsidRPr="009F6039">
              <w:t>Projekts šo jomu neskar.</w:t>
            </w:r>
          </w:p>
        </w:tc>
      </w:tr>
      <w:tr w:rsidR="009F6039" w:rsidRPr="009F6039" w:rsidTr="006C4AA3">
        <w:trPr>
          <w:trHeight w:val="703"/>
        </w:trPr>
        <w:tc>
          <w:tcPr>
            <w:tcW w:w="550" w:type="dxa"/>
          </w:tcPr>
          <w:p w:rsidR="009F6039" w:rsidRPr="009F6039" w:rsidRDefault="009F6039" w:rsidP="006C4AA3">
            <w:pPr>
              <w:pStyle w:val="naisf"/>
              <w:spacing w:before="0" w:after="0"/>
              <w:ind w:firstLine="0"/>
              <w:rPr>
                <w:bCs/>
              </w:rPr>
            </w:pPr>
            <w:r>
              <w:rPr>
                <w:bCs/>
              </w:rPr>
              <w:t>5.</w:t>
            </w:r>
          </w:p>
        </w:tc>
        <w:tc>
          <w:tcPr>
            <w:tcW w:w="4490" w:type="dxa"/>
          </w:tcPr>
          <w:p w:rsidR="009F6039" w:rsidRPr="009F6039" w:rsidRDefault="009F6039" w:rsidP="006C4AA3">
            <w:pPr>
              <w:pStyle w:val="naisf"/>
              <w:spacing w:before="0" w:after="0"/>
              <w:ind w:firstLine="374"/>
              <w:jc w:val="center"/>
            </w:pPr>
            <w:r w:rsidRPr="009F6039">
              <w:t>Projekta izpildes ietekme uz pārvaldes institucionālo struktūru.</w:t>
            </w:r>
          </w:p>
          <w:p w:rsidR="009F6039" w:rsidRPr="009F6039" w:rsidRDefault="009F6039" w:rsidP="006C4AA3">
            <w:pPr>
              <w:pStyle w:val="naisf"/>
              <w:spacing w:before="0" w:after="0"/>
              <w:ind w:firstLine="374"/>
              <w:jc w:val="center"/>
            </w:pPr>
            <w:r w:rsidRPr="009F6039">
              <w:t>Esošu institūciju reorganizācija</w:t>
            </w:r>
          </w:p>
        </w:tc>
        <w:tc>
          <w:tcPr>
            <w:tcW w:w="4486" w:type="dxa"/>
          </w:tcPr>
          <w:p w:rsidR="009F6039" w:rsidRPr="009F6039" w:rsidRDefault="009F6039" w:rsidP="006C4AA3">
            <w:pPr>
              <w:pStyle w:val="naisf"/>
              <w:spacing w:before="0" w:after="0"/>
              <w:ind w:firstLine="374"/>
              <w:jc w:val="center"/>
              <w:rPr>
                <w:bCs/>
              </w:rPr>
            </w:pPr>
            <w:r w:rsidRPr="009F6039">
              <w:t>Projekts šo jomu neskar.</w:t>
            </w:r>
          </w:p>
        </w:tc>
      </w:tr>
      <w:tr w:rsidR="009F6039" w:rsidRPr="009F6039" w:rsidTr="006C4AA3">
        <w:trPr>
          <w:trHeight w:val="476"/>
        </w:trPr>
        <w:tc>
          <w:tcPr>
            <w:tcW w:w="550" w:type="dxa"/>
          </w:tcPr>
          <w:p w:rsidR="009F6039" w:rsidRPr="009F6039" w:rsidRDefault="009F6039" w:rsidP="006C4AA3">
            <w:pPr>
              <w:pStyle w:val="naisf"/>
              <w:spacing w:before="0" w:after="0"/>
              <w:ind w:firstLine="0"/>
            </w:pPr>
            <w:r>
              <w:t>6.</w:t>
            </w:r>
          </w:p>
        </w:tc>
        <w:tc>
          <w:tcPr>
            <w:tcW w:w="4490" w:type="dxa"/>
          </w:tcPr>
          <w:p w:rsidR="009F6039" w:rsidRPr="009F6039" w:rsidRDefault="009F6039" w:rsidP="006C4AA3">
            <w:pPr>
              <w:pStyle w:val="naisf"/>
              <w:spacing w:before="0" w:after="0"/>
              <w:ind w:firstLine="374"/>
              <w:jc w:val="center"/>
            </w:pPr>
            <w:r w:rsidRPr="009F6039">
              <w:t>Cita informācija</w:t>
            </w:r>
          </w:p>
        </w:tc>
        <w:tc>
          <w:tcPr>
            <w:tcW w:w="4486" w:type="dxa"/>
          </w:tcPr>
          <w:p w:rsidR="009F6039" w:rsidRPr="009F6039" w:rsidRDefault="009F6039" w:rsidP="006C4AA3">
            <w:pPr>
              <w:pStyle w:val="naisf"/>
              <w:spacing w:before="0" w:after="0"/>
              <w:ind w:firstLine="374"/>
              <w:jc w:val="center"/>
            </w:pPr>
            <w:r w:rsidRPr="009F6039">
              <w:t>Nav.</w:t>
            </w:r>
          </w:p>
        </w:tc>
      </w:tr>
    </w:tbl>
    <w:p w:rsidR="0005625A" w:rsidRPr="00D75E57" w:rsidRDefault="0005625A" w:rsidP="00876F35">
      <w:pPr>
        <w:ind w:firstLine="720"/>
        <w:rPr>
          <w:sz w:val="28"/>
          <w:szCs w:val="28"/>
        </w:rPr>
      </w:pPr>
      <w:r w:rsidRPr="00D75E57">
        <w:rPr>
          <w:sz w:val="28"/>
          <w:szCs w:val="28"/>
        </w:rPr>
        <w:t>Zemkopības ministre</w:t>
      </w:r>
      <w:r w:rsidRPr="00D75E57">
        <w:rPr>
          <w:sz w:val="28"/>
          <w:szCs w:val="28"/>
        </w:rPr>
        <w:tab/>
      </w:r>
      <w:r w:rsidRPr="00D75E57">
        <w:rPr>
          <w:sz w:val="28"/>
          <w:szCs w:val="28"/>
        </w:rPr>
        <w:tab/>
      </w:r>
      <w:r w:rsidRPr="00D75E57">
        <w:rPr>
          <w:sz w:val="28"/>
          <w:szCs w:val="28"/>
        </w:rPr>
        <w:tab/>
        <w:t xml:space="preserve">                            L.Straujuma</w:t>
      </w:r>
    </w:p>
    <w:p w:rsidR="0091408F" w:rsidRPr="00D75E57" w:rsidRDefault="0091408F" w:rsidP="00876F35">
      <w:pPr>
        <w:rPr>
          <w:sz w:val="20"/>
          <w:szCs w:val="20"/>
        </w:rPr>
      </w:pPr>
    </w:p>
    <w:p w:rsidR="0091408F" w:rsidRPr="00D75E57" w:rsidRDefault="0091408F" w:rsidP="00876F35">
      <w:pPr>
        <w:rPr>
          <w:sz w:val="20"/>
          <w:szCs w:val="20"/>
        </w:rPr>
      </w:pPr>
    </w:p>
    <w:p w:rsidR="0039069D" w:rsidRPr="00D75E57" w:rsidRDefault="0039069D" w:rsidP="00876F35">
      <w:pPr>
        <w:rPr>
          <w:sz w:val="20"/>
          <w:szCs w:val="20"/>
        </w:rPr>
      </w:pPr>
    </w:p>
    <w:p w:rsidR="0039069D" w:rsidRPr="00D75E57" w:rsidRDefault="0039069D" w:rsidP="00876F35">
      <w:pPr>
        <w:rPr>
          <w:sz w:val="20"/>
          <w:szCs w:val="20"/>
        </w:rPr>
      </w:pPr>
    </w:p>
    <w:p w:rsidR="0039069D" w:rsidRPr="00D75E57" w:rsidRDefault="0039069D" w:rsidP="00876F35">
      <w:pPr>
        <w:rPr>
          <w:sz w:val="20"/>
          <w:szCs w:val="20"/>
        </w:rPr>
      </w:pPr>
    </w:p>
    <w:p w:rsidR="0039069D" w:rsidRPr="00D75E57" w:rsidRDefault="0039069D" w:rsidP="00876F35">
      <w:pPr>
        <w:rPr>
          <w:sz w:val="20"/>
          <w:szCs w:val="20"/>
        </w:rPr>
      </w:pPr>
    </w:p>
    <w:p w:rsidR="0039069D" w:rsidRPr="00D75E57" w:rsidRDefault="0039069D" w:rsidP="00876F35">
      <w:pPr>
        <w:rPr>
          <w:sz w:val="20"/>
          <w:szCs w:val="20"/>
        </w:rPr>
      </w:pPr>
    </w:p>
    <w:p w:rsidR="0039069D" w:rsidRDefault="0039069D"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Default="0084784F" w:rsidP="00876F35">
      <w:pPr>
        <w:rPr>
          <w:sz w:val="20"/>
          <w:szCs w:val="20"/>
        </w:rPr>
      </w:pPr>
    </w:p>
    <w:p w:rsidR="0084784F" w:rsidRPr="00D75E57" w:rsidRDefault="0084784F" w:rsidP="00876F35">
      <w:pPr>
        <w:rPr>
          <w:sz w:val="20"/>
          <w:szCs w:val="20"/>
        </w:rPr>
      </w:pPr>
    </w:p>
    <w:p w:rsidR="0039069D" w:rsidRPr="00D75E57" w:rsidRDefault="0039069D" w:rsidP="00876F35">
      <w:pPr>
        <w:rPr>
          <w:sz w:val="20"/>
          <w:szCs w:val="20"/>
        </w:rPr>
      </w:pPr>
    </w:p>
    <w:p w:rsidR="0039069D" w:rsidRPr="00D75E57" w:rsidRDefault="0039069D" w:rsidP="00876F35">
      <w:pPr>
        <w:rPr>
          <w:sz w:val="20"/>
          <w:szCs w:val="20"/>
        </w:rPr>
      </w:pPr>
    </w:p>
    <w:p w:rsidR="006C4AA3" w:rsidRDefault="006C4AA3" w:rsidP="00876F35">
      <w:pPr>
        <w:rPr>
          <w:sz w:val="20"/>
          <w:szCs w:val="20"/>
        </w:rPr>
      </w:pPr>
      <w:r>
        <w:rPr>
          <w:sz w:val="20"/>
          <w:szCs w:val="20"/>
        </w:rPr>
        <w:t>2012.12.13. 11:33</w:t>
      </w:r>
    </w:p>
    <w:p w:rsidR="006C4AA3" w:rsidRPr="006C4AA3" w:rsidRDefault="006C4AA3" w:rsidP="00876F35">
      <w:pPr>
        <w:rPr>
          <w:sz w:val="20"/>
          <w:szCs w:val="20"/>
        </w:rPr>
      </w:pPr>
      <w:fldSimple w:instr=" NUMWORDS   \* MERGEFORMAT ">
        <w:r w:rsidRPr="006C4AA3">
          <w:rPr>
            <w:noProof/>
            <w:sz w:val="20"/>
            <w:szCs w:val="20"/>
          </w:rPr>
          <w:t>1430</w:t>
        </w:r>
      </w:fldSimple>
    </w:p>
    <w:p w:rsidR="0091408F" w:rsidRPr="00D75E57" w:rsidRDefault="0091408F" w:rsidP="00876F35">
      <w:pPr>
        <w:rPr>
          <w:sz w:val="20"/>
          <w:szCs w:val="20"/>
        </w:rPr>
      </w:pPr>
      <w:r w:rsidRPr="00D75E57">
        <w:rPr>
          <w:sz w:val="20"/>
          <w:szCs w:val="20"/>
        </w:rPr>
        <w:t>K.Kjago</w:t>
      </w:r>
    </w:p>
    <w:p w:rsidR="0091408F" w:rsidRPr="00D75E57" w:rsidRDefault="0091408F" w:rsidP="00876F35">
      <w:pPr>
        <w:rPr>
          <w:sz w:val="20"/>
          <w:szCs w:val="20"/>
        </w:rPr>
      </w:pPr>
      <w:r w:rsidRPr="00D75E57">
        <w:rPr>
          <w:sz w:val="20"/>
          <w:szCs w:val="20"/>
        </w:rPr>
        <w:t>67027309, kristine.kjago@vaad.gov.lv</w:t>
      </w:r>
    </w:p>
    <w:p w:rsidR="006F4567" w:rsidRPr="00D75E57" w:rsidRDefault="006F4567" w:rsidP="00876F35"/>
    <w:sectPr w:rsidR="006F4567" w:rsidRPr="00D75E57" w:rsidSect="0084784F">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B5" w:rsidRDefault="00ED1CB5" w:rsidP="00050A36">
      <w:r>
        <w:separator/>
      </w:r>
    </w:p>
  </w:endnote>
  <w:endnote w:type="continuationSeparator" w:id="0">
    <w:p w:rsidR="00ED1CB5" w:rsidRDefault="00ED1CB5" w:rsidP="00050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4" w:rsidRPr="00BA72C7" w:rsidRDefault="00327274">
    <w:pPr>
      <w:pStyle w:val="Kjene"/>
      <w:rPr>
        <w:sz w:val="20"/>
        <w:szCs w:val="20"/>
      </w:rPr>
    </w:pPr>
    <w:r w:rsidRPr="00BA72C7">
      <w:rPr>
        <w:sz w:val="20"/>
        <w:szCs w:val="20"/>
      </w:rPr>
      <w:t>ZMAnot</w:t>
    </w:r>
    <w:r>
      <w:rPr>
        <w:sz w:val="20"/>
        <w:szCs w:val="20"/>
      </w:rPr>
      <w:t xml:space="preserve">_191012_cenrad; </w:t>
    </w:r>
    <w:r w:rsidRPr="00EC7A37">
      <w:rPr>
        <w:bCs/>
        <w:sz w:val="20"/>
      </w:rPr>
      <w:t>Grozījumi Ministru kabineta 20</w:t>
    </w:r>
    <w:r>
      <w:rPr>
        <w:bCs/>
        <w:sz w:val="20"/>
      </w:rPr>
      <w:t>12</w:t>
    </w:r>
    <w:r w:rsidRPr="00EC7A37">
      <w:rPr>
        <w:bCs/>
        <w:sz w:val="20"/>
      </w:rPr>
      <w:t xml:space="preserve">.gada </w:t>
    </w:r>
    <w:r>
      <w:rPr>
        <w:bCs/>
        <w:sz w:val="20"/>
      </w:rPr>
      <w:t>10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„Noteikumi par Valsts augu aizsardzības dienesta sniegto maksas pakalpojumu cenrādi”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4" w:rsidRPr="00BA72C7" w:rsidRDefault="00327274" w:rsidP="00551C1F">
    <w:pPr>
      <w:pStyle w:val="Kjene"/>
      <w:rPr>
        <w:sz w:val="20"/>
        <w:szCs w:val="20"/>
      </w:rPr>
    </w:pPr>
    <w:r w:rsidRPr="00BA72C7">
      <w:rPr>
        <w:sz w:val="20"/>
        <w:szCs w:val="20"/>
      </w:rPr>
      <w:t>ZMAnot</w:t>
    </w:r>
    <w:r>
      <w:rPr>
        <w:sz w:val="20"/>
        <w:szCs w:val="20"/>
      </w:rPr>
      <w:t>_191012_cenrad;</w:t>
    </w:r>
    <w:r w:rsidRPr="00EC7A37">
      <w:rPr>
        <w:bCs/>
        <w:sz w:val="20"/>
      </w:rPr>
      <w:t>Grozījumi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„Noteikumi par Valsts augu aizsardzības dienesta sniegto maksas pakalpojumu cenrādi”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B5" w:rsidRDefault="00ED1CB5" w:rsidP="00050A36">
      <w:r>
        <w:separator/>
      </w:r>
    </w:p>
  </w:footnote>
  <w:footnote w:type="continuationSeparator" w:id="0">
    <w:p w:rsidR="00ED1CB5" w:rsidRDefault="00ED1CB5" w:rsidP="0005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4" w:rsidRDefault="00A92725" w:rsidP="00551C1F">
    <w:pPr>
      <w:pStyle w:val="Galvene"/>
      <w:framePr w:wrap="around" w:vAnchor="text" w:hAnchor="margin" w:xAlign="center" w:y="1"/>
      <w:rPr>
        <w:rStyle w:val="Lappusesnumurs"/>
      </w:rPr>
    </w:pPr>
    <w:r>
      <w:rPr>
        <w:rStyle w:val="Lappusesnumurs"/>
      </w:rPr>
      <w:fldChar w:fldCharType="begin"/>
    </w:r>
    <w:r w:rsidR="00327274">
      <w:rPr>
        <w:rStyle w:val="Lappusesnumurs"/>
      </w:rPr>
      <w:instrText xml:space="preserve">PAGE  </w:instrText>
    </w:r>
    <w:r>
      <w:rPr>
        <w:rStyle w:val="Lappusesnumurs"/>
      </w:rPr>
      <w:fldChar w:fldCharType="separate"/>
    </w:r>
    <w:r w:rsidR="00327274">
      <w:rPr>
        <w:rStyle w:val="Lappusesnumurs"/>
        <w:noProof/>
      </w:rPr>
      <w:t>7</w:t>
    </w:r>
    <w:r>
      <w:rPr>
        <w:rStyle w:val="Lappusesnumurs"/>
      </w:rPr>
      <w:fldChar w:fldCharType="end"/>
    </w:r>
  </w:p>
  <w:p w:rsidR="00327274" w:rsidRDefault="0032727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4" w:rsidRDefault="00A92725" w:rsidP="00551C1F">
    <w:pPr>
      <w:pStyle w:val="Galvene"/>
      <w:framePr w:wrap="around" w:vAnchor="text" w:hAnchor="margin" w:xAlign="center" w:y="1"/>
      <w:rPr>
        <w:rStyle w:val="Lappusesnumurs"/>
      </w:rPr>
    </w:pPr>
    <w:r>
      <w:rPr>
        <w:rStyle w:val="Lappusesnumurs"/>
      </w:rPr>
      <w:fldChar w:fldCharType="begin"/>
    </w:r>
    <w:r w:rsidR="00327274">
      <w:rPr>
        <w:rStyle w:val="Lappusesnumurs"/>
      </w:rPr>
      <w:instrText xml:space="preserve">PAGE  </w:instrText>
    </w:r>
    <w:r>
      <w:rPr>
        <w:rStyle w:val="Lappusesnumurs"/>
      </w:rPr>
      <w:fldChar w:fldCharType="separate"/>
    </w:r>
    <w:r w:rsidR="006C4AA3">
      <w:rPr>
        <w:rStyle w:val="Lappusesnumurs"/>
        <w:noProof/>
      </w:rPr>
      <w:t>7</w:t>
    </w:r>
    <w:r>
      <w:rPr>
        <w:rStyle w:val="Lappusesnumurs"/>
      </w:rPr>
      <w:fldChar w:fldCharType="end"/>
    </w:r>
  </w:p>
  <w:p w:rsidR="00327274" w:rsidRDefault="0032727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2B8A"/>
    <w:multiLevelType w:val="hybridMultilevel"/>
    <w:tmpl w:val="B27001D2"/>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4547FFA"/>
    <w:multiLevelType w:val="hybridMultilevel"/>
    <w:tmpl w:val="C7A49B98"/>
    <w:lvl w:ilvl="0" w:tplc="9B28B4F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408F"/>
    <w:rsid w:val="00004FDF"/>
    <w:rsid w:val="00014674"/>
    <w:rsid w:val="00026939"/>
    <w:rsid w:val="00046F4B"/>
    <w:rsid w:val="00050A36"/>
    <w:rsid w:val="00051ABE"/>
    <w:rsid w:val="0005625A"/>
    <w:rsid w:val="0008570B"/>
    <w:rsid w:val="000A0CAE"/>
    <w:rsid w:val="000A1215"/>
    <w:rsid w:val="000B2CA9"/>
    <w:rsid w:val="0011209B"/>
    <w:rsid w:val="0016382E"/>
    <w:rsid w:val="00192DAD"/>
    <w:rsid w:val="00193247"/>
    <w:rsid w:val="00197739"/>
    <w:rsid w:val="001F48DB"/>
    <w:rsid w:val="00235216"/>
    <w:rsid w:val="002455E0"/>
    <w:rsid w:val="002A723D"/>
    <w:rsid w:val="002B694C"/>
    <w:rsid w:val="002F324D"/>
    <w:rsid w:val="00302F97"/>
    <w:rsid w:val="0031713B"/>
    <w:rsid w:val="00327274"/>
    <w:rsid w:val="00373C8A"/>
    <w:rsid w:val="0039069D"/>
    <w:rsid w:val="00396FB3"/>
    <w:rsid w:val="003D7D4D"/>
    <w:rsid w:val="00421EF7"/>
    <w:rsid w:val="004C0F9D"/>
    <w:rsid w:val="0052329E"/>
    <w:rsid w:val="00551C1F"/>
    <w:rsid w:val="005554DE"/>
    <w:rsid w:val="005774D2"/>
    <w:rsid w:val="005A5550"/>
    <w:rsid w:val="00641486"/>
    <w:rsid w:val="00667040"/>
    <w:rsid w:val="006B1A89"/>
    <w:rsid w:val="006B257A"/>
    <w:rsid w:val="006C4AA3"/>
    <w:rsid w:val="006E61AD"/>
    <w:rsid w:val="006F4567"/>
    <w:rsid w:val="00705A43"/>
    <w:rsid w:val="00716505"/>
    <w:rsid w:val="00756391"/>
    <w:rsid w:val="0076267E"/>
    <w:rsid w:val="0081003B"/>
    <w:rsid w:val="008162DD"/>
    <w:rsid w:val="0084784F"/>
    <w:rsid w:val="00862F86"/>
    <w:rsid w:val="00876F35"/>
    <w:rsid w:val="00896289"/>
    <w:rsid w:val="008F40BE"/>
    <w:rsid w:val="00906D7A"/>
    <w:rsid w:val="009132F7"/>
    <w:rsid w:val="0091408F"/>
    <w:rsid w:val="0098060B"/>
    <w:rsid w:val="009D406C"/>
    <w:rsid w:val="009F6039"/>
    <w:rsid w:val="00A378E3"/>
    <w:rsid w:val="00A73CA9"/>
    <w:rsid w:val="00A90CDC"/>
    <w:rsid w:val="00A92725"/>
    <w:rsid w:val="00AF59FA"/>
    <w:rsid w:val="00B74CF8"/>
    <w:rsid w:val="00B94AF0"/>
    <w:rsid w:val="00BA0871"/>
    <w:rsid w:val="00BD1277"/>
    <w:rsid w:val="00C610B1"/>
    <w:rsid w:val="00C76396"/>
    <w:rsid w:val="00CA4953"/>
    <w:rsid w:val="00CA728A"/>
    <w:rsid w:val="00CD4627"/>
    <w:rsid w:val="00CF3C1C"/>
    <w:rsid w:val="00D22E03"/>
    <w:rsid w:val="00D4599D"/>
    <w:rsid w:val="00D75E57"/>
    <w:rsid w:val="00E12D9F"/>
    <w:rsid w:val="00ED1CB5"/>
    <w:rsid w:val="00ED1FD0"/>
    <w:rsid w:val="00F40550"/>
    <w:rsid w:val="00F44E77"/>
    <w:rsid w:val="00F52F19"/>
    <w:rsid w:val="00F75B41"/>
    <w:rsid w:val="00F970E6"/>
    <w:rsid w:val="00FB0E3B"/>
    <w:rsid w:val="00FD129E"/>
    <w:rsid w:val="00FD17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1209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ais"/>
    <w:uiPriority w:val="99"/>
    <w:rsid w:val="0091408F"/>
    <w:pPr>
      <w:spacing w:before="75" w:after="75"/>
    </w:pPr>
  </w:style>
  <w:style w:type="paragraph" w:styleId="Galvene">
    <w:name w:val="header"/>
    <w:basedOn w:val="Parastais"/>
    <w:link w:val="GalveneRakstz"/>
    <w:uiPriority w:val="99"/>
    <w:rsid w:val="0091408F"/>
    <w:pPr>
      <w:tabs>
        <w:tab w:val="center" w:pos="4153"/>
        <w:tab w:val="right" w:pos="8306"/>
      </w:tabs>
    </w:pPr>
  </w:style>
  <w:style w:type="character" w:customStyle="1" w:styleId="GalveneRakstz">
    <w:name w:val="Galvene Rakstz."/>
    <w:basedOn w:val="Noklusjumarindkopasfonts"/>
    <w:link w:val="Galvene"/>
    <w:uiPriority w:val="99"/>
    <w:rsid w:val="0091408F"/>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91408F"/>
    <w:rPr>
      <w:rFonts w:cs="Times New Roman"/>
    </w:rPr>
  </w:style>
  <w:style w:type="paragraph" w:customStyle="1" w:styleId="naisnod">
    <w:name w:val="naisnod"/>
    <w:basedOn w:val="Parastais"/>
    <w:uiPriority w:val="99"/>
    <w:rsid w:val="0091408F"/>
    <w:pPr>
      <w:spacing w:before="150" w:after="150"/>
      <w:jc w:val="center"/>
    </w:pPr>
    <w:rPr>
      <w:b/>
      <w:bCs/>
    </w:rPr>
  </w:style>
  <w:style w:type="paragraph" w:customStyle="1" w:styleId="naisf">
    <w:name w:val="naisf"/>
    <w:basedOn w:val="Parastais"/>
    <w:rsid w:val="0091408F"/>
    <w:pPr>
      <w:spacing w:before="75" w:after="75"/>
      <w:ind w:firstLine="375"/>
      <w:jc w:val="both"/>
    </w:pPr>
  </w:style>
  <w:style w:type="paragraph" w:styleId="Kjene">
    <w:name w:val="footer"/>
    <w:basedOn w:val="Parastais"/>
    <w:link w:val="KjeneRakstz"/>
    <w:uiPriority w:val="99"/>
    <w:rsid w:val="0091408F"/>
    <w:pPr>
      <w:tabs>
        <w:tab w:val="center" w:pos="4153"/>
        <w:tab w:val="right" w:pos="8306"/>
      </w:tabs>
    </w:pPr>
  </w:style>
  <w:style w:type="character" w:customStyle="1" w:styleId="KjeneRakstz">
    <w:name w:val="Kājene Rakstz."/>
    <w:basedOn w:val="Noklusjumarindkopasfonts"/>
    <w:link w:val="Kjene"/>
    <w:uiPriority w:val="99"/>
    <w:rsid w:val="0091408F"/>
    <w:rPr>
      <w:rFonts w:ascii="Times New Roman" w:eastAsia="Times New Roman" w:hAnsi="Times New Roman" w:cs="Times New Roman"/>
      <w:sz w:val="24"/>
      <w:szCs w:val="24"/>
      <w:lang w:eastAsia="lv-LV"/>
    </w:rPr>
  </w:style>
  <w:style w:type="paragraph" w:styleId="Vresteksts">
    <w:name w:val="footnote text"/>
    <w:basedOn w:val="Parastais"/>
    <w:link w:val="VrestekstsRakstz"/>
    <w:uiPriority w:val="99"/>
    <w:semiHidden/>
    <w:rsid w:val="0091408F"/>
    <w:rPr>
      <w:sz w:val="20"/>
      <w:szCs w:val="20"/>
    </w:rPr>
  </w:style>
  <w:style w:type="character" w:customStyle="1" w:styleId="VrestekstsRakstz">
    <w:name w:val="Vēres teksts Rakstz."/>
    <w:basedOn w:val="Noklusjumarindkopasfonts"/>
    <w:link w:val="Vresteksts"/>
    <w:uiPriority w:val="99"/>
    <w:semiHidden/>
    <w:rsid w:val="0091408F"/>
    <w:rPr>
      <w:rFonts w:ascii="Times New Roman" w:eastAsia="Times New Roman" w:hAnsi="Times New Roman" w:cs="Times New Roman"/>
      <w:sz w:val="20"/>
      <w:szCs w:val="20"/>
      <w:lang w:eastAsia="lv-LV"/>
    </w:rPr>
  </w:style>
  <w:style w:type="paragraph" w:styleId="ParastaisWeb">
    <w:name w:val="Normal (Web)"/>
    <w:basedOn w:val="Parastais"/>
    <w:rsid w:val="0091408F"/>
    <w:pPr>
      <w:spacing w:before="100" w:after="100"/>
    </w:pPr>
    <w:rPr>
      <w:noProof/>
      <w:szCs w:val="20"/>
      <w:lang w:val="en-AU"/>
    </w:rPr>
  </w:style>
  <w:style w:type="paragraph" w:styleId="Sarakstarindkopa">
    <w:name w:val="List Paragraph"/>
    <w:basedOn w:val="Parastais"/>
    <w:uiPriority w:val="99"/>
    <w:qFormat/>
    <w:rsid w:val="0091408F"/>
    <w:pPr>
      <w:ind w:left="720"/>
      <w:contextualSpacing/>
    </w:pPr>
    <w:rPr>
      <w:noProof/>
      <w:sz w:val="28"/>
      <w:szCs w:val="20"/>
      <w:lang w:eastAsia="en-US"/>
    </w:rPr>
  </w:style>
  <w:style w:type="paragraph" w:styleId="Komentrateksts">
    <w:name w:val="annotation text"/>
    <w:basedOn w:val="Parastais"/>
    <w:link w:val="KomentratekstsRakstz"/>
    <w:uiPriority w:val="99"/>
    <w:semiHidden/>
    <w:rsid w:val="0091408F"/>
    <w:rPr>
      <w:sz w:val="20"/>
      <w:szCs w:val="20"/>
    </w:rPr>
  </w:style>
  <w:style w:type="character" w:customStyle="1" w:styleId="KomentratekstsRakstz">
    <w:name w:val="Komentāra teksts Rakstz."/>
    <w:basedOn w:val="Noklusjumarindkopasfonts"/>
    <w:link w:val="Komentrateksts"/>
    <w:uiPriority w:val="99"/>
    <w:semiHidden/>
    <w:rsid w:val="0091408F"/>
    <w:rPr>
      <w:rFonts w:ascii="Times New Roman" w:eastAsia="Times New Roman" w:hAnsi="Times New Roman" w:cs="Times New Roman"/>
      <w:sz w:val="20"/>
      <w:szCs w:val="20"/>
      <w:lang w:eastAsia="lv-LV"/>
    </w:rPr>
  </w:style>
  <w:style w:type="character" w:customStyle="1" w:styleId="st">
    <w:name w:val="st"/>
    <w:basedOn w:val="Noklusjumarindkopasfonts"/>
    <w:rsid w:val="0091408F"/>
  </w:style>
  <w:style w:type="character" w:styleId="Hipersaite">
    <w:name w:val="Hyperlink"/>
    <w:rsid w:val="00667040"/>
    <w:rPr>
      <w:rFonts w:cs="Times New Roman"/>
      <w:color w:val="0000FF"/>
      <w:u w:val="single"/>
    </w:rPr>
  </w:style>
  <w:style w:type="paragraph" w:styleId="Balonteksts">
    <w:name w:val="Balloon Text"/>
    <w:basedOn w:val="Parastais"/>
    <w:link w:val="BalontekstsRakstz"/>
    <w:uiPriority w:val="99"/>
    <w:semiHidden/>
    <w:unhideWhenUsed/>
    <w:rsid w:val="00046F4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6F4B"/>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46F4B"/>
    <w:rPr>
      <w:sz w:val="16"/>
      <w:szCs w:val="16"/>
    </w:rPr>
  </w:style>
  <w:style w:type="paragraph" w:styleId="Komentratma">
    <w:name w:val="annotation subject"/>
    <w:basedOn w:val="Komentrateksts"/>
    <w:next w:val="Komentrateksts"/>
    <w:link w:val="KomentratmaRakstz"/>
    <w:uiPriority w:val="99"/>
    <w:semiHidden/>
    <w:unhideWhenUsed/>
    <w:rsid w:val="00046F4B"/>
    <w:rPr>
      <w:b/>
      <w:bCs/>
    </w:rPr>
  </w:style>
  <w:style w:type="character" w:customStyle="1" w:styleId="KomentratmaRakstz">
    <w:name w:val="Komentāra tēma Rakstz."/>
    <w:basedOn w:val="KomentratekstsRakstz"/>
    <w:link w:val="Komentratma"/>
    <w:uiPriority w:val="99"/>
    <w:semiHidden/>
    <w:rsid w:val="00046F4B"/>
    <w:rPr>
      <w:rFonts w:ascii="Times New Roman" w:eastAsia="Times New Roman" w:hAnsi="Times New Roman" w:cs="Times New Roman"/>
      <w:b/>
      <w:bCs/>
      <w:sz w:val="20"/>
      <w:szCs w:val="20"/>
      <w:lang w:eastAsia="lv-LV"/>
    </w:rPr>
  </w:style>
  <w:style w:type="character" w:customStyle="1" w:styleId="spelle">
    <w:name w:val="spelle"/>
    <w:basedOn w:val="Noklusjumarindkopasfonts"/>
    <w:rsid w:val="00756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9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91408F"/>
    <w:pPr>
      <w:spacing w:before="75" w:after="75"/>
    </w:pPr>
  </w:style>
  <w:style w:type="paragraph" w:styleId="Header">
    <w:name w:val="header"/>
    <w:basedOn w:val="Normal"/>
    <w:link w:val="HeaderChar"/>
    <w:uiPriority w:val="99"/>
    <w:rsid w:val="0091408F"/>
    <w:pPr>
      <w:tabs>
        <w:tab w:val="center" w:pos="4153"/>
        <w:tab w:val="right" w:pos="8306"/>
      </w:tabs>
    </w:pPr>
  </w:style>
  <w:style w:type="character" w:customStyle="1" w:styleId="HeaderChar">
    <w:name w:val="Header Char"/>
    <w:basedOn w:val="DefaultParagraphFont"/>
    <w:link w:val="Header"/>
    <w:uiPriority w:val="99"/>
    <w:rsid w:val="0091408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1408F"/>
    <w:rPr>
      <w:rFonts w:cs="Times New Roman"/>
    </w:rPr>
  </w:style>
  <w:style w:type="paragraph" w:customStyle="1" w:styleId="naisnod">
    <w:name w:val="naisnod"/>
    <w:basedOn w:val="Normal"/>
    <w:uiPriority w:val="99"/>
    <w:rsid w:val="0091408F"/>
    <w:pPr>
      <w:spacing w:before="150" w:after="150"/>
      <w:jc w:val="center"/>
    </w:pPr>
    <w:rPr>
      <w:b/>
      <w:bCs/>
    </w:rPr>
  </w:style>
  <w:style w:type="paragraph" w:customStyle="1" w:styleId="naisf">
    <w:name w:val="naisf"/>
    <w:basedOn w:val="Normal"/>
    <w:rsid w:val="0091408F"/>
    <w:pPr>
      <w:spacing w:before="75" w:after="75"/>
      <w:ind w:firstLine="375"/>
      <w:jc w:val="both"/>
    </w:pPr>
  </w:style>
  <w:style w:type="paragraph" w:styleId="Footer">
    <w:name w:val="footer"/>
    <w:basedOn w:val="Normal"/>
    <w:link w:val="FooterChar"/>
    <w:uiPriority w:val="99"/>
    <w:rsid w:val="0091408F"/>
    <w:pPr>
      <w:tabs>
        <w:tab w:val="center" w:pos="4153"/>
        <w:tab w:val="right" w:pos="8306"/>
      </w:tabs>
    </w:pPr>
  </w:style>
  <w:style w:type="character" w:customStyle="1" w:styleId="FooterChar">
    <w:name w:val="Footer Char"/>
    <w:basedOn w:val="DefaultParagraphFont"/>
    <w:link w:val="Footer"/>
    <w:uiPriority w:val="99"/>
    <w:rsid w:val="0091408F"/>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91408F"/>
    <w:rPr>
      <w:sz w:val="20"/>
      <w:szCs w:val="20"/>
    </w:rPr>
  </w:style>
  <w:style w:type="character" w:customStyle="1" w:styleId="FootnoteTextChar">
    <w:name w:val="Footnote Text Char"/>
    <w:basedOn w:val="DefaultParagraphFont"/>
    <w:link w:val="FootnoteText"/>
    <w:uiPriority w:val="99"/>
    <w:semiHidden/>
    <w:rsid w:val="0091408F"/>
    <w:rPr>
      <w:rFonts w:ascii="Times New Roman" w:eastAsia="Times New Roman" w:hAnsi="Times New Roman" w:cs="Times New Roman"/>
      <w:sz w:val="20"/>
      <w:szCs w:val="20"/>
      <w:lang w:eastAsia="lv-LV"/>
    </w:rPr>
  </w:style>
  <w:style w:type="paragraph" w:styleId="NormalWeb">
    <w:name w:val="Normal (Web)"/>
    <w:basedOn w:val="Normal"/>
    <w:rsid w:val="0091408F"/>
    <w:pPr>
      <w:spacing w:before="100" w:after="100"/>
    </w:pPr>
    <w:rPr>
      <w:noProof/>
      <w:szCs w:val="20"/>
      <w:lang w:val="en-AU"/>
    </w:rPr>
  </w:style>
  <w:style w:type="paragraph" w:styleId="ListParagraph">
    <w:name w:val="List Paragraph"/>
    <w:basedOn w:val="Normal"/>
    <w:uiPriority w:val="99"/>
    <w:qFormat/>
    <w:rsid w:val="0091408F"/>
    <w:pPr>
      <w:ind w:left="720"/>
      <w:contextualSpacing/>
    </w:pPr>
    <w:rPr>
      <w:noProof/>
      <w:sz w:val="28"/>
      <w:szCs w:val="20"/>
      <w:lang w:eastAsia="en-US"/>
    </w:rPr>
  </w:style>
  <w:style w:type="paragraph" w:styleId="CommentText">
    <w:name w:val="annotation text"/>
    <w:basedOn w:val="Normal"/>
    <w:link w:val="CommentTextChar"/>
    <w:uiPriority w:val="99"/>
    <w:semiHidden/>
    <w:rsid w:val="0091408F"/>
    <w:rPr>
      <w:sz w:val="20"/>
      <w:szCs w:val="20"/>
    </w:rPr>
  </w:style>
  <w:style w:type="character" w:customStyle="1" w:styleId="CommentTextChar">
    <w:name w:val="Comment Text Char"/>
    <w:basedOn w:val="DefaultParagraphFont"/>
    <w:link w:val="CommentText"/>
    <w:uiPriority w:val="99"/>
    <w:semiHidden/>
    <w:rsid w:val="0091408F"/>
    <w:rPr>
      <w:rFonts w:ascii="Times New Roman" w:eastAsia="Times New Roman" w:hAnsi="Times New Roman" w:cs="Times New Roman"/>
      <w:sz w:val="20"/>
      <w:szCs w:val="20"/>
      <w:lang w:eastAsia="lv-LV"/>
    </w:rPr>
  </w:style>
  <w:style w:type="character" w:customStyle="1" w:styleId="st">
    <w:name w:val="st"/>
    <w:basedOn w:val="DefaultParagraphFont"/>
    <w:rsid w:val="0091408F"/>
  </w:style>
  <w:style w:type="character" w:styleId="Hyperlink">
    <w:name w:val="Hyperlink"/>
    <w:rsid w:val="00667040"/>
    <w:rPr>
      <w:rFonts w:cs="Times New Roman"/>
      <w:color w:val="0000FF"/>
      <w:u w:val="single"/>
    </w:rPr>
  </w:style>
  <w:style w:type="paragraph" w:styleId="BalloonText">
    <w:name w:val="Balloon Text"/>
    <w:basedOn w:val="Normal"/>
    <w:link w:val="BalloonTextChar"/>
    <w:uiPriority w:val="99"/>
    <w:semiHidden/>
    <w:unhideWhenUsed/>
    <w:rsid w:val="00046F4B"/>
    <w:rPr>
      <w:rFonts w:ascii="Tahoma" w:hAnsi="Tahoma" w:cs="Tahoma"/>
      <w:sz w:val="16"/>
      <w:szCs w:val="16"/>
    </w:rPr>
  </w:style>
  <w:style w:type="character" w:customStyle="1" w:styleId="BalloonTextChar">
    <w:name w:val="Balloon Text Char"/>
    <w:basedOn w:val="DefaultParagraphFont"/>
    <w:link w:val="BalloonText"/>
    <w:uiPriority w:val="99"/>
    <w:semiHidden/>
    <w:rsid w:val="00046F4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46F4B"/>
    <w:rPr>
      <w:sz w:val="16"/>
      <w:szCs w:val="16"/>
    </w:rPr>
  </w:style>
  <w:style w:type="paragraph" w:styleId="CommentSubject">
    <w:name w:val="annotation subject"/>
    <w:basedOn w:val="CommentText"/>
    <w:next w:val="CommentText"/>
    <w:link w:val="CommentSubjectChar"/>
    <w:uiPriority w:val="99"/>
    <w:semiHidden/>
    <w:unhideWhenUsed/>
    <w:rsid w:val="00046F4B"/>
    <w:rPr>
      <w:b/>
      <w:bCs/>
    </w:rPr>
  </w:style>
  <w:style w:type="character" w:customStyle="1" w:styleId="CommentSubjectChar">
    <w:name w:val="Comment Subject Char"/>
    <w:basedOn w:val="CommentTextChar"/>
    <w:link w:val="CommentSubject"/>
    <w:uiPriority w:val="99"/>
    <w:semiHidden/>
    <w:rsid w:val="00046F4B"/>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756391"/>
  </w:style>
</w:styles>
</file>

<file path=word/webSettings.xml><?xml version="1.0" encoding="utf-8"?>
<w:webSettings xmlns:r="http://schemas.openxmlformats.org/officeDocument/2006/relationships" xmlns:w="http://schemas.openxmlformats.org/wordprocessingml/2006/main">
  <w:divs>
    <w:div w:id="608973495">
      <w:bodyDiv w:val="1"/>
      <w:marLeft w:val="0"/>
      <w:marRight w:val="0"/>
      <w:marTop w:val="0"/>
      <w:marBottom w:val="0"/>
      <w:divBdr>
        <w:top w:val="none" w:sz="0" w:space="0" w:color="auto"/>
        <w:left w:val="none" w:sz="0" w:space="0" w:color="auto"/>
        <w:bottom w:val="none" w:sz="0" w:space="0" w:color="auto"/>
        <w:right w:val="none" w:sz="0" w:space="0" w:color="auto"/>
      </w:divBdr>
    </w:div>
    <w:div w:id="1494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50577&amp;from=of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doc.php?id=250577&amp;from=off" TargetMode="External"/><Relationship Id="rId4" Type="http://schemas.openxmlformats.org/officeDocument/2006/relationships/settings" Target="settings.xml"/><Relationship Id="rId9" Type="http://schemas.openxmlformats.org/officeDocument/2006/relationships/hyperlink" Target="http://www.likumi.lv/doc.php?id=250577&amp;from=of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CE7E-9D32-4196-BF9E-C1C9E230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1504</Words>
  <Characters>10636</Characters>
  <Application>Microsoft Office Word</Application>
  <DocSecurity>0</DocSecurity>
  <Lines>559</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vaad</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4</cp:revision>
  <dcterms:created xsi:type="dcterms:W3CDTF">2012-12-13T09:06:00Z</dcterms:created>
  <dcterms:modified xsi:type="dcterms:W3CDTF">2012-12-13T09:34:00Z</dcterms:modified>
</cp:coreProperties>
</file>