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07" w:rsidRPr="001A17A6" w:rsidRDefault="004C1507" w:rsidP="00604BFA">
      <w:pPr>
        <w:pStyle w:val="naisc"/>
        <w:spacing w:before="0" w:beforeAutospacing="0" w:after="0" w:afterAutospacing="0"/>
        <w:jc w:val="center"/>
        <w:rPr>
          <w:b/>
          <w:bCs/>
          <w:sz w:val="28"/>
          <w:szCs w:val="28"/>
        </w:rPr>
      </w:pPr>
      <w:r w:rsidRPr="001A17A6">
        <w:rPr>
          <w:b/>
          <w:bCs/>
          <w:sz w:val="28"/>
          <w:szCs w:val="28"/>
        </w:rPr>
        <w:t>Ministru kabineta noteikumu projekta</w:t>
      </w:r>
    </w:p>
    <w:p w:rsidR="004C1507" w:rsidRPr="001A17A6" w:rsidRDefault="004C1507" w:rsidP="00604BFA">
      <w:pPr>
        <w:pStyle w:val="Parasts1"/>
        <w:jc w:val="center"/>
        <w:rPr>
          <w:b/>
          <w:sz w:val="28"/>
          <w:szCs w:val="28"/>
        </w:rPr>
      </w:pPr>
      <w:r w:rsidRPr="001A17A6">
        <w:rPr>
          <w:b/>
          <w:bCs/>
          <w:sz w:val="28"/>
          <w:szCs w:val="28"/>
        </w:rPr>
        <w:t>„Grozījumi Ministru kabineta 2006.gada 27.jūnija noteikumos Nr.535 „Lauksaimniecībā vai mežsaimniecībā i</w:t>
      </w:r>
      <w:smartTag w:uri="urn:schemas-microsoft-com:office:smarttags" w:element="PersonName">
        <w:r w:rsidRPr="001A17A6">
          <w:rPr>
            <w:b/>
            <w:bCs/>
            <w:sz w:val="28"/>
            <w:szCs w:val="28"/>
          </w:rPr>
          <w:t>zm</w:t>
        </w:r>
      </w:smartTag>
      <w:r w:rsidRPr="001A17A6">
        <w:rPr>
          <w:b/>
          <w:bCs/>
          <w:sz w:val="28"/>
          <w:szCs w:val="28"/>
        </w:rPr>
        <w:t xml:space="preserve">antojamo traktoru, piekabju un to sastāvdaļu atbilstības novērtēšanas noteikumi”” </w:t>
      </w:r>
      <w:r w:rsidRPr="001A17A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1A17A6">
          <w:rPr>
            <w:b/>
            <w:sz w:val="28"/>
            <w:szCs w:val="28"/>
          </w:rPr>
          <w:t>ziņojums</w:t>
        </w:r>
      </w:smartTag>
      <w:r w:rsidRPr="001A17A6">
        <w:rPr>
          <w:sz w:val="28"/>
          <w:szCs w:val="28"/>
        </w:rPr>
        <w:t xml:space="preserve"> </w:t>
      </w:r>
      <w:r w:rsidRPr="001A17A6">
        <w:rPr>
          <w:b/>
          <w:bCs/>
          <w:sz w:val="28"/>
          <w:szCs w:val="28"/>
        </w:rPr>
        <w:t>(anotācija</w:t>
      </w:r>
      <w:r w:rsidRPr="001A17A6">
        <w:rPr>
          <w:b/>
          <w:sz w:val="28"/>
          <w:szCs w:val="28"/>
        </w:rPr>
        <w:t>)</w:t>
      </w:r>
    </w:p>
    <w:p w:rsidR="004C1507" w:rsidRPr="001A17A6" w:rsidRDefault="004C1507" w:rsidP="00604BFA">
      <w:pPr>
        <w:pStyle w:val="Parasts1"/>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620"/>
      </w:tblGrid>
      <w:tr w:rsidR="004C1507" w:rsidRPr="001A17A6" w:rsidTr="0062486A">
        <w:tc>
          <w:tcPr>
            <w:tcW w:w="9485" w:type="dxa"/>
            <w:gridSpan w:val="3"/>
            <w:vAlign w:val="center"/>
          </w:tcPr>
          <w:p w:rsidR="004C1507" w:rsidRPr="001A17A6" w:rsidRDefault="004C1507">
            <w:pPr>
              <w:pStyle w:val="naisnod"/>
              <w:spacing w:before="0" w:after="0"/>
              <w:rPr>
                <w:highlight w:val="yellow"/>
              </w:rPr>
            </w:pPr>
            <w:r w:rsidRPr="001A17A6">
              <w:t>I. Tiesību akta projekta izstrādes nepieciešamība</w:t>
            </w:r>
          </w:p>
        </w:tc>
      </w:tr>
      <w:tr w:rsidR="004C1507" w:rsidRPr="001A17A6" w:rsidTr="0062486A">
        <w:trPr>
          <w:trHeight w:val="630"/>
        </w:trPr>
        <w:tc>
          <w:tcPr>
            <w:tcW w:w="550" w:type="dxa"/>
          </w:tcPr>
          <w:p w:rsidR="004C1507" w:rsidRPr="001A17A6" w:rsidRDefault="004C1507">
            <w:pPr>
              <w:pStyle w:val="naiskr"/>
              <w:spacing w:before="0" w:after="0"/>
            </w:pPr>
            <w:r w:rsidRPr="001A17A6">
              <w:t>1.</w:t>
            </w:r>
          </w:p>
        </w:tc>
        <w:tc>
          <w:tcPr>
            <w:tcW w:w="4315" w:type="dxa"/>
          </w:tcPr>
          <w:p w:rsidR="004C1507" w:rsidRPr="001A17A6" w:rsidRDefault="004C1507">
            <w:pPr>
              <w:pStyle w:val="naiskr"/>
              <w:spacing w:before="0" w:after="0"/>
              <w:ind w:hanging="10"/>
            </w:pPr>
            <w:r w:rsidRPr="001A17A6">
              <w:t>Pamatojums</w:t>
            </w:r>
          </w:p>
        </w:tc>
        <w:tc>
          <w:tcPr>
            <w:tcW w:w="4620" w:type="dxa"/>
          </w:tcPr>
          <w:p w:rsidR="004C1507" w:rsidRPr="001A17A6" w:rsidRDefault="004C1507">
            <w:pPr>
              <w:pStyle w:val="naiskr"/>
              <w:spacing w:before="0" w:after="0"/>
              <w:ind w:hanging="5"/>
              <w:jc w:val="both"/>
            </w:pPr>
            <w:r w:rsidRPr="001A17A6">
              <w:t>Normatīvā akta projekts ir sagatavots, pamatojoties uz Ceļu satiksmes likuma 15.</w:t>
            </w:r>
            <w:r w:rsidRPr="001A17A6">
              <w:rPr>
                <w:vertAlign w:val="superscript"/>
              </w:rPr>
              <w:t>1 </w:t>
            </w:r>
            <w:r w:rsidRPr="001A17A6">
              <w:t xml:space="preserve">panta ceturto daļu. </w:t>
            </w:r>
          </w:p>
          <w:p w:rsidR="004C1507" w:rsidRPr="001A17A6" w:rsidRDefault="004C1507">
            <w:pPr>
              <w:pStyle w:val="naiskr"/>
              <w:spacing w:before="0" w:after="0"/>
              <w:ind w:hanging="5"/>
              <w:jc w:val="both"/>
              <w:rPr>
                <w:highlight w:val="yellow"/>
              </w:rPr>
            </w:pPr>
            <w:r w:rsidRPr="001A17A6">
              <w:t>Ceļu satiksmes likuma 15.</w:t>
            </w:r>
            <w:r w:rsidRPr="001A17A6">
              <w:rPr>
                <w:vertAlign w:val="superscript"/>
              </w:rPr>
              <w:t>1</w:t>
            </w:r>
            <w:r w:rsidRPr="001A17A6">
              <w:t>panta ceturtā daļa paredz, ka mopēdu, mehānisko transportlīdzekļu, to piekabju un sastāvdaļu atbilstības novērtēšanas kārtību un tehniskās prasības nosaka Ministru kabinets. Ministru kabinets nosaka arī transportlīdzekļus, uz kuriem neattiecas atbilstības novērtēšana, pieļaujamās atkāpes dažu prasību izpildē, tirgus uzraudzības institūcijas, kā arī tirgus uzraudzības un savstarpējās atzīšanas un informācijas apmaiņas (paziņošanas) kārtību.</w:t>
            </w:r>
          </w:p>
        </w:tc>
      </w:tr>
      <w:tr w:rsidR="004C1507" w:rsidRPr="001A17A6" w:rsidTr="0062486A">
        <w:trPr>
          <w:trHeight w:val="472"/>
        </w:trPr>
        <w:tc>
          <w:tcPr>
            <w:tcW w:w="550" w:type="dxa"/>
          </w:tcPr>
          <w:p w:rsidR="004C1507" w:rsidRPr="001A17A6" w:rsidRDefault="004C1507">
            <w:pPr>
              <w:pStyle w:val="naiskr"/>
              <w:spacing w:before="0" w:after="0"/>
            </w:pPr>
            <w:r w:rsidRPr="001A17A6">
              <w:t>2.</w:t>
            </w:r>
          </w:p>
        </w:tc>
        <w:tc>
          <w:tcPr>
            <w:tcW w:w="4315" w:type="dxa"/>
          </w:tcPr>
          <w:p w:rsidR="004C1507" w:rsidRPr="001A17A6" w:rsidRDefault="004C1507">
            <w:pPr>
              <w:pStyle w:val="naiskr"/>
              <w:tabs>
                <w:tab w:val="left" w:pos="170"/>
              </w:tabs>
              <w:spacing w:before="0" w:after="0"/>
            </w:pPr>
            <w:r w:rsidRPr="001A17A6">
              <w:t>Pašreizējā situācija un problēmas</w:t>
            </w:r>
          </w:p>
        </w:tc>
        <w:tc>
          <w:tcPr>
            <w:tcW w:w="4620" w:type="dxa"/>
          </w:tcPr>
          <w:p w:rsidR="004C1507" w:rsidRPr="00F41A18" w:rsidRDefault="004C1507" w:rsidP="003C15DF">
            <w:pPr>
              <w:pStyle w:val="Parasts1"/>
              <w:jc w:val="both"/>
            </w:pPr>
            <w:r w:rsidRPr="001A17A6">
              <w:t xml:space="preserve">Patlaban </w:t>
            </w:r>
            <w:r>
              <w:t xml:space="preserve">traktortehnikas un to piekabju tehniskās atbilstības prasības nosaka </w:t>
            </w:r>
            <w:r w:rsidRPr="001A17A6">
              <w:t>Ministru kabineta 2006.gada 27.jūnija noteikumi Nr.535 „Lauksaimniecībā vai mežsaimniecībā i</w:t>
            </w:r>
            <w:smartTag w:uri="urn:schemas-microsoft-com:office:smarttags" w:element="PersonName">
              <w:r w:rsidRPr="001A17A6">
                <w:t>zm</w:t>
              </w:r>
            </w:smartTag>
            <w:r w:rsidRPr="001A17A6">
              <w:t xml:space="preserve">antojamo traktoru, piekabju un to sastāvdaļu atbilstības noteikumi” (turpmāk – noteikumi Nr.535). </w:t>
            </w:r>
          </w:p>
          <w:p w:rsidR="004C1507" w:rsidRDefault="004C1507" w:rsidP="003C15DF">
            <w:pPr>
              <w:pStyle w:val="Parasts1"/>
              <w:jc w:val="both"/>
            </w:pPr>
            <w:r>
              <w:t>N</w:t>
            </w:r>
            <w:r w:rsidRPr="00F41A18">
              <w:t xml:space="preserve">oteikumos </w:t>
            </w:r>
            <w:r w:rsidRPr="001A17A6">
              <w:t>Nr.535</w:t>
            </w:r>
            <w:r>
              <w:t xml:space="preserve"> </w:t>
            </w:r>
            <w:r w:rsidRPr="00F41A18">
              <w:t xml:space="preserve">lietoto standartu nosaukumus </w:t>
            </w:r>
            <w:r>
              <w:t>n</w:t>
            </w:r>
            <w:r w:rsidRPr="00F41A18">
              <w:t>epieciešams precizēt. Noteikumu projekts paredz, ka ražotājs iesnie</w:t>
            </w:r>
            <w:r>
              <w:t>dz</w:t>
            </w:r>
            <w:r w:rsidRPr="00F41A18">
              <w:t xml:space="preserve"> iesniegumu transportlīdzekļa, sistēmas, detaļas vai at</w:t>
            </w:r>
            <w:r>
              <w:t>sevišķas tehniskas vienības tipa apstiprināšanai vienā iestādē.</w:t>
            </w:r>
          </w:p>
          <w:p w:rsidR="004C1507" w:rsidRPr="001A17A6" w:rsidRDefault="004C1507" w:rsidP="003C15DF">
            <w:pPr>
              <w:pStyle w:val="Parasts1"/>
              <w:jc w:val="both"/>
            </w:pPr>
            <w:r>
              <w:t xml:space="preserve">Svītrota prasība par to, ka traktoriem T1, T2 un T3 EK tipa apstiprinājuma saņemšanai ir jābūt sertifikācijas pārbaudei, jo to nosaka EK tipa sertifikāts. Noteikumi </w:t>
            </w:r>
            <w:r w:rsidRPr="001A17A6">
              <w:t>Nr.535</w:t>
            </w:r>
            <w:r>
              <w:t xml:space="preserve"> paredz, ka gadījumos, kad aģentūra konstatē transportlīdzekļa neatbilstību drošības prasībām, tā informē atbilstības novērtēšanas iestādi Latvijā, bet būtībā ir jāinformē arī tā iestāde, kas atbilstību novērtējusi citā valstī.</w:t>
            </w:r>
          </w:p>
          <w:p w:rsidR="004C1507" w:rsidRPr="001A17A6" w:rsidRDefault="004C1507" w:rsidP="00F312B4">
            <w:pPr>
              <w:pStyle w:val="Parasts1"/>
              <w:jc w:val="both"/>
              <w:rPr>
                <w:bCs/>
              </w:rPr>
            </w:pPr>
            <w:r>
              <w:t>Līdz 2013.gada 31.okto</w:t>
            </w:r>
            <w:r w:rsidRPr="001A17A6">
              <w:t xml:space="preserve">brim dalībvalstīm jāpārņem Eiropas </w:t>
            </w:r>
            <w:r>
              <w:t xml:space="preserve">Komisijas </w:t>
            </w:r>
            <w:r w:rsidRPr="001A17A6">
              <w:rPr>
                <w:bCs/>
              </w:rPr>
              <w:t>201</w:t>
            </w:r>
            <w:r>
              <w:rPr>
                <w:bCs/>
              </w:rPr>
              <w:t>2.gada 8.okto</w:t>
            </w:r>
            <w:r w:rsidRPr="001A17A6">
              <w:rPr>
                <w:bCs/>
              </w:rPr>
              <w:t xml:space="preserve">bra </w:t>
            </w:r>
            <w:r>
              <w:rPr>
                <w:bCs/>
              </w:rPr>
              <w:t>Direktīva 2012/24</w:t>
            </w:r>
            <w:r w:rsidRPr="001A17A6">
              <w:rPr>
                <w:bCs/>
              </w:rPr>
              <w:t>/ES,</w:t>
            </w:r>
            <w:r>
              <w:rPr>
                <w:bCs/>
              </w:rPr>
              <w:t xml:space="preserve"> ar kuru</w:t>
            </w:r>
            <w:r w:rsidRPr="001A17A6">
              <w:rPr>
                <w:bCs/>
              </w:rPr>
              <w:t xml:space="preserve"> </w:t>
            </w:r>
            <w:r>
              <w:rPr>
                <w:bCs/>
              </w:rPr>
              <w:t>tehnisko noteikumu pielāgošanas nolūkā groza Padomes Direktīvu 86/297/EEK</w:t>
            </w:r>
            <w:r w:rsidRPr="001A17A6">
              <w:rPr>
                <w:bCs/>
              </w:rPr>
              <w:t xml:space="preserve"> </w:t>
            </w:r>
            <w:r>
              <w:rPr>
                <w:bCs/>
              </w:rPr>
              <w:t>p</w:t>
            </w:r>
            <w:r w:rsidRPr="001A17A6">
              <w:rPr>
                <w:bCs/>
              </w:rPr>
              <w:t xml:space="preserve">ar </w:t>
            </w:r>
            <w:r>
              <w:rPr>
                <w:bCs/>
              </w:rPr>
              <w:t xml:space="preserve">dalībvalstu tiesību aktu tuvināšanu attiecībā uz traktoru </w:t>
            </w:r>
            <w:proofErr w:type="spellStart"/>
            <w:r>
              <w:rPr>
                <w:bCs/>
              </w:rPr>
              <w:lastRenderedPageBreak/>
              <w:t>jūgvārpstām</w:t>
            </w:r>
            <w:proofErr w:type="spellEnd"/>
            <w:r>
              <w:rPr>
                <w:bCs/>
              </w:rPr>
              <w:t xml:space="preserve"> un to aizsardzību </w:t>
            </w:r>
            <w:r w:rsidRPr="001A17A6">
              <w:rPr>
                <w:rFonts w:cs="Tahoma"/>
                <w:bCs/>
              </w:rPr>
              <w:t xml:space="preserve">(turpmāk – </w:t>
            </w:r>
            <w:r>
              <w:rPr>
                <w:rFonts w:cs="Tahoma"/>
                <w:bCs/>
              </w:rPr>
              <w:t>Direktīva 2012/24</w:t>
            </w:r>
            <w:r w:rsidRPr="001A17A6">
              <w:rPr>
                <w:rFonts w:cs="Tahoma"/>
                <w:bCs/>
              </w:rPr>
              <w:t>/ES).</w:t>
            </w:r>
            <w:r w:rsidRPr="001A17A6">
              <w:rPr>
                <w:rFonts w:ascii="Tahoma" w:hAnsi="Tahoma" w:cs="Tahoma"/>
                <w:b/>
                <w:bCs/>
              </w:rPr>
              <w:t xml:space="preserve"> </w:t>
            </w:r>
          </w:p>
          <w:p w:rsidR="004C1507" w:rsidRPr="001A17A6" w:rsidRDefault="004C1507" w:rsidP="003648DE">
            <w:pPr>
              <w:pStyle w:val="Parasts1"/>
              <w:autoSpaceDE w:val="0"/>
              <w:autoSpaceDN w:val="0"/>
              <w:adjustRightInd w:val="0"/>
              <w:jc w:val="both"/>
              <w:rPr>
                <w:rFonts w:ascii="TimesNewRoman" w:hAnsi="TimesNewRoman" w:cs="TimesNewRoman"/>
              </w:rPr>
            </w:pPr>
            <w:r>
              <w:rPr>
                <w:rFonts w:ascii="TimesNewRoman" w:hAnsi="TimesNewRoman" w:cs="TimesNewRoman"/>
              </w:rPr>
              <w:t>Direktīva 2012/24</w:t>
            </w:r>
            <w:r w:rsidRPr="001A17A6">
              <w:rPr>
                <w:rFonts w:ascii="TimesNewRoman" w:hAnsi="TimesNewRoman" w:cs="TimesNewRoman"/>
              </w:rPr>
              <w:t xml:space="preserve">/ES </w:t>
            </w:r>
            <w:r>
              <w:rPr>
                <w:rFonts w:ascii="TimesNewRoman" w:hAnsi="TimesNewRoman" w:cs="TimesNewRoman"/>
              </w:rPr>
              <w:t xml:space="preserve">nosaka, ka uz traktoriem ar priekšējām </w:t>
            </w:r>
            <w:proofErr w:type="spellStart"/>
            <w:r>
              <w:rPr>
                <w:rFonts w:ascii="TimesNewRoman" w:hAnsi="TimesNewRoman" w:cs="TimesNewRoman"/>
              </w:rPr>
              <w:t>jūgvārpstām</w:t>
            </w:r>
            <w:proofErr w:type="spellEnd"/>
            <w:r>
              <w:rPr>
                <w:rFonts w:ascii="TimesNewRoman" w:hAnsi="TimesNewRoman" w:cs="TimesNewRoman"/>
              </w:rPr>
              <w:t xml:space="preserve"> piemērojams standarts ISO 8759-1:1998 „Lauksaimniecības riteņtraktori – priekšpusē uzstādītās iekārtas–1. daļa – </w:t>
            </w:r>
            <w:proofErr w:type="spellStart"/>
            <w:r>
              <w:rPr>
                <w:rFonts w:ascii="TimesNewRoman" w:hAnsi="TimesNewRoman" w:cs="TimesNewRoman"/>
              </w:rPr>
              <w:t>Jūgvārpstas</w:t>
            </w:r>
            <w:proofErr w:type="spellEnd"/>
            <w:r>
              <w:rPr>
                <w:rFonts w:ascii="TimesNewRoman" w:hAnsi="TimesNewRoman" w:cs="TimesNewRoman"/>
              </w:rPr>
              <w:t xml:space="preserve"> un trīspunktu </w:t>
            </w:r>
            <w:proofErr w:type="spellStart"/>
            <w:r>
              <w:rPr>
                <w:rFonts w:ascii="TimesNewRoman" w:hAnsi="TimesNewRoman" w:cs="TimesNewRoman"/>
              </w:rPr>
              <w:t>uzkare</w:t>
            </w:r>
            <w:proofErr w:type="spellEnd"/>
            <w:r>
              <w:rPr>
                <w:rFonts w:ascii="TimesNewRoman" w:hAnsi="TimesNewRoman" w:cs="TimesNewRoman"/>
              </w:rPr>
              <w:t>”.</w:t>
            </w:r>
          </w:p>
        </w:tc>
      </w:tr>
      <w:tr w:rsidR="004C1507" w:rsidRPr="001A17A6" w:rsidTr="0062486A">
        <w:trPr>
          <w:trHeight w:val="712"/>
        </w:trPr>
        <w:tc>
          <w:tcPr>
            <w:tcW w:w="550" w:type="dxa"/>
          </w:tcPr>
          <w:p w:rsidR="004C1507" w:rsidRPr="001A17A6" w:rsidRDefault="004C1507">
            <w:pPr>
              <w:pStyle w:val="naiskr"/>
              <w:spacing w:before="0" w:after="0"/>
            </w:pPr>
            <w:r w:rsidRPr="001A17A6">
              <w:lastRenderedPageBreak/>
              <w:t>3.</w:t>
            </w:r>
          </w:p>
        </w:tc>
        <w:tc>
          <w:tcPr>
            <w:tcW w:w="4315" w:type="dxa"/>
          </w:tcPr>
          <w:p w:rsidR="004C1507" w:rsidRPr="001A17A6" w:rsidRDefault="004C1507">
            <w:pPr>
              <w:pStyle w:val="naiskr"/>
              <w:spacing w:before="0" w:after="0"/>
            </w:pPr>
            <w:r w:rsidRPr="001A17A6">
              <w:t>Saistītie politikas ietekmes novērtējumi un pētījumi</w:t>
            </w:r>
          </w:p>
        </w:tc>
        <w:tc>
          <w:tcPr>
            <w:tcW w:w="4620" w:type="dxa"/>
          </w:tcPr>
          <w:p w:rsidR="004C1507" w:rsidRPr="00273763" w:rsidRDefault="004C1507">
            <w:pPr>
              <w:pStyle w:val="Vresteksts"/>
              <w:rPr>
                <w:sz w:val="24"/>
                <w:szCs w:val="24"/>
                <w:highlight w:val="yellow"/>
              </w:rPr>
            </w:pPr>
            <w:r w:rsidRPr="00273763">
              <w:rPr>
                <w:sz w:val="24"/>
                <w:szCs w:val="24"/>
              </w:rPr>
              <w:t>Projekts šo jomu neskar.</w:t>
            </w:r>
          </w:p>
        </w:tc>
      </w:tr>
      <w:tr w:rsidR="004C1507" w:rsidRPr="001A17A6" w:rsidTr="0062486A">
        <w:trPr>
          <w:trHeight w:val="384"/>
        </w:trPr>
        <w:tc>
          <w:tcPr>
            <w:tcW w:w="550" w:type="dxa"/>
          </w:tcPr>
          <w:p w:rsidR="004C1507" w:rsidRPr="001A17A6" w:rsidRDefault="004C1507">
            <w:pPr>
              <w:pStyle w:val="naiskr"/>
              <w:spacing w:before="0" w:after="0"/>
            </w:pPr>
            <w:r w:rsidRPr="001A17A6">
              <w:t>4.</w:t>
            </w:r>
          </w:p>
        </w:tc>
        <w:tc>
          <w:tcPr>
            <w:tcW w:w="4315" w:type="dxa"/>
          </w:tcPr>
          <w:p w:rsidR="004C1507" w:rsidRPr="001A17A6" w:rsidRDefault="004C1507">
            <w:pPr>
              <w:pStyle w:val="naiskr"/>
              <w:spacing w:before="0" w:after="0"/>
            </w:pPr>
            <w:r w:rsidRPr="001A17A6">
              <w:t>Tiesiskā regulējuma mērķis un būtība</w:t>
            </w:r>
          </w:p>
        </w:tc>
        <w:tc>
          <w:tcPr>
            <w:tcW w:w="4620" w:type="dxa"/>
          </w:tcPr>
          <w:p w:rsidR="004C1507" w:rsidRPr="00855A5D" w:rsidRDefault="004C1507" w:rsidP="003648DE">
            <w:pPr>
              <w:pStyle w:val="Parasts1"/>
              <w:autoSpaceDE w:val="0"/>
              <w:autoSpaceDN w:val="0"/>
              <w:adjustRightInd w:val="0"/>
              <w:jc w:val="both"/>
            </w:pPr>
            <w:r>
              <w:rPr>
                <w:rFonts w:ascii="TimesNewRoman" w:hAnsi="TimesNewRoman" w:cs="TimesNewRoman"/>
              </w:rPr>
              <w:t xml:space="preserve">Noteikumu projektā </w:t>
            </w:r>
            <w:r w:rsidRPr="00855A5D">
              <w:t xml:space="preserve">precizēti Latvijas valsts standartu nosaukumi un institūcija, kas veic </w:t>
            </w:r>
            <w:r>
              <w:t>t</w:t>
            </w:r>
            <w:r w:rsidRPr="00855A5D">
              <w:t>ransportlīdzekļu un to sastāvdaļu atbilstības novērtēšanu.</w:t>
            </w:r>
          </w:p>
          <w:p w:rsidR="004C1507" w:rsidRDefault="004C1507" w:rsidP="001058DE">
            <w:pPr>
              <w:pStyle w:val="Parasts1"/>
              <w:jc w:val="both"/>
            </w:pPr>
            <w:r>
              <w:t>Noteikumu projekts paredz, ka ražotājs var iesniegt iesniegumu par katru transportlīdzekļa tipa atzīšanu tikai vienu reizi un tikai vienā iestādē.</w:t>
            </w:r>
          </w:p>
          <w:p w:rsidR="004C1507" w:rsidRDefault="004C1507" w:rsidP="001058DE">
            <w:pPr>
              <w:pStyle w:val="Parasts1"/>
              <w:jc w:val="both"/>
            </w:pPr>
            <w:r>
              <w:t>Svītrota prasība veikt sertifikācijas pārbaudi, lai saņemtu EK tipa apstiprinājumu traktoriem T1, T2 un T3.</w:t>
            </w:r>
          </w:p>
          <w:p w:rsidR="004C1507" w:rsidRDefault="004C1507" w:rsidP="001058DE">
            <w:pPr>
              <w:pStyle w:val="Parasts1"/>
              <w:jc w:val="both"/>
            </w:pPr>
            <w:r>
              <w:t>Precizētas atbilstības novērtēšanas institūcijas funkcijas, kas visas nosauktas vienā noteikumu pantā.</w:t>
            </w:r>
          </w:p>
          <w:p w:rsidR="004C1507" w:rsidRDefault="004C1507" w:rsidP="001058DE">
            <w:pPr>
              <w:pStyle w:val="Parasts1"/>
              <w:jc w:val="both"/>
            </w:pPr>
            <w:r>
              <w:t>Noteikumu projektā precizēts aģentūras nosaukums.</w:t>
            </w:r>
          </w:p>
          <w:p w:rsidR="004C1507" w:rsidRPr="001A17A6" w:rsidRDefault="004C1507" w:rsidP="001058DE">
            <w:pPr>
              <w:pStyle w:val="Parasts1"/>
              <w:jc w:val="both"/>
            </w:pPr>
            <w:r>
              <w:t xml:space="preserve">Noteikumi nosaka, ka gadījumos, kad aģentūra konstatē transportlīdzekļa neatbilstību drošības prasībām, tā informē par to konkrēto  atbilstības novērtēšanas iestādi ES, kas </w:t>
            </w:r>
            <w:r w:rsidRPr="001058DE">
              <w:t>piešķīrusi un izsniegusi EK tipa atbilstības apstiprinājumu.</w:t>
            </w:r>
          </w:p>
          <w:p w:rsidR="004C1507" w:rsidRPr="003648DE" w:rsidRDefault="004C1507" w:rsidP="00D17F92">
            <w:pPr>
              <w:pStyle w:val="Parasts1"/>
              <w:autoSpaceDE w:val="0"/>
              <w:autoSpaceDN w:val="0"/>
              <w:adjustRightInd w:val="0"/>
              <w:jc w:val="both"/>
              <w:rPr>
                <w:rFonts w:ascii="TimesNewRoman" w:hAnsi="TimesNewRoman" w:cs="TimesNewRoman"/>
              </w:rPr>
            </w:pPr>
            <w:r>
              <w:rPr>
                <w:rFonts w:ascii="TimesNewRoman" w:hAnsi="TimesNewRoman" w:cs="TimesNewRoman"/>
              </w:rPr>
              <w:t xml:space="preserve">Noteikumu projekts nosaka, ka uz traktoriem ar priekšējām </w:t>
            </w:r>
            <w:proofErr w:type="spellStart"/>
            <w:r>
              <w:rPr>
                <w:rFonts w:ascii="TimesNewRoman" w:hAnsi="TimesNewRoman" w:cs="TimesNewRoman"/>
              </w:rPr>
              <w:t>jūgvārpstām</w:t>
            </w:r>
            <w:proofErr w:type="spellEnd"/>
            <w:r>
              <w:rPr>
                <w:rFonts w:ascii="TimesNewRoman" w:hAnsi="TimesNewRoman" w:cs="TimesNewRoman"/>
              </w:rPr>
              <w:t xml:space="preserve"> piemērojams standarts LVS ISO 8759-1:1998 „Lauksaimniecības riteņtraktori. Priekšpusē montējamie agregāti. 1.daļa. </w:t>
            </w:r>
            <w:proofErr w:type="spellStart"/>
            <w:r>
              <w:rPr>
                <w:rFonts w:ascii="TimesNewRoman" w:hAnsi="TimesNewRoman" w:cs="TimesNewRoman"/>
              </w:rPr>
              <w:t>Jūgvārpsta</w:t>
            </w:r>
            <w:proofErr w:type="spellEnd"/>
            <w:r>
              <w:rPr>
                <w:rFonts w:ascii="TimesNewRoman" w:hAnsi="TimesNewRoman" w:cs="TimesNewRoman"/>
              </w:rPr>
              <w:t xml:space="preserve"> un trīspunktu </w:t>
            </w:r>
            <w:proofErr w:type="spellStart"/>
            <w:r>
              <w:rPr>
                <w:rFonts w:ascii="TimesNewRoman" w:hAnsi="TimesNewRoman" w:cs="TimesNewRoman"/>
              </w:rPr>
              <w:t>uzkare</w:t>
            </w:r>
            <w:proofErr w:type="spellEnd"/>
            <w:r>
              <w:rPr>
                <w:rFonts w:ascii="TimesNewRoman" w:hAnsi="TimesNewRoman" w:cs="TimesNewRoman"/>
              </w:rPr>
              <w:t>”.</w:t>
            </w:r>
          </w:p>
        </w:tc>
      </w:tr>
      <w:tr w:rsidR="004C1507" w:rsidRPr="001A17A6" w:rsidTr="0062486A">
        <w:trPr>
          <w:trHeight w:val="476"/>
        </w:trPr>
        <w:tc>
          <w:tcPr>
            <w:tcW w:w="550" w:type="dxa"/>
          </w:tcPr>
          <w:p w:rsidR="004C1507" w:rsidRPr="001A17A6" w:rsidRDefault="004C1507">
            <w:pPr>
              <w:pStyle w:val="naiskr"/>
              <w:spacing w:before="0" w:after="0"/>
            </w:pPr>
            <w:r w:rsidRPr="001A17A6">
              <w:t>5.</w:t>
            </w:r>
          </w:p>
        </w:tc>
        <w:tc>
          <w:tcPr>
            <w:tcW w:w="4315" w:type="dxa"/>
          </w:tcPr>
          <w:p w:rsidR="004C1507" w:rsidRPr="001A17A6" w:rsidRDefault="004C1507">
            <w:pPr>
              <w:pStyle w:val="naiskr"/>
              <w:spacing w:before="0" w:after="0"/>
            </w:pPr>
            <w:r w:rsidRPr="001A17A6">
              <w:t>Projekta izstrādē iesaistītās institūcijas</w:t>
            </w:r>
          </w:p>
        </w:tc>
        <w:tc>
          <w:tcPr>
            <w:tcW w:w="4620" w:type="dxa"/>
          </w:tcPr>
          <w:p w:rsidR="004C1507" w:rsidRPr="001A17A6" w:rsidRDefault="004C1507">
            <w:pPr>
              <w:pStyle w:val="naiskr"/>
              <w:spacing w:before="0" w:after="0"/>
              <w:jc w:val="both"/>
            </w:pPr>
            <w:r w:rsidRPr="001A17A6">
              <w:t xml:space="preserve">Zemkopības ministrija, valsts aģentūra „Valsts tehniskās uzraudzības aģentūra” un </w:t>
            </w:r>
            <w:r w:rsidR="00D1761B">
              <w:rPr>
                <w:bCs/>
              </w:rPr>
              <w:t>V</w:t>
            </w:r>
            <w:r w:rsidRPr="001A17A6">
              <w:rPr>
                <w:bCs/>
              </w:rPr>
              <w:t>SIA „Sertifikācijas un testēšanas centrs”</w:t>
            </w:r>
          </w:p>
        </w:tc>
      </w:tr>
      <w:tr w:rsidR="004C1507" w:rsidRPr="001A17A6" w:rsidTr="0062486A">
        <w:trPr>
          <w:trHeight w:val="698"/>
        </w:trPr>
        <w:tc>
          <w:tcPr>
            <w:tcW w:w="550" w:type="dxa"/>
          </w:tcPr>
          <w:p w:rsidR="004C1507" w:rsidRPr="001A17A6" w:rsidRDefault="004C1507">
            <w:pPr>
              <w:pStyle w:val="naiskr"/>
              <w:spacing w:before="0" w:after="0"/>
            </w:pPr>
            <w:r w:rsidRPr="001A17A6">
              <w:t>6.</w:t>
            </w:r>
          </w:p>
        </w:tc>
        <w:tc>
          <w:tcPr>
            <w:tcW w:w="4315" w:type="dxa"/>
          </w:tcPr>
          <w:p w:rsidR="004C1507" w:rsidRPr="001A17A6" w:rsidRDefault="004C1507">
            <w:pPr>
              <w:pStyle w:val="naiskr"/>
              <w:spacing w:before="0" w:after="0"/>
              <w:rPr>
                <w:i/>
              </w:rPr>
            </w:pPr>
            <w:r w:rsidRPr="001A17A6">
              <w:t>Iemesli, kādēļ netika nodrošināta sabiedrības līdzdalība</w:t>
            </w:r>
          </w:p>
        </w:tc>
        <w:tc>
          <w:tcPr>
            <w:tcW w:w="4620" w:type="dxa"/>
          </w:tcPr>
          <w:p w:rsidR="004C1507" w:rsidRPr="00273763" w:rsidRDefault="004C1507">
            <w:pPr>
              <w:pStyle w:val="Vresteksts"/>
              <w:rPr>
                <w:sz w:val="24"/>
                <w:szCs w:val="24"/>
              </w:rPr>
            </w:pPr>
            <w:r w:rsidRPr="00273763">
              <w:rPr>
                <w:sz w:val="24"/>
                <w:szCs w:val="24"/>
              </w:rPr>
              <w:t>Projekts šo jomu neskar.</w:t>
            </w:r>
          </w:p>
        </w:tc>
      </w:tr>
      <w:tr w:rsidR="004C1507" w:rsidRPr="001A17A6" w:rsidTr="0062486A">
        <w:tc>
          <w:tcPr>
            <w:tcW w:w="550" w:type="dxa"/>
          </w:tcPr>
          <w:p w:rsidR="004C1507" w:rsidRPr="001A17A6" w:rsidRDefault="004C1507">
            <w:pPr>
              <w:pStyle w:val="naiskr"/>
              <w:spacing w:before="0" w:after="0"/>
            </w:pPr>
            <w:r w:rsidRPr="001A17A6">
              <w:t>7.</w:t>
            </w:r>
          </w:p>
        </w:tc>
        <w:tc>
          <w:tcPr>
            <w:tcW w:w="4315" w:type="dxa"/>
          </w:tcPr>
          <w:p w:rsidR="004C1507" w:rsidRPr="001A17A6" w:rsidRDefault="004C1507">
            <w:pPr>
              <w:pStyle w:val="naiskr"/>
              <w:spacing w:before="0" w:after="0"/>
            </w:pPr>
            <w:r w:rsidRPr="001A17A6">
              <w:t>Cita informācija</w:t>
            </w:r>
          </w:p>
        </w:tc>
        <w:tc>
          <w:tcPr>
            <w:tcW w:w="4620" w:type="dxa"/>
          </w:tcPr>
          <w:p w:rsidR="004C1507" w:rsidRPr="001A17A6" w:rsidRDefault="004C1507">
            <w:pPr>
              <w:pStyle w:val="naiskr"/>
              <w:spacing w:before="0" w:after="0"/>
            </w:pPr>
            <w:r w:rsidRPr="001A17A6">
              <w:t>Nav</w:t>
            </w:r>
          </w:p>
        </w:tc>
      </w:tr>
    </w:tbl>
    <w:p w:rsidR="004C1507" w:rsidRPr="001A17A6" w:rsidRDefault="004C1507" w:rsidP="00EA63C5">
      <w:pPr>
        <w:pStyle w:val="Parasts1"/>
        <w:rPr>
          <w:highlight w:val="yellow"/>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4855"/>
        <w:gridCol w:w="4025"/>
      </w:tblGrid>
      <w:tr w:rsidR="004C1507" w:rsidRPr="001A17A6" w:rsidTr="0062486A">
        <w:trPr>
          <w:trHeight w:val="537"/>
        </w:trPr>
        <w:tc>
          <w:tcPr>
            <w:tcW w:w="9605" w:type="dxa"/>
            <w:gridSpan w:val="3"/>
            <w:vAlign w:val="center"/>
          </w:tcPr>
          <w:p w:rsidR="004C1507" w:rsidRPr="001A17A6" w:rsidRDefault="004C1507">
            <w:pPr>
              <w:pStyle w:val="naisnod"/>
              <w:spacing w:before="0" w:after="0"/>
              <w:rPr>
                <w:highlight w:val="yellow"/>
              </w:rPr>
            </w:pPr>
            <w:r w:rsidRPr="001A17A6">
              <w:t>II. Tiesību akta projekta ietekme uz sabiedrību</w:t>
            </w:r>
          </w:p>
        </w:tc>
      </w:tr>
      <w:tr w:rsidR="004C1507" w:rsidRPr="001A17A6" w:rsidTr="0062486A">
        <w:trPr>
          <w:trHeight w:val="467"/>
        </w:trPr>
        <w:tc>
          <w:tcPr>
            <w:tcW w:w="725" w:type="dxa"/>
          </w:tcPr>
          <w:p w:rsidR="004C1507" w:rsidRPr="001A17A6" w:rsidRDefault="004C1507">
            <w:pPr>
              <w:pStyle w:val="naiskr"/>
              <w:spacing w:before="0" w:after="0"/>
            </w:pPr>
            <w:r w:rsidRPr="001A17A6">
              <w:t>1.</w:t>
            </w:r>
          </w:p>
        </w:tc>
        <w:tc>
          <w:tcPr>
            <w:tcW w:w="4855" w:type="dxa"/>
          </w:tcPr>
          <w:p w:rsidR="004C1507" w:rsidRPr="001A17A6" w:rsidRDefault="004C1507">
            <w:pPr>
              <w:pStyle w:val="naiskr"/>
              <w:spacing w:before="0" w:after="0"/>
            </w:pPr>
            <w:r w:rsidRPr="001A17A6">
              <w:t>Sabiedrības mērķgrupa</w:t>
            </w:r>
          </w:p>
        </w:tc>
        <w:tc>
          <w:tcPr>
            <w:tcW w:w="4025" w:type="dxa"/>
          </w:tcPr>
          <w:p w:rsidR="004C1507" w:rsidRPr="001A17A6" w:rsidRDefault="004C1507" w:rsidP="00EF6AC4">
            <w:pPr>
              <w:pStyle w:val="Parasts1"/>
              <w:spacing w:line="270" w:lineRule="atLeast"/>
              <w:jc w:val="both"/>
            </w:pPr>
            <w:r>
              <w:t xml:space="preserve">Biedrības „Lauksaimniecības tehnikas ražotāju un tirgotāju asociācija” 23 biedri un 5 traktortehnikas ražotāji, kā arī 124 </w:t>
            </w:r>
            <w:r>
              <w:lastRenderedPageBreak/>
              <w:t>traktortehnikas tirgotāji</w:t>
            </w:r>
          </w:p>
        </w:tc>
      </w:tr>
      <w:tr w:rsidR="004C1507" w:rsidRPr="001A17A6" w:rsidTr="0062486A">
        <w:trPr>
          <w:trHeight w:val="523"/>
        </w:trPr>
        <w:tc>
          <w:tcPr>
            <w:tcW w:w="725" w:type="dxa"/>
          </w:tcPr>
          <w:p w:rsidR="004C1507" w:rsidRPr="001A17A6" w:rsidRDefault="004C1507">
            <w:pPr>
              <w:pStyle w:val="naiskr"/>
              <w:spacing w:before="0" w:after="0"/>
            </w:pPr>
            <w:r w:rsidRPr="001A17A6">
              <w:lastRenderedPageBreak/>
              <w:t>2.</w:t>
            </w:r>
          </w:p>
        </w:tc>
        <w:tc>
          <w:tcPr>
            <w:tcW w:w="4855" w:type="dxa"/>
          </w:tcPr>
          <w:p w:rsidR="004C1507" w:rsidRPr="001A17A6" w:rsidRDefault="004C1507">
            <w:pPr>
              <w:pStyle w:val="naiskr"/>
              <w:spacing w:before="0" w:after="0"/>
            </w:pPr>
            <w:r w:rsidRPr="001A17A6">
              <w:t>Citas sabiedrības grupas (bez mērķgrupas), kuras tiesiskais regulējums arī ietekmē vai varētu ietekmēt</w:t>
            </w:r>
          </w:p>
        </w:tc>
        <w:tc>
          <w:tcPr>
            <w:tcW w:w="4025" w:type="dxa"/>
          </w:tcPr>
          <w:p w:rsidR="004C1507" w:rsidRPr="001A17A6" w:rsidRDefault="004C1507">
            <w:pPr>
              <w:pStyle w:val="naiskr"/>
              <w:spacing w:before="0" w:after="0"/>
              <w:rPr>
                <w:highlight w:val="yellow"/>
              </w:rPr>
            </w:pPr>
            <w:r w:rsidRPr="001A17A6">
              <w:t>Projekts šo jomu neskar.</w:t>
            </w:r>
          </w:p>
        </w:tc>
      </w:tr>
      <w:tr w:rsidR="004C1507" w:rsidRPr="001A17A6" w:rsidTr="0062486A">
        <w:trPr>
          <w:trHeight w:val="517"/>
        </w:trPr>
        <w:tc>
          <w:tcPr>
            <w:tcW w:w="725" w:type="dxa"/>
          </w:tcPr>
          <w:p w:rsidR="004C1507" w:rsidRPr="001A17A6" w:rsidRDefault="004C1507">
            <w:pPr>
              <w:pStyle w:val="naiskr"/>
              <w:spacing w:before="0" w:after="0"/>
            </w:pPr>
            <w:r w:rsidRPr="001A17A6">
              <w:t>3.</w:t>
            </w:r>
          </w:p>
        </w:tc>
        <w:tc>
          <w:tcPr>
            <w:tcW w:w="4855" w:type="dxa"/>
          </w:tcPr>
          <w:p w:rsidR="004C1507" w:rsidRPr="001A17A6" w:rsidRDefault="004C1507">
            <w:pPr>
              <w:pStyle w:val="naiskr"/>
              <w:spacing w:before="0" w:after="0"/>
            </w:pPr>
            <w:r w:rsidRPr="001A17A6">
              <w:t>Tiesiskā regulējuma finansiālā ietekme</w:t>
            </w:r>
          </w:p>
        </w:tc>
        <w:tc>
          <w:tcPr>
            <w:tcW w:w="4025" w:type="dxa"/>
          </w:tcPr>
          <w:p w:rsidR="004C1507" w:rsidRPr="001A17A6" w:rsidRDefault="004C1507">
            <w:pPr>
              <w:pStyle w:val="naiskr"/>
              <w:spacing w:before="0" w:after="0"/>
            </w:pPr>
            <w:r w:rsidRPr="001A17A6">
              <w:t>Projekts šo jomu neskar.</w:t>
            </w:r>
          </w:p>
        </w:tc>
      </w:tr>
      <w:tr w:rsidR="004C1507" w:rsidRPr="001A17A6" w:rsidTr="0062486A">
        <w:trPr>
          <w:trHeight w:val="517"/>
        </w:trPr>
        <w:tc>
          <w:tcPr>
            <w:tcW w:w="725" w:type="dxa"/>
          </w:tcPr>
          <w:p w:rsidR="004C1507" w:rsidRPr="001A17A6" w:rsidRDefault="004C1507">
            <w:pPr>
              <w:pStyle w:val="naiskr"/>
              <w:spacing w:before="0" w:after="0"/>
            </w:pPr>
            <w:r w:rsidRPr="001A17A6">
              <w:t>4.</w:t>
            </w:r>
          </w:p>
        </w:tc>
        <w:tc>
          <w:tcPr>
            <w:tcW w:w="4855" w:type="dxa"/>
          </w:tcPr>
          <w:p w:rsidR="004C1507" w:rsidRPr="001A17A6" w:rsidRDefault="004C1507">
            <w:pPr>
              <w:pStyle w:val="naiskr"/>
              <w:spacing w:before="0" w:after="0"/>
            </w:pPr>
            <w:r w:rsidRPr="001A17A6">
              <w:t>Tiesiskā regulējuma nefinansiālā ietekme</w:t>
            </w:r>
          </w:p>
        </w:tc>
        <w:tc>
          <w:tcPr>
            <w:tcW w:w="4025" w:type="dxa"/>
          </w:tcPr>
          <w:p w:rsidR="004C1507" w:rsidRPr="001A17A6" w:rsidRDefault="004C1507">
            <w:pPr>
              <w:pStyle w:val="naiskr"/>
              <w:spacing w:before="0" w:after="0"/>
              <w:jc w:val="both"/>
            </w:pPr>
            <w:r w:rsidRPr="001A17A6">
              <w:t>Projekts šo jomu neskar.</w:t>
            </w:r>
          </w:p>
        </w:tc>
      </w:tr>
      <w:tr w:rsidR="004C1507" w:rsidRPr="001A17A6" w:rsidTr="00446440">
        <w:trPr>
          <w:trHeight w:val="1100"/>
        </w:trPr>
        <w:tc>
          <w:tcPr>
            <w:tcW w:w="725" w:type="dxa"/>
          </w:tcPr>
          <w:p w:rsidR="004C1507" w:rsidRPr="001A17A6" w:rsidRDefault="004C1507">
            <w:pPr>
              <w:pStyle w:val="naiskr"/>
              <w:spacing w:before="0" w:after="0"/>
            </w:pPr>
            <w:r w:rsidRPr="001A17A6">
              <w:t>5.</w:t>
            </w:r>
          </w:p>
        </w:tc>
        <w:tc>
          <w:tcPr>
            <w:tcW w:w="4855" w:type="dxa"/>
          </w:tcPr>
          <w:p w:rsidR="004C1507" w:rsidRPr="001A17A6" w:rsidRDefault="004C1507">
            <w:pPr>
              <w:pStyle w:val="naiskr"/>
              <w:spacing w:before="0" w:after="0"/>
            </w:pPr>
            <w:r w:rsidRPr="001A17A6">
              <w:t>Administratīvās procedūras raksturojums</w:t>
            </w:r>
          </w:p>
        </w:tc>
        <w:tc>
          <w:tcPr>
            <w:tcW w:w="4025" w:type="dxa"/>
          </w:tcPr>
          <w:p w:rsidR="004C1507" w:rsidRPr="001A17A6" w:rsidRDefault="004C1507" w:rsidP="00CC37C5">
            <w:pPr>
              <w:pStyle w:val="Parasts1"/>
              <w:jc w:val="both"/>
              <w:rPr>
                <w:highlight w:val="yellow"/>
              </w:rPr>
            </w:pPr>
            <w:r w:rsidRPr="001A17A6">
              <w:t>Noteikumu projekts neparedz i</w:t>
            </w:r>
            <w:smartTag w:uri="urn:schemas-microsoft-com:office:smarttags" w:element="PersonName">
              <w:r w:rsidRPr="001A17A6">
                <w:t>zm</w:t>
              </w:r>
            </w:smartTag>
            <w:r w:rsidRPr="001A17A6">
              <w:t xml:space="preserve">aiņas administratīvajā procedūrā attiecībā uz </w:t>
            </w:r>
            <w:r>
              <w:t>traktortehnikas lietotajiem.</w:t>
            </w:r>
          </w:p>
        </w:tc>
      </w:tr>
      <w:tr w:rsidR="004C1507" w:rsidRPr="001A17A6" w:rsidTr="0062486A">
        <w:trPr>
          <w:trHeight w:val="357"/>
        </w:trPr>
        <w:tc>
          <w:tcPr>
            <w:tcW w:w="725" w:type="dxa"/>
          </w:tcPr>
          <w:p w:rsidR="004C1507" w:rsidRPr="001A17A6" w:rsidRDefault="004C1507">
            <w:pPr>
              <w:pStyle w:val="naiskr"/>
              <w:spacing w:before="0" w:after="0"/>
            </w:pPr>
            <w:r w:rsidRPr="001A17A6">
              <w:t>6.</w:t>
            </w:r>
          </w:p>
        </w:tc>
        <w:tc>
          <w:tcPr>
            <w:tcW w:w="4855" w:type="dxa"/>
          </w:tcPr>
          <w:p w:rsidR="004C1507" w:rsidRPr="001A17A6" w:rsidRDefault="004C1507">
            <w:pPr>
              <w:pStyle w:val="naiskr"/>
              <w:spacing w:before="0" w:after="0"/>
            </w:pPr>
            <w:r w:rsidRPr="001A17A6">
              <w:t>Administratīvo i</w:t>
            </w:r>
            <w:smartTag w:uri="urn:schemas-microsoft-com:office:smarttags" w:element="PersonName">
              <w:r w:rsidRPr="001A17A6">
                <w:t>zm</w:t>
              </w:r>
            </w:smartTag>
            <w:r w:rsidRPr="001A17A6">
              <w:t>aksu monetārs novērtējums</w:t>
            </w:r>
          </w:p>
        </w:tc>
        <w:tc>
          <w:tcPr>
            <w:tcW w:w="4025" w:type="dxa"/>
          </w:tcPr>
          <w:p w:rsidR="004C1507" w:rsidRPr="001A17A6" w:rsidRDefault="004C1507">
            <w:pPr>
              <w:pStyle w:val="naiskr"/>
              <w:spacing w:before="0" w:after="0"/>
              <w:jc w:val="both"/>
            </w:pPr>
            <w:r w:rsidRPr="001A17A6">
              <w:t>Projekts šo jomu neskar.</w:t>
            </w:r>
          </w:p>
        </w:tc>
      </w:tr>
    </w:tbl>
    <w:p w:rsidR="004C1507" w:rsidRPr="001A17A6" w:rsidRDefault="004C1507" w:rsidP="00456C58">
      <w:pPr>
        <w:pStyle w:val="Paraststmeklis1"/>
        <w:spacing w:before="0" w:beforeAutospacing="0" w:after="0" w:afterAutospacing="0"/>
        <w:rPr>
          <w:i/>
        </w:rPr>
      </w:pPr>
      <w:r w:rsidRPr="001A17A6">
        <w:rPr>
          <w:i/>
        </w:rPr>
        <w:t xml:space="preserve">Anotācijas III, IV sadaļa – </w:t>
      </w:r>
      <w:r w:rsidRPr="001A17A6">
        <w:t>projekts šo jomu neskar</w:t>
      </w:r>
      <w:r w:rsidRPr="001A17A6">
        <w:rPr>
          <w:i/>
        </w:rPr>
        <w:t>.</w:t>
      </w:r>
    </w:p>
    <w:p w:rsidR="004C1507" w:rsidRPr="001A17A6" w:rsidRDefault="004C1507" w:rsidP="002943F9">
      <w:pPr>
        <w:pStyle w:val="Parasts1"/>
        <w:jc w:val="both"/>
      </w:pPr>
      <w:r w:rsidRPr="001A17A6">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1726"/>
        <w:gridCol w:w="7165"/>
      </w:tblGrid>
      <w:tr w:rsidR="004C1507" w:rsidRPr="001A17A6" w:rsidTr="002E5F6A">
        <w:tc>
          <w:tcPr>
            <w:tcW w:w="0" w:type="auto"/>
            <w:gridSpan w:val="3"/>
            <w:tcBorders>
              <w:top w:val="single" w:sz="4" w:space="0" w:color="auto"/>
              <w:left w:val="single" w:sz="4" w:space="0" w:color="auto"/>
              <w:bottom w:val="outset" w:sz="6" w:space="0" w:color="000000"/>
              <w:right w:val="single" w:sz="4" w:space="0" w:color="auto"/>
            </w:tcBorders>
          </w:tcPr>
          <w:p w:rsidR="004C1507" w:rsidRPr="001A17A6" w:rsidRDefault="004C1507" w:rsidP="002E5F6A">
            <w:pPr>
              <w:pStyle w:val="Parasts1"/>
              <w:spacing w:before="100" w:beforeAutospacing="1" w:after="100" w:afterAutospacing="1"/>
              <w:jc w:val="center"/>
              <w:rPr>
                <w:b/>
                <w:bCs/>
              </w:rPr>
            </w:pPr>
            <w:r w:rsidRPr="001A17A6">
              <w:rPr>
                <w:b/>
                <w:bCs/>
              </w:rPr>
              <w:t>V. Tiesību akta projekta atbilstība Latvijas Republikas starptautiskajām saistībām</w:t>
            </w:r>
          </w:p>
        </w:tc>
      </w:tr>
      <w:tr w:rsidR="004C1507" w:rsidRPr="001A17A6" w:rsidTr="002E5F6A">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1.</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Saistības pret Eiropas Savienību</w:t>
            </w:r>
          </w:p>
        </w:tc>
        <w:tc>
          <w:tcPr>
            <w:tcW w:w="0" w:type="auto"/>
            <w:tcBorders>
              <w:top w:val="outset" w:sz="6" w:space="0" w:color="000000"/>
              <w:left w:val="outset" w:sz="6" w:space="0" w:color="000000"/>
              <w:bottom w:val="outset" w:sz="6" w:space="0" w:color="000000"/>
            </w:tcBorders>
          </w:tcPr>
          <w:p w:rsidR="004C1507" w:rsidRPr="001A17A6" w:rsidRDefault="004C1507" w:rsidP="003648DE">
            <w:pPr>
              <w:pStyle w:val="Parasts1"/>
              <w:jc w:val="both"/>
              <w:rPr>
                <w:rFonts w:cs="Tahoma"/>
                <w:bCs/>
              </w:rPr>
            </w:pPr>
            <w:r w:rsidRPr="001A17A6">
              <w:t xml:space="preserve">Eiropas </w:t>
            </w:r>
            <w:r>
              <w:t xml:space="preserve">Komisijas </w:t>
            </w:r>
            <w:r w:rsidRPr="001A17A6">
              <w:rPr>
                <w:bCs/>
              </w:rPr>
              <w:t>201</w:t>
            </w:r>
            <w:r>
              <w:rPr>
                <w:bCs/>
              </w:rPr>
              <w:t>2.gada 8.okto</w:t>
            </w:r>
            <w:r w:rsidRPr="001A17A6">
              <w:rPr>
                <w:bCs/>
              </w:rPr>
              <w:t xml:space="preserve">bra </w:t>
            </w:r>
            <w:r>
              <w:rPr>
                <w:bCs/>
              </w:rPr>
              <w:t>Direktīva 2012/24</w:t>
            </w:r>
            <w:r w:rsidRPr="001A17A6">
              <w:rPr>
                <w:bCs/>
              </w:rPr>
              <w:t>/ES,</w:t>
            </w:r>
            <w:r>
              <w:rPr>
                <w:bCs/>
              </w:rPr>
              <w:t xml:space="preserve"> ar kuru</w:t>
            </w:r>
            <w:r w:rsidRPr="001A17A6">
              <w:rPr>
                <w:bCs/>
              </w:rPr>
              <w:t xml:space="preserve"> </w:t>
            </w:r>
            <w:r>
              <w:rPr>
                <w:bCs/>
              </w:rPr>
              <w:t>tehnisko noteikumu pielāgošanas nolūkā groza Padomes Direktīvu 86/297/EEK</w:t>
            </w:r>
            <w:r w:rsidRPr="001A17A6">
              <w:rPr>
                <w:bCs/>
              </w:rPr>
              <w:t xml:space="preserve"> </w:t>
            </w:r>
            <w:r>
              <w:rPr>
                <w:bCs/>
              </w:rPr>
              <w:t>p</w:t>
            </w:r>
            <w:r w:rsidRPr="001A17A6">
              <w:rPr>
                <w:bCs/>
              </w:rPr>
              <w:t xml:space="preserve">ar </w:t>
            </w:r>
            <w:r>
              <w:rPr>
                <w:bCs/>
              </w:rPr>
              <w:t xml:space="preserve">dalībvalstu tiesību aktu tuvināšanu attiecībā uz traktoru </w:t>
            </w:r>
            <w:proofErr w:type="spellStart"/>
            <w:r>
              <w:rPr>
                <w:bCs/>
              </w:rPr>
              <w:t>jūgvārpstām</w:t>
            </w:r>
            <w:proofErr w:type="spellEnd"/>
            <w:r>
              <w:rPr>
                <w:bCs/>
              </w:rPr>
              <w:t xml:space="preserve"> un to aizsardzību. </w:t>
            </w:r>
            <w:r>
              <w:rPr>
                <w:rFonts w:cs="Tahoma"/>
                <w:bCs/>
              </w:rPr>
              <w:t>Direktīvas 2012/24/ES galējais ieviešanas termiņš ir 2013.gada 31.oktobris.</w:t>
            </w:r>
          </w:p>
        </w:tc>
      </w:tr>
      <w:tr w:rsidR="004C1507" w:rsidRPr="001A17A6" w:rsidTr="002E5F6A">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2.</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Citas starptautiskās saistības</w:t>
            </w:r>
          </w:p>
        </w:tc>
        <w:tc>
          <w:tcPr>
            <w:tcW w:w="0" w:type="auto"/>
            <w:tcBorders>
              <w:top w:val="outset" w:sz="6" w:space="0" w:color="000000"/>
              <w:left w:val="outset" w:sz="6" w:space="0" w:color="000000"/>
              <w:bottom w:val="outset" w:sz="6" w:space="0" w:color="000000"/>
            </w:tcBorders>
          </w:tcPr>
          <w:p w:rsidR="004C1507" w:rsidRPr="005447A9" w:rsidRDefault="004C1507" w:rsidP="006A6016">
            <w:pPr>
              <w:pStyle w:val="Parasts1"/>
              <w:jc w:val="both"/>
              <w:rPr>
                <w:rFonts w:cs="Tahoma"/>
                <w:bCs/>
              </w:rPr>
            </w:pPr>
            <w:r w:rsidRPr="001A17A6">
              <w:t xml:space="preserve">Noteikumu projekts nav jāsaskaņo ar Eiropas Komisiju, bet Eiropas Komisija </w:t>
            </w:r>
            <w:r>
              <w:t>ir jāinformē par D</w:t>
            </w:r>
            <w:r w:rsidRPr="001A17A6">
              <w:t xml:space="preserve">irektīvas </w:t>
            </w:r>
            <w:r>
              <w:rPr>
                <w:rFonts w:cs="Tahoma"/>
                <w:bCs/>
              </w:rPr>
              <w:t xml:space="preserve">2012/24/ES </w:t>
            </w:r>
            <w:r w:rsidRPr="001A17A6">
              <w:t>pārņemšanu.</w:t>
            </w:r>
          </w:p>
        </w:tc>
      </w:tr>
      <w:tr w:rsidR="004C1507" w:rsidRPr="001A17A6" w:rsidTr="002E5F6A">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3.</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 informācija</w:t>
            </w:r>
          </w:p>
        </w:tc>
        <w:tc>
          <w:tcPr>
            <w:tcW w:w="0" w:type="auto"/>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rsidRPr="001A17A6">
              <w:t>Nav.</w:t>
            </w:r>
          </w:p>
        </w:tc>
      </w:tr>
    </w:tbl>
    <w:p w:rsidR="004C1507" w:rsidRPr="001A17A6" w:rsidRDefault="004C1507" w:rsidP="0095614C">
      <w:pPr>
        <w:pStyle w:val="Parasts1"/>
      </w:pPr>
      <w:r w:rsidRPr="001A17A6">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508"/>
        <w:gridCol w:w="2270"/>
        <w:gridCol w:w="2215"/>
        <w:gridCol w:w="2138"/>
      </w:tblGrid>
      <w:tr w:rsidR="004C1507" w:rsidRPr="001A17A6" w:rsidTr="002E5F6A">
        <w:tc>
          <w:tcPr>
            <w:tcW w:w="5000" w:type="pct"/>
            <w:gridSpan w:val="4"/>
            <w:tcBorders>
              <w:top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center"/>
              <w:rPr>
                <w:b/>
                <w:bCs/>
              </w:rPr>
            </w:pPr>
            <w:r w:rsidRPr="001A17A6">
              <w:rPr>
                <w:b/>
                <w:bCs/>
              </w:rPr>
              <w:t>1.tabula</w:t>
            </w:r>
            <w:r w:rsidRPr="001A17A6">
              <w:rPr>
                <w:b/>
                <w:bCs/>
              </w:rPr>
              <w:br/>
              <w:t>Tiesību akta projekta atbilstība ES tiesību aktiem</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Attiecīgā ES tiesību akta datums, numurs un nosaukums</w:t>
            </w:r>
          </w:p>
        </w:tc>
        <w:tc>
          <w:tcPr>
            <w:tcW w:w="3627" w:type="pct"/>
            <w:gridSpan w:val="3"/>
            <w:tcBorders>
              <w:top w:val="outset" w:sz="6" w:space="0" w:color="000000"/>
              <w:left w:val="outset" w:sz="6" w:space="0" w:color="000000"/>
              <w:bottom w:val="outset" w:sz="6" w:space="0" w:color="000000"/>
            </w:tcBorders>
            <w:vAlign w:val="center"/>
          </w:tcPr>
          <w:p w:rsidR="004C1507" w:rsidRDefault="004C1507">
            <w:pPr>
              <w:pStyle w:val="Parasts1"/>
              <w:spacing w:before="100" w:beforeAutospacing="1" w:after="100" w:afterAutospacing="1"/>
              <w:jc w:val="both"/>
              <w:rPr>
                <w:b/>
                <w:bCs/>
              </w:rPr>
            </w:pPr>
            <w:r w:rsidRPr="001A17A6">
              <w:t xml:space="preserve">Eiropas </w:t>
            </w:r>
            <w:r>
              <w:t xml:space="preserve">Komisijas </w:t>
            </w:r>
            <w:r w:rsidRPr="001A17A6">
              <w:rPr>
                <w:bCs/>
              </w:rPr>
              <w:t>201</w:t>
            </w:r>
            <w:r>
              <w:rPr>
                <w:bCs/>
              </w:rPr>
              <w:t>2.gada 8.okto</w:t>
            </w:r>
            <w:r w:rsidRPr="001A17A6">
              <w:rPr>
                <w:bCs/>
              </w:rPr>
              <w:t xml:space="preserve">bra </w:t>
            </w:r>
            <w:r>
              <w:rPr>
                <w:bCs/>
              </w:rPr>
              <w:t>Direktīva 2012/24</w:t>
            </w:r>
            <w:r w:rsidRPr="001A17A6">
              <w:rPr>
                <w:bCs/>
              </w:rPr>
              <w:t>/ES,</w:t>
            </w:r>
            <w:r>
              <w:rPr>
                <w:bCs/>
              </w:rPr>
              <w:t xml:space="preserve"> ar kuru</w:t>
            </w:r>
            <w:r w:rsidRPr="001A17A6">
              <w:rPr>
                <w:bCs/>
              </w:rPr>
              <w:t xml:space="preserve"> </w:t>
            </w:r>
            <w:r>
              <w:rPr>
                <w:bCs/>
              </w:rPr>
              <w:t>tehnisko noteikumu pielāgošanas nolūkā groza Padomes Direktīvu 86/297/EEK</w:t>
            </w:r>
            <w:r w:rsidRPr="001A17A6">
              <w:rPr>
                <w:bCs/>
              </w:rPr>
              <w:t xml:space="preserve"> </w:t>
            </w:r>
            <w:r>
              <w:rPr>
                <w:bCs/>
              </w:rPr>
              <w:t>p</w:t>
            </w:r>
            <w:r w:rsidRPr="001A17A6">
              <w:rPr>
                <w:bCs/>
              </w:rPr>
              <w:t xml:space="preserve">ar </w:t>
            </w:r>
            <w:r>
              <w:rPr>
                <w:bCs/>
              </w:rPr>
              <w:t xml:space="preserve">dalībvalstu tiesību aktu tuvināšanu attiecībā uz traktoru </w:t>
            </w:r>
            <w:proofErr w:type="spellStart"/>
            <w:r>
              <w:rPr>
                <w:bCs/>
              </w:rPr>
              <w:t>jūgvārpstām</w:t>
            </w:r>
            <w:proofErr w:type="spellEnd"/>
            <w:r>
              <w:rPr>
                <w:bCs/>
              </w:rPr>
              <w:t xml:space="preserve"> un to aizsardzību</w:t>
            </w:r>
            <w:r>
              <w:rPr>
                <w:rFonts w:cs="Tahoma"/>
                <w:bCs/>
              </w:rPr>
              <w:t>.</w:t>
            </w:r>
          </w:p>
        </w:tc>
      </w:tr>
      <w:tr w:rsidR="004C1507" w:rsidRPr="001A17A6" w:rsidTr="002E5F6A">
        <w:tc>
          <w:tcPr>
            <w:tcW w:w="5000" w:type="pct"/>
            <w:gridSpan w:val="4"/>
            <w:tcBorders>
              <w:top w:val="outset" w:sz="6" w:space="0" w:color="000000"/>
              <w:bottom w:val="outset" w:sz="6" w:space="0" w:color="000000"/>
            </w:tcBorders>
            <w:vAlign w:val="center"/>
          </w:tcPr>
          <w:p w:rsidR="004C1507" w:rsidRPr="001A17A6" w:rsidRDefault="004C1507" w:rsidP="002E5F6A">
            <w:pPr>
              <w:pStyle w:val="Parasts1"/>
              <w:spacing w:line="360" w:lineRule="auto"/>
            </w:pPr>
            <w:r w:rsidRPr="001A17A6">
              <w:t> </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A</w:t>
            </w:r>
          </w:p>
        </w:tc>
        <w:tc>
          <w:tcPr>
            <w:tcW w:w="124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B</w:t>
            </w:r>
          </w:p>
        </w:tc>
        <w:tc>
          <w:tcPr>
            <w:tcW w:w="121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C</w:t>
            </w:r>
          </w:p>
        </w:tc>
        <w:tc>
          <w:tcPr>
            <w:tcW w:w="1171" w:type="pct"/>
            <w:tcBorders>
              <w:top w:val="outset" w:sz="6" w:space="0" w:color="000000"/>
              <w:left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D</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Attiecīgā ES tiesību akta panta numurs (uzskaitot katru tiesību akta vienību – pantu, daļu, punktu, apakšpunktu)</w:t>
            </w:r>
          </w:p>
        </w:tc>
        <w:tc>
          <w:tcPr>
            <w:tcW w:w="124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Projekta vienība, kas pārņem vai ievieš katru šīs tabulas A ailē minēto ES tiesību akta vienību</w:t>
            </w:r>
          </w:p>
        </w:tc>
        <w:tc>
          <w:tcPr>
            <w:tcW w:w="121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Informācija par to, vai šīs tabulas A ailē minētās ES tiesību akta vienības tiek pārņemtas vai ieviestas pilnībā vai daļēji.</w:t>
            </w:r>
          </w:p>
        </w:tc>
        <w:tc>
          <w:tcPr>
            <w:tcW w:w="1171" w:type="pct"/>
            <w:tcBorders>
              <w:top w:val="outset" w:sz="6" w:space="0" w:color="000000"/>
              <w:left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Informācija par to, vai šīs tabulas B ailē minētās projekta vienības paredz stingrākas prasības nekā šīs tabulas A ailē minētās ES tiesību akta vienības.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8B2380">
            <w:pPr>
              <w:pStyle w:val="Parasts1"/>
              <w:spacing w:before="100" w:beforeAutospacing="1" w:after="100" w:afterAutospacing="1"/>
            </w:pPr>
            <w:r>
              <w:t>Direktīvas 2012/24</w:t>
            </w:r>
            <w:r w:rsidRPr="001A17A6">
              <w:t>/ES 1.pants</w:t>
            </w:r>
          </w:p>
        </w:tc>
        <w:tc>
          <w:tcPr>
            <w:tcW w:w="1243" w:type="pct"/>
            <w:tcBorders>
              <w:top w:val="outset" w:sz="6" w:space="0" w:color="000000"/>
              <w:left w:val="outset" w:sz="6" w:space="0" w:color="000000"/>
              <w:bottom w:val="outset" w:sz="6" w:space="0" w:color="000000"/>
              <w:right w:val="outset" w:sz="6" w:space="0" w:color="000000"/>
            </w:tcBorders>
          </w:tcPr>
          <w:p w:rsidR="004C1507" w:rsidRPr="001A17A6" w:rsidRDefault="004C1507" w:rsidP="00A91E67">
            <w:pPr>
              <w:pStyle w:val="Parasts1"/>
              <w:spacing w:before="100" w:beforeAutospacing="1" w:after="100" w:afterAutospacing="1"/>
              <w:rPr>
                <w:bCs/>
              </w:rPr>
            </w:pPr>
            <w:r>
              <w:rPr>
                <w:bCs/>
              </w:rPr>
              <w:t>Noteikumu projekta 1.14</w:t>
            </w:r>
            <w:r w:rsidRPr="001A17A6">
              <w:rPr>
                <w:bCs/>
              </w:rPr>
              <w:t>.</w:t>
            </w:r>
            <w:r>
              <w:rPr>
                <w:bCs/>
              </w:rPr>
              <w:t xml:space="preserve"> un 1.15.apakšpunkts</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Pārņemtas pilnībā</w:t>
            </w:r>
            <w:r>
              <w:t xml:space="preserve">, jo attiecībā uz traktortehnikas </w:t>
            </w:r>
            <w:proofErr w:type="spellStart"/>
            <w:r>
              <w:t>jūgvārpstām</w:t>
            </w:r>
            <w:proofErr w:type="spellEnd"/>
            <w:r>
              <w:t xml:space="preserve"> piemēro </w:t>
            </w:r>
            <w:r w:rsidR="00D1761B">
              <w:lastRenderedPageBreak/>
              <w:t>D</w:t>
            </w:r>
            <w:r>
              <w:t>irektīvu 86/297/EEK un tās grozījumu</w:t>
            </w:r>
            <w:r w:rsidR="00D1761B">
              <w:t xml:space="preserve"> </w:t>
            </w:r>
            <w:r>
              <w:t>–</w:t>
            </w:r>
            <w:r w:rsidR="00D1761B">
              <w:t xml:space="preserve"> D</w:t>
            </w:r>
            <w:r>
              <w:t>irektīvu 2012/24</w:t>
            </w:r>
            <w:r w:rsidRPr="001A17A6">
              <w:t>/ES</w:t>
            </w:r>
          </w:p>
        </w:tc>
        <w:tc>
          <w:tcPr>
            <w:tcW w:w="1171" w:type="pct"/>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rsidRPr="001A17A6">
              <w:rPr>
                <w:bCs/>
              </w:rPr>
              <w:lastRenderedPageBreak/>
              <w:t>Neparedz stingrākas prasības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3D22B0">
            <w:pPr>
              <w:pStyle w:val="Parasts1"/>
              <w:spacing w:before="100" w:beforeAutospacing="1" w:after="100" w:afterAutospacing="1"/>
            </w:pPr>
            <w:r>
              <w:lastRenderedPageBreak/>
              <w:t>Direktīvas 2012/24/ES 2.panta pirm</w:t>
            </w:r>
            <w:r w:rsidRPr="001A17A6">
              <w:t>ā daļa</w:t>
            </w:r>
          </w:p>
        </w:tc>
        <w:tc>
          <w:tcPr>
            <w:tcW w:w="1243" w:type="pct"/>
            <w:tcBorders>
              <w:top w:val="outset" w:sz="6" w:space="0" w:color="000000"/>
              <w:left w:val="outset" w:sz="6" w:space="0" w:color="000000"/>
              <w:bottom w:val="outset" w:sz="6" w:space="0" w:color="000000"/>
              <w:right w:val="outset" w:sz="6" w:space="0" w:color="000000"/>
            </w:tcBorders>
          </w:tcPr>
          <w:p w:rsidR="004C1507" w:rsidRPr="00281216" w:rsidRDefault="004C1507" w:rsidP="003D22B0">
            <w:pPr>
              <w:pStyle w:val="Parasts1"/>
              <w:rPr>
                <w:bCs/>
              </w:rPr>
            </w:pPr>
            <w:r w:rsidRPr="00281216">
              <w:rPr>
                <w:bCs/>
              </w:rPr>
              <w:t>Transponēšana –</w:t>
            </w:r>
          </w:p>
          <w:p w:rsidR="004C1507" w:rsidRPr="001A17A6" w:rsidRDefault="004C1507" w:rsidP="003D22B0">
            <w:pPr>
              <w:pStyle w:val="Parasts1"/>
              <w:rPr>
                <w:bCs/>
              </w:rPr>
            </w:pPr>
            <w:r>
              <w:rPr>
                <w:bCs/>
              </w:rPr>
              <w:t>2.punkts</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3D22B0">
            <w:pPr>
              <w:pStyle w:val="Parasts1"/>
              <w:spacing w:before="100" w:beforeAutospacing="1" w:after="100" w:afterAutospacing="1"/>
            </w:pPr>
            <w:r w:rsidRPr="001A17A6">
              <w:t>Pārņemtas pilnībā</w:t>
            </w:r>
            <w:r w:rsidR="00D1761B">
              <w:t>.</w:t>
            </w:r>
          </w:p>
        </w:tc>
        <w:tc>
          <w:tcPr>
            <w:tcW w:w="1171" w:type="pct"/>
            <w:tcBorders>
              <w:top w:val="outset" w:sz="6" w:space="0" w:color="000000"/>
              <w:left w:val="outset" w:sz="6" w:space="0" w:color="000000"/>
              <w:bottom w:val="outset" w:sz="6" w:space="0" w:color="000000"/>
            </w:tcBorders>
          </w:tcPr>
          <w:p w:rsidR="004C1507" w:rsidRPr="001A17A6" w:rsidRDefault="004C1507" w:rsidP="003D22B0">
            <w:pPr>
              <w:pStyle w:val="Parasts1"/>
              <w:spacing w:before="100" w:beforeAutospacing="1" w:after="100" w:afterAutospacing="1"/>
            </w:pPr>
            <w:r w:rsidRPr="001A17A6">
              <w:rPr>
                <w:bCs/>
              </w:rPr>
              <w:t>Neparedz stingrākas prasības</w:t>
            </w:r>
            <w:r>
              <w:rPr>
                <w:bCs/>
              </w:rPr>
              <w:t>.</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B74EEC">
            <w:pPr>
              <w:pStyle w:val="Parasts1"/>
              <w:spacing w:before="100" w:beforeAutospacing="1" w:after="100" w:afterAutospacing="1"/>
            </w:pPr>
            <w:r>
              <w:t>Direktīvas 2011/87/ES 2.pant</w:t>
            </w:r>
            <w:r w:rsidR="00D1761B">
              <w:t>a</w:t>
            </w:r>
            <w:r>
              <w:t xml:space="preserve"> otr</w:t>
            </w:r>
            <w:r w:rsidRPr="001A17A6">
              <w:t>ā daļa</w:t>
            </w:r>
          </w:p>
        </w:tc>
        <w:tc>
          <w:tcPr>
            <w:tcW w:w="1243" w:type="pct"/>
            <w:tcBorders>
              <w:top w:val="outset" w:sz="6" w:space="0" w:color="000000"/>
              <w:left w:val="outset" w:sz="6" w:space="0" w:color="000000"/>
              <w:bottom w:val="outset" w:sz="6" w:space="0" w:color="000000"/>
              <w:right w:val="outset" w:sz="6" w:space="0" w:color="000000"/>
            </w:tcBorders>
          </w:tcPr>
          <w:p w:rsidR="004C1507" w:rsidRDefault="004C1507" w:rsidP="00926EDF">
            <w:pPr>
              <w:pStyle w:val="Parasts1"/>
              <w:rPr>
                <w:bCs/>
              </w:rPr>
            </w:pPr>
            <w:r>
              <w:rPr>
                <w:bCs/>
              </w:rPr>
              <w:t>Paziņošana</w:t>
            </w:r>
            <w:r w:rsidR="00D1761B">
              <w:rPr>
                <w:bCs/>
              </w:rPr>
              <w:t xml:space="preserve"> </w:t>
            </w:r>
            <w:r>
              <w:rPr>
                <w:bCs/>
              </w:rPr>
              <w:t>–</w:t>
            </w:r>
          </w:p>
          <w:p w:rsidR="004C1507" w:rsidRPr="001A17A6" w:rsidRDefault="004C1507" w:rsidP="00926EDF">
            <w:pPr>
              <w:pStyle w:val="Parasts1"/>
              <w:rPr>
                <w:bCs/>
              </w:rPr>
            </w:pPr>
            <w:r>
              <w:rPr>
                <w:bCs/>
              </w:rPr>
              <w:t>nav attiecināms</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435BB6">
            <w:pPr>
              <w:pStyle w:val="Parasts1"/>
              <w:spacing w:before="100" w:beforeAutospacing="1" w:after="100" w:afterAutospacing="1"/>
            </w:pPr>
            <w:r>
              <w:rPr>
                <w:bCs/>
              </w:rPr>
              <w:t>N</w:t>
            </w:r>
            <w:r w:rsidRPr="001A17A6">
              <w:rPr>
                <w:bCs/>
              </w:rPr>
              <w:t>av attiecināms</w:t>
            </w:r>
            <w:r>
              <w:rPr>
                <w:bCs/>
              </w:rPr>
              <w:t>.</w:t>
            </w:r>
            <w:r>
              <w:t xml:space="preserve"> Tiesību </w:t>
            </w:r>
            <w:smartTag w:uri="schemas-tilde-lv/tildestengine" w:element="veidnes">
              <w:smartTagPr>
                <w:attr w:name="text" w:val="akts"/>
                <w:attr w:name="baseform" w:val="akts"/>
                <w:attr w:name="id" w:val="-1"/>
              </w:smartTagPr>
              <w:r>
                <w:t>akts</w:t>
              </w:r>
            </w:smartTag>
            <w:r>
              <w:t xml:space="preserve"> tiks paziņots EK pēc tā pieņemšanas Ministru kabineta sēdē</w:t>
            </w:r>
            <w:r w:rsidR="00D1761B">
              <w:t>.</w:t>
            </w:r>
          </w:p>
        </w:tc>
        <w:tc>
          <w:tcPr>
            <w:tcW w:w="1171" w:type="pct"/>
            <w:tcBorders>
              <w:top w:val="outset" w:sz="6" w:space="0" w:color="000000"/>
              <w:left w:val="outset" w:sz="6" w:space="0" w:color="000000"/>
              <w:bottom w:val="outset" w:sz="6" w:space="0" w:color="000000"/>
            </w:tcBorders>
          </w:tcPr>
          <w:p w:rsidR="004C1507" w:rsidRPr="001A17A6" w:rsidRDefault="004C1507" w:rsidP="003C24AE">
            <w:pPr>
              <w:pStyle w:val="Parasts1"/>
              <w:spacing w:before="100" w:beforeAutospacing="1" w:after="100" w:afterAutospacing="1"/>
              <w:rPr>
                <w:bCs/>
              </w:rPr>
            </w:pPr>
            <w:r>
              <w:t>Nav attiecināms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t>Direktīvas 2011/87/ES 3</w:t>
            </w:r>
            <w:r w:rsidRPr="001A17A6">
              <w:t>.pants</w:t>
            </w:r>
          </w:p>
        </w:tc>
        <w:tc>
          <w:tcPr>
            <w:tcW w:w="1243" w:type="pct"/>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rPr>
                <w:bCs/>
              </w:rPr>
            </w:pPr>
            <w:r>
              <w:rPr>
                <w:bCs/>
              </w:rPr>
              <w:t>Stāšanās spēkā – nav attiecināms</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851D4C">
            <w:pPr>
              <w:pStyle w:val="Parasts1"/>
              <w:spacing w:before="100" w:beforeAutospacing="1" w:after="100" w:afterAutospacing="1"/>
            </w:pPr>
            <w:r>
              <w:t>Nav attiecināms</w:t>
            </w:r>
            <w:r>
              <w:rPr>
                <w:bCs/>
              </w:rPr>
              <w:t xml:space="preserve"> </w:t>
            </w:r>
          </w:p>
        </w:tc>
        <w:tc>
          <w:tcPr>
            <w:tcW w:w="1171" w:type="pct"/>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t>Nav attiecināms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3C24AE">
            <w:pPr>
              <w:pStyle w:val="Parasts1"/>
              <w:spacing w:before="100" w:beforeAutospacing="1" w:after="100" w:afterAutospacing="1"/>
            </w:pPr>
            <w:r>
              <w:t>Direktīvas 2011/87/ES 4</w:t>
            </w:r>
            <w:r w:rsidRPr="001A17A6">
              <w:t>.pants</w:t>
            </w:r>
          </w:p>
        </w:tc>
        <w:tc>
          <w:tcPr>
            <w:tcW w:w="1243" w:type="pct"/>
            <w:tcBorders>
              <w:top w:val="outset" w:sz="6" w:space="0" w:color="000000"/>
              <w:left w:val="outset" w:sz="6" w:space="0" w:color="000000"/>
              <w:bottom w:val="outset" w:sz="6" w:space="0" w:color="000000"/>
              <w:right w:val="outset" w:sz="6" w:space="0" w:color="000000"/>
            </w:tcBorders>
          </w:tcPr>
          <w:p w:rsidR="004C1507" w:rsidRDefault="004C1507" w:rsidP="001510C5">
            <w:pPr>
              <w:pStyle w:val="Parasts1"/>
              <w:spacing w:before="100" w:beforeAutospacing="1" w:after="100" w:afterAutospacing="1"/>
              <w:rPr>
                <w:bCs/>
              </w:rPr>
            </w:pPr>
            <w:r>
              <w:rPr>
                <w:bCs/>
              </w:rPr>
              <w:t>Adresāti –</w:t>
            </w:r>
          </w:p>
          <w:p w:rsidR="004C1507" w:rsidRPr="001A17A6" w:rsidRDefault="004C1507" w:rsidP="001510C5">
            <w:pPr>
              <w:pStyle w:val="Parasts1"/>
              <w:spacing w:before="100" w:beforeAutospacing="1" w:after="100" w:afterAutospacing="1"/>
              <w:rPr>
                <w:bCs/>
              </w:rPr>
            </w:pPr>
            <w:r>
              <w:rPr>
                <w:bCs/>
              </w:rPr>
              <w:t>nav attiecināms</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B876B0">
            <w:pPr>
              <w:pStyle w:val="Parasts1"/>
              <w:spacing w:before="100" w:beforeAutospacing="1" w:after="100" w:afterAutospacing="1"/>
            </w:pPr>
            <w:r>
              <w:rPr>
                <w:bCs/>
              </w:rPr>
              <w:t>N</w:t>
            </w:r>
            <w:r w:rsidRPr="001A17A6">
              <w:rPr>
                <w:bCs/>
              </w:rPr>
              <w:t>av attiecināms</w:t>
            </w:r>
            <w:r>
              <w:t xml:space="preserve"> </w:t>
            </w:r>
          </w:p>
        </w:tc>
        <w:tc>
          <w:tcPr>
            <w:tcW w:w="1171" w:type="pct"/>
            <w:tcBorders>
              <w:top w:val="outset" w:sz="6" w:space="0" w:color="000000"/>
              <w:left w:val="outset" w:sz="6" w:space="0" w:color="000000"/>
              <w:bottom w:val="outset" w:sz="6" w:space="0" w:color="000000"/>
            </w:tcBorders>
          </w:tcPr>
          <w:p w:rsidR="004C1507" w:rsidRPr="001A17A6" w:rsidRDefault="004C1507" w:rsidP="003C24AE">
            <w:pPr>
              <w:pStyle w:val="Parasts1"/>
              <w:spacing w:before="100" w:beforeAutospacing="1" w:after="100" w:afterAutospacing="1"/>
            </w:pPr>
            <w:r>
              <w:t>Nav attiecināms</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pPr>
            <w:r w:rsidRPr="001A17A6">
              <w:t>Kā ir i</w:t>
            </w:r>
            <w:smartTag w:uri="urn:schemas-microsoft-com:office:smarttags" w:element="PersonName">
              <w:r w:rsidRPr="001A17A6">
                <w:t>zm</w:t>
              </w:r>
            </w:smartTag>
            <w:r w:rsidRPr="001A17A6">
              <w:t>antota ES tiesību aktā paredzētā rīcības brīvība dalībvalstij pārņemt vai ieviest noteiktas ES tiesību akta normas. Kādēļ?</w:t>
            </w:r>
          </w:p>
        </w:tc>
        <w:tc>
          <w:tcPr>
            <w:tcW w:w="3627" w:type="pct"/>
            <w:gridSpan w:val="3"/>
            <w:tcBorders>
              <w:top w:val="outset" w:sz="6" w:space="0" w:color="000000"/>
              <w:left w:val="outset" w:sz="6" w:space="0" w:color="000000"/>
              <w:bottom w:val="outset" w:sz="6" w:space="0" w:color="000000"/>
            </w:tcBorders>
          </w:tcPr>
          <w:p w:rsidR="004C1507" w:rsidRPr="001A17A6" w:rsidRDefault="004C1507" w:rsidP="000C02A2">
            <w:pPr>
              <w:pStyle w:val="Parasts1"/>
              <w:jc w:val="both"/>
            </w:pPr>
            <w:r w:rsidRPr="001A17A6">
              <w:t>Projekts šo jomu neskar.</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pPr>
            <w:r w:rsidRPr="001A17A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jc w:val="both"/>
            </w:pPr>
            <w:r w:rsidRPr="001A17A6">
              <w:t>Projekts šo jomu neskar.</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 informācija</w:t>
            </w:r>
          </w:p>
        </w:tc>
        <w:tc>
          <w:tcPr>
            <w:tcW w:w="3627" w:type="pct"/>
            <w:gridSpan w:val="3"/>
            <w:tcBorders>
              <w:top w:val="outset" w:sz="6" w:space="0" w:color="000000"/>
              <w:left w:val="outset" w:sz="6" w:space="0" w:color="000000"/>
              <w:bottom w:val="outset" w:sz="6" w:space="0" w:color="000000"/>
            </w:tcBorders>
          </w:tcPr>
          <w:p w:rsidR="004C1507" w:rsidRPr="00E91CE4" w:rsidRDefault="004C1507" w:rsidP="006604E4">
            <w:pPr>
              <w:widowControl w:val="0"/>
              <w:autoSpaceDE w:val="0"/>
              <w:autoSpaceDN w:val="0"/>
              <w:adjustRightInd w:val="0"/>
              <w:jc w:val="both"/>
              <w:rPr>
                <w:bCs/>
                <w:sz w:val="24"/>
                <w:szCs w:val="24"/>
              </w:rPr>
            </w:pPr>
            <w:r w:rsidRPr="003E1C90">
              <w:rPr>
                <w:sz w:val="24"/>
                <w:szCs w:val="24"/>
              </w:rPr>
              <w:t>Atbilstoši Ministru kabineta 2005.gada 9.augusta sēdes protokola Nr.45 38.§ „</w:t>
            </w:r>
            <w:r w:rsidRPr="003E1C90">
              <w:rPr>
                <w:bCs/>
                <w:sz w:val="24"/>
                <w:szCs w:val="24"/>
              </w:rPr>
              <w:t>Par Eiropas Savienības direktīvu pārņemšanas ar atsauci nacionālajā normatīvajā aktā pieļaujamību un nepieciešamību</w:t>
            </w:r>
            <w:r w:rsidRPr="003E1C90">
              <w:rPr>
                <w:sz w:val="24"/>
                <w:szCs w:val="24"/>
              </w:rPr>
              <w:t xml:space="preserve">” 1.punktam Direktīva 2012/24/ES </w:t>
            </w:r>
            <w:r w:rsidRPr="003E1C90">
              <w:rPr>
                <w:bCs/>
                <w:sz w:val="24"/>
                <w:szCs w:val="24"/>
              </w:rPr>
              <w:t>nacionālajā normatīvā aktā tiek pārņemta ar atsauci uz direktīvu.</w:t>
            </w:r>
          </w:p>
          <w:p w:rsidR="004C1507" w:rsidRPr="00872F83" w:rsidRDefault="004C1507" w:rsidP="00872F83">
            <w:pPr>
              <w:widowControl w:val="0"/>
              <w:autoSpaceDE w:val="0"/>
              <w:autoSpaceDN w:val="0"/>
              <w:adjustRightInd w:val="0"/>
              <w:jc w:val="both"/>
              <w:rPr>
                <w:bCs/>
                <w:sz w:val="24"/>
                <w:szCs w:val="24"/>
              </w:rPr>
            </w:pPr>
            <w:r w:rsidRPr="00E91CE4">
              <w:rPr>
                <w:bCs/>
                <w:sz w:val="24"/>
                <w:szCs w:val="24"/>
              </w:rPr>
              <w:t xml:space="preserve">Atsauce uz </w:t>
            </w:r>
            <w:r w:rsidRPr="00E91CE4">
              <w:rPr>
                <w:sz w:val="24"/>
                <w:szCs w:val="24"/>
              </w:rPr>
              <w:t>Direktīv</w:t>
            </w:r>
            <w:r>
              <w:rPr>
                <w:sz w:val="24"/>
                <w:szCs w:val="24"/>
              </w:rPr>
              <w:t>u</w:t>
            </w:r>
            <w:r w:rsidRPr="003E1C90">
              <w:rPr>
                <w:sz w:val="24"/>
                <w:szCs w:val="24"/>
              </w:rPr>
              <w:t xml:space="preserve"> 2012/24/ES </w:t>
            </w:r>
            <w:r w:rsidRPr="00E91CE4">
              <w:rPr>
                <w:bCs/>
                <w:sz w:val="24"/>
                <w:szCs w:val="24"/>
              </w:rPr>
              <w:t>/EEK ir ie</w:t>
            </w:r>
            <w:r w:rsidR="00D1761B">
              <w:rPr>
                <w:bCs/>
                <w:sz w:val="24"/>
                <w:szCs w:val="24"/>
              </w:rPr>
              <w:t>kļauta</w:t>
            </w:r>
            <w:bookmarkStart w:id="0" w:name="_GoBack"/>
            <w:bookmarkEnd w:id="0"/>
            <w:r w:rsidRPr="00E91CE4">
              <w:rPr>
                <w:bCs/>
                <w:sz w:val="24"/>
                <w:szCs w:val="24"/>
              </w:rPr>
              <w:t xml:space="preserve"> noteikumu p</w:t>
            </w:r>
            <w:r>
              <w:rPr>
                <w:bCs/>
                <w:sz w:val="24"/>
                <w:szCs w:val="24"/>
              </w:rPr>
              <w:t xml:space="preserve">rojekta </w:t>
            </w:r>
            <w:r w:rsidRPr="003E1C90">
              <w:rPr>
                <w:bCs/>
                <w:sz w:val="24"/>
                <w:szCs w:val="24"/>
              </w:rPr>
              <w:t>1.14. un 1.15.apakšpunktā</w:t>
            </w:r>
            <w:r w:rsidRPr="00E91CE4">
              <w:rPr>
                <w:bCs/>
                <w:sz w:val="24"/>
                <w:szCs w:val="24"/>
              </w:rPr>
              <w:t>.</w:t>
            </w:r>
          </w:p>
        </w:tc>
      </w:tr>
    </w:tbl>
    <w:p w:rsidR="004C1507" w:rsidRPr="001A17A6" w:rsidRDefault="004C1507" w:rsidP="00456C58">
      <w:pPr>
        <w:pStyle w:val="Paraststmeklis1"/>
        <w:spacing w:before="0" w:beforeAutospacing="0" w:after="0" w:afterAutospacing="0"/>
        <w:rPr>
          <w:i/>
          <w:highlight w:val="yellow"/>
        </w:rPr>
      </w:pPr>
    </w:p>
    <w:p w:rsidR="004C1507" w:rsidRPr="001A17A6" w:rsidRDefault="004C1507" w:rsidP="00456C58">
      <w:pPr>
        <w:pStyle w:val="Paraststmeklis1"/>
        <w:spacing w:before="0" w:beforeAutospacing="0" w:after="0" w:afterAutospacing="0"/>
        <w:rPr>
          <w:i/>
          <w:highlight w:val="yellow"/>
        </w:rPr>
      </w:pPr>
    </w:p>
    <w:tbl>
      <w:tblPr>
        <w:tblW w:w="932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4"/>
        <w:gridCol w:w="4158"/>
        <w:gridCol w:w="4803"/>
      </w:tblGrid>
      <w:tr w:rsidR="004C1507" w:rsidRPr="001A17A6" w:rsidTr="0062486A">
        <w:trPr>
          <w:jc w:val="center"/>
        </w:trPr>
        <w:tc>
          <w:tcPr>
            <w:tcW w:w="9325" w:type="dxa"/>
            <w:gridSpan w:val="3"/>
          </w:tcPr>
          <w:p w:rsidR="004C1507" w:rsidRPr="001A17A6" w:rsidRDefault="004C1507">
            <w:pPr>
              <w:pStyle w:val="naisnod"/>
              <w:spacing w:before="0" w:after="0"/>
              <w:ind w:left="57" w:right="57"/>
              <w:rPr>
                <w:highlight w:val="yellow"/>
              </w:rPr>
            </w:pPr>
            <w:r w:rsidRPr="001A17A6">
              <w:t>VI. Sabiedrības līdzdalība un šīs līdzdalības rezultāti</w:t>
            </w:r>
          </w:p>
        </w:tc>
      </w:tr>
      <w:tr w:rsidR="004C1507" w:rsidRPr="001A17A6" w:rsidTr="00446440">
        <w:trPr>
          <w:trHeight w:val="553"/>
          <w:jc w:val="center"/>
        </w:trPr>
        <w:tc>
          <w:tcPr>
            <w:tcW w:w="364" w:type="dxa"/>
          </w:tcPr>
          <w:p w:rsidR="004C1507" w:rsidRPr="001A17A6" w:rsidRDefault="004C1507">
            <w:pPr>
              <w:pStyle w:val="naiskr"/>
              <w:spacing w:before="0" w:after="0"/>
              <w:ind w:left="57" w:right="57"/>
              <w:rPr>
                <w:bCs/>
              </w:rPr>
            </w:pPr>
            <w:r w:rsidRPr="001A17A6">
              <w:rPr>
                <w:bCs/>
              </w:rPr>
              <w:t>1.</w:t>
            </w:r>
          </w:p>
        </w:tc>
        <w:tc>
          <w:tcPr>
            <w:tcW w:w="4158" w:type="dxa"/>
          </w:tcPr>
          <w:p w:rsidR="004C1507" w:rsidRPr="001A17A6" w:rsidRDefault="004C1507">
            <w:pPr>
              <w:pStyle w:val="naiskr"/>
              <w:tabs>
                <w:tab w:val="left" w:pos="170"/>
              </w:tabs>
              <w:spacing w:before="0" w:after="0"/>
              <w:ind w:left="57" w:right="57"/>
            </w:pPr>
            <w:r w:rsidRPr="001A17A6">
              <w:t>Sabiedrības informēšana par projekta izstrādes uzsākšanu</w:t>
            </w:r>
          </w:p>
        </w:tc>
        <w:tc>
          <w:tcPr>
            <w:tcW w:w="4803" w:type="dxa"/>
          </w:tcPr>
          <w:p w:rsidR="004C1507" w:rsidRPr="001A17A6" w:rsidRDefault="004C1507" w:rsidP="00DD0FBC">
            <w:pPr>
              <w:pStyle w:val="naiskr"/>
              <w:spacing w:before="0" w:after="0"/>
              <w:ind w:left="57" w:right="57"/>
              <w:jc w:val="both"/>
              <w:rPr>
                <w:highlight w:val="yellow"/>
              </w:rPr>
            </w:pPr>
            <w:r>
              <w:rPr>
                <w:iCs/>
              </w:rPr>
              <w:t>I</w:t>
            </w:r>
            <w:r w:rsidRPr="001A17A6">
              <w:rPr>
                <w:iCs/>
              </w:rPr>
              <w:t xml:space="preserve">nformācija </w:t>
            </w:r>
            <w:r>
              <w:rPr>
                <w:iCs/>
              </w:rPr>
              <w:t>p</w:t>
            </w:r>
            <w:r w:rsidRPr="001A17A6">
              <w:rPr>
                <w:iCs/>
              </w:rPr>
              <w:t xml:space="preserve">ar normatīvā akta projektu </w:t>
            </w:r>
            <w:r>
              <w:rPr>
                <w:iCs/>
              </w:rPr>
              <w:t xml:space="preserve">tiks </w:t>
            </w:r>
            <w:r w:rsidRPr="001A17A6">
              <w:rPr>
                <w:iCs/>
              </w:rPr>
              <w:t xml:space="preserve">nosūtīta </w:t>
            </w:r>
            <w:r w:rsidRPr="001A17A6">
              <w:t xml:space="preserve">uz sociālo partneru e-pasta adresēm, kā arī ir ievietota tīmekļa vietnē </w:t>
            </w:r>
            <w:proofErr w:type="spellStart"/>
            <w:r w:rsidRPr="001A17A6">
              <w:t>www.zm.gov.lv</w:t>
            </w:r>
            <w:proofErr w:type="spellEnd"/>
            <w:r w:rsidRPr="001A17A6">
              <w:t>.</w:t>
            </w:r>
          </w:p>
        </w:tc>
      </w:tr>
      <w:tr w:rsidR="004C1507" w:rsidRPr="001A17A6" w:rsidTr="00446440">
        <w:trPr>
          <w:trHeight w:val="339"/>
          <w:jc w:val="center"/>
        </w:trPr>
        <w:tc>
          <w:tcPr>
            <w:tcW w:w="364" w:type="dxa"/>
          </w:tcPr>
          <w:p w:rsidR="004C1507" w:rsidRPr="001A17A6" w:rsidRDefault="004C1507">
            <w:pPr>
              <w:pStyle w:val="naiskr"/>
              <w:spacing w:before="0" w:after="0"/>
              <w:ind w:left="57" w:right="57"/>
              <w:rPr>
                <w:bCs/>
              </w:rPr>
            </w:pPr>
            <w:r w:rsidRPr="001A17A6">
              <w:rPr>
                <w:bCs/>
              </w:rPr>
              <w:lastRenderedPageBreak/>
              <w:t>2.</w:t>
            </w:r>
          </w:p>
        </w:tc>
        <w:tc>
          <w:tcPr>
            <w:tcW w:w="4158" w:type="dxa"/>
          </w:tcPr>
          <w:p w:rsidR="004C1507" w:rsidRPr="001A17A6" w:rsidRDefault="004C1507">
            <w:pPr>
              <w:pStyle w:val="naiskr"/>
              <w:spacing w:before="0" w:after="0"/>
              <w:ind w:left="57" w:right="57"/>
            </w:pPr>
            <w:r w:rsidRPr="001A17A6">
              <w:t xml:space="preserve">Sabiedrības līdzdalība projekta izstrādē </w:t>
            </w:r>
          </w:p>
        </w:tc>
        <w:tc>
          <w:tcPr>
            <w:tcW w:w="4803" w:type="dxa"/>
          </w:tcPr>
          <w:p w:rsidR="004C1507" w:rsidRPr="001A17A6" w:rsidRDefault="00827CDE" w:rsidP="00A91E67">
            <w:pPr>
              <w:pStyle w:val="naiskr"/>
              <w:spacing w:before="0" w:after="0"/>
              <w:ind w:left="57" w:right="57"/>
              <w:jc w:val="both"/>
              <w:rPr>
                <w:highlight w:val="yellow"/>
              </w:rPr>
            </w:pPr>
            <w:r>
              <w:t xml:space="preserve">Noteikumu projekts nosūtīts </w:t>
            </w:r>
            <w:r w:rsidR="004C1507">
              <w:t>saskaņošanai</w:t>
            </w:r>
            <w:r w:rsidR="004C1507" w:rsidRPr="001A17A6">
              <w:t xml:space="preserve"> </w:t>
            </w:r>
            <w:r w:rsidR="004C1507">
              <w:t>biedrībai „</w:t>
            </w:r>
            <w:r w:rsidR="004C1507" w:rsidRPr="001A17A6">
              <w:t>Lauksaimniecības tehnikas ražotāju un tirgotāju asociācija</w:t>
            </w:r>
            <w:r w:rsidR="004C1507">
              <w:t>”.</w:t>
            </w:r>
          </w:p>
        </w:tc>
      </w:tr>
      <w:tr w:rsidR="004C1507" w:rsidRPr="001A17A6" w:rsidTr="00446440">
        <w:trPr>
          <w:trHeight w:val="375"/>
          <w:jc w:val="center"/>
        </w:trPr>
        <w:tc>
          <w:tcPr>
            <w:tcW w:w="364" w:type="dxa"/>
          </w:tcPr>
          <w:p w:rsidR="004C1507" w:rsidRPr="001A17A6" w:rsidRDefault="004C1507">
            <w:pPr>
              <w:pStyle w:val="naiskr"/>
              <w:spacing w:before="0" w:after="0"/>
              <w:ind w:left="57" w:right="57"/>
              <w:rPr>
                <w:bCs/>
              </w:rPr>
            </w:pPr>
            <w:r w:rsidRPr="001A17A6">
              <w:rPr>
                <w:bCs/>
              </w:rPr>
              <w:t>3.</w:t>
            </w:r>
          </w:p>
        </w:tc>
        <w:tc>
          <w:tcPr>
            <w:tcW w:w="4158" w:type="dxa"/>
          </w:tcPr>
          <w:p w:rsidR="004C1507" w:rsidRPr="001A17A6" w:rsidRDefault="004C1507">
            <w:pPr>
              <w:pStyle w:val="naiskr"/>
              <w:spacing w:before="0" w:after="0"/>
              <w:ind w:left="57" w:right="57"/>
            </w:pPr>
            <w:r w:rsidRPr="001A17A6">
              <w:t xml:space="preserve">Sabiedrības līdzdalības rezultāti </w:t>
            </w:r>
          </w:p>
        </w:tc>
        <w:tc>
          <w:tcPr>
            <w:tcW w:w="4803" w:type="dxa"/>
          </w:tcPr>
          <w:p w:rsidR="004C1507" w:rsidRPr="001A17A6" w:rsidRDefault="004C1507" w:rsidP="00D17F92">
            <w:pPr>
              <w:pStyle w:val="naiskr"/>
              <w:spacing w:before="0" w:after="0"/>
              <w:ind w:right="57"/>
              <w:jc w:val="both"/>
              <w:rPr>
                <w:highlight w:val="yellow"/>
              </w:rPr>
            </w:pPr>
            <w:r>
              <w:t>Biedrība „</w:t>
            </w:r>
            <w:r w:rsidRPr="001A17A6">
              <w:t>Lauksaimniecības tehnikas ražotāju un tirgotāju asociācija</w:t>
            </w:r>
            <w:r>
              <w:t>”</w:t>
            </w:r>
            <w:r w:rsidRPr="001A17A6">
              <w:t xml:space="preserve"> </w:t>
            </w:r>
            <w:r>
              <w:t>neiebilst pret noteikumu projektu.</w:t>
            </w:r>
          </w:p>
        </w:tc>
      </w:tr>
      <w:tr w:rsidR="004C1507" w:rsidRPr="001A17A6" w:rsidTr="00446440">
        <w:trPr>
          <w:trHeight w:val="397"/>
          <w:jc w:val="center"/>
        </w:trPr>
        <w:tc>
          <w:tcPr>
            <w:tcW w:w="364" w:type="dxa"/>
          </w:tcPr>
          <w:p w:rsidR="004C1507" w:rsidRPr="001A17A6" w:rsidRDefault="004C1507">
            <w:pPr>
              <w:pStyle w:val="naiskr"/>
              <w:spacing w:before="0" w:after="0"/>
              <w:ind w:left="57" w:right="57"/>
              <w:rPr>
                <w:bCs/>
              </w:rPr>
            </w:pPr>
            <w:r w:rsidRPr="001A17A6">
              <w:rPr>
                <w:bCs/>
              </w:rPr>
              <w:t>4.</w:t>
            </w:r>
          </w:p>
        </w:tc>
        <w:tc>
          <w:tcPr>
            <w:tcW w:w="4158" w:type="dxa"/>
          </w:tcPr>
          <w:p w:rsidR="004C1507" w:rsidRPr="001A17A6" w:rsidRDefault="004C1507">
            <w:pPr>
              <w:pStyle w:val="naiskr"/>
              <w:spacing w:before="0" w:after="0"/>
              <w:ind w:left="57" w:right="57"/>
            </w:pPr>
            <w:r w:rsidRPr="001A17A6">
              <w:t>Saeimas un ekspertu līdzdalība</w:t>
            </w:r>
          </w:p>
        </w:tc>
        <w:tc>
          <w:tcPr>
            <w:tcW w:w="4803" w:type="dxa"/>
          </w:tcPr>
          <w:p w:rsidR="004C1507" w:rsidRPr="001A17A6" w:rsidRDefault="004C1507">
            <w:pPr>
              <w:pStyle w:val="naiskr"/>
              <w:spacing w:before="0" w:after="0"/>
              <w:ind w:left="57" w:right="57"/>
              <w:jc w:val="both"/>
            </w:pPr>
            <w:r w:rsidRPr="001A17A6">
              <w:t>Projekts šo jomu neskar.</w:t>
            </w:r>
          </w:p>
        </w:tc>
      </w:tr>
      <w:tr w:rsidR="004C1507" w:rsidRPr="001A17A6" w:rsidTr="00446440">
        <w:trPr>
          <w:trHeight w:val="476"/>
          <w:jc w:val="center"/>
        </w:trPr>
        <w:tc>
          <w:tcPr>
            <w:tcW w:w="364" w:type="dxa"/>
          </w:tcPr>
          <w:p w:rsidR="004C1507" w:rsidRPr="001A17A6" w:rsidRDefault="004C1507">
            <w:pPr>
              <w:pStyle w:val="naiskr"/>
              <w:spacing w:before="0" w:after="0"/>
              <w:ind w:left="57" w:right="57"/>
              <w:rPr>
                <w:bCs/>
              </w:rPr>
            </w:pPr>
            <w:r w:rsidRPr="001A17A6">
              <w:rPr>
                <w:bCs/>
              </w:rPr>
              <w:t>5.</w:t>
            </w:r>
          </w:p>
        </w:tc>
        <w:tc>
          <w:tcPr>
            <w:tcW w:w="4158" w:type="dxa"/>
          </w:tcPr>
          <w:p w:rsidR="004C1507" w:rsidRPr="001A17A6" w:rsidRDefault="004C1507">
            <w:pPr>
              <w:pStyle w:val="naiskr"/>
              <w:spacing w:before="0" w:after="0"/>
              <w:ind w:left="57" w:right="57"/>
            </w:pPr>
            <w:r w:rsidRPr="001A17A6">
              <w:t>Cita informācija</w:t>
            </w:r>
          </w:p>
          <w:p w:rsidR="004C1507" w:rsidRPr="001A17A6" w:rsidRDefault="004C1507">
            <w:pPr>
              <w:pStyle w:val="naiskr"/>
              <w:spacing w:before="0" w:after="0"/>
              <w:ind w:left="57" w:right="57"/>
            </w:pPr>
          </w:p>
        </w:tc>
        <w:tc>
          <w:tcPr>
            <w:tcW w:w="4803" w:type="dxa"/>
          </w:tcPr>
          <w:p w:rsidR="004C1507" w:rsidRPr="001A17A6" w:rsidRDefault="004C1507">
            <w:pPr>
              <w:pStyle w:val="naiskr"/>
              <w:spacing w:before="0" w:after="0"/>
              <w:ind w:left="57" w:right="57"/>
              <w:jc w:val="both"/>
            </w:pPr>
            <w:r w:rsidRPr="001A17A6">
              <w:t>Nav.</w:t>
            </w:r>
          </w:p>
        </w:tc>
      </w:tr>
    </w:tbl>
    <w:p w:rsidR="004C1507" w:rsidRPr="001A17A6" w:rsidRDefault="004C1507">
      <w:pPr>
        <w:pStyle w:val="Parasts1"/>
        <w:rPr>
          <w:highlight w:val="yellow"/>
        </w:rPr>
      </w:pPr>
    </w:p>
    <w:tbl>
      <w:tblPr>
        <w:tblW w:w="9461"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9"/>
        <w:gridCol w:w="4065"/>
        <w:gridCol w:w="4917"/>
      </w:tblGrid>
      <w:tr w:rsidR="004C1507" w:rsidRPr="001A17A6" w:rsidTr="0062486A">
        <w:trPr>
          <w:jc w:val="center"/>
        </w:trPr>
        <w:tc>
          <w:tcPr>
            <w:tcW w:w="9461" w:type="dxa"/>
            <w:gridSpan w:val="3"/>
          </w:tcPr>
          <w:p w:rsidR="004C1507" w:rsidRPr="001A17A6" w:rsidRDefault="004C1507">
            <w:pPr>
              <w:pStyle w:val="naisnod"/>
              <w:spacing w:before="0" w:after="0"/>
              <w:ind w:left="57" w:right="57"/>
              <w:rPr>
                <w:highlight w:val="yellow"/>
              </w:rPr>
            </w:pPr>
            <w:r w:rsidRPr="001A17A6">
              <w:t>VII. Tiesību akta projekta izpildes nodrošināšana un tās ietekme uz institūcijām</w:t>
            </w:r>
          </w:p>
        </w:tc>
      </w:tr>
      <w:tr w:rsidR="004C1507" w:rsidRPr="001A17A6" w:rsidTr="004F3565">
        <w:trPr>
          <w:trHeight w:val="427"/>
          <w:jc w:val="center"/>
        </w:trPr>
        <w:tc>
          <w:tcPr>
            <w:tcW w:w="479" w:type="dxa"/>
          </w:tcPr>
          <w:p w:rsidR="004C1507" w:rsidRPr="001A17A6" w:rsidRDefault="004C1507">
            <w:pPr>
              <w:pStyle w:val="naisnod"/>
              <w:spacing w:before="0" w:after="0"/>
              <w:ind w:left="57" w:right="57"/>
              <w:jc w:val="left"/>
              <w:rPr>
                <w:b w:val="0"/>
              </w:rPr>
            </w:pPr>
            <w:r w:rsidRPr="001A17A6">
              <w:rPr>
                <w:b w:val="0"/>
              </w:rPr>
              <w:t>1.</w:t>
            </w:r>
          </w:p>
        </w:tc>
        <w:tc>
          <w:tcPr>
            <w:tcW w:w="4065" w:type="dxa"/>
          </w:tcPr>
          <w:p w:rsidR="004C1507" w:rsidRPr="001A17A6" w:rsidRDefault="004C1507">
            <w:pPr>
              <w:pStyle w:val="naisf"/>
              <w:spacing w:before="0" w:after="0"/>
              <w:ind w:left="57" w:right="57" w:firstLine="0"/>
              <w:jc w:val="left"/>
            </w:pPr>
            <w:r w:rsidRPr="001A17A6">
              <w:t xml:space="preserve">Projekta izpildē iesaistītās institūcijas </w:t>
            </w:r>
          </w:p>
        </w:tc>
        <w:tc>
          <w:tcPr>
            <w:tcW w:w="4917" w:type="dxa"/>
          </w:tcPr>
          <w:p w:rsidR="004C1507" w:rsidRPr="001A17A6" w:rsidRDefault="004C1507" w:rsidP="0032693C">
            <w:pPr>
              <w:pStyle w:val="naisnod"/>
              <w:spacing w:before="0" w:after="0"/>
              <w:ind w:left="57" w:right="57"/>
              <w:jc w:val="both"/>
              <w:rPr>
                <w:b w:val="0"/>
                <w:highlight w:val="yellow"/>
              </w:rPr>
            </w:pPr>
            <w:r w:rsidRPr="001A17A6">
              <w:rPr>
                <w:b w:val="0"/>
                <w:iCs/>
              </w:rPr>
              <w:t xml:space="preserve">Normatīvā akta projekta izpildi nodrošinās </w:t>
            </w:r>
            <w:r w:rsidRPr="001A17A6">
              <w:rPr>
                <w:b w:val="0"/>
              </w:rPr>
              <w:t>valsts SIA „Sertifikācijas un testēšanas centrs” un „Valsts tehniskās uzraudzības aģentūra”.</w:t>
            </w:r>
            <w:r w:rsidRPr="001A17A6">
              <w:t xml:space="preserve"> </w:t>
            </w:r>
          </w:p>
        </w:tc>
      </w:tr>
      <w:tr w:rsidR="004C1507" w:rsidRPr="001A17A6" w:rsidTr="004F3565">
        <w:trPr>
          <w:trHeight w:val="463"/>
          <w:jc w:val="center"/>
        </w:trPr>
        <w:tc>
          <w:tcPr>
            <w:tcW w:w="479" w:type="dxa"/>
          </w:tcPr>
          <w:p w:rsidR="004C1507" w:rsidRPr="001A17A6" w:rsidRDefault="004C1507">
            <w:pPr>
              <w:pStyle w:val="naisnod"/>
              <w:spacing w:before="0" w:after="0"/>
              <w:ind w:left="57" w:right="57"/>
              <w:jc w:val="left"/>
              <w:rPr>
                <w:b w:val="0"/>
              </w:rPr>
            </w:pPr>
            <w:r w:rsidRPr="001A17A6">
              <w:rPr>
                <w:b w:val="0"/>
              </w:rPr>
              <w:t>2.</w:t>
            </w:r>
          </w:p>
        </w:tc>
        <w:tc>
          <w:tcPr>
            <w:tcW w:w="4065" w:type="dxa"/>
          </w:tcPr>
          <w:p w:rsidR="004C1507" w:rsidRPr="001A17A6" w:rsidRDefault="004C1507">
            <w:pPr>
              <w:pStyle w:val="naisf"/>
              <w:spacing w:before="0" w:after="0"/>
              <w:ind w:left="57" w:right="57" w:firstLine="0"/>
              <w:jc w:val="left"/>
            </w:pPr>
            <w:r w:rsidRPr="001A17A6">
              <w:t xml:space="preserve">Projekta izpildes ietekme uz pārvaldes funkcijām </w:t>
            </w:r>
          </w:p>
        </w:tc>
        <w:tc>
          <w:tcPr>
            <w:tcW w:w="4917" w:type="dxa"/>
          </w:tcPr>
          <w:p w:rsidR="004C1507" w:rsidRPr="001A17A6" w:rsidRDefault="004C1507" w:rsidP="00430E31">
            <w:pPr>
              <w:pStyle w:val="naisnod"/>
              <w:spacing w:before="0" w:after="0"/>
              <w:ind w:left="57" w:right="57"/>
              <w:jc w:val="both"/>
              <w:rPr>
                <w:b w:val="0"/>
              </w:rPr>
            </w:pPr>
            <w:r w:rsidRPr="001A17A6">
              <w:rPr>
                <w:b w:val="0"/>
                <w:iCs/>
              </w:rPr>
              <w:t>Funkcijas un uzdevumus normatīvā akta projekta izpilde neietekmēs.</w:t>
            </w:r>
          </w:p>
        </w:tc>
      </w:tr>
      <w:tr w:rsidR="004C1507" w:rsidRPr="001A17A6" w:rsidTr="004F3565">
        <w:trPr>
          <w:trHeight w:val="725"/>
          <w:jc w:val="center"/>
        </w:trPr>
        <w:tc>
          <w:tcPr>
            <w:tcW w:w="479" w:type="dxa"/>
          </w:tcPr>
          <w:p w:rsidR="004C1507" w:rsidRPr="001A17A6" w:rsidRDefault="004C1507">
            <w:pPr>
              <w:pStyle w:val="naisnod"/>
              <w:spacing w:before="0" w:after="0"/>
              <w:ind w:left="57" w:right="57"/>
              <w:jc w:val="left"/>
              <w:rPr>
                <w:b w:val="0"/>
              </w:rPr>
            </w:pPr>
            <w:r w:rsidRPr="001A17A6">
              <w:rPr>
                <w:b w:val="0"/>
              </w:rPr>
              <w:t>3.</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Jaunu institūciju izveide</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nebūs nepieciešams veidot jaunas institūcijas.</w:t>
            </w:r>
          </w:p>
        </w:tc>
      </w:tr>
      <w:tr w:rsidR="004C1507" w:rsidRPr="001A17A6" w:rsidTr="004F3565">
        <w:trPr>
          <w:trHeight w:val="780"/>
          <w:jc w:val="center"/>
        </w:trPr>
        <w:tc>
          <w:tcPr>
            <w:tcW w:w="479" w:type="dxa"/>
          </w:tcPr>
          <w:p w:rsidR="004C1507" w:rsidRPr="001A17A6" w:rsidRDefault="004C1507">
            <w:pPr>
              <w:pStyle w:val="naisnod"/>
              <w:spacing w:before="0" w:after="0"/>
              <w:ind w:left="57" w:right="57"/>
              <w:jc w:val="left"/>
              <w:rPr>
                <w:b w:val="0"/>
              </w:rPr>
            </w:pPr>
            <w:r w:rsidRPr="001A17A6">
              <w:rPr>
                <w:b w:val="0"/>
              </w:rPr>
              <w:t>4.</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Esošu institūciju likvidācija</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nav plānots likvidēt esošu institūciju.</w:t>
            </w:r>
          </w:p>
        </w:tc>
      </w:tr>
      <w:tr w:rsidR="004C1507" w:rsidRPr="001A17A6" w:rsidTr="004F3565">
        <w:trPr>
          <w:trHeight w:val="703"/>
          <w:jc w:val="center"/>
        </w:trPr>
        <w:tc>
          <w:tcPr>
            <w:tcW w:w="479" w:type="dxa"/>
          </w:tcPr>
          <w:p w:rsidR="004C1507" w:rsidRPr="001A17A6" w:rsidRDefault="004C1507">
            <w:pPr>
              <w:pStyle w:val="naisnod"/>
              <w:spacing w:before="0" w:after="0"/>
              <w:ind w:left="57" w:right="57"/>
              <w:jc w:val="left"/>
              <w:rPr>
                <w:b w:val="0"/>
              </w:rPr>
            </w:pPr>
            <w:r w:rsidRPr="001A17A6">
              <w:rPr>
                <w:b w:val="0"/>
              </w:rPr>
              <w:t>5.</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Esošu institūciju reorganizācija</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nav plānots reorganizēt esošu institūciju vai arī apvienot esošas institūcijas.</w:t>
            </w:r>
          </w:p>
        </w:tc>
      </w:tr>
      <w:tr w:rsidR="004C1507" w:rsidRPr="001A17A6" w:rsidTr="004F3565">
        <w:trPr>
          <w:trHeight w:val="476"/>
          <w:jc w:val="center"/>
        </w:trPr>
        <w:tc>
          <w:tcPr>
            <w:tcW w:w="479" w:type="dxa"/>
          </w:tcPr>
          <w:p w:rsidR="004C1507" w:rsidRPr="001A17A6" w:rsidRDefault="004C1507">
            <w:pPr>
              <w:pStyle w:val="naiskr"/>
              <w:spacing w:before="0" w:after="0"/>
              <w:ind w:left="57" w:right="57"/>
            </w:pPr>
            <w:r w:rsidRPr="001A17A6">
              <w:t>6.</w:t>
            </w:r>
          </w:p>
        </w:tc>
        <w:tc>
          <w:tcPr>
            <w:tcW w:w="4065" w:type="dxa"/>
          </w:tcPr>
          <w:p w:rsidR="004C1507" w:rsidRPr="001A17A6" w:rsidRDefault="004C1507">
            <w:pPr>
              <w:pStyle w:val="naiskr"/>
              <w:spacing w:before="0" w:after="0"/>
              <w:ind w:left="57" w:right="57"/>
            </w:pPr>
            <w:r w:rsidRPr="001A17A6">
              <w:t>Cita informācija</w:t>
            </w:r>
          </w:p>
        </w:tc>
        <w:tc>
          <w:tcPr>
            <w:tcW w:w="4917" w:type="dxa"/>
          </w:tcPr>
          <w:p w:rsidR="004C1507" w:rsidRPr="001A17A6" w:rsidRDefault="004C1507">
            <w:pPr>
              <w:pStyle w:val="naiskr"/>
              <w:spacing w:before="0" w:after="0"/>
              <w:ind w:left="57" w:right="57"/>
            </w:pPr>
            <w:r w:rsidRPr="001A17A6">
              <w:t>Nav.</w:t>
            </w:r>
          </w:p>
        </w:tc>
      </w:tr>
    </w:tbl>
    <w:p w:rsidR="004C1507" w:rsidRDefault="004C1507" w:rsidP="0032693C">
      <w:pPr>
        <w:pStyle w:val="Parasts1"/>
        <w:rPr>
          <w:sz w:val="28"/>
          <w:szCs w:val="28"/>
        </w:rPr>
      </w:pPr>
    </w:p>
    <w:p w:rsidR="004C1507" w:rsidRDefault="004C1507" w:rsidP="0032693C">
      <w:pPr>
        <w:pStyle w:val="Parasts1"/>
        <w:rPr>
          <w:sz w:val="28"/>
          <w:szCs w:val="28"/>
        </w:rPr>
      </w:pPr>
    </w:p>
    <w:p w:rsidR="004C1507" w:rsidRDefault="004C1507" w:rsidP="0032693C">
      <w:pPr>
        <w:pStyle w:val="Parasts1"/>
        <w:rPr>
          <w:sz w:val="28"/>
          <w:szCs w:val="28"/>
        </w:rPr>
      </w:pPr>
    </w:p>
    <w:p w:rsidR="004C1507" w:rsidRDefault="004C1507" w:rsidP="0032693C">
      <w:pPr>
        <w:pStyle w:val="Parasts1"/>
        <w:rPr>
          <w:sz w:val="28"/>
          <w:szCs w:val="28"/>
        </w:rPr>
      </w:pPr>
    </w:p>
    <w:p w:rsidR="004C1507" w:rsidRPr="006A6016" w:rsidRDefault="004C1507" w:rsidP="0004412B">
      <w:pPr>
        <w:pStyle w:val="Parasts1"/>
        <w:ind w:firstLine="720"/>
        <w:rPr>
          <w:sz w:val="28"/>
          <w:szCs w:val="28"/>
        </w:rPr>
      </w:pPr>
      <w:r w:rsidRPr="001A17A6">
        <w:rPr>
          <w:sz w:val="28"/>
          <w:szCs w:val="28"/>
        </w:rPr>
        <w:t>Zemkopības ministre</w:t>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t>L.Straujuma</w:t>
      </w: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04412B" w:rsidRDefault="0004412B" w:rsidP="00684628">
      <w:pPr>
        <w:pStyle w:val="Parasts1"/>
        <w:rPr>
          <w:sz w:val="20"/>
          <w:szCs w:val="20"/>
          <w:lang w:eastAsia="en-US"/>
        </w:rPr>
      </w:pPr>
      <w:r>
        <w:rPr>
          <w:sz w:val="20"/>
          <w:szCs w:val="20"/>
          <w:lang w:eastAsia="en-US"/>
        </w:rPr>
        <w:t>2013.02.22. 9:29</w:t>
      </w:r>
    </w:p>
    <w:p w:rsidR="0004412B" w:rsidRDefault="0004412B" w:rsidP="00684628">
      <w:pPr>
        <w:pStyle w:val="Parasts1"/>
      </w:pPr>
      <w:fldSimple w:instr=" NUMWORDS   \* MERGEFORMAT ">
        <w:r>
          <w:rPr>
            <w:noProof/>
          </w:rPr>
          <w:t>1127</w:t>
        </w:r>
      </w:fldSimple>
    </w:p>
    <w:p w:rsidR="004C1507" w:rsidRPr="001A17A6" w:rsidRDefault="004C1507" w:rsidP="00684628">
      <w:pPr>
        <w:pStyle w:val="Parasts1"/>
        <w:rPr>
          <w:sz w:val="20"/>
        </w:rPr>
      </w:pPr>
      <w:r w:rsidRPr="001A17A6">
        <w:rPr>
          <w:sz w:val="20"/>
        </w:rPr>
        <w:t>G.Melkins</w:t>
      </w:r>
    </w:p>
    <w:p w:rsidR="004C1507" w:rsidRPr="001A17A6" w:rsidRDefault="004C1507" w:rsidP="00880E3B">
      <w:pPr>
        <w:pStyle w:val="Parasts1"/>
      </w:pPr>
      <w:r w:rsidRPr="001A17A6">
        <w:rPr>
          <w:sz w:val="20"/>
        </w:rPr>
        <w:t>67027207, Gints.Melkins@zm.gov.lv</w:t>
      </w:r>
    </w:p>
    <w:sectPr w:rsidR="004C1507" w:rsidRPr="001A17A6" w:rsidSect="00AB6FB3">
      <w:headerReference w:type="even" r:id="rId6"/>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DF" w:rsidRDefault="006355DF">
      <w:pPr>
        <w:pStyle w:val="naisnod"/>
      </w:pPr>
      <w:r>
        <w:separator/>
      </w:r>
    </w:p>
  </w:endnote>
  <w:endnote w:type="continuationSeparator" w:id="0">
    <w:p w:rsidR="006355DF" w:rsidRDefault="006355DF">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4C1507" w:rsidP="006F3427">
    <w:pPr>
      <w:pStyle w:val="Kjene"/>
      <w:jc w:val="both"/>
    </w:pPr>
    <w:r>
      <w:t xml:space="preserve">ZMAnot_200213_atbilstiba; </w:t>
    </w:r>
    <w:r w:rsidRPr="001C482B">
      <w:t>„</w:t>
    </w:r>
    <w:r>
      <w:t>Grozījumi Ministru kabineta 2006.gada 27.jūnija noteikumos Nr.535</w:t>
    </w:r>
    <w:r w:rsidRPr="001C482B">
      <w:t xml:space="preserve"> „</w:t>
    </w:r>
    <w:r>
      <w:t>Lauksaimniecībā vai mežsaimniecībā izmantojamo traktoru, piekabju un to sastāvdaļu atbilstības novērtēšanas noteikumi</w:t>
    </w:r>
    <w:r w:rsidRPr="001C482B">
      <w:t>”</w:t>
    </w:r>
    <w:r w:rsidR="00D1761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4C1507" w:rsidP="006F3427">
    <w:pPr>
      <w:pStyle w:val="Kjene"/>
      <w:jc w:val="both"/>
    </w:pPr>
    <w:r>
      <w:t>ZMAnot_200213_atbilstiba;</w:t>
    </w:r>
    <w:r w:rsidRPr="001C482B">
      <w:t xml:space="preserve"> „</w:t>
    </w:r>
    <w:r>
      <w:t>Grozījumi Ministru kabineta 2006.gada 27.jūnija noteikumos Nr.535</w:t>
    </w:r>
    <w:r w:rsidRPr="001C482B">
      <w:t xml:space="preserve"> „</w:t>
    </w:r>
    <w:r>
      <w:t>Lauksaimniecībā vai mežsaimniecībā izmantojamo traktoru, piekabju un to sastāvdaļu atbilstības novērtēšanas noteikumi</w:t>
    </w:r>
    <w:r w:rsidRPr="001C482B">
      <w:t>”</w:t>
    </w:r>
    <w:r w:rsidR="00D1761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DF" w:rsidRDefault="006355DF">
      <w:pPr>
        <w:pStyle w:val="naisnod"/>
      </w:pPr>
      <w:r>
        <w:separator/>
      </w:r>
    </w:p>
  </w:footnote>
  <w:footnote w:type="continuationSeparator" w:id="0">
    <w:p w:rsidR="006355DF" w:rsidRDefault="006355DF">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8705EE">
    <w:pPr>
      <w:pStyle w:val="Galvene"/>
      <w:framePr w:wrap="around" w:vAnchor="text" w:hAnchor="margin" w:xAlign="center" w:y="1"/>
      <w:rPr>
        <w:rStyle w:val="Lappusesnumurs"/>
      </w:rPr>
    </w:pPr>
    <w:r>
      <w:rPr>
        <w:rStyle w:val="Lappusesnumurs"/>
      </w:rPr>
      <w:fldChar w:fldCharType="begin"/>
    </w:r>
    <w:r w:rsidR="004C1507">
      <w:rPr>
        <w:rStyle w:val="Lappusesnumurs"/>
      </w:rPr>
      <w:instrText xml:space="preserve">PAGE  </w:instrText>
    </w:r>
    <w:r>
      <w:rPr>
        <w:rStyle w:val="Lappusesnumurs"/>
      </w:rPr>
      <w:fldChar w:fldCharType="end"/>
    </w:r>
  </w:p>
  <w:p w:rsidR="004C1507" w:rsidRDefault="004C150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8705EE">
    <w:pPr>
      <w:pStyle w:val="Galvene"/>
      <w:framePr w:wrap="around" w:vAnchor="text" w:hAnchor="margin" w:xAlign="center" w:y="1"/>
      <w:rPr>
        <w:rStyle w:val="Lappusesnumurs"/>
      </w:rPr>
    </w:pPr>
    <w:r>
      <w:rPr>
        <w:rStyle w:val="Lappusesnumurs"/>
      </w:rPr>
      <w:fldChar w:fldCharType="begin"/>
    </w:r>
    <w:r w:rsidR="004C1507">
      <w:rPr>
        <w:rStyle w:val="Lappusesnumurs"/>
      </w:rPr>
      <w:instrText xml:space="preserve">PAGE  </w:instrText>
    </w:r>
    <w:r>
      <w:rPr>
        <w:rStyle w:val="Lappusesnumurs"/>
      </w:rPr>
      <w:fldChar w:fldCharType="separate"/>
    </w:r>
    <w:r w:rsidR="0004412B">
      <w:rPr>
        <w:rStyle w:val="Lappusesnumurs"/>
        <w:noProof/>
      </w:rPr>
      <w:t>5</w:t>
    </w:r>
    <w:r>
      <w:rPr>
        <w:rStyle w:val="Lappusesnumurs"/>
      </w:rPr>
      <w:fldChar w:fldCharType="end"/>
    </w:r>
  </w:p>
  <w:p w:rsidR="004C1507" w:rsidRDefault="004C150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957"/>
    <w:rsid w:val="00000F1A"/>
    <w:rsid w:val="00004A0E"/>
    <w:rsid w:val="000158CE"/>
    <w:rsid w:val="00021323"/>
    <w:rsid w:val="00023B79"/>
    <w:rsid w:val="00025889"/>
    <w:rsid w:val="00027C2E"/>
    <w:rsid w:val="000336DF"/>
    <w:rsid w:val="00033794"/>
    <w:rsid w:val="00043C60"/>
    <w:rsid w:val="0004412B"/>
    <w:rsid w:val="0004707F"/>
    <w:rsid w:val="0005271E"/>
    <w:rsid w:val="000571C9"/>
    <w:rsid w:val="00060405"/>
    <w:rsid w:val="000A5D11"/>
    <w:rsid w:val="000A6E54"/>
    <w:rsid w:val="000B0879"/>
    <w:rsid w:val="000B343F"/>
    <w:rsid w:val="000C02A2"/>
    <w:rsid w:val="000C63F3"/>
    <w:rsid w:val="000C6955"/>
    <w:rsid w:val="000D2FC5"/>
    <w:rsid w:val="000E0F3F"/>
    <w:rsid w:val="000E6D34"/>
    <w:rsid w:val="000F476D"/>
    <w:rsid w:val="000F6BB5"/>
    <w:rsid w:val="001058DE"/>
    <w:rsid w:val="00107D69"/>
    <w:rsid w:val="0011167D"/>
    <w:rsid w:val="001236C7"/>
    <w:rsid w:val="00124AE2"/>
    <w:rsid w:val="00132B84"/>
    <w:rsid w:val="00133CBA"/>
    <w:rsid w:val="0013425C"/>
    <w:rsid w:val="00140A0D"/>
    <w:rsid w:val="00146D2B"/>
    <w:rsid w:val="001510C5"/>
    <w:rsid w:val="001616BB"/>
    <w:rsid w:val="00183686"/>
    <w:rsid w:val="00186233"/>
    <w:rsid w:val="0019352B"/>
    <w:rsid w:val="001A17A6"/>
    <w:rsid w:val="001A5364"/>
    <w:rsid w:val="001A664D"/>
    <w:rsid w:val="001C482B"/>
    <w:rsid w:val="001D245C"/>
    <w:rsid w:val="001D262D"/>
    <w:rsid w:val="001D7BAE"/>
    <w:rsid w:val="00200C4F"/>
    <w:rsid w:val="00202A18"/>
    <w:rsid w:val="002116A3"/>
    <w:rsid w:val="002329FC"/>
    <w:rsid w:val="0024264D"/>
    <w:rsid w:val="00257CD4"/>
    <w:rsid w:val="00263821"/>
    <w:rsid w:val="00270152"/>
    <w:rsid w:val="00270DEE"/>
    <w:rsid w:val="00273763"/>
    <w:rsid w:val="00274248"/>
    <w:rsid w:val="002777A0"/>
    <w:rsid w:val="00281216"/>
    <w:rsid w:val="002943F9"/>
    <w:rsid w:val="00295688"/>
    <w:rsid w:val="002A1F6A"/>
    <w:rsid w:val="002A511C"/>
    <w:rsid w:val="002A78A4"/>
    <w:rsid w:val="002B3CFE"/>
    <w:rsid w:val="002C73A0"/>
    <w:rsid w:val="002D38BB"/>
    <w:rsid w:val="002D69FF"/>
    <w:rsid w:val="002E5F6A"/>
    <w:rsid w:val="002F4D17"/>
    <w:rsid w:val="003040EA"/>
    <w:rsid w:val="00312096"/>
    <w:rsid w:val="0032203D"/>
    <w:rsid w:val="0032693C"/>
    <w:rsid w:val="00336F40"/>
    <w:rsid w:val="00344DDE"/>
    <w:rsid w:val="00351213"/>
    <w:rsid w:val="00362B6A"/>
    <w:rsid w:val="0036420A"/>
    <w:rsid w:val="003648DE"/>
    <w:rsid w:val="00366DA7"/>
    <w:rsid w:val="00380244"/>
    <w:rsid w:val="003925A7"/>
    <w:rsid w:val="00394CB7"/>
    <w:rsid w:val="00394DFC"/>
    <w:rsid w:val="00396387"/>
    <w:rsid w:val="0039714E"/>
    <w:rsid w:val="003A0732"/>
    <w:rsid w:val="003C0E85"/>
    <w:rsid w:val="003C15DF"/>
    <w:rsid w:val="003C24AE"/>
    <w:rsid w:val="003C4049"/>
    <w:rsid w:val="003D0B29"/>
    <w:rsid w:val="003D22B0"/>
    <w:rsid w:val="003D33E9"/>
    <w:rsid w:val="003D6104"/>
    <w:rsid w:val="003D6AAD"/>
    <w:rsid w:val="003E0326"/>
    <w:rsid w:val="003E1C90"/>
    <w:rsid w:val="003E4108"/>
    <w:rsid w:val="003E43AF"/>
    <w:rsid w:val="0040256F"/>
    <w:rsid w:val="00404F74"/>
    <w:rsid w:val="00411D43"/>
    <w:rsid w:val="00416723"/>
    <w:rsid w:val="00420D79"/>
    <w:rsid w:val="00430E31"/>
    <w:rsid w:val="00435BB6"/>
    <w:rsid w:val="00442757"/>
    <w:rsid w:val="00446440"/>
    <w:rsid w:val="004557C5"/>
    <w:rsid w:val="00456C58"/>
    <w:rsid w:val="004632C3"/>
    <w:rsid w:val="0047038E"/>
    <w:rsid w:val="00485F0A"/>
    <w:rsid w:val="00495998"/>
    <w:rsid w:val="00497369"/>
    <w:rsid w:val="004A1774"/>
    <w:rsid w:val="004B0FB4"/>
    <w:rsid w:val="004B1233"/>
    <w:rsid w:val="004C0D13"/>
    <w:rsid w:val="004C1507"/>
    <w:rsid w:val="004C19F9"/>
    <w:rsid w:val="004D3F66"/>
    <w:rsid w:val="004F19B9"/>
    <w:rsid w:val="004F2472"/>
    <w:rsid w:val="004F3565"/>
    <w:rsid w:val="00510DE7"/>
    <w:rsid w:val="00521CA7"/>
    <w:rsid w:val="00521F0A"/>
    <w:rsid w:val="00526EF3"/>
    <w:rsid w:val="00534211"/>
    <w:rsid w:val="005362C9"/>
    <w:rsid w:val="005447A9"/>
    <w:rsid w:val="00551D1E"/>
    <w:rsid w:val="00553C8A"/>
    <w:rsid w:val="00565AC8"/>
    <w:rsid w:val="005804E1"/>
    <w:rsid w:val="0058311F"/>
    <w:rsid w:val="00584B8F"/>
    <w:rsid w:val="005855B1"/>
    <w:rsid w:val="005A12A9"/>
    <w:rsid w:val="005A5045"/>
    <w:rsid w:val="005B37EC"/>
    <w:rsid w:val="005C706F"/>
    <w:rsid w:val="005D1365"/>
    <w:rsid w:val="005D46BC"/>
    <w:rsid w:val="005F03A4"/>
    <w:rsid w:val="005F0DBB"/>
    <w:rsid w:val="005F788F"/>
    <w:rsid w:val="006033BF"/>
    <w:rsid w:val="00604BFA"/>
    <w:rsid w:val="00610301"/>
    <w:rsid w:val="006230CF"/>
    <w:rsid w:val="0062486A"/>
    <w:rsid w:val="00631007"/>
    <w:rsid w:val="006355DF"/>
    <w:rsid w:val="00646958"/>
    <w:rsid w:val="00654C8B"/>
    <w:rsid w:val="006562EF"/>
    <w:rsid w:val="0065630E"/>
    <w:rsid w:val="006604E4"/>
    <w:rsid w:val="006605F5"/>
    <w:rsid w:val="00670388"/>
    <w:rsid w:val="0067267D"/>
    <w:rsid w:val="00674552"/>
    <w:rsid w:val="00674C54"/>
    <w:rsid w:val="00684628"/>
    <w:rsid w:val="00686F59"/>
    <w:rsid w:val="006A3DA3"/>
    <w:rsid w:val="006A6016"/>
    <w:rsid w:val="006B112F"/>
    <w:rsid w:val="006B7298"/>
    <w:rsid w:val="006C323A"/>
    <w:rsid w:val="006D1CCE"/>
    <w:rsid w:val="006D388A"/>
    <w:rsid w:val="006D4BB7"/>
    <w:rsid w:val="006F3427"/>
    <w:rsid w:val="0070413A"/>
    <w:rsid w:val="007069B3"/>
    <w:rsid w:val="00710199"/>
    <w:rsid w:val="007179CC"/>
    <w:rsid w:val="007353A6"/>
    <w:rsid w:val="007356D2"/>
    <w:rsid w:val="00744957"/>
    <w:rsid w:val="007517A2"/>
    <w:rsid w:val="00753217"/>
    <w:rsid w:val="00756F3B"/>
    <w:rsid w:val="00766A2C"/>
    <w:rsid w:val="00775FC4"/>
    <w:rsid w:val="007767DC"/>
    <w:rsid w:val="00780AB7"/>
    <w:rsid w:val="007B42A4"/>
    <w:rsid w:val="007C4FDA"/>
    <w:rsid w:val="007C77BC"/>
    <w:rsid w:val="007D24A3"/>
    <w:rsid w:val="007F142E"/>
    <w:rsid w:val="007F4BFF"/>
    <w:rsid w:val="00815E6B"/>
    <w:rsid w:val="0081767D"/>
    <w:rsid w:val="008233E3"/>
    <w:rsid w:val="0082563E"/>
    <w:rsid w:val="00825DC2"/>
    <w:rsid w:val="00826E46"/>
    <w:rsid w:val="00827CDE"/>
    <w:rsid w:val="008424AD"/>
    <w:rsid w:val="00842D09"/>
    <w:rsid w:val="00851D4C"/>
    <w:rsid w:val="00855A5D"/>
    <w:rsid w:val="0085680E"/>
    <w:rsid w:val="00861DA1"/>
    <w:rsid w:val="008673BF"/>
    <w:rsid w:val="008705EE"/>
    <w:rsid w:val="00872F83"/>
    <w:rsid w:val="00876831"/>
    <w:rsid w:val="00880E3B"/>
    <w:rsid w:val="008A4C45"/>
    <w:rsid w:val="008B2380"/>
    <w:rsid w:val="008B368D"/>
    <w:rsid w:val="008C0C88"/>
    <w:rsid w:val="008C29C4"/>
    <w:rsid w:val="008D095C"/>
    <w:rsid w:val="008D37B8"/>
    <w:rsid w:val="008E37C8"/>
    <w:rsid w:val="009114AF"/>
    <w:rsid w:val="00926EDF"/>
    <w:rsid w:val="00930F63"/>
    <w:rsid w:val="009519D4"/>
    <w:rsid w:val="0095614C"/>
    <w:rsid w:val="00984368"/>
    <w:rsid w:val="00993EC1"/>
    <w:rsid w:val="009A36EE"/>
    <w:rsid w:val="009A6483"/>
    <w:rsid w:val="009B730F"/>
    <w:rsid w:val="009C3213"/>
    <w:rsid w:val="009C3410"/>
    <w:rsid w:val="009C6AAD"/>
    <w:rsid w:val="009E6D68"/>
    <w:rsid w:val="009E6F5F"/>
    <w:rsid w:val="009F020D"/>
    <w:rsid w:val="009F0BCA"/>
    <w:rsid w:val="009F149F"/>
    <w:rsid w:val="009F1526"/>
    <w:rsid w:val="009F48B5"/>
    <w:rsid w:val="00A014F4"/>
    <w:rsid w:val="00A01EFF"/>
    <w:rsid w:val="00A1548D"/>
    <w:rsid w:val="00A30143"/>
    <w:rsid w:val="00A327E6"/>
    <w:rsid w:val="00A42630"/>
    <w:rsid w:val="00A529F6"/>
    <w:rsid w:val="00A5389F"/>
    <w:rsid w:val="00A55D3C"/>
    <w:rsid w:val="00A673CB"/>
    <w:rsid w:val="00A74BDA"/>
    <w:rsid w:val="00A82B17"/>
    <w:rsid w:val="00A86484"/>
    <w:rsid w:val="00A91E67"/>
    <w:rsid w:val="00A920B9"/>
    <w:rsid w:val="00A96CFE"/>
    <w:rsid w:val="00A97D49"/>
    <w:rsid w:val="00AA447F"/>
    <w:rsid w:val="00AB5CB6"/>
    <w:rsid w:val="00AB6FB3"/>
    <w:rsid w:val="00AC161F"/>
    <w:rsid w:val="00AC1989"/>
    <w:rsid w:val="00AD4231"/>
    <w:rsid w:val="00AE18D3"/>
    <w:rsid w:val="00AE198F"/>
    <w:rsid w:val="00B0519A"/>
    <w:rsid w:val="00B12962"/>
    <w:rsid w:val="00B335CC"/>
    <w:rsid w:val="00B35D85"/>
    <w:rsid w:val="00B3711E"/>
    <w:rsid w:val="00B41BC6"/>
    <w:rsid w:val="00B47920"/>
    <w:rsid w:val="00B53E06"/>
    <w:rsid w:val="00B73BDB"/>
    <w:rsid w:val="00B73D80"/>
    <w:rsid w:val="00B74EEC"/>
    <w:rsid w:val="00B86C5E"/>
    <w:rsid w:val="00B876B0"/>
    <w:rsid w:val="00B9614B"/>
    <w:rsid w:val="00BA1128"/>
    <w:rsid w:val="00BC13AE"/>
    <w:rsid w:val="00BC5429"/>
    <w:rsid w:val="00BD2242"/>
    <w:rsid w:val="00BE0513"/>
    <w:rsid w:val="00BE41A1"/>
    <w:rsid w:val="00BF5403"/>
    <w:rsid w:val="00BF57B2"/>
    <w:rsid w:val="00C02369"/>
    <w:rsid w:val="00C027CC"/>
    <w:rsid w:val="00C03898"/>
    <w:rsid w:val="00C125DA"/>
    <w:rsid w:val="00C12C0B"/>
    <w:rsid w:val="00C14824"/>
    <w:rsid w:val="00C2541A"/>
    <w:rsid w:val="00C25866"/>
    <w:rsid w:val="00C26CD0"/>
    <w:rsid w:val="00C27D87"/>
    <w:rsid w:val="00C308AA"/>
    <w:rsid w:val="00C316B4"/>
    <w:rsid w:val="00C50CAA"/>
    <w:rsid w:val="00C55B2F"/>
    <w:rsid w:val="00C63AD3"/>
    <w:rsid w:val="00C649C3"/>
    <w:rsid w:val="00C65E1A"/>
    <w:rsid w:val="00C75540"/>
    <w:rsid w:val="00C76A3C"/>
    <w:rsid w:val="00C80D0E"/>
    <w:rsid w:val="00C826A7"/>
    <w:rsid w:val="00C87CF7"/>
    <w:rsid w:val="00C90AE2"/>
    <w:rsid w:val="00C9140C"/>
    <w:rsid w:val="00C96420"/>
    <w:rsid w:val="00C97E37"/>
    <w:rsid w:val="00CC0D13"/>
    <w:rsid w:val="00CC37C5"/>
    <w:rsid w:val="00CD1030"/>
    <w:rsid w:val="00CD328A"/>
    <w:rsid w:val="00CE0549"/>
    <w:rsid w:val="00CE5752"/>
    <w:rsid w:val="00CE7705"/>
    <w:rsid w:val="00CF4AA7"/>
    <w:rsid w:val="00D0295E"/>
    <w:rsid w:val="00D11062"/>
    <w:rsid w:val="00D137AE"/>
    <w:rsid w:val="00D13A46"/>
    <w:rsid w:val="00D15557"/>
    <w:rsid w:val="00D1761B"/>
    <w:rsid w:val="00D17F92"/>
    <w:rsid w:val="00D23C09"/>
    <w:rsid w:val="00D25821"/>
    <w:rsid w:val="00D35ECD"/>
    <w:rsid w:val="00D43AE1"/>
    <w:rsid w:val="00D54F8E"/>
    <w:rsid w:val="00D57D4A"/>
    <w:rsid w:val="00D61CE1"/>
    <w:rsid w:val="00D8100A"/>
    <w:rsid w:val="00D9108B"/>
    <w:rsid w:val="00D95313"/>
    <w:rsid w:val="00DC0418"/>
    <w:rsid w:val="00DC5619"/>
    <w:rsid w:val="00DC58CB"/>
    <w:rsid w:val="00DD0FBC"/>
    <w:rsid w:val="00DD3DBF"/>
    <w:rsid w:val="00DD67F2"/>
    <w:rsid w:val="00DD6CDD"/>
    <w:rsid w:val="00DE176D"/>
    <w:rsid w:val="00DF22BF"/>
    <w:rsid w:val="00DF6E13"/>
    <w:rsid w:val="00E0117C"/>
    <w:rsid w:val="00E2651B"/>
    <w:rsid w:val="00E3280F"/>
    <w:rsid w:val="00E45335"/>
    <w:rsid w:val="00E67802"/>
    <w:rsid w:val="00E702E0"/>
    <w:rsid w:val="00E73D17"/>
    <w:rsid w:val="00E91781"/>
    <w:rsid w:val="00E91CE4"/>
    <w:rsid w:val="00E91E2D"/>
    <w:rsid w:val="00EA63C5"/>
    <w:rsid w:val="00EA6FB1"/>
    <w:rsid w:val="00EB16A5"/>
    <w:rsid w:val="00ED1DEB"/>
    <w:rsid w:val="00ED6C52"/>
    <w:rsid w:val="00ED766F"/>
    <w:rsid w:val="00EE1B4B"/>
    <w:rsid w:val="00EE5B45"/>
    <w:rsid w:val="00EF6AC4"/>
    <w:rsid w:val="00F03108"/>
    <w:rsid w:val="00F133A2"/>
    <w:rsid w:val="00F13402"/>
    <w:rsid w:val="00F163AB"/>
    <w:rsid w:val="00F22B6C"/>
    <w:rsid w:val="00F312B4"/>
    <w:rsid w:val="00F35DD6"/>
    <w:rsid w:val="00F41A18"/>
    <w:rsid w:val="00F61CDC"/>
    <w:rsid w:val="00F67F73"/>
    <w:rsid w:val="00F81D13"/>
    <w:rsid w:val="00F91908"/>
    <w:rsid w:val="00F9314A"/>
    <w:rsid w:val="00FA61FC"/>
    <w:rsid w:val="00FB04C2"/>
    <w:rsid w:val="00FB2D8B"/>
    <w:rsid w:val="00FC6A1B"/>
    <w:rsid w:val="00FD1974"/>
    <w:rsid w:val="00FD388E"/>
    <w:rsid w:val="00FD6A6E"/>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7D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B53E06"/>
    <w:rPr>
      <w:sz w:val="24"/>
      <w:szCs w:val="24"/>
    </w:rPr>
  </w:style>
  <w:style w:type="paragraph" w:customStyle="1" w:styleId="naisc">
    <w:name w:val="naisc"/>
    <w:basedOn w:val="Parasts1"/>
    <w:uiPriority w:val="99"/>
    <w:rsid w:val="00B53E06"/>
    <w:pPr>
      <w:spacing w:before="100" w:beforeAutospacing="1" w:after="100" w:afterAutospacing="1"/>
    </w:pPr>
  </w:style>
  <w:style w:type="paragraph" w:customStyle="1" w:styleId="CharCharRakstzRakstzCharChar">
    <w:name w:val="Char Char Rakstz. Rakstz. Char Char"/>
    <w:basedOn w:val="Parasts1"/>
    <w:autoRedefine/>
    <w:uiPriority w:val="99"/>
    <w:rsid w:val="00B53E06"/>
    <w:pPr>
      <w:spacing w:before="40"/>
    </w:pPr>
    <w:rPr>
      <w:lang w:val="pl-PL" w:eastAsia="pl-PL"/>
    </w:rPr>
  </w:style>
  <w:style w:type="paragraph" w:customStyle="1" w:styleId="naisnod">
    <w:name w:val="naisnod"/>
    <w:basedOn w:val="Parasts1"/>
    <w:uiPriority w:val="99"/>
    <w:rsid w:val="00B53E06"/>
    <w:pPr>
      <w:spacing w:before="150" w:after="150"/>
      <w:jc w:val="center"/>
    </w:pPr>
    <w:rPr>
      <w:b/>
      <w:bCs/>
    </w:rPr>
  </w:style>
  <w:style w:type="paragraph" w:customStyle="1" w:styleId="naiskr">
    <w:name w:val="naiskr"/>
    <w:basedOn w:val="Parasts1"/>
    <w:uiPriority w:val="99"/>
    <w:rsid w:val="00B53E06"/>
    <w:pPr>
      <w:spacing w:before="75" w:after="75"/>
    </w:pPr>
  </w:style>
  <w:style w:type="paragraph" w:styleId="Vresteksts">
    <w:name w:val="footnote text"/>
    <w:basedOn w:val="Parasts1"/>
    <w:link w:val="VrestekstsRakstz"/>
    <w:uiPriority w:val="99"/>
    <w:semiHidden/>
    <w:rsid w:val="00B53E06"/>
    <w:rPr>
      <w:sz w:val="20"/>
      <w:szCs w:val="20"/>
    </w:rPr>
  </w:style>
  <w:style w:type="character" w:customStyle="1" w:styleId="VrestekstsRakstz">
    <w:name w:val="Vēres teksts Rakstz."/>
    <w:link w:val="Vresteksts"/>
    <w:uiPriority w:val="99"/>
    <w:semiHidden/>
    <w:locked/>
    <w:rsid w:val="003E1C90"/>
    <w:rPr>
      <w:rFonts w:cs="Times New Roman"/>
      <w:sz w:val="20"/>
    </w:rPr>
  </w:style>
  <w:style w:type="paragraph" w:styleId="Pamatteksts">
    <w:name w:val="Body Text"/>
    <w:basedOn w:val="Parasts1"/>
    <w:link w:val="PamattekstsRakstz"/>
    <w:uiPriority w:val="99"/>
    <w:rsid w:val="00B53E06"/>
    <w:pPr>
      <w:jc w:val="right"/>
    </w:pPr>
    <w:rPr>
      <w:sz w:val="20"/>
      <w:szCs w:val="20"/>
    </w:rPr>
  </w:style>
  <w:style w:type="character" w:customStyle="1" w:styleId="PamattekstsRakstz">
    <w:name w:val="Pamatteksts Rakstz."/>
    <w:link w:val="Pamatteksts"/>
    <w:uiPriority w:val="99"/>
    <w:semiHidden/>
    <w:locked/>
    <w:rsid w:val="003E1C90"/>
    <w:rPr>
      <w:rFonts w:cs="Times New Roman"/>
      <w:sz w:val="20"/>
    </w:rPr>
  </w:style>
  <w:style w:type="character" w:styleId="Izclums">
    <w:name w:val="Emphasis"/>
    <w:uiPriority w:val="99"/>
    <w:qFormat/>
    <w:rsid w:val="00B53E06"/>
    <w:rPr>
      <w:rFonts w:cs="Times New Roman"/>
      <w:i/>
    </w:rPr>
  </w:style>
  <w:style w:type="paragraph" w:customStyle="1" w:styleId="naisf">
    <w:name w:val="naisf"/>
    <w:basedOn w:val="Parasts1"/>
    <w:uiPriority w:val="99"/>
    <w:rsid w:val="00B53E06"/>
    <w:pPr>
      <w:spacing w:before="75" w:after="75"/>
      <w:ind w:firstLine="375"/>
      <w:jc w:val="both"/>
    </w:pPr>
  </w:style>
  <w:style w:type="table" w:styleId="Reatabula">
    <w:name w:val="Table Grid"/>
    <w:basedOn w:val="Parastatabula"/>
    <w:uiPriority w:val="99"/>
    <w:rsid w:val="00B53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99"/>
    <w:qFormat/>
    <w:rsid w:val="00B53E06"/>
    <w:rPr>
      <w:rFonts w:cs="Times New Roman"/>
      <w:b/>
    </w:rPr>
  </w:style>
  <w:style w:type="paragraph" w:styleId="Pamattekstsaratkpi">
    <w:name w:val="Body Text Indent"/>
    <w:basedOn w:val="Parasts1"/>
    <w:link w:val="PamattekstsaratkpiRakstz"/>
    <w:uiPriority w:val="99"/>
    <w:rsid w:val="00B53E06"/>
    <w:pPr>
      <w:spacing w:after="120"/>
      <w:ind w:left="283"/>
    </w:pPr>
    <w:rPr>
      <w:sz w:val="20"/>
      <w:szCs w:val="20"/>
    </w:rPr>
  </w:style>
  <w:style w:type="character" w:customStyle="1" w:styleId="PamattekstsaratkpiRakstz">
    <w:name w:val="Pamatteksts ar atkāpi Rakstz."/>
    <w:link w:val="Pamattekstsaratkpi"/>
    <w:uiPriority w:val="99"/>
    <w:semiHidden/>
    <w:locked/>
    <w:rsid w:val="003E1C90"/>
    <w:rPr>
      <w:rFonts w:cs="Times New Roman"/>
      <w:sz w:val="20"/>
    </w:rPr>
  </w:style>
  <w:style w:type="paragraph" w:styleId="Galvene">
    <w:name w:val="header"/>
    <w:basedOn w:val="Parasts1"/>
    <w:link w:val="GalveneRakstz"/>
    <w:uiPriority w:val="99"/>
    <w:rsid w:val="00B53E06"/>
    <w:pPr>
      <w:tabs>
        <w:tab w:val="center" w:pos="4153"/>
        <w:tab w:val="right" w:pos="8306"/>
      </w:tabs>
    </w:pPr>
    <w:rPr>
      <w:sz w:val="20"/>
      <w:szCs w:val="20"/>
    </w:rPr>
  </w:style>
  <w:style w:type="character" w:customStyle="1" w:styleId="GalveneRakstz">
    <w:name w:val="Galvene Rakstz."/>
    <w:link w:val="Galvene"/>
    <w:uiPriority w:val="99"/>
    <w:semiHidden/>
    <w:locked/>
    <w:rsid w:val="003E1C90"/>
    <w:rPr>
      <w:rFonts w:cs="Times New Roman"/>
      <w:sz w:val="20"/>
    </w:rPr>
  </w:style>
  <w:style w:type="paragraph" w:styleId="Kjene">
    <w:name w:val="footer"/>
    <w:basedOn w:val="Parasts1"/>
    <w:link w:val="KjeneRakstz"/>
    <w:uiPriority w:val="99"/>
    <w:rsid w:val="00B53E06"/>
    <w:pPr>
      <w:tabs>
        <w:tab w:val="center" w:pos="4153"/>
        <w:tab w:val="right" w:pos="8306"/>
      </w:tabs>
    </w:pPr>
    <w:rPr>
      <w:sz w:val="20"/>
      <w:szCs w:val="20"/>
    </w:rPr>
  </w:style>
  <w:style w:type="character" w:customStyle="1" w:styleId="KjeneRakstz">
    <w:name w:val="Kājene Rakstz."/>
    <w:link w:val="Kjene"/>
    <w:uiPriority w:val="99"/>
    <w:semiHidden/>
    <w:locked/>
    <w:rsid w:val="003E1C90"/>
    <w:rPr>
      <w:rFonts w:cs="Times New Roman"/>
      <w:sz w:val="20"/>
    </w:rPr>
  </w:style>
  <w:style w:type="character" w:styleId="Lappusesnumurs">
    <w:name w:val="page number"/>
    <w:uiPriority w:val="99"/>
    <w:rsid w:val="00B53E06"/>
    <w:rPr>
      <w:rFonts w:cs="Times New Roman"/>
    </w:rPr>
  </w:style>
  <w:style w:type="paragraph" w:styleId="Komentrateksts">
    <w:name w:val="annotation text"/>
    <w:basedOn w:val="Parasts1"/>
    <w:link w:val="KomentratekstsRakstz"/>
    <w:uiPriority w:val="99"/>
    <w:rsid w:val="00B53E06"/>
    <w:rPr>
      <w:sz w:val="20"/>
      <w:szCs w:val="20"/>
    </w:rPr>
  </w:style>
  <w:style w:type="character" w:customStyle="1" w:styleId="KomentratekstsRakstz">
    <w:name w:val="Komentāra teksts Rakstz."/>
    <w:link w:val="Komentrateksts"/>
    <w:uiPriority w:val="99"/>
    <w:semiHidden/>
    <w:locked/>
    <w:rsid w:val="003E1C90"/>
    <w:rPr>
      <w:rFonts w:cs="Times New Roman"/>
      <w:sz w:val="20"/>
    </w:rPr>
  </w:style>
  <w:style w:type="character" w:styleId="Komentraatsauce">
    <w:name w:val="annotation reference"/>
    <w:uiPriority w:val="99"/>
    <w:semiHidden/>
    <w:rsid w:val="00B53E06"/>
    <w:rPr>
      <w:rFonts w:cs="Times New Roman"/>
      <w:sz w:val="16"/>
    </w:rPr>
  </w:style>
  <w:style w:type="paragraph" w:styleId="Balonteksts">
    <w:name w:val="Balloon Text"/>
    <w:basedOn w:val="Parasts1"/>
    <w:link w:val="BalontekstsRakstz"/>
    <w:uiPriority w:val="99"/>
    <w:semiHidden/>
    <w:rsid w:val="00B53E06"/>
    <w:rPr>
      <w:sz w:val="2"/>
      <w:szCs w:val="20"/>
    </w:rPr>
  </w:style>
  <w:style w:type="character" w:customStyle="1" w:styleId="BalontekstsRakstz">
    <w:name w:val="Balonteksts Rakstz."/>
    <w:link w:val="Balonteksts"/>
    <w:uiPriority w:val="99"/>
    <w:semiHidden/>
    <w:locked/>
    <w:rsid w:val="003E1C90"/>
    <w:rPr>
      <w:rFonts w:cs="Times New Roman"/>
      <w:sz w:val="2"/>
    </w:rPr>
  </w:style>
  <w:style w:type="paragraph" w:styleId="Komentratma">
    <w:name w:val="annotation subject"/>
    <w:basedOn w:val="Komentrateksts"/>
    <w:next w:val="Komentrateksts"/>
    <w:link w:val="KomentratmaRakstz"/>
    <w:uiPriority w:val="99"/>
    <w:semiHidden/>
    <w:rsid w:val="00B53E06"/>
    <w:rPr>
      <w:b/>
      <w:bCs/>
    </w:rPr>
  </w:style>
  <w:style w:type="character" w:customStyle="1" w:styleId="KomentratmaRakstz">
    <w:name w:val="Komentāra tēma Rakstz."/>
    <w:link w:val="Komentratma"/>
    <w:uiPriority w:val="99"/>
    <w:semiHidden/>
    <w:locked/>
    <w:rsid w:val="003E1C90"/>
    <w:rPr>
      <w:rFonts w:cs="Times New Roman"/>
      <w:b/>
      <w:sz w:val="20"/>
    </w:rPr>
  </w:style>
  <w:style w:type="paragraph" w:customStyle="1" w:styleId="Paraststmeklis1">
    <w:name w:val="Parasts (tīmeklis)1"/>
    <w:basedOn w:val="Parasts1"/>
    <w:uiPriority w:val="99"/>
    <w:rsid w:val="00456C58"/>
    <w:pPr>
      <w:spacing w:before="100" w:beforeAutospacing="1" w:after="100" w:afterAutospacing="1"/>
    </w:pPr>
  </w:style>
  <w:style w:type="character" w:customStyle="1" w:styleId="apple-converted-space">
    <w:name w:val="apple-converted-space"/>
    <w:uiPriority w:val="99"/>
    <w:rsid w:val="000F476D"/>
  </w:style>
  <w:style w:type="character" w:styleId="Hipersaite">
    <w:name w:val="Hyperlink"/>
    <w:uiPriority w:val="99"/>
    <w:rsid w:val="00B41BC6"/>
    <w:rPr>
      <w:rFonts w:cs="Times New Roman"/>
      <w:color w:val="0000FF"/>
      <w:u w:val="single"/>
    </w:rPr>
  </w:style>
  <w:style w:type="character" w:styleId="Izmantotahipersaite">
    <w:name w:val="FollowedHyperlink"/>
    <w:uiPriority w:val="99"/>
    <w:rsid w:val="00B41BC6"/>
    <w:rPr>
      <w:rFonts w:cs="Times New Roman"/>
      <w:color w:val="800080"/>
      <w:u w:val="single"/>
    </w:rPr>
  </w:style>
  <w:style w:type="paragraph" w:customStyle="1" w:styleId="naislab">
    <w:name w:val="naislab"/>
    <w:basedOn w:val="Parasts1"/>
    <w:uiPriority w:val="99"/>
    <w:rsid w:val="007D24A3"/>
    <w:pPr>
      <w:spacing w:before="100" w:beforeAutospacing="1" w:after="100" w:afterAutospacing="1"/>
    </w:pPr>
  </w:style>
  <w:style w:type="paragraph" w:customStyle="1" w:styleId="RakstzRakstzRakstzCharChar">
    <w:name w:val="Rakstz. Rakstz. Rakstz. Char Char"/>
    <w:basedOn w:val="Parasts1"/>
    <w:uiPriority w:val="99"/>
    <w:rsid w:val="007D24A3"/>
    <w:pPr>
      <w:spacing w:before="40"/>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195224">
      <w:marLeft w:val="0"/>
      <w:marRight w:val="0"/>
      <w:marTop w:val="0"/>
      <w:marBottom w:val="0"/>
      <w:divBdr>
        <w:top w:val="none" w:sz="0" w:space="0" w:color="auto"/>
        <w:left w:val="none" w:sz="0" w:space="0" w:color="auto"/>
        <w:bottom w:val="none" w:sz="0" w:space="0" w:color="auto"/>
        <w:right w:val="none" w:sz="0" w:space="0" w:color="auto"/>
      </w:divBdr>
      <w:divsChild>
        <w:div w:id="11991952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9195226">
      <w:marLeft w:val="0"/>
      <w:marRight w:val="0"/>
      <w:marTop w:val="0"/>
      <w:marBottom w:val="0"/>
      <w:divBdr>
        <w:top w:val="none" w:sz="0" w:space="0" w:color="auto"/>
        <w:left w:val="none" w:sz="0" w:space="0" w:color="auto"/>
        <w:bottom w:val="none" w:sz="0" w:space="0" w:color="auto"/>
        <w:right w:val="none" w:sz="0" w:space="0" w:color="auto"/>
      </w:divBdr>
    </w:div>
    <w:div w:id="1199195227">
      <w:marLeft w:val="0"/>
      <w:marRight w:val="0"/>
      <w:marTop w:val="0"/>
      <w:marBottom w:val="0"/>
      <w:divBdr>
        <w:top w:val="none" w:sz="0" w:space="0" w:color="auto"/>
        <w:left w:val="none" w:sz="0" w:space="0" w:color="auto"/>
        <w:bottom w:val="none" w:sz="0" w:space="0" w:color="auto"/>
        <w:right w:val="none" w:sz="0" w:space="0" w:color="auto"/>
      </w:divBdr>
    </w:div>
    <w:div w:id="1199195228">
      <w:marLeft w:val="0"/>
      <w:marRight w:val="0"/>
      <w:marTop w:val="0"/>
      <w:marBottom w:val="0"/>
      <w:divBdr>
        <w:top w:val="none" w:sz="0" w:space="0" w:color="auto"/>
        <w:left w:val="none" w:sz="0" w:space="0" w:color="auto"/>
        <w:bottom w:val="none" w:sz="0" w:space="0" w:color="auto"/>
        <w:right w:val="none" w:sz="0" w:space="0" w:color="auto"/>
      </w:divBdr>
      <w:divsChild>
        <w:div w:id="11991952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9195231">
      <w:marLeft w:val="0"/>
      <w:marRight w:val="0"/>
      <w:marTop w:val="0"/>
      <w:marBottom w:val="0"/>
      <w:divBdr>
        <w:top w:val="none" w:sz="0" w:space="0" w:color="auto"/>
        <w:left w:val="none" w:sz="0" w:space="0" w:color="auto"/>
        <w:bottom w:val="none" w:sz="0" w:space="0" w:color="auto"/>
        <w:right w:val="none" w:sz="0" w:space="0" w:color="auto"/>
      </w:divBdr>
      <w:divsChild>
        <w:div w:id="11991952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8238</Characters>
  <Application>Microsoft Office Word</Application>
  <DocSecurity>0</DocSecurity>
  <Lines>358</Lines>
  <Paragraphs>170</Paragraphs>
  <ScaleCrop>false</ScaleCrop>
  <Company>ZM</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Nr.535 "Lauksaimniecībā vai mežsaimniecībā izmantojamo traktoru, piekabju un to sastāvdaļu atbilstības novērtēšanas noteikumi"</dc:title>
  <dc:subject>Anotācija</dc:subject>
  <dc:creator>Gints Melkins</dc:creator>
  <cp:keywords/>
  <dc:description>Gints.Melkins@zm.gov.lv,67027207</dc:description>
  <cp:lastModifiedBy>Renārs Žagars</cp:lastModifiedBy>
  <cp:revision>3</cp:revision>
  <cp:lastPrinted>2012-12-13T12:34:00Z</cp:lastPrinted>
  <dcterms:created xsi:type="dcterms:W3CDTF">2013-02-20T13:12:00Z</dcterms:created>
  <dcterms:modified xsi:type="dcterms:W3CDTF">2013-02-22T07:30:00Z</dcterms:modified>
</cp:coreProperties>
</file>