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9A" w:rsidRPr="008C18B1" w:rsidRDefault="005A299A" w:rsidP="0014001D">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sidRPr="008C18B1">
        <w:rPr>
          <w:b/>
          <w:sz w:val="28"/>
          <w:szCs w:val="28"/>
        </w:rPr>
        <w:t xml:space="preserve">Likumprojekta „Grozījumi Ģenētiski modificēto organismu aprites likumā” </w:t>
      </w:r>
      <w:bookmarkEnd w:id="0"/>
      <w:bookmarkEnd w:id="1"/>
      <w:bookmarkEnd w:id="2"/>
      <w:r w:rsidRPr="008C18B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8C18B1">
          <w:rPr>
            <w:b/>
            <w:sz w:val="28"/>
            <w:szCs w:val="28"/>
          </w:rPr>
          <w:t>ziņojums</w:t>
        </w:r>
      </w:smartTag>
      <w:bookmarkEnd w:id="3"/>
      <w:bookmarkEnd w:id="4"/>
      <w:r w:rsidRPr="008C18B1">
        <w:rPr>
          <w:b/>
          <w:sz w:val="28"/>
          <w:szCs w:val="28"/>
        </w:rPr>
        <w:t xml:space="preserve"> (anotācija)</w:t>
      </w:r>
      <w:bookmarkEnd w:id="5"/>
      <w:bookmarkEnd w:id="6"/>
    </w:p>
    <w:p w:rsidR="005A299A" w:rsidRPr="008C18B1" w:rsidRDefault="005A299A" w:rsidP="00386AC9">
      <w:pPr>
        <w:pStyle w:val="Parasts1"/>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788"/>
        <w:gridCol w:w="7207"/>
      </w:tblGrid>
      <w:tr w:rsidR="005A299A" w:rsidRPr="008C18B1" w:rsidTr="007974B4">
        <w:tc>
          <w:tcPr>
            <w:tcW w:w="9480" w:type="dxa"/>
            <w:gridSpan w:val="3"/>
            <w:vAlign w:val="center"/>
          </w:tcPr>
          <w:p w:rsidR="005A299A" w:rsidRPr="008C18B1" w:rsidRDefault="005A299A" w:rsidP="0088659D">
            <w:pPr>
              <w:pStyle w:val="Parasts1"/>
              <w:jc w:val="center"/>
              <w:rPr>
                <w:b/>
              </w:rPr>
            </w:pPr>
            <w:r w:rsidRPr="008C18B1">
              <w:rPr>
                <w:b/>
              </w:rPr>
              <w:t>I. Tiesību akta projekta izstrādes nepieciešamība</w:t>
            </w:r>
          </w:p>
        </w:tc>
      </w:tr>
      <w:tr w:rsidR="005A299A" w:rsidRPr="008C18B1" w:rsidTr="009D780E">
        <w:trPr>
          <w:trHeight w:val="289"/>
        </w:trPr>
        <w:tc>
          <w:tcPr>
            <w:tcW w:w="485" w:type="dxa"/>
          </w:tcPr>
          <w:p w:rsidR="005A299A" w:rsidRPr="008C18B1" w:rsidRDefault="005A299A" w:rsidP="00386AC9">
            <w:pPr>
              <w:pStyle w:val="Parasts1"/>
            </w:pPr>
            <w:r w:rsidRPr="008C18B1">
              <w:t>1.</w:t>
            </w:r>
          </w:p>
        </w:tc>
        <w:tc>
          <w:tcPr>
            <w:tcW w:w="1788" w:type="dxa"/>
          </w:tcPr>
          <w:p w:rsidR="005A299A" w:rsidRPr="008C18B1" w:rsidRDefault="005A299A" w:rsidP="00E87F08">
            <w:pPr>
              <w:pStyle w:val="Parasts1"/>
            </w:pPr>
            <w:r w:rsidRPr="008C18B1">
              <w:t>Pamatojums</w:t>
            </w:r>
          </w:p>
        </w:tc>
        <w:tc>
          <w:tcPr>
            <w:tcW w:w="7207" w:type="dxa"/>
          </w:tcPr>
          <w:p w:rsidR="005A299A" w:rsidRPr="008C18B1" w:rsidRDefault="005A299A" w:rsidP="009F3A55">
            <w:pPr>
              <w:pStyle w:val="Parasts1"/>
              <w:jc w:val="both"/>
            </w:pPr>
            <w:r w:rsidRPr="008C18B1">
              <w:t>Likumprojekts šo jomu neskar.</w:t>
            </w:r>
          </w:p>
        </w:tc>
      </w:tr>
      <w:tr w:rsidR="005A299A" w:rsidRPr="008C18B1" w:rsidTr="00E60B09">
        <w:trPr>
          <w:trHeight w:val="558"/>
        </w:trPr>
        <w:tc>
          <w:tcPr>
            <w:tcW w:w="485" w:type="dxa"/>
          </w:tcPr>
          <w:p w:rsidR="005A299A" w:rsidRPr="008C18B1" w:rsidRDefault="005A299A" w:rsidP="00386AC9">
            <w:pPr>
              <w:pStyle w:val="Parasts1"/>
            </w:pPr>
            <w:r w:rsidRPr="008C18B1">
              <w:t>2.</w:t>
            </w:r>
          </w:p>
        </w:tc>
        <w:tc>
          <w:tcPr>
            <w:tcW w:w="1788" w:type="dxa"/>
          </w:tcPr>
          <w:p w:rsidR="005A299A" w:rsidRPr="008C18B1" w:rsidRDefault="005A299A" w:rsidP="00386AC9">
            <w:pPr>
              <w:pStyle w:val="Parasts1"/>
            </w:pPr>
            <w:r w:rsidRPr="008C18B1">
              <w:t>Pašreizējā situācija un problēmas</w:t>
            </w:r>
          </w:p>
        </w:tc>
        <w:tc>
          <w:tcPr>
            <w:tcW w:w="7207" w:type="dxa"/>
          </w:tcPr>
          <w:p w:rsidR="005A299A" w:rsidRPr="008C18B1" w:rsidRDefault="005A299A" w:rsidP="001A408E">
            <w:pPr>
              <w:pStyle w:val="Parasts1"/>
              <w:jc w:val="both"/>
            </w:pPr>
            <w:r w:rsidRPr="008C18B1">
              <w:t>1. Atbilstoši Eiropas Parlamenta un Padomes Direktīvai 98/34/EK (1998. gada 22. jūnijs), ar ko nosaka informācijas sniegšanas kārtību tehnisko standartu un noteikumu jomā</w:t>
            </w:r>
            <w:r>
              <w:t>,</w:t>
            </w:r>
            <w:r w:rsidRPr="008C18B1">
              <w:t xml:space="preserve"> (turpmāk </w:t>
            </w:r>
            <w:r>
              <w:t>–</w:t>
            </w:r>
            <w:r w:rsidRPr="008C18B1">
              <w:t xml:space="preserve"> direktīva 98/34/EK) Zemkopības ministrija (turpmāk – ZM) 2010.gadā nosūtīja Eiropas Komisijai (turpmāk – EK) likumprojektu izvērtēšanai. </w:t>
            </w:r>
          </w:p>
          <w:p w:rsidR="005A299A" w:rsidRPr="008C18B1" w:rsidRDefault="005A299A" w:rsidP="001A408E">
            <w:pPr>
              <w:pStyle w:val="Parasts1"/>
              <w:jc w:val="both"/>
            </w:pPr>
            <w:r w:rsidRPr="008C18B1">
              <w:t xml:space="preserve">Pēc vairākiem no EK saņemtiem atzinumiem un tikšanās ar atbildīgo EK juristu ZM ir precizējusi likumprojektu un panākusi vienošanos par tā redakciju. </w:t>
            </w:r>
          </w:p>
          <w:p w:rsidR="005A299A" w:rsidRPr="008C18B1" w:rsidRDefault="005A299A" w:rsidP="00426812">
            <w:pPr>
              <w:pStyle w:val="Parasts1"/>
              <w:jc w:val="both"/>
            </w:pPr>
            <w:r w:rsidRPr="008C18B1">
              <w:t>2. Patlaban atbilstoši Ģenētiski modificēto organismu aprites likuma (turpmāk – likums) 5.panta pirmās daļas 4.punktam ir noteikta uzraudzības un kontroles kārtība, kādā reģistrē ģenētiski modificētus (turpmāk – ĢM) kultūraugu audzētājus, apmainās ar informāciju ĢM kultūraugu audzētāju reģistrā, kā arī noteiktas prasības ĢM kultūraugu audzētāju apmācības veicējam un tiesības izsniegt apliecības par apmācību. Tomēr Ministru kabinetam (turpmāk – MK) nav pilnvarojuma, lai noteiktu prasības</w:t>
            </w:r>
            <w:r w:rsidRPr="008C18B1" w:rsidDel="009A2CAC">
              <w:t xml:space="preserve"> </w:t>
            </w:r>
            <w:r w:rsidRPr="008C18B1">
              <w:t xml:space="preserve">ĢM kultūraugu līdzāspastāvēšanai. </w:t>
            </w:r>
          </w:p>
          <w:p w:rsidR="005A299A" w:rsidRPr="008C18B1" w:rsidRDefault="005A299A" w:rsidP="00426812">
            <w:pPr>
              <w:pStyle w:val="Parasts1"/>
              <w:jc w:val="both"/>
            </w:pPr>
            <w:r w:rsidRPr="008C18B1">
              <w:t>3. Ievērojot likuma 10. un 21.pantā noteikto, Zāļu valsts aģentūra (turpmāk – ZVA) novērtē zāles un izsniedz atļauju zāļu klīniskās izpētes veikšanai. Saskaņā ar koncepciju „Vienota valsts uzraudzība veterināro zāļu apritē” (atbalstīta ar MK 2010.gada 12.jūlija rīkojumu Nr.388 ”Par koncepciju „Vienota valsts uzraudzība veterināro zāļu apritē””) un Farmācijas likumu (2010.gada 28.oktobra redakcijā) no 2011.gada 1.janvāra ZVA nodrošina tikai cilvēkiem paredzēto zāļu, tostarp tādu cilvēkiem paredzēto zāļu, kas satur ģenētiski modificētus organismus (turpmāk – ĢMO), sastāv vai iegūtas no tiem, novērtēšanu un reģistrāciju un sniedz atļaujas veikt šo zāļu klīnisko izpēti (izplatīšanu vidē izmēģinājumiem), bet Pārtikas un veterinārais dienests (turpmāk – PVD) nodrošina veterināro zāļu, tostarp tādu veterināro zāļu, kas satur ĢMO, sastāv vai iegūtas no tiem, novērtēšanu, reģistrāciju un izsniedz atļaujas veikt izmēģinājumus ar dzīvniekiem (izplatīšanu vidē izmēģinājumiem).</w:t>
            </w:r>
            <w:r w:rsidRPr="008C18B1" w:rsidDel="00751FDD">
              <w:t xml:space="preserve"> </w:t>
            </w:r>
            <w:r w:rsidRPr="008C18B1">
              <w:t xml:space="preserve">Lai novērstu tiesību normu dublēšanu Farmācijas likumā un likumā, vienlaikus nodrošinot skaidras un saprotamas tiesību normas, no likuma izslēdzama ZVA kompetence izsniegt atļaujas zāļu klīniskajai izpētei (izplatīšanai vidē izmēģinājumiem) un precizējama PVD kompetence, lai izsniegtu atļaujas ĢMO izplatīšanai vidē izmēģinājumiem un veiktu riska novērtēšanu. </w:t>
            </w:r>
          </w:p>
          <w:p w:rsidR="005A299A" w:rsidRPr="008C18B1" w:rsidRDefault="005A299A" w:rsidP="00BA7C52">
            <w:pPr>
              <w:pStyle w:val="Parasts1"/>
              <w:jc w:val="both"/>
            </w:pPr>
            <w:r w:rsidRPr="008C18B1">
              <w:t>ZVA kompetence cilvēkiem paredzēto zāļu aprites jomā nemainās, jo tiesību normas noteiktas Farmācijas likumā.</w:t>
            </w:r>
          </w:p>
          <w:p w:rsidR="005A299A" w:rsidRPr="008C18B1" w:rsidRDefault="005A299A" w:rsidP="00BA7C52">
            <w:pPr>
              <w:pStyle w:val="Parasts1"/>
              <w:jc w:val="both"/>
            </w:pPr>
            <w:r w:rsidRPr="008C18B1">
              <w:t>4. Saskaņā ar likuma Pārejas noteikumu 4.punktu MK 2008.gada 15.janvāra noteikumi Nr.30 “Noteikumi par prasībām ģenētiski modificēto kultūraugu līdzāspastāvēšanas nodrošināšanai, kā arī uzraudzības un kontroles kārtību” bija piemērojami līdz 2010.gada 1.jūlijam.</w:t>
            </w:r>
          </w:p>
          <w:p w:rsidR="005A299A" w:rsidRPr="008C18B1" w:rsidRDefault="005A299A" w:rsidP="00785CB0">
            <w:pPr>
              <w:pStyle w:val="Parasts1"/>
              <w:jc w:val="both"/>
            </w:pPr>
            <w:r w:rsidRPr="008C18B1">
              <w:t>Likumprojekta 24.pants paredz pārejas noteikumu MK izdot noteikumus par ĢM kultūraugu līdzāspastāvēšanu līdz 2013.gada 1.jūlijam, lai atbilstoši direktīvai 98/34/EK tos saskaņotu ar EK.</w:t>
            </w:r>
          </w:p>
          <w:p w:rsidR="005A299A" w:rsidRPr="008C18B1" w:rsidRDefault="005A299A" w:rsidP="00BB4C4B">
            <w:pPr>
              <w:pStyle w:val="Parasts1"/>
              <w:adjustRightInd w:val="0"/>
              <w:jc w:val="both"/>
            </w:pPr>
            <w:r w:rsidRPr="008C18B1">
              <w:lastRenderedPageBreak/>
              <w:t>Patlaban 101 no 110 Latvijas pašvaldībām ir noteikusi ĢM kultūraugu audzēšanas ierobežojumus saskaņā ar likuma 22.pantu. Latvijas kompetentās institūcijas pagaidām nav saņēmušas nevienu pieteikumu, kurā būtu pausta vēlme uzsākt ĢM kultūraugu audzēšanu Latvijā, tāpēc ĢM kultūraugu līdzāspastāvēšanas uzraudzība un kontrole netiek veikta.</w:t>
            </w:r>
          </w:p>
          <w:p w:rsidR="005A299A" w:rsidRPr="008C18B1" w:rsidRDefault="005A299A" w:rsidP="00785CB0">
            <w:pPr>
              <w:pStyle w:val="Parasts1"/>
              <w:jc w:val="both"/>
              <w:rPr>
                <w:bCs/>
              </w:rPr>
            </w:pPr>
            <w:r w:rsidRPr="008C18B1">
              <w:t>2010.gada 18.jūnijā ZM, pamatojoties uz MK 2009.gada 7.aprīļa noteikumu Nr.300 „Ministru kabineta kārtības rullis” 119.punktu, nosūtīja Tieslietu ministrijai, Finanšu ministrijai, Vides ministrijai un Latvijas Pašvaldību savienībai atzinuma sniegšanai MK noteikumu projektu „Noteikumi par prasībām ģenētiski modificēto kultūraugu līdzāspastāvēšanai, kā arī uzraudzības un kontroles kārtību</w:t>
            </w:r>
            <w:r w:rsidRPr="008C18B1">
              <w:rPr>
                <w:bCs/>
              </w:rPr>
              <w:t>”.</w:t>
            </w:r>
          </w:p>
          <w:p w:rsidR="005A299A" w:rsidRPr="008C18B1" w:rsidRDefault="005A299A" w:rsidP="002443A9">
            <w:pPr>
              <w:pStyle w:val="naispant"/>
              <w:spacing w:before="0" w:after="0"/>
              <w:ind w:left="0" w:firstLine="0"/>
              <w:rPr>
                <w:b w:val="0"/>
                <w:bCs w:val="0"/>
              </w:rPr>
            </w:pPr>
            <w:r w:rsidRPr="008C18B1">
              <w:rPr>
                <w:b w:val="0"/>
                <w:bCs w:val="0"/>
              </w:rPr>
              <w:t xml:space="preserve">Tieslietu ministrija 2010.gada 7.jūlija atzinumā izteica iebildumu par minētā noteikumu projekta atbilstību likumā noteiktajam deleģējuma un ieteica grozīt likuma 5.panta 4.punktu, ņemot vērā to, ka deleģējums neparedz reģistrāciju ĢM kultūraugu audzētāju reģistrā, informācijas nodrošinājumu un mācību programmas saturu, kā arī personu tiesības veikt apmācību un izsniegt mācību kursa apguvi apliecinošus dokumentus. </w:t>
            </w:r>
          </w:p>
          <w:p w:rsidR="005A299A" w:rsidRPr="008C18B1" w:rsidRDefault="005A299A" w:rsidP="002443A9">
            <w:pPr>
              <w:pStyle w:val="naispant"/>
              <w:spacing w:before="0" w:after="0"/>
              <w:ind w:left="0" w:firstLine="0"/>
              <w:rPr>
                <w:b w:val="0"/>
              </w:rPr>
            </w:pPr>
            <w:r w:rsidRPr="008C18B1">
              <w:rPr>
                <w:b w:val="0"/>
                <w:bCs w:val="0"/>
              </w:rPr>
              <w:t>2010.gada 29.decembrī likumprojekts tika nosūtīts EK notificēšanai.</w:t>
            </w:r>
            <w:r w:rsidRPr="008C18B1">
              <w:rPr>
                <w:sz w:val="28"/>
                <w:szCs w:val="28"/>
              </w:rPr>
              <w:t xml:space="preserve"> </w:t>
            </w:r>
            <w:r w:rsidRPr="008C18B1">
              <w:rPr>
                <w:b w:val="0"/>
              </w:rPr>
              <w:t>Pēc likumprojekta precizēšanas 2011.gada jūlijā likumprojekts tika atkārtoti nosūtīts saskaņošanai ar EK.</w:t>
            </w:r>
          </w:p>
          <w:p w:rsidR="005A299A" w:rsidRPr="008C18B1" w:rsidRDefault="005A299A" w:rsidP="002443A9">
            <w:pPr>
              <w:pStyle w:val="Parasts1"/>
              <w:jc w:val="both"/>
            </w:pPr>
            <w:r w:rsidRPr="008C18B1">
              <w:t xml:space="preserve">2011.gada 25.novembrī ZM saņēma EK paziņojumu 2010/586/LV, kurā tika norādīti būtiski iebildumi par likumprojektā noteikto ĢMO </w:t>
            </w:r>
            <w:bookmarkStart w:id="7" w:name="OLE_LINK8"/>
            <w:bookmarkStart w:id="8" w:name="OLE_LINK9"/>
            <w:r w:rsidRPr="008C18B1">
              <w:t>definīciju, aizliegumu/ierobežojumu noteikšanas ĢMO izplatīšanai tirgū mehānismu un ĢMO brīvo zonu izvei</w:t>
            </w:r>
            <w:bookmarkEnd w:id="7"/>
            <w:bookmarkEnd w:id="8"/>
            <w:r w:rsidRPr="008C18B1">
              <w:t>di.</w:t>
            </w:r>
          </w:p>
          <w:p w:rsidR="005A299A" w:rsidRPr="008C18B1" w:rsidRDefault="005A299A" w:rsidP="00657E7B">
            <w:pPr>
              <w:pStyle w:val="Parasts1"/>
              <w:jc w:val="both"/>
            </w:pPr>
            <w:r w:rsidRPr="008C18B1">
              <w:t xml:space="preserve">Ievērojot EK iebildumus, kā arī </w:t>
            </w:r>
            <w:r w:rsidRPr="008C18B1">
              <w:rPr>
                <w:bCs/>
              </w:rPr>
              <w:t xml:space="preserve">EK 2010.gada 13.jūlija ieteikumus par pamatnostādnēm, kā izstrādāt valsts līdzāspastāvēšanas pasākumus, kas vajadzīgi, lai izvairītos no netīšas ĢMO klātbūtnes parastajās un bioloģiskajās kultūrās (2010/C 200/01) (turpmāk – pamatnostādnes par līdzāspastāvēšanu), </w:t>
            </w:r>
            <w:r w:rsidRPr="008C18B1">
              <w:t>ZM atbilstoši precizēja likumprojektu.</w:t>
            </w:r>
          </w:p>
          <w:p w:rsidR="005A299A" w:rsidRPr="008C18B1" w:rsidRDefault="005A299A" w:rsidP="00657E7B">
            <w:pPr>
              <w:pStyle w:val="Parasts1"/>
              <w:jc w:val="both"/>
            </w:pPr>
            <w:r w:rsidRPr="008C18B1">
              <w:t xml:space="preserve">Turpmākā likumprojekta redakcijas saskaņošana notika ar e-pastu starpniecību, kā arī divpusējās tikšanās reizēs ar atbildīgajiem EK juristiem. Darba gaitā EK radās vairāki iebildumi par citiem likumprojekta punktiem (piemēram, likuma definīcijām, likuma darbības jomu, personas tiesībām ĢMO apzinātas izplatīšanas jomā un antibiotiku </w:t>
            </w:r>
            <w:proofErr w:type="spellStart"/>
            <w:r w:rsidRPr="008C18B1">
              <w:t>rezistento</w:t>
            </w:r>
            <w:proofErr w:type="spellEnd"/>
            <w:r w:rsidRPr="008C18B1">
              <w:t xml:space="preserve"> </w:t>
            </w:r>
            <w:proofErr w:type="spellStart"/>
            <w:r w:rsidRPr="008C18B1">
              <w:t>marķiergēnu</w:t>
            </w:r>
            <w:proofErr w:type="spellEnd"/>
            <w:r w:rsidRPr="008C18B1">
              <w:t xml:space="preserve"> aizlieguma piemērošanu). </w:t>
            </w:r>
          </w:p>
          <w:p w:rsidR="005A299A" w:rsidRPr="008C18B1" w:rsidRDefault="005A299A" w:rsidP="00893D4A">
            <w:pPr>
              <w:pStyle w:val="Parasts1"/>
              <w:jc w:val="both"/>
            </w:pPr>
            <w:r w:rsidRPr="008C18B1">
              <w:t>Latvija iespēju robežās precizēja likumprojektu atbilstoši EK izteiktajiem iebildumiem un priekšlikumiem.</w:t>
            </w:r>
          </w:p>
        </w:tc>
      </w:tr>
      <w:tr w:rsidR="005A299A" w:rsidRPr="008C18B1" w:rsidTr="00E60B09">
        <w:trPr>
          <w:trHeight w:val="530"/>
        </w:trPr>
        <w:tc>
          <w:tcPr>
            <w:tcW w:w="485" w:type="dxa"/>
          </w:tcPr>
          <w:p w:rsidR="005A299A" w:rsidRPr="008C18B1" w:rsidRDefault="005A299A" w:rsidP="00386AC9">
            <w:pPr>
              <w:pStyle w:val="Parasts1"/>
            </w:pPr>
            <w:r w:rsidRPr="008C18B1">
              <w:lastRenderedPageBreak/>
              <w:t>3.</w:t>
            </w:r>
          </w:p>
        </w:tc>
        <w:tc>
          <w:tcPr>
            <w:tcW w:w="1788" w:type="dxa"/>
          </w:tcPr>
          <w:p w:rsidR="005A299A" w:rsidRPr="008C18B1" w:rsidRDefault="005A299A" w:rsidP="00386AC9">
            <w:pPr>
              <w:pStyle w:val="Parasts1"/>
            </w:pPr>
            <w:r w:rsidRPr="008C18B1">
              <w:t>Saistītie politikas ietekmes novērtējumi un pētījumi</w:t>
            </w:r>
          </w:p>
        </w:tc>
        <w:tc>
          <w:tcPr>
            <w:tcW w:w="7207" w:type="dxa"/>
          </w:tcPr>
          <w:p w:rsidR="005A299A" w:rsidRPr="008C18B1" w:rsidRDefault="005A299A" w:rsidP="007F49A0">
            <w:pPr>
              <w:pStyle w:val="Parasts1"/>
            </w:pPr>
            <w:r>
              <w:t>Likump</w:t>
            </w:r>
            <w:r w:rsidRPr="008C18B1">
              <w:t>rojekts šo jomu neskar.</w:t>
            </w:r>
          </w:p>
        </w:tc>
      </w:tr>
      <w:tr w:rsidR="005A299A" w:rsidRPr="008C18B1" w:rsidTr="00EA07CD">
        <w:trPr>
          <w:trHeight w:val="1405"/>
        </w:trPr>
        <w:tc>
          <w:tcPr>
            <w:tcW w:w="485" w:type="dxa"/>
          </w:tcPr>
          <w:p w:rsidR="005A299A" w:rsidRPr="008C18B1" w:rsidRDefault="005A299A" w:rsidP="00386AC9">
            <w:pPr>
              <w:pStyle w:val="Parasts1"/>
            </w:pPr>
            <w:r w:rsidRPr="008C18B1">
              <w:t>4.</w:t>
            </w:r>
          </w:p>
        </w:tc>
        <w:tc>
          <w:tcPr>
            <w:tcW w:w="1788" w:type="dxa"/>
          </w:tcPr>
          <w:p w:rsidR="005A299A" w:rsidRPr="008C18B1" w:rsidRDefault="005A299A" w:rsidP="00386AC9">
            <w:pPr>
              <w:pStyle w:val="Parasts1"/>
            </w:pPr>
            <w:r w:rsidRPr="008C18B1">
              <w:t>Tiesiskā regulējuma mērķis un būtība</w:t>
            </w:r>
          </w:p>
        </w:tc>
        <w:tc>
          <w:tcPr>
            <w:tcW w:w="7207" w:type="dxa"/>
          </w:tcPr>
          <w:p w:rsidR="005A299A" w:rsidRPr="008C18B1" w:rsidRDefault="005A299A" w:rsidP="001B6B71">
            <w:pPr>
              <w:pStyle w:val="Parasts1"/>
              <w:jc w:val="both"/>
            </w:pPr>
            <w:r w:rsidRPr="008C18B1">
              <w:t>Likumprojekts sagatavots, lai:</w:t>
            </w:r>
          </w:p>
          <w:p w:rsidR="005A299A" w:rsidRPr="008C18B1" w:rsidRDefault="005A299A" w:rsidP="001B6B71">
            <w:pPr>
              <w:pStyle w:val="Parasts1"/>
              <w:jc w:val="both"/>
            </w:pPr>
            <w:r>
              <w:t xml:space="preserve">1) </w:t>
            </w:r>
            <w:r w:rsidRPr="008C18B1">
              <w:t>precizētu likumā noteiktās normas atbilstoši EK izteiktajiem iebildumiem un priekšlikumiem;</w:t>
            </w:r>
          </w:p>
          <w:p w:rsidR="005A299A" w:rsidRPr="008C18B1" w:rsidRDefault="005A299A" w:rsidP="001B6B71">
            <w:pPr>
              <w:pStyle w:val="Parasts1"/>
              <w:jc w:val="both"/>
            </w:pPr>
            <w:r w:rsidRPr="008C18B1">
              <w:t>2) pilnvarotu MK noteikt ĢM kultūraugu līdzāspastāvēšanas prasības un noteikumu projekta pieņemšanas termiņu;</w:t>
            </w:r>
          </w:p>
          <w:p w:rsidR="005A299A" w:rsidRPr="008C18B1" w:rsidRDefault="005A299A" w:rsidP="001B6B71">
            <w:pPr>
              <w:pStyle w:val="Parasts1"/>
              <w:jc w:val="both"/>
            </w:pPr>
            <w:r w:rsidRPr="008C18B1">
              <w:t>3) precizētu kompetento institūciju atbildības jomas, pamatojoties uz koncepciju „Vienota valsts uzraudzība veterināro zāļu apritē” (atbalstīta ar MK 2010.gada 12.jūlija rīkojumu Nr.388 ”Par koncepciju „Vienota valsts uzraudzība veterināro zāļu apritē””);</w:t>
            </w:r>
          </w:p>
          <w:p w:rsidR="005A299A" w:rsidRPr="008C18B1" w:rsidRDefault="005A299A" w:rsidP="001B6B71">
            <w:pPr>
              <w:pStyle w:val="Default"/>
              <w:jc w:val="both"/>
              <w:rPr>
                <w:rFonts w:ascii="Times New Roman" w:hAnsi="Times New Roman" w:cs="Times New Roman"/>
                <w:color w:val="auto"/>
              </w:rPr>
            </w:pPr>
            <w:r w:rsidRPr="008C18B1">
              <w:rPr>
                <w:rFonts w:ascii="Times New Roman" w:hAnsi="Times New Roman" w:cs="Times New Roman"/>
                <w:color w:val="auto"/>
              </w:rPr>
              <w:t>4) ietvertu likumā pamatnostādnes par līdzāspastāvēšanu</w:t>
            </w:r>
            <w:r w:rsidRPr="008C18B1">
              <w:rPr>
                <w:rFonts w:ascii="Times New Roman" w:hAnsi="Times New Roman" w:cs="Times New Roman"/>
                <w:bCs/>
                <w:color w:val="auto"/>
              </w:rPr>
              <w:t>:</w:t>
            </w:r>
          </w:p>
          <w:p w:rsidR="005A299A" w:rsidRPr="008C18B1" w:rsidRDefault="005A299A" w:rsidP="001B6B71">
            <w:pPr>
              <w:pStyle w:val="Default"/>
              <w:jc w:val="both"/>
              <w:rPr>
                <w:rFonts w:ascii="Times New Roman" w:hAnsi="Times New Roman" w:cs="Times New Roman"/>
                <w:color w:val="auto"/>
              </w:rPr>
            </w:pPr>
            <w:r w:rsidRPr="008C18B1">
              <w:rPr>
                <w:rFonts w:ascii="Times New Roman" w:hAnsi="Times New Roman" w:cs="Times New Roman"/>
                <w:color w:val="auto"/>
              </w:rPr>
              <w:lastRenderedPageBreak/>
              <w:t>● Preambulas 3.punkts – dalībvalstu valsts iestādēm var būt nepieciešams noteikt attiecīgus pasākumus teritorijās, kur tiek audzēti ĢM kultūraugi, lai ļautu patērētājiem un ražotājiem izvēlēties starp parasto, bioloģisko un ĢM produkciju (turpmāk  – “līdzāspastāvēšanas pasākumi”). Šis ieteikums tiek ieviests ar normatīvajiem aktiem par ĢM kultūraugu līdzāspastāvēšanu;</w:t>
            </w:r>
          </w:p>
          <w:p w:rsidR="005A299A" w:rsidRPr="008C18B1" w:rsidRDefault="005A299A" w:rsidP="001B6B71">
            <w:pPr>
              <w:pStyle w:val="Parasts1"/>
              <w:jc w:val="both"/>
            </w:pPr>
            <w:r w:rsidRPr="008C18B1">
              <w:t>● Preambulas 4.punkts – dažos gadījumos atkarībā no ekonomiskajiem un dabas apstākļiem var rasties vajadzība nepieļaut ĢM kultūraugu audzēšanu plašās teritorijās. Šai iespējai ir jābūt atkarīgai no tā, vai dalībvalstis spēj pierādīt, ka attiecīgajās teritorijās citi pasākumi nav pietiekami, lai nepieļautu ĢMO netīšu klātbūtni parastajās vai bioloģiskajās kultūrās. Tāpat ierobežojošajiem pasākumiem ir jābūt samērīgiem ar noteikto mērķi aizsargāt konkrēto konvenciālo un bioloģisko lauksaimnieku vajadzības.</w:t>
            </w:r>
          </w:p>
          <w:p w:rsidR="005A299A" w:rsidRPr="008C18B1" w:rsidRDefault="00F43246" w:rsidP="00F43246">
            <w:pPr>
              <w:pStyle w:val="Parasts1"/>
              <w:jc w:val="both"/>
            </w:pPr>
            <w:r w:rsidRPr="00F43246">
              <w:t xml:space="preserve">Šis ieteikums tiek daļēji ietverts likuma 22.pantā, nosakot, ka pašvaldība pēc savas iniciatīvas vai uz personas priekšlikuma pamata ar pašvaldības saistošajiem noteikumiem var noteikt aizliegumu ģenētiski modificēto kultūraugu audzēšanai attiecīgajā administratīvajā teritorijā vai tās daļā, lai konvencionālajos vai bioloģiskajos kultūraugos </w:t>
            </w:r>
            <w:r w:rsidRPr="00F43246">
              <w:rPr>
                <w:bCs/>
              </w:rPr>
              <w:t>vai biškopības produktos</w:t>
            </w:r>
            <w:r w:rsidRPr="00F43246">
              <w:t xml:space="preserve"> izvairītos no ģenētiski modificētu organismu klātbūtnes bez nodoma.</w:t>
            </w:r>
          </w:p>
          <w:p w:rsidR="005A299A" w:rsidRPr="008C18B1" w:rsidRDefault="005A299A" w:rsidP="000A7D33">
            <w:pPr>
              <w:pStyle w:val="Bezatstarpm"/>
              <w:jc w:val="both"/>
            </w:pPr>
            <w:r w:rsidRPr="008C18B1">
              <w:t xml:space="preserve">5) noteiktu, ka likums neattiecas uz tādu zāļu, kas satur ĢMO, sastāv vai iegūtas no tiem, izplatīšanu vidē izmēģinājumiem, izņemot riska novērtēšanu </w:t>
            </w:r>
            <w:r w:rsidRPr="008C18B1">
              <w:rPr>
                <w:lang w:bidi="lo-LA"/>
              </w:rPr>
              <w:t xml:space="preserve">saskaņā ar normatīvajiem aktiem par ĢMO apzinātu izplatīšanu, monitoringa un atļaujas izsniegšanas kārtību, kā arī kārtību, kādā sniedzama </w:t>
            </w:r>
            <w:r w:rsidRPr="008C18B1">
              <w:t>informācija par ĢMO apriti un sabiedrības iesaistīšanu lēmumu pieņemšanas procesā;</w:t>
            </w:r>
          </w:p>
          <w:p w:rsidR="005A299A" w:rsidRPr="008C18B1" w:rsidRDefault="005A299A" w:rsidP="000A7D33">
            <w:pPr>
              <w:pStyle w:val="Bezatstarpm"/>
              <w:jc w:val="both"/>
            </w:pPr>
            <w:r w:rsidRPr="008C18B1">
              <w:t>6) precizētu kompetento institūciju uzraudzības un kontroles funkcijas;</w:t>
            </w:r>
          </w:p>
          <w:p w:rsidR="005A299A" w:rsidRPr="008C18B1" w:rsidRDefault="005A299A" w:rsidP="000A7D33">
            <w:pPr>
              <w:pStyle w:val="Bezatstarpm"/>
              <w:jc w:val="both"/>
            </w:pPr>
            <w:r w:rsidRPr="008C18B1">
              <w:t xml:space="preserve">7) izslēgtu tiesību normas, kas dublē ZVA kompetenci attiecībā uz zāļu novērtēšanu un atļaujas izsniegšanu zāļu klīniskās izpētes veikšanai (arī zāļu, kas satur ĢMO, sastāv vai iegūtas no tiem), jo šādas tiesību normas jau ir noteiktas Farmācijas likuma 10.panta 9.punktā un 30.pantā. </w:t>
            </w:r>
          </w:p>
          <w:p w:rsidR="005A299A" w:rsidRPr="008C18B1" w:rsidRDefault="005A299A" w:rsidP="001F014E">
            <w:pPr>
              <w:pStyle w:val="Parasts1"/>
              <w:jc w:val="both"/>
            </w:pPr>
            <w:r w:rsidRPr="008C18B1">
              <w:t>Šīs anotācijas I sadaļas 2.punktā minētās problēmas likumprojekts atrisinās pilnībā</w:t>
            </w:r>
            <w:r>
              <w:t>;</w:t>
            </w:r>
          </w:p>
          <w:p w:rsidR="005A299A" w:rsidRPr="008C18B1" w:rsidRDefault="005A299A" w:rsidP="00E60B09">
            <w:pPr>
              <w:pStyle w:val="Parasts1"/>
              <w:jc w:val="both"/>
            </w:pPr>
            <w:r w:rsidRPr="008C18B1">
              <w:t>8) noteiktu organisma, mikroorganisma un ĢM mikroorganisma definējumu, kā arī precizētu citas likumā noteiktās definīcijas atbilstoši EK izteiktajiem priekšlikumiem.</w:t>
            </w:r>
          </w:p>
          <w:p w:rsidR="005A299A" w:rsidRPr="008C18B1" w:rsidRDefault="005A299A" w:rsidP="006856DF">
            <w:pPr>
              <w:pStyle w:val="Bezatstarpm"/>
              <w:jc w:val="both"/>
            </w:pPr>
            <w:r w:rsidRPr="008C18B1">
              <w:t>ĢMO izplatīšana vidē izmēģinājumiem definīcija izstrādāta, pamatojoties uz EK informatīvā materiāla</w:t>
            </w:r>
          </w:p>
          <w:p w:rsidR="005A299A" w:rsidRPr="008C18B1" w:rsidRDefault="005A299A" w:rsidP="006856DF">
            <w:pPr>
              <w:pStyle w:val="Bezatstarpm"/>
              <w:jc w:val="both"/>
            </w:pPr>
            <w:r w:rsidRPr="008C18B1">
              <w:t xml:space="preserve"> </w:t>
            </w:r>
            <w:hyperlink r:id="rId7" w:history="1">
              <w:r w:rsidRPr="008C18B1">
                <w:rPr>
                  <w:rStyle w:val="Hipersaite"/>
                  <w:color w:val="auto"/>
                </w:rPr>
                <w:t>http://ec.europa.eu/food/food/biotechnology/gmfood/qanda_en.htm</w:t>
              </w:r>
            </w:hyperlink>
          </w:p>
          <w:p w:rsidR="005A299A" w:rsidRPr="008C18B1" w:rsidRDefault="005A299A" w:rsidP="00E60B09">
            <w:pPr>
              <w:pStyle w:val="Parasts1"/>
              <w:jc w:val="both"/>
            </w:pPr>
            <w:r w:rsidRPr="008C18B1">
              <w:t>2.sadaļas 2.punkta 1.atkāpi. Definīcija paplašināta ar vārdiem „kas saistīti ar to turpmāku izmantošanu lauksaimniecībā vai citās tautsaimniecības nozarēs”, lai precizētu šādu izmēģinājumu galveno mērķi – izmēģinājumos iegūto rezultātu izmantošanu nākotnē, uzsākot ĢMO komerciālu izmantošanu, piemēram, audzēšanu komerciāliem nolūkiem.</w:t>
            </w:r>
          </w:p>
          <w:p w:rsidR="00F43246" w:rsidRDefault="005A299A" w:rsidP="00F43246">
            <w:pPr>
              <w:pStyle w:val="Parasts1"/>
              <w:jc w:val="both"/>
              <w:rPr>
                <w:color w:val="FF0000"/>
              </w:rPr>
            </w:pPr>
            <w:r w:rsidRPr="008C18B1">
              <w:t xml:space="preserve">Līdzāspastāvēšanas definīcija izstrādāta, pamatojoties uz pamatnostādnēm par līdzāspastāvēšanu, kas nosaka, ka dalībvalstis var piemērot </w:t>
            </w:r>
            <w:r w:rsidRPr="00F43246">
              <w:t>pasākumus,</w:t>
            </w:r>
            <w:r w:rsidR="00F43246" w:rsidRPr="00F43246">
              <w:t xml:space="preserve"> lai konvencionālajos vai bioloģiskajos kultūraugos vai biškopības produktos izvairītos no ģenētiski modificētu organismu klātbūtnes bez nodoma.</w:t>
            </w:r>
            <w:bookmarkStart w:id="9" w:name="_GoBack"/>
            <w:bookmarkEnd w:id="9"/>
          </w:p>
          <w:p w:rsidR="005A299A" w:rsidRPr="008C18B1" w:rsidRDefault="005A299A" w:rsidP="00F43246">
            <w:pPr>
              <w:pStyle w:val="Parasts1"/>
              <w:jc w:val="both"/>
            </w:pPr>
            <w:r w:rsidRPr="008C18B1">
              <w:t xml:space="preserve">Likumprojekta 6 panta trešā daļa paredz noteikt MK tiesības ierobežot vai aizliegt ĢMO izplatīšanu tirgū, ja atbilstoši jauniem vai papildu </w:t>
            </w:r>
            <w:r w:rsidRPr="008C18B1">
              <w:lastRenderedPageBreak/>
              <w:t>zinātniskiem datiem konkrētā ĢMO izplatīšana tirgū var nodarīt kaitējumu cilvēku vai dzīvnieku veselībai vai videi. Tiesības noteikt ierobežojumus un aizliegumus nopietnu draudu gadījumā tiek piešķirtas arī uzraudzības un kontroles institūcijas inspektoriem, lai operatīvi novērstu ĢMO iespējamo negatīvo ietekmi uz cilvēku un dzīvnieku veselību vai vidi (likumprojekta 22.panta 1.punkts).</w:t>
            </w:r>
          </w:p>
        </w:tc>
      </w:tr>
      <w:tr w:rsidR="005A299A" w:rsidRPr="008C18B1" w:rsidTr="00E60B09">
        <w:trPr>
          <w:trHeight w:val="476"/>
        </w:trPr>
        <w:tc>
          <w:tcPr>
            <w:tcW w:w="485" w:type="dxa"/>
          </w:tcPr>
          <w:p w:rsidR="005A299A" w:rsidRPr="008C18B1" w:rsidRDefault="005A299A" w:rsidP="00386AC9">
            <w:pPr>
              <w:pStyle w:val="Parasts1"/>
            </w:pPr>
            <w:r w:rsidRPr="008C18B1">
              <w:lastRenderedPageBreak/>
              <w:t>5.</w:t>
            </w:r>
          </w:p>
        </w:tc>
        <w:tc>
          <w:tcPr>
            <w:tcW w:w="1788" w:type="dxa"/>
          </w:tcPr>
          <w:p w:rsidR="005A299A" w:rsidRPr="008C18B1" w:rsidRDefault="005A299A" w:rsidP="00386AC9">
            <w:pPr>
              <w:pStyle w:val="Parasts1"/>
            </w:pPr>
            <w:r w:rsidRPr="008C18B1">
              <w:t>Projekta izstrādē iesaistītās institūcijas</w:t>
            </w:r>
          </w:p>
        </w:tc>
        <w:tc>
          <w:tcPr>
            <w:tcW w:w="7207" w:type="dxa"/>
          </w:tcPr>
          <w:p w:rsidR="005A299A" w:rsidRPr="008C18B1" w:rsidRDefault="005A299A" w:rsidP="004538CA">
            <w:pPr>
              <w:pStyle w:val="Parasts1"/>
              <w:jc w:val="both"/>
            </w:pPr>
            <w:r w:rsidRPr="008C18B1">
              <w:t xml:space="preserve">Valsts augu aizsardzības dienests (turpmāk – VAAD) un PVD. </w:t>
            </w:r>
          </w:p>
        </w:tc>
      </w:tr>
      <w:tr w:rsidR="005A299A" w:rsidRPr="008C18B1" w:rsidTr="00E60B09">
        <w:trPr>
          <w:trHeight w:val="1340"/>
        </w:trPr>
        <w:tc>
          <w:tcPr>
            <w:tcW w:w="485" w:type="dxa"/>
          </w:tcPr>
          <w:p w:rsidR="005A299A" w:rsidRPr="008C18B1" w:rsidRDefault="005A299A" w:rsidP="00386AC9">
            <w:pPr>
              <w:pStyle w:val="Parasts1"/>
            </w:pPr>
            <w:r w:rsidRPr="008C18B1">
              <w:t>6.</w:t>
            </w:r>
          </w:p>
        </w:tc>
        <w:tc>
          <w:tcPr>
            <w:tcW w:w="1788" w:type="dxa"/>
          </w:tcPr>
          <w:p w:rsidR="005A299A" w:rsidRPr="008C18B1" w:rsidRDefault="005A299A" w:rsidP="00386AC9">
            <w:pPr>
              <w:pStyle w:val="Parasts1"/>
            </w:pPr>
            <w:r w:rsidRPr="008C18B1">
              <w:t>Iemesli, kādēļ netika nodrošināta sabiedrības līdzdalība</w:t>
            </w:r>
          </w:p>
        </w:tc>
        <w:tc>
          <w:tcPr>
            <w:tcW w:w="7207" w:type="dxa"/>
          </w:tcPr>
          <w:p w:rsidR="005A299A" w:rsidRPr="008C18B1" w:rsidRDefault="005A299A" w:rsidP="00386AC9">
            <w:pPr>
              <w:pStyle w:val="Parasts1"/>
            </w:pPr>
            <w:r w:rsidRPr="008C18B1">
              <w:t>Projekts šo jomu neskar.</w:t>
            </w:r>
          </w:p>
        </w:tc>
      </w:tr>
      <w:tr w:rsidR="005A299A" w:rsidRPr="008C18B1" w:rsidTr="00E60B09">
        <w:tc>
          <w:tcPr>
            <w:tcW w:w="485" w:type="dxa"/>
          </w:tcPr>
          <w:p w:rsidR="005A299A" w:rsidRPr="008C18B1" w:rsidRDefault="005A299A" w:rsidP="00386AC9">
            <w:pPr>
              <w:pStyle w:val="Parasts1"/>
            </w:pPr>
            <w:r w:rsidRPr="008C18B1">
              <w:t>7.</w:t>
            </w:r>
          </w:p>
        </w:tc>
        <w:tc>
          <w:tcPr>
            <w:tcW w:w="1788" w:type="dxa"/>
          </w:tcPr>
          <w:p w:rsidR="005A299A" w:rsidRPr="008C18B1" w:rsidRDefault="005A299A" w:rsidP="00386AC9">
            <w:pPr>
              <w:pStyle w:val="Parasts1"/>
            </w:pPr>
            <w:r w:rsidRPr="008C18B1">
              <w:t>Cita informācija</w:t>
            </w:r>
          </w:p>
        </w:tc>
        <w:tc>
          <w:tcPr>
            <w:tcW w:w="7207" w:type="dxa"/>
          </w:tcPr>
          <w:p w:rsidR="005A299A" w:rsidRPr="008C18B1" w:rsidRDefault="005A299A" w:rsidP="00386AC9">
            <w:pPr>
              <w:pStyle w:val="Parasts1"/>
            </w:pPr>
            <w:r w:rsidRPr="008C18B1">
              <w:t xml:space="preserve">Nav. </w:t>
            </w:r>
          </w:p>
        </w:tc>
      </w:tr>
    </w:tbl>
    <w:p w:rsidR="005A299A" w:rsidRPr="008C18B1" w:rsidRDefault="005A299A" w:rsidP="00386AC9">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27"/>
        <w:gridCol w:w="3812"/>
        <w:gridCol w:w="5102"/>
      </w:tblGrid>
      <w:tr w:rsidR="005A299A" w:rsidRPr="008C18B1"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A299A" w:rsidRPr="008C18B1" w:rsidRDefault="005A299A" w:rsidP="0064680E">
            <w:pPr>
              <w:pStyle w:val="Parasts1"/>
              <w:jc w:val="center"/>
              <w:rPr>
                <w:b/>
              </w:rPr>
            </w:pPr>
            <w:r w:rsidRPr="008C18B1">
              <w:rPr>
                <w:b/>
              </w:rPr>
              <w:t>II. Tiesību akta projekta ietekme uz sabiedrību</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t>1.</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 xml:space="preserve">Sabiedrības </w:t>
            </w:r>
            <w:proofErr w:type="spellStart"/>
            <w:r w:rsidRPr="008C18B1">
              <w:t>mērķgrupa</w:t>
            </w:r>
            <w:proofErr w:type="spellEnd"/>
          </w:p>
        </w:tc>
        <w:tc>
          <w:tcPr>
            <w:tcW w:w="2646" w:type="pct"/>
            <w:tcBorders>
              <w:top w:val="outset" w:sz="6" w:space="0" w:color="000000"/>
              <w:left w:val="outset" w:sz="6" w:space="0" w:color="000000"/>
              <w:bottom w:val="outset" w:sz="6" w:space="0" w:color="000000"/>
            </w:tcBorders>
          </w:tcPr>
          <w:p w:rsidR="005A299A" w:rsidRPr="008C18B1" w:rsidRDefault="005A299A" w:rsidP="001F014E">
            <w:pPr>
              <w:pStyle w:val="Parasts1"/>
              <w:jc w:val="both"/>
            </w:pPr>
            <w:r w:rsidRPr="008C18B1">
              <w:t>Personas, kas iesaistītas ĢMO apritē, tostarp:</w:t>
            </w:r>
          </w:p>
          <w:p w:rsidR="005A299A" w:rsidRPr="008C18B1" w:rsidRDefault="005A299A" w:rsidP="001F014E">
            <w:pPr>
              <w:pStyle w:val="Parasts1"/>
              <w:jc w:val="both"/>
            </w:pPr>
            <w:r w:rsidRPr="008C18B1">
              <w:t>1) personas, kas audzē ĢM kultūraugus Latvijas teritorijā.</w:t>
            </w:r>
          </w:p>
          <w:p w:rsidR="005A299A" w:rsidRPr="008C18B1" w:rsidRDefault="005A299A" w:rsidP="005D4291">
            <w:pPr>
              <w:pStyle w:val="Parasts1"/>
              <w:jc w:val="both"/>
            </w:pPr>
            <w:proofErr w:type="spellStart"/>
            <w:r w:rsidRPr="008C18B1">
              <w:t>Mērķgrupas</w:t>
            </w:r>
            <w:proofErr w:type="spellEnd"/>
            <w:r w:rsidRPr="008C18B1">
              <w:t xml:space="preserve"> lielumu nav iespējams noteikt, jo patlaban Latvijā neviens nenodarbojas ar ĢM kultūraugu audzēšanu;</w:t>
            </w:r>
          </w:p>
          <w:p w:rsidR="005A299A" w:rsidRPr="008C18B1" w:rsidRDefault="005A299A" w:rsidP="005D4291">
            <w:pPr>
              <w:pStyle w:val="Parasts1"/>
              <w:jc w:val="both"/>
            </w:pPr>
            <w:r w:rsidRPr="008C18B1">
              <w:t xml:space="preserve">2) kompetentās institūcijas, kas veic tādu zāļu reģistrāciju, kuras satur ĢMO, sastāv vai iegūtas no tiem; </w:t>
            </w:r>
          </w:p>
          <w:p w:rsidR="005A299A" w:rsidRPr="008C18B1" w:rsidRDefault="005A299A" w:rsidP="005D4291">
            <w:pPr>
              <w:pStyle w:val="Parasts1"/>
              <w:jc w:val="both"/>
            </w:pPr>
            <w:r w:rsidRPr="008C18B1">
              <w:t>3) zinātniskās institūcijas, kas nodarbojas ar ĢM mikroorganismu ierobežoto izmantošanu.</w:t>
            </w:r>
          </w:p>
          <w:p w:rsidR="005A299A" w:rsidRPr="008C18B1" w:rsidRDefault="005A299A" w:rsidP="005D4291">
            <w:pPr>
              <w:pStyle w:val="Parasts1"/>
              <w:jc w:val="both"/>
            </w:pPr>
            <w:proofErr w:type="spellStart"/>
            <w:r w:rsidRPr="008C18B1">
              <w:t>Mērķgrupas</w:t>
            </w:r>
            <w:proofErr w:type="spellEnd"/>
            <w:r w:rsidRPr="008C18B1">
              <w:t xml:space="preserve"> lielumu nav iespējams noteikt, jo patlaban Latvijā neviens nenodarbojas ar ĢM mikroorganismu ierobežotu izmantošanu.</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1F014E">
            <w:pPr>
              <w:pStyle w:val="Parasts1"/>
              <w:jc w:val="both"/>
            </w:pPr>
            <w:r w:rsidRPr="008C18B1">
              <w:t>2.</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1F014E">
            <w:pPr>
              <w:pStyle w:val="Parasts1"/>
              <w:jc w:val="both"/>
            </w:pPr>
            <w:r w:rsidRPr="008C18B1">
              <w:t xml:space="preserve">Citas sabiedrības grupas (bez </w:t>
            </w:r>
            <w:proofErr w:type="spellStart"/>
            <w:r w:rsidRPr="008C18B1">
              <w:t>mērķgrupas</w:t>
            </w:r>
            <w:proofErr w:type="spellEnd"/>
            <w:r w:rsidRPr="008C18B1">
              <w:t>), kuras tiesiskais regulējums arī ietekmē vai varētu ietekmēt</w:t>
            </w:r>
          </w:p>
        </w:tc>
        <w:tc>
          <w:tcPr>
            <w:tcW w:w="2646" w:type="pct"/>
            <w:tcBorders>
              <w:top w:val="outset" w:sz="6" w:space="0" w:color="000000"/>
              <w:left w:val="outset" w:sz="6" w:space="0" w:color="000000"/>
              <w:bottom w:val="outset" w:sz="6" w:space="0" w:color="000000"/>
            </w:tcBorders>
          </w:tcPr>
          <w:p w:rsidR="005A299A" w:rsidRPr="008C18B1" w:rsidRDefault="005A299A" w:rsidP="00386AC9">
            <w:pPr>
              <w:pStyle w:val="Parasts1"/>
            </w:pPr>
            <w:r w:rsidRPr="008C18B1">
              <w:t>Likumprojekts šo jomu neskar.</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t>3.</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Tiesiskā regulējuma finansiālā ietekme</w:t>
            </w:r>
          </w:p>
        </w:tc>
        <w:tc>
          <w:tcPr>
            <w:tcW w:w="2646" w:type="pct"/>
            <w:tcBorders>
              <w:top w:val="outset" w:sz="6" w:space="0" w:color="000000"/>
              <w:left w:val="outset" w:sz="6" w:space="0" w:color="000000"/>
              <w:bottom w:val="outset" w:sz="6" w:space="0" w:color="000000"/>
            </w:tcBorders>
          </w:tcPr>
          <w:p w:rsidR="005A299A" w:rsidRPr="008C18B1" w:rsidRDefault="005A299A" w:rsidP="001F014E">
            <w:pPr>
              <w:pStyle w:val="Parasts1"/>
              <w:jc w:val="both"/>
            </w:pPr>
            <w:r w:rsidRPr="008C18B1">
              <w:t xml:space="preserve">Likumprojektam nav negatīvas finansiālas ietekmes uz sabiedrības </w:t>
            </w:r>
            <w:proofErr w:type="spellStart"/>
            <w:r w:rsidRPr="008C18B1">
              <w:t>mērķgrupu</w:t>
            </w:r>
            <w:proofErr w:type="spellEnd"/>
            <w:r w:rsidRPr="008C18B1">
              <w:t xml:space="preserve"> vai citām sabiedrības grupām.</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t>4.</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Tiesiskā regulējuma nefinansiālā ietekme</w:t>
            </w:r>
          </w:p>
        </w:tc>
        <w:tc>
          <w:tcPr>
            <w:tcW w:w="2646" w:type="pct"/>
            <w:tcBorders>
              <w:top w:val="outset" w:sz="6" w:space="0" w:color="000000"/>
              <w:left w:val="outset" w:sz="6" w:space="0" w:color="000000"/>
              <w:bottom w:val="outset" w:sz="6" w:space="0" w:color="000000"/>
            </w:tcBorders>
          </w:tcPr>
          <w:p w:rsidR="005A299A" w:rsidRPr="008C18B1" w:rsidRDefault="005A299A" w:rsidP="001F014E">
            <w:pPr>
              <w:pStyle w:val="Parasts1"/>
              <w:jc w:val="both"/>
            </w:pPr>
            <w:r w:rsidRPr="008C18B1">
              <w:t>Likumprojekts veicinās tiesisko noteiktību likuma normu interpretācijā un piemērošanā.</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t>5.</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Administratīvās procedūras raksturojums</w:t>
            </w:r>
          </w:p>
        </w:tc>
        <w:tc>
          <w:tcPr>
            <w:tcW w:w="2646" w:type="pct"/>
            <w:tcBorders>
              <w:top w:val="outset" w:sz="6" w:space="0" w:color="000000"/>
              <w:left w:val="outset" w:sz="6" w:space="0" w:color="000000"/>
              <w:bottom w:val="outset" w:sz="6" w:space="0" w:color="000000"/>
            </w:tcBorders>
          </w:tcPr>
          <w:p w:rsidR="005A299A" w:rsidRPr="008C18B1" w:rsidRDefault="005A299A" w:rsidP="001F014E">
            <w:pPr>
              <w:pStyle w:val="Parasts1"/>
              <w:jc w:val="both"/>
            </w:pPr>
            <w:r w:rsidRPr="008C18B1">
              <w:t>Indivīds savas tiesības varēs aizstāvēt normatīvajos aktos noteiktajā kārtībā (Administratīvā procesa likums).</w:t>
            </w:r>
          </w:p>
          <w:p w:rsidR="005A299A" w:rsidRPr="008C18B1" w:rsidRDefault="005A299A" w:rsidP="001F014E">
            <w:pPr>
              <w:pStyle w:val="Parasts1"/>
              <w:jc w:val="both"/>
            </w:pPr>
            <w:r w:rsidRPr="008C18B1">
              <w:t>PVD inspektora lēmumus var atcelt PVD ģenerāldirektors.</w:t>
            </w:r>
          </w:p>
          <w:p w:rsidR="005A299A" w:rsidRPr="008C18B1" w:rsidRDefault="005A299A" w:rsidP="00F94101">
            <w:pPr>
              <w:pStyle w:val="Parasts1"/>
              <w:jc w:val="both"/>
            </w:pPr>
            <w:r w:rsidRPr="008C18B1">
              <w:t>VAAD inspektora lēmumus var atcelt VAAD direktors.</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t>6.</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Administratīvo izmaksu monetārs novērtējums</w:t>
            </w:r>
          </w:p>
        </w:tc>
        <w:tc>
          <w:tcPr>
            <w:tcW w:w="2646" w:type="pct"/>
            <w:tcBorders>
              <w:top w:val="outset" w:sz="6" w:space="0" w:color="000000"/>
              <w:left w:val="outset" w:sz="6" w:space="0" w:color="000000"/>
              <w:bottom w:val="outset" w:sz="6" w:space="0" w:color="000000"/>
            </w:tcBorders>
          </w:tcPr>
          <w:p w:rsidR="005A299A" w:rsidRPr="008C18B1" w:rsidRDefault="005A299A" w:rsidP="00386AC9">
            <w:pPr>
              <w:pStyle w:val="Parasts1"/>
            </w:pPr>
            <w:r w:rsidRPr="008C18B1">
              <w:t>Likumprojekts šo jomu neskar..</w:t>
            </w:r>
          </w:p>
        </w:tc>
      </w:tr>
      <w:tr w:rsidR="005A299A" w:rsidRPr="008C18B1" w:rsidTr="00E87F08">
        <w:tc>
          <w:tcPr>
            <w:tcW w:w="377" w:type="pct"/>
            <w:tcBorders>
              <w:top w:val="outset" w:sz="6" w:space="0" w:color="000000"/>
              <w:bottom w:val="outset" w:sz="6" w:space="0" w:color="000000"/>
              <w:right w:val="outset" w:sz="6" w:space="0" w:color="000000"/>
            </w:tcBorders>
          </w:tcPr>
          <w:p w:rsidR="005A299A" w:rsidRPr="008C18B1" w:rsidRDefault="005A299A" w:rsidP="00386AC9">
            <w:pPr>
              <w:pStyle w:val="Parasts1"/>
            </w:pPr>
            <w:r w:rsidRPr="008C18B1">
              <w:lastRenderedPageBreak/>
              <w:t>7.</w:t>
            </w:r>
          </w:p>
        </w:tc>
        <w:tc>
          <w:tcPr>
            <w:tcW w:w="1977" w:type="pct"/>
            <w:tcBorders>
              <w:top w:val="outset" w:sz="6" w:space="0" w:color="000000"/>
              <w:left w:val="outset" w:sz="6" w:space="0" w:color="000000"/>
              <w:bottom w:val="outset" w:sz="6" w:space="0" w:color="000000"/>
              <w:right w:val="outset" w:sz="6" w:space="0" w:color="000000"/>
            </w:tcBorders>
          </w:tcPr>
          <w:p w:rsidR="005A299A" w:rsidRPr="008C18B1" w:rsidRDefault="005A299A" w:rsidP="00386AC9">
            <w:pPr>
              <w:pStyle w:val="Parasts1"/>
            </w:pPr>
            <w:r w:rsidRPr="008C18B1">
              <w:t>Cita informācija</w:t>
            </w:r>
          </w:p>
        </w:tc>
        <w:tc>
          <w:tcPr>
            <w:tcW w:w="2646" w:type="pct"/>
            <w:tcBorders>
              <w:top w:val="outset" w:sz="6" w:space="0" w:color="000000"/>
              <w:left w:val="outset" w:sz="6" w:space="0" w:color="000000"/>
              <w:bottom w:val="outset" w:sz="6" w:space="0" w:color="000000"/>
            </w:tcBorders>
          </w:tcPr>
          <w:p w:rsidR="005A299A" w:rsidRPr="008C18B1" w:rsidRDefault="005A299A" w:rsidP="00386AC9">
            <w:pPr>
              <w:pStyle w:val="Parasts1"/>
            </w:pPr>
            <w:r w:rsidRPr="008C18B1">
              <w:t>Nav.</w:t>
            </w:r>
          </w:p>
        </w:tc>
      </w:tr>
    </w:tbl>
    <w:p w:rsidR="005A299A" w:rsidRPr="008C18B1" w:rsidRDefault="005A299A" w:rsidP="00386AC9">
      <w:pPr>
        <w:pStyle w:val="Parasts1"/>
      </w:pPr>
      <w:r w:rsidRPr="008C18B1">
        <w:t> </w:t>
      </w:r>
    </w:p>
    <w:tbl>
      <w:tblPr>
        <w:tblW w:w="9713"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5A299A" w:rsidRPr="008C18B1" w:rsidTr="001F014E">
        <w:trPr>
          <w:trHeight w:val="652"/>
          <w:jc w:val="center"/>
        </w:trPr>
        <w:tc>
          <w:tcPr>
            <w:tcW w:w="9713" w:type="dxa"/>
          </w:tcPr>
          <w:p w:rsidR="005A299A" w:rsidRPr="008C18B1" w:rsidRDefault="005A299A" w:rsidP="00DF3222">
            <w:pPr>
              <w:pStyle w:val="naisnod"/>
              <w:spacing w:before="0" w:after="0"/>
              <w:rPr>
                <w:i/>
              </w:rPr>
            </w:pPr>
            <w:r w:rsidRPr="008C18B1">
              <w:br w:type="page"/>
              <w:t>III. Tiesību akta projekta ietekme uz valsts budžetu un pašvaldību budžetiem</w:t>
            </w:r>
          </w:p>
        </w:tc>
      </w:tr>
      <w:tr w:rsidR="005A299A" w:rsidRPr="008C18B1" w:rsidTr="001F014E">
        <w:trPr>
          <w:trHeight w:val="219"/>
          <w:jc w:val="center"/>
        </w:trPr>
        <w:tc>
          <w:tcPr>
            <w:tcW w:w="9713" w:type="dxa"/>
          </w:tcPr>
          <w:p w:rsidR="005A299A" w:rsidRPr="008C18B1" w:rsidRDefault="005A299A" w:rsidP="00DF3222">
            <w:pPr>
              <w:pStyle w:val="naisnod"/>
              <w:spacing w:before="0" w:after="0"/>
              <w:rPr>
                <w:b w:val="0"/>
              </w:rPr>
            </w:pPr>
            <w:r w:rsidRPr="008C18B1">
              <w:rPr>
                <w:b w:val="0"/>
              </w:rPr>
              <w:t>Projekts šo jomu neskar.</w:t>
            </w:r>
          </w:p>
        </w:tc>
      </w:tr>
    </w:tbl>
    <w:p w:rsidR="005A299A" w:rsidRPr="008C18B1" w:rsidRDefault="005A299A" w:rsidP="00386AC9">
      <w:pPr>
        <w:pStyle w:val="Parasts1"/>
      </w:pPr>
    </w:p>
    <w:tbl>
      <w:tblPr>
        <w:tblW w:w="9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629"/>
        <w:gridCol w:w="7550"/>
      </w:tblGrid>
      <w:tr w:rsidR="005A299A" w:rsidRPr="008C18B1" w:rsidTr="001F014E">
        <w:trPr>
          <w:trHeight w:val="279"/>
        </w:trPr>
        <w:tc>
          <w:tcPr>
            <w:tcW w:w="9716" w:type="dxa"/>
            <w:gridSpan w:val="3"/>
          </w:tcPr>
          <w:p w:rsidR="005A299A" w:rsidRPr="008C18B1" w:rsidRDefault="005A299A" w:rsidP="00DF3222">
            <w:pPr>
              <w:pStyle w:val="Parasts1"/>
              <w:jc w:val="center"/>
              <w:rPr>
                <w:b/>
              </w:rPr>
            </w:pPr>
            <w:r w:rsidRPr="008C18B1">
              <w:rPr>
                <w:b/>
              </w:rPr>
              <w:t>IV. Tiesību akta projekta ietekme uz spēkā esošo tiesību normu sistēmu</w:t>
            </w:r>
          </w:p>
        </w:tc>
      </w:tr>
      <w:tr w:rsidR="005A299A" w:rsidRPr="008C18B1" w:rsidTr="001F014E">
        <w:trPr>
          <w:trHeight w:val="279"/>
        </w:trPr>
        <w:tc>
          <w:tcPr>
            <w:tcW w:w="537" w:type="dxa"/>
          </w:tcPr>
          <w:p w:rsidR="005A299A" w:rsidRPr="008C18B1" w:rsidRDefault="005A299A" w:rsidP="00DF3222">
            <w:pPr>
              <w:pStyle w:val="Parasts1"/>
              <w:jc w:val="both"/>
            </w:pPr>
            <w:r w:rsidRPr="008C18B1">
              <w:t>1.</w:t>
            </w:r>
          </w:p>
        </w:tc>
        <w:tc>
          <w:tcPr>
            <w:tcW w:w="1629" w:type="dxa"/>
          </w:tcPr>
          <w:p w:rsidR="005A299A" w:rsidRPr="008C18B1" w:rsidRDefault="005A299A" w:rsidP="00DF3222">
            <w:pPr>
              <w:pStyle w:val="Parasts1"/>
              <w:jc w:val="both"/>
            </w:pPr>
            <w:r w:rsidRPr="008C18B1">
              <w:t>Nepieciešamie saistītie tiesību aktu projekti</w:t>
            </w:r>
          </w:p>
        </w:tc>
        <w:tc>
          <w:tcPr>
            <w:tcW w:w="7550" w:type="dxa"/>
          </w:tcPr>
          <w:p w:rsidR="005A299A" w:rsidRPr="00237370" w:rsidRDefault="005A299A" w:rsidP="00F94101">
            <w:pPr>
              <w:pStyle w:val="Pamattekstaatkpe2"/>
              <w:tabs>
                <w:tab w:val="left" w:pos="312"/>
              </w:tabs>
              <w:ind w:right="180" w:firstLine="0"/>
            </w:pPr>
            <w:r w:rsidRPr="00237370">
              <w:rPr>
                <w:szCs w:val="24"/>
                <w:lang w:eastAsia="lv-LV"/>
              </w:rPr>
              <w:t>J</w:t>
            </w:r>
            <w:r w:rsidRPr="00237370">
              <w:rPr>
                <w:szCs w:val="24"/>
              </w:rPr>
              <w:t xml:space="preserve">āsagatavo un jāiesniedz MK noteiktajā kārtībā noteikumu projekts </w:t>
            </w:r>
            <w:r w:rsidRPr="00237370">
              <w:t xml:space="preserve">„Noteikumi par </w:t>
            </w:r>
            <w:r w:rsidRPr="00237370">
              <w:rPr>
                <w:bCs/>
              </w:rPr>
              <w:t>ģenētiski modificēto kultūraugu līdzāspastāvēšanu”.</w:t>
            </w:r>
            <w:r w:rsidRPr="00237370">
              <w:t xml:space="preserve"> </w:t>
            </w:r>
          </w:p>
          <w:p w:rsidR="005A299A" w:rsidRPr="00237370" w:rsidRDefault="005A299A" w:rsidP="00F94101">
            <w:pPr>
              <w:pStyle w:val="Pamattekstaatkpe2"/>
              <w:tabs>
                <w:tab w:val="left" w:pos="312"/>
              </w:tabs>
              <w:ind w:right="180" w:firstLine="0"/>
              <w:rPr>
                <w:szCs w:val="24"/>
              </w:rPr>
            </w:pPr>
            <w:r w:rsidRPr="00237370">
              <w:t>Atbildīgā par noteikumu projekta sagatavošanu ir ZM.</w:t>
            </w:r>
          </w:p>
        </w:tc>
      </w:tr>
      <w:tr w:rsidR="005A299A" w:rsidRPr="008C18B1" w:rsidTr="001F014E">
        <w:trPr>
          <w:trHeight w:val="279"/>
        </w:trPr>
        <w:tc>
          <w:tcPr>
            <w:tcW w:w="537" w:type="dxa"/>
          </w:tcPr>
          <w:p w:rsidR="005A299A" w:rsidRPr="008C18B1" w:rsidRDefault="005A299A" w:rsidP="00DF3222">
            <w:pPr>
              <w:pStyle w:val="Parasts1"/>
              <w:jc w:val="both"/>
            </w:pPr>
            <w:r w:rsidRPr="008C18B1">
              <w:t>2.</w:t>
            </w:r>
          </w:p>
        </w:tc>
        <w:tc>
          <w:tcPr>
            <w:tcW w:w="1629" w:type="dxa"/>
          </w:tcPr>
          <w:p w:rsidR="005A299A" w:rsidRPr="008C18B1" w:rsidRDefault="005A299A" w:rsidP="00DF3222">
            <w:pPr>
              <w:pStyle w:val="Parasts1"/>
              <w:jc w:val="both"/>
            </w:pPr>
            <w:r w:rsidRPr="008C18B1">
              <w:t>Cita informācija</w:t>
            </w:r>
          </w:p>
        </w:tc>
        <w:tc>
          <w:tcPr>
            <w:tcW w:w="7550" w:type="dxa"/>
          </w:tcPr>
          <w:p w:rsidR="005A299A" w:rsidRPr="008C18B1" w:rsidRDefault="005A299A" w:rsidP="00DF3222">
            <w:pPr>
              <w:pStyle w:val="Parasts1"/>
              <w:jc w:val="both"/>
            </w:pPr>
            <w:r w:rsidRPr="008C18B1">
              <w:t>Nav.</w:t>
            </w:r>
          </w:p>
        </w:tc>
      </w:tr>
    </w:tbl>
    <w:p w:rsidR="005A299A" w:rsidRPr="008C18B1" w:rsidRDefault="005A299A" w:rsidP="00386AC9">
      <w:pPr>
        <w:pStyle w:val="Parasts1"/>
      </w:pPr>
    </w:p>
    <w:tbl>
      <w:tblPr>
        <w:tblW w:w="9737"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69"/>
        <w:gridCol w:w="5242"/>
      </w:tblGrid>
      <w:tr w:rsidR="005A299A" w:rsidRPr="008C18B1" w:rsidTr="001F014E">
        <w:trPr>
          <w:jc w:val="center"/>
        </w:trPr>
        <w:tc>
          <w:tcPr>
            <w:tcW w:w="9737" w:type="dxa"/>
            <w:gridSpan w:val="3"/>
          </w:tcPr>
          <w:p w:rsidR="005A299A" w:rsidRPr="008C18B1" w:rsidRDefault="005A299A" w:rsidP="005D0636">
            <w:pPr>
              <w:pStyle w:val="Parasts1"/>
              <w:jc w:val="center"/>
              <w:rPr>
                <w:b/>
              </w:rPr>
            </w:pPr>
            <w:r w:rsidRPr="008C18B1">
              <w:rPr>
                <w:b/>
              </w:rPr>
              <w:t>V. Tiesību akta projekta atbilstība Latvijas Republikas starptautiskajām saistībām</w:t>
            </w:r>
          </w:p>
        </w:tc>
      </w:tr>
      <w:tr w:rsidR="005A299A" w:rsidRPr="008C18B1" w:rsidTr="001F014E">
        <w:trPr>
          <w:jc w:val="center"/>
        </w:trPr>
        <w:tc>
          <w:tcPr>
            <w:tcW w:w="426" w:type="dxa"/>
          </w:tcPr>
          <w:p w:rsidR="005A299A" w:rsidRPr="008C18B1" w:rsidRDefault="005A299A" w:rsidP="00386AC9">
            <w:pPr>
              <w:pStyle w:val="Parasts1"/>
            </w:pPr>
            <w:r w:rsidRPr="008C18B1">
              <w:t>1.</w:t>
            </w:r>
          </w:p>
        </w:tc>
        <w:tc>
          <w:tcPr>
            <w:tcW w:w="4069" w:type="dxa"/>
          </w:tcPr>
          <w:p w:rsidR="005A299A" w:rsidRPr="008C18B1" w:rsidRDefault="005A299A" w:rsidP="00386AC9">
            <w:pPr>
              <w:pStyle w:val="Parasts1"/>
            </w:pPr>
            <w:r w:rsidRPr="008C18B1">
              <w:t>Saistības pret Eiropas Savienību</w:t>
            </w:r>
          </w:p>
        </w:tc>
        <w:tc>
          <w:tcPr>
            <w:tcW w:w="5242" w:type="dxa"/>
          </w:tcPr>
          <w:p w:rsidR="005A299A" w:rsidRPr="008C18B1" w:rsidRDefault="005A299A" w:rsidP="008A1998">
            <w:pPr>
              <w:pStyle w:val="Parasts1"/>
              <w:jc w:val="both"/>
            </w:pPr>
            <w:r w:rsidRPr="008C18B1">
              <w:t xml:space="preserve">Eiropas Parlamenta un Padomes 2001.gada 12.marta Direktīva 2001/18/EK par ģenētiski modificētu organismu apzinātu izplatīšanu vidē un Padomes Direktīvas 90/220/EEK atcelšanu (turpmāk </w:t>
            </w:r>
            <w:r>
              <w:t>–</w:t>
            </w:r>
            <w:r w:rsidRPr="008C18B1">
              <w:t xml:space="preserve"> direktīva 2001/18/EK).</w:t>
            </w:r>
          </w:p>
          <w:p w:rsidR="005A299A" w:rsidRPr="008C18B1" w:rsidRDefault="005A299A" w:rsidP="00F1251B">
            <w:pPr>
              <w:pStyle w:val="Parasts1"/>
              <w:jc w:val="both"/>
            </w:pPr>
            <w:r w:rsidRPr="008C18B1">
              <w:t>Parlamenta un Padomes 2009.gada 6.maija Direktīva 2009/41/EK par ģenētiski modificētu mikroorganismu ierobežotu izmantošanu (turpmāk – direktīva 2009/41/EK).</w:t>
            </w:r>
          </w:p>
          <w:p w:rsidR="005A299A" w:rsidRPr="008C18B1" w:rsidRDefault="005A299A" w:rsidP="00F1251B">
            <w:pPr>
              <w:pStyle w:val="Parasts1"/>
              <w:jc w:val="both"/>
            </w:pPr>
            <w:r w:rsidRPr="008C18B1">
              <w:t>EK 2010.gada 13. jūlija ieteikums par pamatnostādnēm, kā izstrādāt valsts līdzāspastāvēšanas pasākumus, kas vajadzīgi, lai izvairītos no netīšas ĢMO klātbūtnes parastajās un bioloģiskajās kultūrās.</w:t>
            </w:r>
          </w:p>
        </w:tc>
      </w:tr>
      <w:tr w:rsidR="005A299A" w:rsidRPr="008C18B1" w:rsidTr="001F014E">
        <w:trPr>
          <w:jc w:val="center"/>
        </w:trPr>
        <w:tc>
          <w:tcPr>
            <w:tcW w:w="426" w:type="dxa"/>
          </w:tcPr>
          <w:p w:rsidR="005A299A" w:rsidRPr="008C18B1" w:rsidRDefault="005A299A" w:rsidP="00386AC9">
            <w:pPr>
              <w:pStyle w:val="Parasts1"/>
            </w:pPr>
            <w:r w:rsidRPr="008C18B1">
              <w:t>2.</w:t>
            </w:r>
          </w:p>
        </w:tc>
        <w:tc>
          <w:tcPr>
            <w:tcW w:w="4069" w:type="dxa"/>
          </w:tcPr>
          <w:p w:rsidR="005A299A" w:rsidRPr="008C18B1" w:rsidRDefault="005A299A" w:rsidP="00386AC9">
            <w:pPr>
              <w:pStyle w:val="Parasts1"/>
            </w:pPr>
            <w:r w:rsidRPr="008C18B1">
              <w:t>Citas starptautiskās saistības</w:t>
            </w:r>
          </w:p>
        </w:tc>
        <w:tc>
          <w:tcPr>
            <w:tcW w:w="5242" w:type="dxa"/>
          </w:tcPr>
          <w:p w:rsidR="005A299A" w:rsidRPr="008C18B1" w:rsidRDefault="005A299A" w:rsidP="00386AC9">
            <w:pPr>
              <w:pStyle w:val="Parasts1"/>
            </w:pPr>
            <w:r w:rsidRPr="008C18B1">
              <w:t>Nav.</w:t>
            </w:r>
          </w:p>
        </w:tc>
      </w:tr>
      <w:tr w:rsidR="005A299A" w:rsidRPr="008C18B1" w:rsidTr="001F014E">
        <w:trPr>
          <w:jc w:val="center"/>
        </w:trPr>
        <w:tc>
          <w:tcPr>
            <w:tcW w:w="426" w:type="dxa"/>
          </w:tcPr>
          <w:p w:rsidR="005A299A" w:rsidRPr="008C18B1" w:rsidRDefault="005A299A" w:rsidP="00386AC9">
            <w:pPr>
              <w:pStyle w:val="Parasts1"/>
            </w:pPr>
            <w:r w:rsidRPr="008C18B1">
              <w:t>3.</w:t>
            </w:r>
          </w:p>
        </w:tc>
        <w:tc>
          <w:tcPr>
            <w:tcW w:w="4069" w:type="dxa"/>
          </w:tcPr>
          <w:p w:rsidR="005A299A" w:rsidRPr="008C18B1" w:rsidRDefault="005A299A" w:rsidP="00386AC9">
            <w:pPr>
              <w:pStyle w:val="Parasts1"/>
            </w:pPr>
            <w:r w:rsidRPr="008C18B1">
              <w:t>Cita informācija</w:t>
            </w:r>
          </w:p>
        </w:tc>
        <w:tc>
          <w:tcPr>
            <w:tcW w:w="5242" w:type="dxa"/>
          </w:tcPr>
          <w:p w:rsidR="005A299A" w:rsidRPr="008C18B1" w:rsidRDefault="005A299A" w:rsidP="00386AC9">
            <w:pPr>
              <w:pStyle w:val="Parasts1"/>
            </w:pPr>
            <w:r w:rsidRPr="008C18B1">
              <w:t>Nav.</w:t>
            </w:r>
          </w:p>
        </w:tc>
      </w:tr>
    </w:tbl>
    <w:p w:rsidR="005A299A" w:rsidRPr="008C18B1" w:rsidRDefault="005A299A" w:rsidP="00386AC9">
      <w:pPr>
        <w:pStyle w:val="Parasts1"/>
      </w:pPr>
    </w:p>
    <w:tbl>
      <w:tblPr>
        <w:tblW w:w="9586"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127"/>
        <w:gridCol w:w="1843"/>
        <w:gridCol w:w="2609"/>
        <w:gridCol w:w="3007"/>
      </w:tblGrid>
      <w:tr w:rsidR="005A299A" w:rsidRPr="008C18B1" w:rsidTr="00E87F08">
        <w:trPr>
          <w:trHeight w:val="523"/>
          <w:jc w:val="center"/>
        </w:trPr>
        <w:tc>
          <w:tcPr>
            <w:tcW w:w="9586" w:type="dxa"/>
            <w:gridSpan w:val="4"/>
            <w:vAlign w:val="center"/>
          </w:tcPr>
          <w:p w:rsidR="005A299A" w:rsidRPr="008C18B1" w:rsidRDefault="005A299A" w:rsidP="00915030">
            <w:pPr>
              <w:pStyle w:val="Parasts1"/>
              <w:jc w:val="center"/>
              <w:rPr>
                <w:b/>
              </w:rPr>
            </w:pPr>
            <w:r w:rsidRPr="008C18B1">
              <w:rPr>
                <w:b/>
              </w:rPr>
              <w:t>1.tabula</w:t>
            </w:r>
          </w:p>
          <w:p w:rsidR="005A299A" w:rsidRPr="008C18B1" w:rsidRDefault="005A299A" w:rsidP="00915030">
            <w:pPr>
              <w:pStyle w:val="Parasts1"/>
              <w:jc w:val="center"/>
              <w:rPr>
                <w:b/>
              </w:rPr>
            </w:pPr>
            <w:r w:rsidRPr="008C18B1">
              <w:rPr>
                <w:b/>
              </w:rPr>
              <w:t>Tiesību akta projekta atbilstība ES tiesību aktiem</w:t>
            </w:r>
          </w:p>
        </w:tc>
      </w:tr>
      <w:tr w:rsidR="005A299A" w:rsidRPr="008C18B1" w:rsidTr="00E87F08">
        <w:trPr>
          <w:trHeight w:val="163"/>
          <w:jc w:val="center"/>
        </w:trPr>
        <w:tc>
          <w:tcPr>
            <w:tcW w:w="9586" w:type="dxa"/>
            <w:gridSpan w:val="4"/>
            <w:vAlign w:val="center"/>
          </w:tcPr>
          <w:p w:rsidR="005A299A" w:rsidRPr="008C18B1" w:rsidRDefault="005A299A" w:rsidP="0014001D">
            <w:pPr>
              <w:pStyle w:val="Parasts1"/>
            </w:pPr>
          </w:p>
        </w:tc>
      </w:tr>
      <w:tr w:rsidR="005A299A" w:rsidRPr="008C18B1" w:rsidTr="00E87F08">
        <w:trPr>
          <w:trHeight w:val="165"/>
          <w:jc w:val="center"/>
        </w:trPr>
        <w:tc>
          <w:tcPr>
            <w:tcW w:w="2127" w:type="dxa"/>
            <w:vAlign w:val="center"/>
          </w:tcPr>
          <w:p w:rsidR="005A299A" w:rsidRPr="008C18B1" w:rsidRDefault="005A299A" w:rsidP="0014001D">
            <w:pPr>
              <w:pStyle w:val="Parasts1"/>
            </w:pPr>
            <w:r w:rsidRPr="008C18B1">
              <w:t>A</w:t>
            </w:r>
          </w:p>
        </w:tc>
        <w:tc>
          <w:tcPr>
            <w:tcW w:w="1843" w:type="dxa"/>
            <w:vAlign w:val="center"/>
          </w:tcPr>
          <w:p w:rsidR="005A299A" w:rsidRPr="008C18B1" w:rsidRDefault="005A299A" w:rsidP="0014001D">
            <w:pPr>
              <w:pStyle w:val="Parasts1"/>
            </w:pPr>
            <w:r w:rsidRPr="008C18B1">
              <w:t>B</w:t>
            </w:r>
          </w:p>
        </w:tc>
        <w:tc>
          <w:tcPr>
            <w:tcW w:w="2609" w:type="dxa"/>
            <w:vAlign w:val="center"/>
          </w:tcPr>
          <w:p w:rsidR="005A299A" w:rsidRPr="008C18B1" w:rsidRDefault="005A299A" w:rsidP="0014001D">
            <w:pPr>
              <w:pStyle w:val="Parasts1"/>
            </w:pPr>
            <w:r w:rsidRPr="008C18B1">
              <w:t>C</w:t>
            </w:r>
          </w:p>
        </w:tc>
        <w:tc>
          <w:tcPr>
            <w:tcW w:w="3007" w:type="dxa"/>
            <w:vAlign w:val="center"/>
          </w:tcPr>
          <w:p w:rsidR="005A299A" w:rsidRPr="008C18B1" w:rsidRDefault="005A299A" w:rsidP="0014001D">
            <w:pPr>
              <w:pStyle w:val="Parasts1"/>
            </w:pPr>
            <w:r w:rsidRPr="008C18B1">
              <w:t>D</w:t>
            </w:r>
          </w:p>
        </w:tc>
      </w:tr>
      <w:tr w:rsidR="005A299A" w:rsidRPr="008C18B1" w:rsidTr="00E87F08">
        <w:trPr>
          <w:trHeight w:val="165"/>
          <w:jc w:val="center"/>
        </w:trPr>
        <w:tc>
          <w:tcPr>
            <w:tcW w:w="2127" w:type="dxa"/>
            <w:vAlign w:val="center"/>
          </w:tcPr>
          <w:p w:rsidR="005A299A" w:rsidRPr="008C18B1" w:rsidRDefault="005A299A" w:rsidP="00BC1EDB">
            <w:pPr>
              <w:pStyle w:val="Parasts1"/>
              <w:jc w:val="both"/>
            </w:pPr>
            <w:r w:rsidRPr="008C18B1">
              <w:t>Attiecīgā ES tiesību akta panta numurs (uzskaitot katru tiesību akta vienību – pantu, daļu, punktu, apakšpunktu)</w:t>
            </w:r>
          </w:p>
        </w:tc>
        <w:tc>
          <w:tcPr>
            <w:tcW w:w="1843" w:type="dxa"/>
            <w:vAlign w:val="center"/>
          </w:tcPr>
          <w:p w:rsidR="005A299A" w:rsidRPr="008C18B1" w:rsidRDefault="005A299A" w:rsidP="00BC1EDB">
            <w:pPr>
              <w:pStyle w:val="Parasts1"/>
              <w:jc w:val="both"/>
            </w:pPr>
            <w:r w:rsidRPr="008C18B1">
              <w:t>Projekta vienība, kas pārņem vai ievieš katru šīs tabulas A ailē minēto ES tiesību akta vienību</w:t>
            </w:r>
          </w:p>
        </w:tc>
        <w:tc>
          <w:tcPr>
            <w:tcW w:w="2609" w:type="dxa"/>
          </w:tcPr>
          <w:p w:rsidR="005A299A" w:rsidRPr="008C18B1" w:rsidRDefault="005A299A" w:rsidP="00A12F9A">
            <w:pPr>
              <w:pStyle w:val="Parasts1"/>
              <w:jc w:val="both"/>
            </w:pPr>
            <w:r w:rsidRPr="008C18B1">
              <w:t>Informācija par to, vai šīs tabulas A ailē minētās ES tiesību akta vienības tiek pārņemtas vai ieviestas pilnībā vai daļēji.</w:t>
            </w:r>
          </w:p>
          <w:p w:rsidR="005A299A" w:rsidRPr="008C18B1" w:rsidRDefault="005A299A" w:rsidP="00A12F9A">
            <w:pPr>
              <w:pStyle w:val="Parasts1"/>
              <w:jc w:val="both"/>
            </w:pPr>
            <w:r w:rsidRPr="008C18B1">
              <w:t xml:space="preserve">Ja attiecīgā ES tiesību akta vienība tiek pārņemta vai ieviesta daļēji, – sniedz attiecīgu skaidrojumu, kā arī precīzi norāda, kad un kādā veidā ES tiesību akta vienība tiks pārņemta vai </w:t>
            </w:r>
            <w:r w:rsidRPr="008C18B1">
              <w:lastRenderedPageBreak/>
              <w:t>ieviesta pilnībā.</w:t>
            </w:r>
          </w:p>
          <w:p w:rsidR="005A299A" w:rsidRPr="008C18B1" w:rsidRDefault="005A299A" w:rsidP="0014001D">
            <w:pPr>
              <w:pStyle w:val="Parasts1"/>
            </w:pPr>
            <w:r w:rsidRPr="008C18B1">
              <w:t>Norāda institūciju, kas ir atbildīga par šo saistību izpildi pilnībā</w:t>
            </w:r>
          </w:p>
        </w:tc>
        <w:tc>
          <w:tcPr>
            <w:tcW w:w="3007" w:type="dxa"/>
          </w:tcPr>
          <w:p w:rsidR="005A299A" w:rsidRPr="008C18B1" w:rsidRDefault="005A299A" w:rsidP="00A12F9A">
            <w:pPr>
              <w:pStyle w:val="Parasts1"/>
              <w:jc w:val="both"/>
            </w:pPr>
            <w:r w:rsidRPr="008C18B1">
              <w:lastRenderedPageBreak/>
              <w:t>Informācija par to, vai šīs tabulas B ailē minētās projekta vienības paredz stingrākas prasības nekā šīs tabulas A ailē minētās ES tiesību akta vienības.</w:t>
            </w:r>
          </w:p>
          <w:p w:rsidR="005A299A" w:rsidRPr="008C18B1" w:rsidRDefault="005A299A" w:rsidP="00A12F9A">
            <w:pPr>
              <w:pStyle w:val="Parasts1"/>
              <w:jc w:val="both"/>
            </w:pPr>
            <w:r w:rsidRPr="008C18B1">
              <w:t>Ja projekts satur stingrākas prasības nekā attiecīgais ES tiesību akts, – norāda pamatojumu un samērīgumu.</w:t>
            </w:r>
          </w:p>
          <w:p w:rsidR="005A299A" w:rsidRPr="008C18B1" w:rsidRDefault="005A299A" w:rsidP="0014001D">
            <w:pPr>
              <w:pStyle w:val="Parasts1"/>
            </w:pPr>
            <w:r w:rsidRPr="008C18B1">
              <w:t xml:space="preserve">Norāda iespējamās alternatīvas (t.sk. alternatīvas, kas neparedz tiesiskā </w:t>
            </w:r>
            <w:r w:rsidRPr="008C18B1">
              <w:lastRenderedPageBreak/>
              <w:t>regulējuma izstrādi) – kādos gadījumos būtu iespējams izvairīties no stingrāku prasību noteikšanas, nekā paredzēts attiecīgajos ES tiesību aktos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lastRenderedPageBreak/>
              <w:t xml:space="preserve">Direktīvas 2001/18/EC </w:t>
            </w:r>
            <w:r w:rsidRPr="00237370">
              <w:rPr>
                <w:lang w:eastAsia="en-US"/>
              </w:rPr>
              <w:t>2.panta 1.punkts</w:t>
            </w:r>
          </w:p>
        </w:tc>
        <w:tc>
          <w:tcPr>
            <w:tcW w:w="1843" w:type="dxa"/>
          </w:tcPr>
          <w:p w:rsidR="005A299A" w:rsidRPr="008C18B1" w:rsidRDefault="005A299A" w:rsidP="00F94101">
            <w:pPr>
              <w:pStyle w:val="Parasts1"/>
            </w:pPr>
            <w:r w:rsidRPr="008C18B1">
              <w:t xml:space="preserve">2. panta pirmā daļa </w:t>
            </w:r>
          </w:p>
        </w:tc>
        <w:tc>
          <w:tcPr>
            <w:tcW w:w="2609" w:type="dxa"/>
          </w:tcPr>
          <w:p w:rsidR="005A299A" w:rsidRPr="008C18B1" w:rsidRDefault="005A299A" w:rsidP="0014001D">
            <w:pPr>
              <w:pStyle w:val="Parasts1"/>
            </w:pPr>
            <w:r w:rsidRPr="008C18B1">
              <w:t>Ieviests pilnībā.</w:t>
            </w:r>
          </w:p>
          <w:p w:rsidR="005A299A" w:rsidRPr="008C18B1" w:rsidRDefault="005A299A" w:rsidP="0014001D">
            <w:pPr>
              <w:pStyle w:val="Parasts1"/>
            </w:pP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2001/18/EC 2.panta 2.punkts; 2.punkta „a” apakšpunkts un I A pielikuma pirmās daļas 2.punkts.</w:t>
            </w:r>
          </w:p>
        </w:tc>
        <w:tc>
          <w:tcPr>
            <w:tcW w:w="1843" w:type="dxa"/>
          </w:tcPr>
          <w:p w:rsidR="005A299A" w:rsidRPr="008C18B1" w:rsidRDefault="005A299A" w:rsidP="00043EBE">
            <w:pPr>
              <w:pStyle w:val="Parasts1"/>
            </w:pPr>
            <w:r w:rsidRPr="008C18B1">
              <w:t>2. panta otrā daļas 1.punkts</w:t>
            </w:r>
          </w:p>
          <w:p w:rsidR="005A299A" w:rsidRPr="008C18B1" w:rsidRDefault="005A299A" w:rsidP="00043EBE">
            <w:pPr>
              <w:pStyle w:val="Parasts1"/>
            </w:pP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2009/41/EK 2.panta „a” apakšpunkts</w:t>
            </w:r>
          </w:p>
        </w:tc>
        <w:tc>
          <w:tcPr>
            <w:tcW w:w="1843" w:type="dxa"/>
          </w:tcPr>
          <w:p w:rsidR="005A299A" w:rsidRPr="008C18B1" w:rsidRDefault="005A299A" w:rsidP="0014001D">
            <w:pPr>
              <w:pStyle w:val="Parasts1"/>
            </w:pPr>
            <w:r w:rsidRPr="008C18B1">
              <w:t>2. panta otrā daļas 2.punkts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2009/41/EK 2.panta „b” apakšpunkts un „b” apakšpunkta „i” apakšpunkts</w:t>
            </w:r>
          </w:p>
        </w:tc>
        <w:tc>
          <w:tcPr>
            <w:tcW w:w="1843" w:type="dxa"/>
          </w:tcPr>
          <w:p w:rsidR="005A299A" w:rsidRPr="008C18B1" w:rsidRDefault="005A299A" w:rsidP="0014001D">
            <w:pPr>
              <w:pStyle w:val="Parasts1"/>
            </w:pPr>
            <w:r w:rsidRPr="008C18B1">
              <w:t>2. panta otrā daļas 3.punkts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2009/41/EK 2.panta „c” apakšpunkts</w:t>
            </w:r>
          </w:p>
        </w:tc>
        <w:tc>
          <w:tcPr>
            <w:tcW w:w="1843" w:type="dxa"/>
          </w:tcPr>
          <w:p w:rsidR="005A299A" w:rsidRPr="008C18B1" w:rsidRDefault="005A299A" w:rsidP="008A23A7">
            <w:pPr>
              <w:pStyle w:val="Parasts1"/>
            </w:pPr>
            <w:r w:rsidRPr="008C18B1">
              <w:t>2. panta piektā daļa un 3.pants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2001/18/EC 2.panta 3.punkts</w:t>
            </w:r>
          </w:p>
        </w:tc>
        <w:tc>
          <w:tcPr>
            <w:tcW w:w="1843" w:type="dxa"/>
          </w:tcPr>
          <w:p w:rsidR="005A299A" w:rsidRPr="008C18B1" w:rsidRDefault="005A299A" w:rsidP="008A23A7">
            <w:pPr>
              <w:pStyle w:val="Parasts1"/>
            </w:pPr>
            <w:r w:rsidRPr="008C18B1">
              <w:t>2. panta sestā daļa un 3.pants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2001/18/EC 2.panta 4.punkta pēdējā rindkopa</w:t>
            </w:r>
          </w:p>
        </w:tc>
        <w:tc>
          <w:tcPr>
            <w:tcW w:w="1843" w:type="dxa"/>
          </w:tcPr>
          <w:p w:rsidR="005A299A" w:rsidRPr="008C18B1" w:rsidRDefault="005A299A" w:rsidP="008A23A7">
            <w:pPr>
              <w:pStyle w:val="Parasts1"/>
            </w:pPr>
            <w:r w:rsidRPr="008C18B1">
              <w:t>2.panta  septītā daļa</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1750AC">
            <w:pPr>
              <w:pStyle w:val="Pamatteksts"/>
              <w:jc w:val="both"/>
              <w:rPr>
                <w:szCs w:val="20"/>
                <w:lang w:eastAsia="en-US"/>
              </w:rPr>
            </w:pPr>
            <w:r w:rsidRPr="00237370">
              <w:rPr>
                <w:szCs w:val="20"/>
                <w:lang w:eastAsia="en-US"/>
              </w:rPr>
              <w:t>Direktīvas 2001/18/EC atcelšanu 2.panta 2.punkta „b” apakšpunkts un I A pielikuma 2.daļa, un</w:t>
            </w:r>
          </w:p>
          <w:p w:rsidR="005A299A" w:rsidRPr="00237370" w:rsidRDefault="005A299A" w:rsidP="00EA07CD">
            <w:pPr>
              <w:pStyle w:val="Pamatteksts"/>
              <w:jc w:val="both"/>
              <w:rPr>
                <w:szCs w:val="20"/>
                <w:lang w:eastAsia="en-US"/>
              </w:rPr>
            </w:pPr>
            <w:r w:rsidRPr="00237370">
              <w:rPr>
                <w:szCs w:val="20"/>
                <w:lang w:eastAsia="en-US"/>
              </w:rPr>
              <w:t>direktīvas 2009/41/EK 2.panta “b” apakšpunkta “</w:t>
            </w:r>
            <w:proofErr w:type="spellStart"/>
            <w:r w:rsidRPr="00237370">
              <w:rPr>
                <w:szCs w:val="20"/>
                <w:lang w:eastAsia="en-US"/>
              </w:rPr>
              <w:t>ii</w:t>
            </w:r>
            <w:proofErr w:type="spellEnd"/>
            <w:r w:rsidRPr="00237370">
              <w:rPr>
                <w:szCs w:val="20"/>
                <w:lang w:eastAsia="en-US"/>
              </w:rPr>
              <w:t>” apakšpunkts un I pielikuma B daļa.</w:t>
            </w:r>
          </w:p>
        </w:tc>
        <w:tc>
          <w:tcPr>
            <w:tcW w:w="1843" w:type="dxa"/>
          </w:tcPr>
          <w:p w:rsidR="005A299A" w:rsidRPr="008C18B1" w:rsidRDefault="005A299A" w:rsidP="00EA07CD">
            <w:pPr>
              <w:pStyle w:val="Parasts1"/>
            </w:pPr>
            <w:r w:rsidRPr="008C18B1">
              <w:t>5.panta otrās daļas 1.punkts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1750AC">
            <w:pPr>
              <w:pStyle w:val="Pamatteksts"/>
              <w:jc w:val="both"/>
              <w:rPr>
                <w:szCs w:val="20"/>
                <w:lang w:eastAsia="en-US"/>
              </w:rPr>
            </w:pPr>
            <w:r w:rsidRPr="00237370">
              <w:rPr>
                <w:szCs w:val="20"/>
                <w:lang w:eastAsia="en-US"/>
              </w:rPr>
              <w:t xml:space="preserve">Direktīvas 2009/41/EK 3.panta 1.punkta „b” apakšpunkts </w:t>
            </w:r>
          </w:p>
        </w:tc>
        <w:tc>
          <w:tcPr>
            <w:tcW w:w="1843" w:type="dxa"/>
          </w:tcPr>
          <w:p w:rsidR="005A299A" w:rsidRPr="008C18B1" w:rsidRDefault="005A299A" w:rsidP="008A2425">
            <w:pPr>
              <w:pStyle w:val="Parasts1"/>
            </w:pPr>
            <w:r w:rsidRPr="008C18B1">
              <w:t>5.panta otrās daļas 2.punkts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lastRenderedPageBreak/>
              <w:t xml:space="preserve">Direktīvas 2001/18/EC 4.panta 2.punkts </w:t>
            </w:r>
          </w:p>
        </w:tc>
        <w:tc>
          <w:tcPr>
            <w:tcW w:w="1843" w:type="dxa"/>
          </w:tcPr>
          <w:p w:rsidR="005A299A" w:rsidRPr="008C18B1" w:rsidRDefault="005A299A" w:rsidP="00A211E7">
            <w:pPr>
              <w:pStyle w:val="Parasts1"/>
            </w:pPr>
            <w:r w:rsidRPr="008C18B1">
              <w:t>17.pants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2001/18/EC 23.panta 1.punkta 1. un 3.rindkopa</w:t>
            </w:r>
          </w:p>
        </w:tc>
        <w:tc>
          <w:tcPr>
            <w:tcW w:w="1843" w:type="dxa"/>
          </w:tcPr>
          <w:p w:rsidR="005A299A" w:rsidRPr="008C18B1" w:rsidRDefault="005A299A" w:rsidP="00A211E7">
            <w:pPr>
              <w:pStyle w:val="Parasts1"/>
            </w:pPr>
            <w:r w:rsidRPr="008C18B1">
              <w:t>6.panta trešā daļa</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4538CA">
            <w:pPr>
              <w:pStyle w:val="Pamatteksts"/>
              <w:jc w:val="both"/>
              <w:rPr>
                <w:szCs w:val="20"/>
                <w:lang w:eastAsia="en-US"/>
              </w:rPr>
            </w:pPr>
            <w:r w:rsidRPr="00237370">
              <w:rPr>
                <w:szCs w:val="20"/>
                <w:lang w:eastAsia="en-US"/>
              </w:rPr>
              <w:t>Direktīvas 2001/18/EC 23.panta 1.punkta 2.rindkopa</w:t>
            </w:r>
          </w:p>
        </w:tc>
        <w:tc>
          <w:tcPr>
            <w:tcW w:w="1843" w:type="dxa"/>
          </w:tcPr>
          <w:p w:rsidR="005A299A" w:rsidRPr="008C18B1" w:rsidRDefault="005A299A" w:rsidP="00A211E7">
            <w:pPr>
              <w:pStyle w:val="Parasts1"/>
            </w:pPr>
            <w:r w:rsidRPr="008C18B1">
              <w:t>22.panta 1.punkts</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552"/>
          <w:jc w:val="center"/>
        </w:trPr>
        <w:tc>
          <w:tcPr>
            <w:tcW w:w="2127" w:type="dxa"/>
          </w:tcPr>
          <w:p w:rsidR="005A299A" w:rsidRPr="00237370" w:rsidRDefault="005A299A" w:rsidP="00EA07CD">
            <w:pPr>
              <w:pStyle w:val="Pamatteksts"/>
              <w:jc w:val="both"/>
              <w:rPr>
                <w:szCs w:val="20"/>
                <w:lang w:eastAsia="en-US"/>
              </w:rPr>
            </w:pPr>
            <w:r w:rsidRPr="00237370">
              <w:rPr>
                <w:szCs w:val="20"/>
                <w:lang w:eastAsia="en-US"/>
              </w:rPr>
              <w:t>Direktīvas 2001/18/EK 1A pielikuma 1.daļas 2.punkts un direktīvas 2009/41/EK 1A pielikuma 1.daļas 2.punkts</w:t>
            </w:r>
          </w:p>
        </w:tc>
        <w:tc>
          <w:tcPr>
            <w:tcW w:w="1843" w:type="dxa"/>
          </w:tcPr>
          <w:p w:rsidR="005A299A" w:rsidRPr="008C18B1" w:rsidRDefault="005A299A" w:rsidP="00043EBE">
            <w:pPr>
              <w:pStyle w:val="Parasts1"/>
            </w:pPr>
            <w:r w:rsidRPr="008C18B1">
              <w:t xml:space="preserve">2.panta trešā daļa </w:t>
            </w:r>
          </w:p>
        </w:tc>
        <w:tc>
          <w:tcPr>
            <w:tcW w:w="2609" w:type="dxa"/>
          </w:tcPr>
          <w:p w:rsidR="005A299A" w:rsidRPr="008C18B1" w:rsidRDefault="005A299A" w:rsidP="0014001D">
            <w:pPr>
              <w:pStyle w:val="Parasts1"/>
            </w:pPr>
            <w:r w:rsidRPr="008C18B1">
              <w:t>Ieviests pilnībā.</w:t>
            </w:r>
          </w:p>
        </w:tc>
        <w:tc>
          <w:tcPr>
            <w:tcW w:w="3007" w:type="dxa"/>
          </w:tcPr>
          <w:p w:rsidR="005A299A" w:rsidRPr="008C18B1" w:rsidRDefault="005A299A" w:rsidP="0014001D">
            <w:pPr>
              <w:pStyle w:val="Parasts1"/>
            </w:pPr>
            <w:r w:rsidRPr="008C18B1">
              <w:t>Stingrākas prasības nav paredzētas.</w:t>
            </w:r>
          </w:p>
        </w:tc>
      </w:tr>
      <w:tr w:rsidR="005A299A" w:rsidRPr="008C18B1" w:rsidTr="00E87F08">
        <w:trPr>
          <w:trHeight w:val="281"/>
          <w:jc w:val="center"/>
        </w:trPr>
        <w:tc>
          <w:tcPr>
            <w:tcW w:w="2127" w:type="dxa"/>
            <w:vAlign w:val="center"/>
          </w:tcPr>
          <w:p w:rsidR="005A299A" w:rsidRPr="008C18B1" w:rsidRDefault="005A299A" w:rsidP="001F014E">
            <w:pPr>
              <w:pStyle w:val="Parasts1"/>
              <w:jc w:val="both"/>
            </w:pPr>
            <w:r w:rsidRPr="008C18B1">
              <w:t>Kā ir izmantota ES tiesību aktā paredzētā rīcības brīvība dalībvalstij pārņemt vai ieviest noteiktas ES tiesību akta normas.</w:t>
            </w:r>
          </w:p>
          <w:p w:rsidR="005A299A" w:rsidRPr="008C18B1" w:rsidRDefault="005A299A" w:rsidP="001F014E">
            <w:pPr>
              <w:pStyle w:val="Parasts1"/>
              <w:jc w:val="both"/>
            </w:pPr>
            <w:r w:rsidRPr="008C18B1">
              <w:t>Kādēļ?</w:t>
            </w:r>
          </w:p>
        </w:tc>
        <w:tc>
          <w:tcPr>
            <w:tcW w:w="7459" w:type="dxa"/>
            <w:gridSpan w:val="3"/>
          </w:tcPr>
          <w:p w:rsidR="005A299A" w:rsidRPr="008C18B1" w:rsidRDefault="005A299A" w:rsidP="000C5F3B">
            <w:pPr>
              <w:pStyle w:val="Parasts1"/>
              <w:jc w:val="both"/>
            </w:pPr>
            <w:r w:rsidRPr="008C18B1">
              <w:t>Likumprojektā iekļautās ES tiesību direktīvu normas neparedz rīcības brīvību dalībvalstīm.</w:t>
            </w:r>
          </w:p>
          <w:p w:rsidR="005A299A" w:rsidRPr="008C18B1" w:rsidRDefault="005A299A" w:rsidP="000C5F3B">
            <w:pPr>
              <w:pStyle w:val="Parasts1"/>
              <w:jc w:val="both"/>
              <w:rPr>
                <w:bCs/>
              </w:rPr>
            </w:pPr>
            <w:r w:rsidRPr="008C18B1">
              <w:rPr>
                <w:bCs/>
              </w:rPr>
              <w:t>EK ieteikums par pamatnostādnēm, kā izstrādāt valsts līdzāspastāvēšanas pasākumus, kas vajadzīgi, lai izvairītos no netīšas ĢMO klātbūtnes parastajās un bioloģiskajās kultūrās, nosaka, ka noteiktos ekonomiskajos un dabas apstākļos dalībvalstīm ir jāizskata iespēja nepieļaut ĢMO audzēšanu plašās dalībvalstu teritorijās, lai izvairītos no ĢMO netīšas klātbūtnes parastajās un bioloģiskajās kultūrās, nosakot ĢMO brīvas zonas.</w:t>
            </w:r>
          </w:p>
        </w:tc>
      </w:tr>
      <w:tr w:rsidR="005A299A" w:rsidRPr="008C18B1" w:rsidTr="00E87F08">
        <w:trPr>
          <w:trHeight w:val="913"/>
          <w:jc w:val="center"/>
        </w:trPr>
        <w:tc>
          <w:tcPr>
            <w:tcW w:w="2127" w:type="dxa"/>
            <w:vAlign w:val="center"/>
          </w:tcPr>
          <w:p w:rsidR="005A299A" w:rsidRPr="008C18B1" w:rsidRDefault="005A299A" w:rsidP="001F014E">
            <w:pPr>
              <w:pStyle w:val="Parasts1"/>
              <w:jc w:val="both"/>
            </w:pPr>
            <w:r w:rsidRPr="008C18B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59" w:type="dxa"/>
            <w:gridSpan w:val="3"/>
          </w:tcPr>
          <w:p w:rsidR="005A299A" w:rsidRPr="008C18B1" w:rsidRDefault="005A299A" w:rsidP="000C5F3B">
            <w:pPr>
              <w:pStyle w:val="Parasts1"/>
            </w:pPr>
            <w:r w:rsidRPr="008C18B1">
              <w:t xml:space="preserve">Atbilstoši direktīvai 98/34/EK 2010.gadā likumprojekts tika nosūtīts EK izvērtēšanai. </w:t>
            </w:r>
          </w:p>
        </w:tc>
      </w:tr>
      <w:tr w:rsidR="005A299A" w:rsidRPr="008C18B1" w:rsidTr="00E87F08">
        <w:trPr>
          <w:trHeight w:val="579"/>
          <w:jc w:val="center"/>
        </w:trPr>
        <w:tc>
          <w:tcPr>
            <w:tcW w:w="2127" w:type="dxa"/>
          </w:tcPr>
          <w:p w:rsidR="005A299A" w:rsidRPr="008C18B1" w:rsidRDefault="005A299A" w:rsidP="0014001D">
            <w:pPr>
              <w:pStyle w:val="Parasts1"/>
            </w:pPr>
            <w:r w:rsidRPr="008C18B1">
              <w:t>Cita informācija</w:t>
            </w:r>
          </w:p>
        </w:tc>
        <w:tc>
          <w:tcPr>
            <w:tcW w:w="7459" w:type="dxa"/>
            <w:gridSpan w:val="3"/>
          </w:tcPr>
          <w:p w:rsidR="005A299A" w:rsidRPr="008C18B1" w:rsidRDefault="005A299A" w:rsidP="0014001D">
            <w:pPr>
              <w:pStyle w:val="Parasts1"/>
            </w:pPr>
            <w:r w:rsidRPr="008C18B1">
              <w:t>Nav.</w:t>
            </w:r>
          </w:p>
        </w:tc>
      </w:tr>
    </w:tbl>
    <w:p w:rsidR="005A299A" w:rsidRPr="008C18B1" w:rsidRDefault="005A299A" w:rsidP="00386AC9">
      <w:pPr>
        <w:pStyle w:val="Parasts1"/>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8"/>
        <w:gridCol w:w="3578"/>
        <w:gridCol w:w="5462"/>
      </w:tblGrid>
      <w:tr w:rsidR="005A299A" w:rsidRPr="008C18B1" w:rsidTr="00E87F08">
        <w:trPr>
          <w:jc w:val="center"/>
        </w:trPr>
        <w:tc>
          <w:tcPr>
            <w:tcW w:w="9578" w:type="dxa"/>
            <w:gridSpan w:val="3"/>
          </w:tcPr>
          <w:p w:rsidR="005A299A" w:rsidRPr="008C18B1" w:rsidRDefault="005A299A">
            <w:pPr>
              <w:pStyle w:val="naisnod"/>
              <w:spacing w:before="0" w:after="0"/>
              <w:ind w:left="57" w:right="57"/>
            </w:pPr>
            <w:r w:rsidRPr="008C18B1">
              <w:rPr>
                <w:bCs w:val="0"/>
              </w:rPr>
              <w:t>VI. Sabiedrības līdzdalība un šīs līdzdalības rezultāti</w:t>
            </w:r>
          </w:p>
        </w:tc>
      </w:tr>
      <w:tr w:rsidR="005A299A" w:rsidRPr="008C18B1" w:rsidTr="00E87F08">
        <w:trPr>
          <w:trHeight w:val="553"/>
          <w:jc w:val="center"/>
        </w:trPr>
        <w:tc>
          <w:tcPr>
            <w:tcW w:w="538" w:type="dxa"/>
          </w:tcPr>
          <w:p w:rsidR="005A299A" w:rsidRPr="008C18B1" w:rsidRDefault="005A299A">
            <w:pPr>
              <w:pStyle w:val="naiskr"/>
              <w:spacing w:before="0" w:after="0"/>
              <w:ind w:left="57" w:right="57"/>
            </w:pPr>
            <w:r w:rsidRPr="008C18B1">
              <w:t>1.</w:t>
            </w:r>
          </w:p>
        </w:tc>
        <w:tc>
          <w:tcPr>
            <w:tcW w:w="3578" w:type="dxa"/>
          </w:tcPr>
          <w:p w:rsidR="005A299A" w:rsidRPr="008C18B1" w:rsidRDefault="005A299A">
            <w:pPr>
              <w:pStyle w:val="naiskr"/>
              <w:spacing w:before="0" w:after="0"/>
              <w:ind w:left="57" w:right="57"/>
            </w:pPr>
            <w:r w:rsidRPr="008C18B1">
              <w:t>Sabiedrības informēšana par projekta izstrādes uzsākšanu</w:t>
            </w:r>
          </w:p>
        </w:tc>
        <w:tc>
          <w:tcPr>
            <w:tcW w:w="5462" w:type="dxa"/>
          </w:tcPr>
          <w:p w:rsidR="005A299A" w:rsidRPr="008C18B1" w:rsidRDefault="005A299A" w:rsidP="00E87F08">
            <w:pPr>
              <w:pStyle w:val="Parasts1"/>
              <w:spacing w:before="100" w:beforeAutospacing="1" w:after="100" w:afterAutospacing="1"/>
              <w:jc w:val="both"/>
              <w:rPr>
                <w:rFonts w:ascii="Calibri" w:hAnsi="Calibri"/>
              </w:rPr>
            </w:pPr>
            <w:r w:rsidRPr="008C18B1">
              <w:t xml:space="preserve">Likumprojekts elektroniski saskaņots ar ZM starpinstitūciju darba grupu „ĢMO, ĢM pārtika un dzīvnieku barība”, kurā iekļauti pārstāvji no Latvijas </w:t>
            </w:r>
            <w:r w:rsidRPr="008C18B1">
              <w:lastRenderedPageBreak/>
              <w:t>Universitātes, Latvijas Lauksaimniecības universitātes, Latvijas Ģenētiku un selekcionāru biedrības, Vides konsultatīvās padomes, Lauksaimnieku organizāciju sadarbības padomes u.c. organizācijām.</w:t>
            </w:r>
          </w:p>
        </w:tc>
      </w:tr>
      <w:tr w:rsidR="005A299A" w:rsidRPr="008C18B1" w:rsidTr="00E87F08">
        <w:trPr>
          <w:trHeight w:val="339"/>
          <w:jc w:val="center"/>
        </w:trPr>
        <w:tc>
          <w:tcPr>
            <w:tcW w:w="538" w:type="dxa"/>
          </w:tcPr>
          <w:p w:rsidR="005A299A" w:rsidRPr="008C18B1" w:rsidRDefault="005A299A">
            <w:pPr>
              <w:pStyle w:val="naiskr"/>
              <w:spacing w:before="0" w:after="0"/>
              <w:ind w:left="57" w:right="57"/>
            </w:pPr>
            <w:r w:rsidRPr="008C18B1">
              <w:lastRenderedPageBreak/>
              <w:t>2.</w:t>
            </w:r>
          </w:p>
        </w:tc>
        <w:tc>
          <w:tcPr>
            <w:tcW w:w="3578" w:type="dxa"/>
          </w:tcPr>
          <w:p w:rsidR="005A299A" w:rsidRPr="008C18B1" w:rsidRDefault="005A299A">
            <w:pPr>
              <w:pStyle w:val="naiskr"/>
              <w:spacing w:before="0" w:after="0"/>
              <w:ind w:left="57" w:right="57"/>
            </w:pPr>
            <w:r w:rsidRPr="008C18B1">
              <w:t xml:space="preserve">Sabiedrības līdzdalība projekta izstrādē </w:t>
            </w:r>
          </w:p>
        </w:tc>
        <w:tc>
          <w:tcPr>
            <w:tcW w:w="5462" w:type="dxa"/>
          </w:tcPr>
          <w:p w:rsidR="005A299A" w:rsidRPr="008C18B1" w:rsidRDefault="005A299A">
            <w:pPr>
              <w:pStyle w:val="Parasts1"/>
              <w:jc w:val="both"/>
              <w:rPr>
                <w:rFonts w:ascii="Calibri" w:hAnsi="Calibri"/>
              </w:rPr>
            </w:pPr>
            <w:r w:rsidRPr="008C18B1">
              <w:t>Elektroniska sarakste</w:t>
            </w:r>
          </w:p>
        </w:tc>
      </w:tr>
      <w:tr w:rsidR="005A299A" w:rsidRPr="008C18B1" w:rsidTr="00E87F08">
        <w:trPr>
          <w:trHeight w:val="375"/>
          <w:jc w:val="center"/>
        </w:trPr>
        <w:tc>
          <w:tcPr>
            <w:tcW w:w="538" w:type="dxa"/>
          </w:tcPr>
          <w:p w:rsidR="005A299A" w:rsidRPr="008C18B1" w:rsidRDefault="005A299A">
            <w:pPr>
              <w:pStyle w:val="naiskr"/>
              <w:spacing w:before="0" w:after="0"/>
              <w:ind w:left="57" w:right="57"/>
            </w:pPr>
            <w:r w:rsidRPr="008C18B1">
              <w:t>3.</w:t>
            </w:r>
          </w:p>
        </w:tc>
        <w:tc>
          <w:tcPr>
            <w:tcW w:w="3578" w:type="dxa"/>
          </w:tcPr>
          <w:p w:rsidR="005A299A" w:rsidRPr="008C18B1" w:rsidRDefault="005A299A">
            <w:pPr>
              <w:pStyle w:val="naiskr"/>
              <w:spacing w:before="0" w:after="0"/>
              <w:ind w:left="57" w:right="57"/>
            </w:pPr>
            <w:r w:rsidRPr="008C18B1">
              <w:t xml:space="preserve">Sabiedrības līdzdalības rezultāti </w:t>
            </w:r>
          </w:p>
        </w:tc>
        <w:tc>
          <w:tcPr>
            <w:tcW w:w="5462" w:type="dxa"/>
          </w:tcPr>
          <w:p w:rsidR="005A299A" w:rsidRPr="008C18B1" w:rsidRDefault="005A299A">
            <w:pPr>
              <w:pStyle w:val="Parasts1"/>
              <w:spacing w:before="100" w:beforeAutospacing="1" w:after="100" w:afterAutospacing="1"/>
              <w:jc w:val="both"/>
              <w:rPr>
                <w:rFonts w:ascii="Calibri" w:hAnsi="Calibri"/>
              </w:rPr>
            </w:pPr>
            <w:r w:rsidRPr="008C18B1">
              <w:t>Likumprojekts tika saskaņots bez iebildumiem.</w:t>
            </w:r>
          </w:p>
        </w:tc>
      </w:tr>
      <w:tr w:rsidR="005A299A" w:rsidRPr="008C18B1" w:rsidTr="00E87F08">
        <w:trPr>
          <w:trHeight w:val="397"/>
          <w:jc w:val="center"/>
        </w:trPr>
        <w:tc>
          <w:tcPr>
            <w:tcW w:w="538" w:type="dxa"/>
          </w:tcPr>
          <w:p w:rsidR="005A299A" w:rsidRPr="008C18B1" w:rsidRDefault="005A299A">
            <w:pPr>
              <w:pStyle w:val="naiskr"/>
              <w:spacing w:before="0" w:after="0"/>
              <w:ind w:left="57" w:right="57"/>
            </w:pPr>
            <w:r w:rsidRPr="008C18B1">
              <w:t>4.</w:t>
            </w:r>
          </w:p>
        </w:tc>
        <w:tc>
          <w:tcPr>
            <w:tcW w:w="3578" w:type="dxa"/>
          </w:tcPr>
          <w:p w:rsidR="005A299A" w:rsidRPr="008C18B1" w:rsidRDefault="005A299A">
            <w:pPr>
              <w:pStyle w:val="naiskr"/>
              <w:spacing w:before="0" w:after="0"/>
              <w:ind w:left="57" w:right="57"/>
            </w:pPr>
            <w:r w:rsidRPr="008C18B1">
              <w:t>Saeimas un ekspertu līdzdalība</w:t>
            </w:r>
          </w:p>
        </w:tc>
        <w:tc>
          <w:tcPr>
            <w:tcW w:w="5462" w:type="dxa"/>
          </w:tcPr>
          <w:p w:rsidR="005A299A" w:rsidRPr="008C18B1" w:rsidRDefault="005A299A">
            <w:pPr>
              <w:pStyle w:val="Parasts1"/>
              <w:spacing w:before="100" w:beforeAutospacing="1" w:after="100" w:afterAutospacing="1"/>
              <w:jc w:val="both"/>
              <w:rPr>
                <w:rFonts w:ascii="Calibri" w:hAnsi="Calibri"/>
              </w:rPr>
            </w:pPr>
            <w:r w:rsidRPr="008C18B1">
              <w:t>Likumprojekts šo jomu neskar.</w:t>
            </w:r>
          </w:p>
        </w:tc>
      </w:tr>
      <w:tr w:rsidR="005A299A" w:rsidRPr="008C18B1" w:rsidTr="00E87F08">
        <w:trPr>
          <w:trHeight w:val="387"/>
          <w:jc w:val="center"/>
        </w:trPr>
        <w:tc>
          <w:tcPr>
            <w:tcW w:w="538" w:type="dxa"/>
          </w:tcPr>
          <w:p w:rsidR="005A299A" w:rsidRPr="008C18B1" w:rsidRDefault="005A299A">
            <w:pPr>
              <w:pStyle w:val="naiskr"/>
              <w:spacing w:before="0" w:after="0"/>
              <w:ind w:left="57" w:right="57"/>
            </w:pPr>
            <w:r w:rsidRPr="008C18B1">
              <w:t>5.</w:t>
            </w:r>
          </w:p>
        </w:tc>
        <w:tc>
          <w:tcPr>
            <w:tcW w:w="3578" w:type="dxa"/>
          </w:tcPr>
          <w:p w:rsidR="005A299A" w:rsidRPr="008C18B1" w:rsidRDefault="005A299A">
            <w:pPr>
              <w:pStyle w:val="naiskr"/>
              <w:spacing w:before="0" w:after="0"/>
              <w:ind w:left="57" w:right="57"/>
            </w:pPr>
            <w:r w:rsidRPr="008C18B1">
              <w:t>Cita informācija</w:t>
            </w:r>
          </w:p>
        </w:tc>
        <w:tc>
          <w:tcPr>
            <w:tcW w:w="5462" w:type="dxa"/>
          </w:tcPr>
          <w:p w:rsidR="005A299A" w:rsidRPr="008C18B1" w:rsidRDefault="005A299A">
            <w:pPr>
              <w:pStyle w:val="Parasts1"/>
              <w:spacing w:before="100" w:beforeAutospacing="1" w:after="100" w:afterAutospacing="1"/>
              <w:jc w:val="both"/>
              <w:rPr>
                <w:rFonts w:ascii="Calibri" w:hAnsi="Calibri"/>
              </w:rPr>
            </w:pPr>
            <w:r w:rsidRPr="008C18B1">
              <w:t>Nav</w:t>
            </w:r>
          </w:p>
        </w:tc>
      </w:tr>
    </w:tbl>
    <w:p w:rsidR="005A299A" w:rsidRPr="008C18B1" w:rsidRDefault="005A299A" w:rsidP="00386AC9">
      <w:pPr>
        <w:pStyle w:val="Parasts1"/>
      </w:pPr>
    </w:p>
    <w:p w:rsidR="005A299A" w:rsidRPr="008C18B1" w:rsidRDefault="005A299A" w:rsidP="00386AC9">
      <w:pPr>
        <w:pStyle w:val="Parasts1"/>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3525"/>
        <w:gridCol w:w="5490"/>
      </w:tblGrid>
      <w:tr w:rsidR="005A299A" w:rsidRPr="008C18B1">
        <w:trPr>
          <w:jc w:val="center"/>
        </w:trPr>
        <w:tc>
          <w:tcPr>
            <w:tcW w:w="9565" w:type="dxa"/>
            <w:gridSpan w:val="3"/>
          </w:tcPr>
          <w:p w:rsidR="005A299A" w:rsidRPr="008C18B1" w:rsidRDefault="005A299A" w:rsidP="009324D0">
            <w:pPr>
              <w:pStyle w:val="Parasts1"/>
              <w:jc w:val="center"/>
              <w:rPr>
                <w:b/>
              </w:rPr>
            </w:pPr>
            <w:r w:rsidRPr="008C18B1">
              <w:rPr>
                <w:b/>
              </w:rPr>
              <w:t>VII. Tiesību akta projekta izpildes nodrošināšana un tās ietekme uz institūcijām</w:t>
            </w:r>
          </w:p>
        </w:tc>
      </w:tr>
      <w:tr w:rsidR="005A299A" w:rsidRPr="008C18B1" w:rsidTr="00E87F08">
        <w:trPr>
          <w:trHeight w:val="427"/>
          <w:jc w:val="center"/>
        </w:trPr>
        <w:tc>
          <w:tcPr>
            <w:tcW w:w="550" w:type="dxa"/>
          </w:tcPr>
          <w:p w:rsidR="005A299A" w:rsidRPr="008C18B1" w:rsidRDefault="005A299A" w:rsidP="00386AC9">
            <w:pPr>
              <w:pStyle w:val="Parasts1"/>
            </w:pPr>
            <w:r w:rsidRPr="008C18B1">
              <w:t>1.</w:t>
            </w:r>
          </w:p>
        </w:tc>
        <w:tc>
          <w:tcPr>
            <w:tcW w:w="3525" w:type="dxa"/>
          </w:tcPr>
          <w:p w:rsidR="005A299A" w:rsidRPr="008C18B1" w:rsidRDefault="005A299A" w:rsidP="001F014E">
            <w:pPr>
              <w:pStyle w:val="Parasts1"/>
              <w:jc w:val="both"/>
            </w:pPr>
            <w:r w:rsidRPr="008C18B1">
              <w:t xml:space="preserve">Projekta izpildē iesaistītās institūcijas </w:t>
            </w:r>
          </w:p>
        </w:tc>
        <w:tc>
          <w:tcPr>
            <w:tcW w:w="5490" w:type="dxa"/>
          </w:tcPr>
          <w:p w:rsidR="005A299A" w:rsidRPr="008C18B1" w:rsidRDefault="005A299A" w:rsidP="00060B88">
            <w:pPr>
              <w:pStyle w:val="Parasts1"/>
              <w:jc w:val="both"/>
            </w:pPr>
            <w:r w:rsidRPr="008C18B1">
              <w:t>ZM sadarbībā ar VAAD un PVD.</w:t>
            </w:r>
          </w:p>
        </w:tc>
      </w:tr>
      <w:tr w:rsidR="005A299A" w:rsidRPr="008C18B1" w:rsidTr="00E87F08">
        <w:trPr>
          <w:trHeight w:val="463"/>
          <w:jc w:val="center"/>
        </w:trPr>
        <w:tc>
          <w:tcPr>
            <w:tcW w:w="550" w:type="dxa"/>
          </w:tcPr>
          <w:p w:rsidR="005A299A" w:rsidRPr="008C18B1" w:rsidRDefault="005A299A" w:rsidP="00386AC9">
            <w:pPr>
              <w:pStyle w:val="Parasts1"/>
            </w:pPr>
            <w:r w:rsidRPr="008C18B1">
              <w:t>2.</w:t>
            </w:r>
          </w:p>
        </w:tc>
        <w:tc>
          <w:tcPr>
            <w:tcW w:w="3525" w:type="dxa"/>
          </w:tcPr>
          <w:p w:rsidR="005A299A" w:rsidRPr="008C18B1" w:rsidRDefault="005A299A" w:rsidP="001F014E">
            <w:pPr>
              <w:pStyle w:val="Parasts1"/>
              <w:jc w:val="both"/>
            </w:pPr>
            <w:r w:rsidRPr="008C18B1">
              <w:t xml:space="preserve">Projekta izpildes ietekme uz pārvaldes funkcijām </w:t>
            </w:r>
          </w:p>
        </w:tc>
        <w:tc>
          <w:tcPr>
            <w:tcW w:w="5490" w:type="dxa"/>
          </w:tcPr>
          <w:p w:rsidR="005A299A" w:rsidRPr="008C18B1" w:rsidRDefault="005A299A" w:rsidP="00386AC9">
            <w:pPr>
              <w:pStyle w:val="Parasts1"/>
            </w:pPr>
            <w:r w:rsidRPr="008C18B1">
              <w:t>Likumprojekts neparedz jaunas funkcijas.</w:t>
            </w:r>
          </w:p>
        </w:tc>
      </w:tr>
      <w:tr w:rsidR="005A299A" w:rsidRPr="008C18B1" w:rsidTr="00E87F08">
        <w:trPr>
          <w:trHeight w:val="725"/>
          <w:jc w:val="center"/>
        </w:trPr>
        <w:tc>
          <w:tcPr>
            <w:tcW w:w="550" w:type="dxa"/>
          </w:tcPr>
          <w:p w:rsidR="005A299A" w:rsidRPr="008C18B1" w:rsidRDefault="005A299A" w:rsidP="00386AC9">
            <w:pPr>
              <w:pStyle w:val="Parasts1"/>
            </w:pPr>
            <w:r w:rsidRPr="008C18B1">
              <w:t>3.</w:t>
            </w:r>
          </w:p>
        </w:tc>
        <w:tc>
          <w:tcPr>
            <w:tcW w:w="3525" w:type="dxa"/>
          </w:tcPr>
          <w:p w:rsidR="005A299A" w:rsidRPr="008C18B1" w:rsidRDefault="005A299A" w:rsidP="001F014E">
            <w:pPr>
              <w:pStyle w:val="Parasts1"/>
              <w:jc w:val="both"/>
            </w:pPr>
            <w:r w:rsidRPr="008C18B1">
              <w:t>Projekta izpildes ietekme uz pārvaldes institucionālo struktūru.</w:t>
            </w:r>
          </w:p>
          <w:p w:rsidR="005A299A" w:rsidRPr="008C18B1" w:rsidRDefault="005A299A" w:rsidP="001F014E">
            <w:pPr>
              <w:pStyle w:val="Parasts1"/>
              <w:jc w:val="both"/>
            </w:pPr>
            <w:r w:rsidRPr="008C18B1">
              <w:t>Jaunu institūciju izveide</w:t>
            </w:r>
          </w:p>
        </w:tc>
        <w:tc>
          <w:tcPr>
            <w:tcW w:w="5490" w:type="dxa"/>
          </w:tcPr>
          <w:p w:rsidR="005A299A" w:rsidRPr="008C18B1" w:rsidRDefault="005A299A" w:rsidP="00386AC9">
            <w:pPr>
              <w:pStyle w:val="Parasts1"/>
            </w:pPr>
            <w:r w:rsidRPr="008C18B1">
              <w:t>Likumprojekts neparedz veidot jaunas valsts institūcijas.</w:t>
            </w:r>
          </w:p>
        </w:tc>
      </w:tr>
      <w:tr w:rsidR="005A299A" w:rsidRPr="008C18B1" w:rsidTr="00E87F08">
        <w:trPr>
          <w:trHeight w:val="780"/>
          <w:jc w:val="center"/>
        </w:trPr>
        <w:tc>
          <w:tcPr>
            <w:tcW w:w="550" w:type="dxa"/>
          </w:tcPr>
          <w:p w:rsidR="005A299A" w:rsidRPr="008C18B1" w:rsidRDefault="005A299A" w:rsidP="00386AC9">
            <w:pPr>
              <w:pStyle w:val="Parasts1"/>
            </w:pPr>
            <w:r w:rsidRPr="008C18B1">
              <w:t>4.</w:t>
            </w:r>
          </w:p>
        </w:tc>
        <w:tc>
          <w:tcPr>
            <w:tcW w:w="3525" w:type="dxa"/>
          </w:tcPr>
          <w:p w:rsidR="005A299A" w:rsidRPr="008C18B1" w:rsidRDefault="005A299A" w:rsidP="001F014E">
            <w:pPr>
              <w:pStyle w:val="Parasts1"/>
              <w:jc w:val="both"/>
            </w:pPr>
            <w:r w:rsidRPr="008C18B1">
              <w:t>Projekta izpildes ietekme uz pārvaldes institucionālo struktūru.</w:t>
            </w:r>
          </w:p>
          <w:p w:rsidR="005A299A" w:rsidRPr="008C18B1" w:rsidRDefault="005A299A" w:rsidP="001F014E">
            <w:pPr>
              <w:pStyle w:val="Parasts1"/>
              <w:jc w:val="both"/>
            </w:pPr>
            <w:r w:rsidRPr="008C18B1">
              <w:t>Esošu institūciju likvidācija</w:t>
            </w:r>
          </w:p>
        </w:tc>
        <w:tc>
          <w:tcPr>
            <w:tcW w:w="5490" w:type="dxa"/>
          </w:tcPr>
          <w:p w:rsidR="005A299A" w:rsidRPr="008C18B1" w:rsidRDefault="005A299A" w:rsidP="00386AC9">
            <w:pPr>
              <w:pStyle w:val="Parasts1"/>
            </w:pPr>
            <w:r w:rsidRPr="008C18B1">
              <w:t>Likumprojekts šo jomu neskar.</w:t>
            </w:r>
          </w:p>
        </w:tc>
      </w:tr>
      <w:tr w:rsidR="005A299A" w:rsidRPr="008C18B1" w:rsidTr="00E87F08">
        <w:trPr>
          <w:trHeight w:val="703"/>
          <w:jc w:val="center"/>
        </w:trPr>
        <w:tc>
          <w:tcPr>
            <w:tcW w:w="550" w:type="dxa"/>
          </w:tcPr>
          <w:p w:rsidR="005A299A" w:rsidRPr="008C18B1" w:rsidRDefault="005A299A" w:rsidP="00386AC9">
            <w:pPr>
              <w:pStyle w:val="Parasts1"/>
            </w:pPr>
            <w:r w:rsidRPr="008C18B1">
              <w:t>5.</w:t>
            </w:r>
          </w:p>
        </w:tc>
        <w:tc>
          <w:tcPr>
            <w:tcW w:w="3525" w:type="dxa"/>
          </w:tcPr>
          <w:p w:rsidR="005A299A" w:rsidRPr="008C18B1" w:rsidRDefault="005A299A" w:rsidP="001F014E">
            <w:pPr>
              <w:pStyle w:val="Parasts1"/>
              <w:jc w:val="both"/>
            </w:pPr>
            <w:r w:rsidRPr="008C18B1">
              <w:t>Projekta izpildes ietekme uz pārvaldes institucionālo struktūru.</w:t>
            </w:r>
          </w:p>
          <w:p w:rsidR="005A299A" w:rsidRPr="008C18B1" w:rsidRDefault="005A299A" w:rsidP="001F014E">
            <w:pPr>
              <w:pStyle w:val="Parasts1"/>
              <w:jc w:val="both"/>
            </w:pPr>
            <w:r w:rsidRPr="008C18B1">
              <w:t>Esošu institūciju reorganizācija</w:t>
            </w:r>
          </w:p>
        </w:tc>
        <w:tc>
          <w:tcPr>
            <w:tcW w:w="5490" w:type="dxa"/>
          </w:tcPr>
          <w:p w:rsidR="005A299A" w:rsidRPr="008C18B1" w:rsidRDefault="005A299A" w:rsidP="00386AC9">
            <w:pPr>
              <w:pStyle w:val="Parasts1"/>
            </w:pPr>
            <w:r w:rsidRPr="008C18B1">
              <w:t>Likumprojekts šo jomu neskar.</w:t>
            </w:r>
          </w:p>
        </w:tc>
      </w:tr>
      <w:tr w:rsidR="005A299A" w:rsidRPr="008C18B1" w:rsidTr="00E87F08">
        <w:trPr>
          <w:trHeight w:val="476"/>
          <w:jc w:val="center"/>
        </w:trPr>
        <w:tc>
          <w:tcPr>
            <w:tcW w:w="550" w:type="dxa"/>
          </w:tcPr>
          <w:p w:rsidR="005A299A" w:rsidRPr="008C18B1" w:rsidRDefault="005A299A" w:rsidP="00386AC9">
            <w:pPr>
              <w:pStyle w:val="Parasts1"/>
            </w:pPr>
            <w:r w:rsidRPr="008C18B1">
              <w:t>6.</w:t>
            </w:r>
          </w:p>
        </w:tc>
        <w:tc>
          <w:tcPr>
            <w:tcW w:w="3525" w:type="dxa"/>
          </w:tcPr>
          <w:p w:rsidR="005A299A" w:rsidRPr="008C18B1" w:rsidRDefault="005A299A" w:rsidP="00386AC9">
            <w:pPr>
              <w:pStyle w:val="Parasts1"/>
            </w:pPr>
            <w:r w:rsidRPr="008C18B1">
              <w:t>Cita informācija</w:t>
            </w:r>
          </w:p>
        </w:tc>
        <w:tc>
          <w:tcPr>
            <w:tcW w:w="5490" w:type="dxa"/>
          </w:tcPr>
          <w:p w:rsidR="005A299A" w:rsidRPr="008C18B1" w:rsidRDefault="005A299A" w:rsidP="00386AC9">
            <w:pPr>
              <w:pStyle w:val="Parasts1"/>
            </w:pPr>
            <w:r w:rsidRPr="008C18B1">
              <w:t>Nav.</w:t>
            </w:r>
          </w:p>
        </w:tc>
      </w:tr>
    </w:tbl>
    <w:p w:rsidR="005A299A" w:rsidRPr="008C18B1" w:rsidRDefault="005A299A" w:rsidP="007A25A2">
      <w:pPr>
        <w:pStyle w:val="Parasts1"/>
        <w:ind w:firstLine="720"/>
        <w:rPr>
          <w:sz w:val="28"/>
          <w:szCs w:val="28"/>
        </w:rPr>
      </w:pPr>
    </w:p>
    <w:p w:rsidR="005A299A" w:rsidRPr="008C18B1" w:rsidRDefault="005A299A" w:rsidP="007A25A2">
      <w:pPr>
        <w:pStyle w:val="Parasts1"/>
        <w:ind w:firstLine="720"/>
        <w:rPr>
          <w:sz w:val="28"/>
          <w:szCs w:val="28"/>
        </w:rPr>
      </w:pPr>
    </w:p>
    <w:p w:rsidR="005A299A" w:rsidRPr="008C18B1" w:rsidRDefault="005A299A" w:rsidP="007A25A2">
      <w:pPr>
        <w:pStyle w:val="Parasts1"/>
        <w:ind w:firstLine="720"/>
        <w:rPr>
          <w:sz w:val="28"/>
          <w:szCs w:val="28"/>
        </w:rPr>
      </w:pPr>
      <w:r w:rsidRPr="008C18B1">
        <w:rPr>
          <w:sz w:val="28"/>
          <w:szCs w:val="28"/>
        </w:rPr>
        <w:t>Zemkopības ministre</w:t>
      </w:r>
      <w:r w:rsidRPr="008C18B1">
        <w:rPr>
          <w:sz w:val="28"/>
          <w:szCs w:val="28"/>
        </w:rPr>
        <w:tab/>
      </w:r>
      <w:r w:rsidRPr="008C18B1">
        <w:rPr>
          <w:sz w:val="28"/>
          <w:szCs w:val="28"/>
        </w:rPr>
        <w:tab/>
      </w:r>
      <w:r w:rsidRPr="008C18B1">
        <w:rPr>
          <w:sz w:val="28"/>
          <w:szCs w:val="28"/>
        </w:rPr>
        <w:tab/>
      </w:r>
      <w:r w:rsidRPr="008C18B1">
        <w:rPr>
          <w:sz w:val="28"/>
          <w:szCs w:val="28"/>
        </w:rPr>
        <w:tab/>
      </w:r>
      <w:r w:rsidRPr="008C18B1">
        <w:rPr>
          <w:sz w:val="28"/>
          <w:szCs w:val="28"/>
        </w:rPr>
        <w:tab/>
      </w:r>
      <w:r w:rsidRPr="008C18B1">
        <w:rPr>
          <w:sz w:val="28"/>
          <w:szCs w:val="28"/>
        </w:rPr>
        <w:tab/>
        <w:t>L.Straujuma</w:t>
      </w:r>
    </w:p>
    <w:p w:rsidR="005A299A" w:rsidRPr="008C18B1" w:rsidRDefault="005A299A" w:rsidP="00386AC9">
      <w:pPr>
        <w:pStyle w:val="Parasts1"/>
        <w:rPr>
          <w:sz w:val="16"/>
          <w:szCs w:val="18"/>
        </w:rPr>
      </w:pPr>
    </w:p>
    <w:p w:rsidR="005A299A" w:rsidRPr="008C18B1" w:rsidRDefault="005A299A" w:rsidP="00386AC9">
      <w:pPr>
        <w:pStyle w:val="Parasts1"/>
        <w:rPr>
          <w:sz w:val="16"/>
          <w:szCs w:val="18"/>
        </w:rPr>
      </w:pPr>
    </w:p>
    <w:p w:rsidR="005A299A" w:rsidRPr="008C18B1" w:rsidRDefault="005A299A" w:rsidP="00386AC9">
      <w:pPr>
        <w:pStyle w:val="Parasts1"/>
        <w:rPr>
          <w:sz w:val="16"/>
          <w:szCs w:val="18"/>
        </w:rPr>
      </w:pPr>
    </w:p>
    <w:p w:rsidR="005A299A" w:rsidRPr="008C18B1" w:rsidRDefault="005A299A" w:rsidP="00386AC9">
      <w:pPr>
        <w:pStyle w:val="Parasts1"/>
        <w:rPr>
          <w:sz w:val="16"/>
          <w:szCs w:val="18"/>
        </w:rPr>
      </w:pPr>
    </w:p>
    <w:p w:rsidR="005A299A" w:rsidRDefault="005A299A" w:rsidP="00386AC9">
      <w:pPr>
        <w:pStyle w:val="Parasts1"/>
        <w:rPr>
          <w:sz w:val="16"/>
          <w:szCs w:val="18"/>
        </w:rPr>
      </w:pPr>
    </w:p>
    <w:p w:rsidR="00CF0B03" w:rsidRDefault="00CF0B03" w:rsidP="00386AC9">
      <w:pPr>
        <w:pStyle w:val="Parasts1"/>
        <w:rPr>
          <w:sz w:val="16"/>
          <w:szCs w:val="18"/>
        </w:rPr>
      </w:pPr>
    </w:p>
    <w:p w:rsidR="00CF0B03" w:rsidRDefault="00CF0B03" w:rsidP="00386AC9">
      <w:pPr>
        <w:pStyle w:val="Parasts1"/>
        <w:rPr>
          <w:sz w:val="16"/>
          <w:szCs w:val="18"/>
        </w:rPr>
      </w:pPr>
    </w:p>
    <w:p w:rsidR="00CF0B03" w:rsidRDefault="00CF0B03" w:rsidP="00386AC9">
      <w:pPr>
        <w:pStyle w:val="Parasts1"/>
        <w:rPr>
          <w:sz w:val="16"/>
          <w:szCs w:val="18"/>
        </w:rPr>
      </w:pPr>
    </w:p>
    <w:p w:rsidR="00CF0B03" w:rsidRDefault="00CF0B03" w:rsidP="00386AC9">
      <w:pPr>
        <w:pStyle w:val="Parasts1"/>
        <w:rPr>
          <w:sz w:val="16"/>
          <w:szCs w:val="18"/>
        </w:rPr>
      </w:pPr>
    </w:p>
    <w:p w:rsidR="00CF0B03" w:rsidRPr="008C18B1" w:rsidRDefault="00CF0B03" w:rsidP="00386AC9">
      <w:pPr>
        <w:pStyle w:val="Parasts1"/>
        <w:rPr>
          <w:sz w:val="16"/>
          <w:szCs w:val="18"/>
        </w:rPr>
      </w:pPr>
    </w:p>
    <w:p w:rsidR="005A299A" w:rsidRPr="008C18B1" w:rsidRDefault="005A299A" w:rsidP="00386AC9">
      <w:pPr>
        <w:pStyle w:val="Parasts1"/>
        <w:rPr>
          <w:sz w:val="16"/>
          <w:szCs w:val="18"/>
        </w:rPr>
      </w:pPr>
    </w:p>
    <w:p w:rsidR="005A299A" w:rsidRPr="008C18B1" w:rsidRDefault="005A299A" w:rsidP="00386AC9">
      <w:pPr>
        <w:pStyle w:val="Parasts1"/>
        <w:rPr>
          <w:sz w:val="16"/>
          <w:szCs w:val="18"/>
        </w:rPr>
      </w:pPr>
    </w:p>
    <w:p w:rsidR="005A299A" w:rsidRPr="008C18B1" w:rsidRDefault="005A299A" w:rsidP="00386AC9">
      <w:pPr>
        <w:pStyle w:val="Parasts1"/>
        <w:rPr>
          <w:sz w:val="16"/>
          <w:szCs w:val="18"/>
        </w:rPr>
      </w:pPr>
    </w:p>
    <w:p w:rsidR="005A299A" w:rsidRPr="008C18B1" w:rsidRDefault="005A299A" w:rsidP="00386AC9">
      <w:pPr>
        <w:pStyle w:val="Parasts1"/>
        <w:rPr>
          <w:sz w:val="20"/>
          <w:szCs w:val="20"/>
        </w:rPr>
      </w:pPr>
    </w:p>
    <w:p w:rsidR="005A299A" w:rsidRPr="008C18B1" w:rsidRDefault="005A299A" w:rsidP="00386AC9">
      <w:pPr>
        <w:pStyle w:val="Parasts1"/>
        <w:rPr>
          <w:sz w:val="16"/>
          <w:szCs w:val="16"/>
        </w:rPr>
      </w:pPr>
    </w:p>
    <w:p w:rsidR="005A299A" w:rsidRPr="00CF0B03" w:rsidRDefault="005A299A" w:rsidP="00386AC9">
      <w:pPr>
        <w:pStyle w:val="Parasts1"/>
        <w:rPr>
          <w:sz w:val="20"/>
          <w:szCs w:val="20"/>
        </w:rPr>
      </w:pPr>
    </w:p>
    <w:p w:rsidR="00CF0B03" w:rsidRDefault="00CF0B03" w:rsidP="00386AC9">
      <w:pPr>
        <w:pStyle w:val="Parasts1"/>
        <w:rPr>
          <w:sz w:val="20"/>
          <w:szCs w:val="20"/>
        </w:rPr>
      </w:pPr>
      <w:r>
        <w:rPr>
          <w:sz w:val="20"/>
          <w:szCs w:val="20"/>
        </w:rPr>
        <w:t>2012.03.22. 12:15</w:t>
      </w:r>
    </w:p>
    <w:p w:rsidR="00CF0B03" w:rsidRPr="00CF0B03" w:rsidRDefault="00CF0B03" w:rsidP="00386AC9">
      <w:pPr>
        <w:pStyle w:val="Parasts1"/>
        <w:rPr>
          <w:sz w:val="20"/>
          <w:szCs w:val="20"/>
        </w:rPr>
      </w:pPr>
      <w:fldSimple w:instr=" NUMWORDS   \* MERGEFORMAT ">
        <w:r>
          <w:rPr>
            <w:noProof/>
            <w:sz w:val="20"/>
            <w:szCs w:val="20"/>
          </w:rPr>
          <w:t>2225</w:t>
        </w:r>
      </w:fldSimple>
    </w:p>
    <w:tbl>
      <w:tblPr>
        <w:tblW w:w="0" w:type="auto"/>
        <w:tblLook w:val="00A0"/>
      </w:tblPr>
      <w:tblGrid>
        <w:gridCol w:w="4261"/>
      </w:tblGrid>
      <w:tr w:rsidR="005A299A" w:rsidRPr="00CF0B03" w:rsidTr="008036AA">
        <w:tc>
          <w:tcPr>
            <w:tcW w:w="4261" w:type="dxa"/>
          </w:tcPr>
          <w:p w:rsidR="005A299A" w:rsidRPr="00CF0B03" w:rsidRDefault="005A299A" w:rsidP="008036AA">
            <w:pPr>
              <w:pStyle w:val="Parasts1"/>
              <w:ind w:right="-1"/>
              <w:jc w:val="both"/>
              <w:rPr>
                <w:sz w:val="20"/>
                <w:szCs w:val="20"/>
              </w:rPr>
            </w:pPr>
            <w:r w:rsidRPr="00CF0B03">
              <w:rPr>
                <w:sz w:val="20"/>
                <w:szCs w:val="20"/>
              </w:rPr>
              <w:t>D.Guste</w:t>
            </w:r>
          </w:p>
          <w:p w:rsidR="005A299A" w:rsidRPr="00CF0B03" w:rsidRDefault="005A299A" w:rsidP="008036AA">
            <w:pPr>
              <w:pStyle w:val="Parasts1"/>
              <w:ind w:right="-1"/>
              <w:jc w:val="both"/>
              <w:rPr>
                <w:sz w:val="20"/>
                <w:szCs w:val="20"/>
              </w:rPr>
            </w:pPr>
            <w:r w:rsidRPr="00CF0B03">
              <w:rPr>
                <w:sz w:val="20"/>
                <w:szCs w:val="20"/>
              </w:rPr>
              <w:t>67027217, Dace.Guste@zm.gov.lv</w:t>
            </w:r>
          </w:p>
          <w:p w:rsidR="005A299A" w:rsidRPr="00CF0B03" w:rsidRDefault="005A299A" w:rsidP="008036AA">
            <w:pPr>
              <w:pStyle w:val="Parasts1"/>
              <w:ind w:right="-1"/>
              <w:jc w:val="both"/>
              <w:rPr>
                <w:sz w:val="20"/>
                <w:szCs w:val="20"/>
              </w:rPr>
            </w:pPr>
          </w:p>
        </w:tc>
      </w:tr>
      <w:tr w:rsidR="005A299A" w:rsidRPr="00CF0B03" w:rsidTr="007A25A2">
        <w:tc>
          <w:tcPr>
            <w:tcW w:w="4261" w:type="dxa"/>
          </w:tcPr>
          <w:p w:rsidR="005A299A" w:rsidRPr="00CF0B03" w:rsidRDefault="005A299A" w:rsidP="00812E22">
            <w:pPr>
              <w:pStyle w:val="Parasts1"/>
              <w:ind w:right="-1"/>
              <w:jc w:val="both"/>
              <w:rPr>
                <w:sz w:val="20"/>
                <w:szCs w:val="20"/>
              </w:rPr>
            </w:pPr>
            <w:r w:rsidRPr="00CF0B03">
              <w:rPr>
                <w:sz w:val="20"/>
                <w:szCs w:val="20"/>
              </w:rPr>
              <w:t>I.Aleksejeva</w:t>
            </w:r>
          </w:p>
          <w:p w:rsidR="005A299A" w:rsidRPr="00CF0B03" w:rsidRDefault="005A299A" w:rsidP="00812E22">
            <w:pPr>
              <w:pStyle w:val="Parasts1"/>
              <w:ind w:right="-1"/>
              <w:jc w:val="both"/>
              <w:rPr>
                <w:sz w:val="20"/>
                <w:szCs w:val="20"/>
              </w:rPr>
            </w:pPr>
            <w:r w:rsidRPr="00CF0B03">
              <w:rPr>
                <w:sz w:val="20"/>
                <w:szCs w:val="20"/>
              </w:rPr>
              <w:t>67027069, Inese.Aleksejeva@zm.gov.lv</w:t>
            </w:r>
          </w:p>
        </w:tc>
      </w:tr>
    </w:tbl>
    <w:p w:rsidR="005A299A" w:rsidRPr="008C18B1" w:rsidRDefault="005A299A" w:rsidP="00595315">
      <w:pPr>
        <w:pStyle w:val="Parasts1"/>
        <w:rPr>
          <w:sz w:val="16"/>
          <w:szCs w:val="16"/>
        </w:rPr>
      </w:pPr>
    </w:p>
    <w:sectPr w:rsidR="005A299A" w:rsidRPr="008C18B1" w:rsidSect="00CF0B0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16" w:rsidRDefault="00F70716">
      <w:pPr>
        <w:pStyle w:val="Parasts1"/>
      </w:pPr>
      <w:r>
        <w:separator/>
      </w:r>
    </w:p>
  </w:endnote>
  <w:endnote w:type="continuationSeparator" w:id="0">
    <w:p w:rsidR="00F70716" w:rsidRDefault="00F70716">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Pr="0062716C" w:rsidRDefault="005A299A" w:rsidP="00BB3795">
    <w:pPr>
      <w:pStyle w:val="Parasts1"/>
      <w:jc w:val="both"/>
      <w:rPr>
        <w:sz w:val="20"/>
        <w:szCs w:val="20"/>
      </w:rPr>
    </w:pPr>
    <w:r>
      <w:rPr>
        <w:sz w:val="20"/>
        <w:szCs w:val="20"/>
      </w:rPr>
      <w:t>ZMAnot_200312</w:t>
    </w:r>
    <w:r w:rsidRPr="0062716C">
      <w:rPr>
        <w:sz w:val="20"/>
        <w:szCs w:val="20"/>
      </w:rPr>
      <w:t>_</w:t>
    </w:r>
    <w:r>
      <w:rPr>
        <w:sz w:val="20"/>
        <w:szCs w:val="20"/>
      </w:rPr>
      <w:t>GMO</w:t>
    </w:r>
    <w:r w:rsidRPr="0062716C">
      <w:rPr>
        <w:sz w:val="20"/>
        <w:szCs w:val="20"/>
      </w:rPr>
      <w:t xml:space="preserve">; </w:t>
    </w:r>
    <w:r>
      <w:rPr>
        <w:sz w:val="20"/>
        <w:szCs w:val="20"/>
      </w:rPr>
      <w:t>Likumprojekta</w:t>
    </w:r>
    <w:r w:rsidRPr="0062716C">
      <w:rPr>
        <w:sz w:val="20"/>
        <w:szCs w:val="20"/>
      </w:rPr>
      <w:t xml:space="preserve"> </w:t>
    </w:r>
    <w:r w:rsidRPr="00102D0B">
      <w:rPr>
        <w:sz w:val="20"/>
        <w:szCs w:val="20"/>
      </w:rPr>
      <w:t>„</w:t>
    </w:r>
    <w:r w:rsidRPr="00BB3795">
      <w:rPr>
        <w:sz w:val="20"/>
        <w:szCs w:val="20"/>
      </w:rPr>
      <w:t xml:space="preserve">Grozījumi </w:t>
    </w:r>
    <w:r w:rsidRPr="00BB3795">
      <w:rPr>
        <w:bCs/>
        <w:sz w:val="20"/>
        <w:szCs w:val="20"/>
      </w:rPr>
      <w:t>Ģenētiski modificēto organismu aprites likum</w:t>
    </w:r>
    <w:r>
      <w:rPr>
        <w:bCs/>
        <w:sz w:val="20"/>
        <w:szCs w:val="20"/>
      </w:rPr>
      <w:t>ā</w:t>
    </w:r>
    <w:r w:rsidRPr="00BB3795">
      <w:rPr>
        <w:sz w:val="20"/>
        <w:szCs w:val="20"/>
      </w:rPr>
      <w:t xml:space="preserve">” </w:t>
    </w:r>
    <w:r w:rsidRPr="0062716C">
      <w:rPr>
        <w:sz w:val="20"/>
        <w:szCs w:val="20"/>
      </w:rPr>
      <w:t xml:space="preserve">sākotnējās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Pr="0062716C" w:rsidRDefault="005A299A" w:rsidP="00BB3795">
    <w:pPr>
      <w:pStyle w:val="Parasts1"/>
      <w:jc w:val="both"/>
      <w:rPr>
        <w:sz w:val="20"/>
        <w:szCs w:val="20"/>
      </w:rPr>
    </w:pPr>
    <w:r>
      <w:rPr>
        <w:sz w:val="20"/>
        <w:szCs w:val="20"/>
      </w:rPr>
      <w:t>ZMAnot_200312</w:t>
    </w:r>
    <w:r w:rsidRPr="0062716C">
      <w:rPr>
        <w:sz w:val="20"/>
        <w:szCs w:val="20"/>
      </w:rPr>
      <w:t>_</w:t>
    </w:r>
    <w:r>
      <w:rPr>
        <w:sz w:val="20"/>
        <w:szCs w:val="20"/>
      </w:rPr>
      <w:t>GMO</w:t>
    </w:r>
    <w:r w:rsidRPr="0062716C">
      <w:rPr>
        <w:sz w:val="20"/>
        <w:szCs w:val="20"/>
      </w:rPr>
      <w:t xml:space="preserve">; </w:t>
    </w:r>
    <w:r>
      <w:rPr>
        <w:sz w:val="20"/>
        <w:szCs w:val="20"/>
      </w:rPr>
      <w:t>Likumprojekta</w:t>
    </w:r>
    <w:r w:rsidRPr="0062716C">
      <w:rPr>
        <w:sz w:val="20"/>
        <w:szCs w:val="20"/>
      </w:rPr>
      <w:t xml:space="preserve"> </w:t>
    </w:r>
    <w:r w:rsidRPr="00102D0B">
      <w:rPr>
        <w:sz w:val="20"/>
        <w:szCs w:val="20"/>
      </w:rPr>
      <w:t xml:space="preserve">„Grozījumi </w:t>
    </w:r>
    <w:r w:rsidRPr="00BB3795">
      <w:rPr>
        <w:bCs/>
        <w:sz w:val="20"/>
        <w:szCs w:val="20"/>
      </w:rPr>
      <w:t>Ģenētiski modificēto organismu aprites likum</w:t>
    </w:r>
    <w:r>
      <w:rPr>
        <w:bCs/>
        <w:sz w:val="20"/>
        <w:szCs w:val="20"/>
      </w:rPr>
      <w:t>ā</w:t>
    </w:r>
    <w:r w:rsidRPr="00BB3795">
      <w:rPr>
        <w:sz w:val="20"/>
        <w:szCs w:val="20"/>
      </w:rPr>
      <w:t xml:space="preserve">” </w:t>
    </w:r>
    <w:r w:rsidRPr="0062716C">
      <w:rPr>
        <w:sz w:val="20"/>
        <w:szCs w:val="20"/>
      </w:rPr>
      <w:t xml:space="preserve">sākotnējās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16" w:rsidRDefault="00F70716">
      <w:pPr>
        <w:pStyle w:val="Parasts1"/>
      </w:pPr>
      <w:r>
        <w:separator/>
      </w:r>
    </w:p>
  </w:footnote>
  <w:footnote w:type="continuationSeparator" w:id="0">
    <w:p w:rsidR="00F70716" w:rsidRDefault="00F70716">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63733B"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end"/>
    </w:r>
  </w:p>
  <w:p w:rsidR="005A299A" w:rsidRDefault="005A299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63733B"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separate"/>
    </w:r>
    <w:r w:rsidR="00CF0B03">
      <w:rPr>
        <w:rStyle w:val="Lappusesnumurs"/>
        <w:noProof/>
      </w:rPr>
      <w:t>8</w:t>
    </w:r>
    <w:r>
      <w:rPr>
        <w:rStyle w:val="Lappusesnumurs"/>
      </w:rPr>
      <w:fldChar w:fldCharType="end"/>
    </w:r>
  </w:p>
  <w:p w:rsidR="005A299A" w:rsidRDefault="005A299A">
    <w:pPr>
      <w:pStyle w:val="Galvene"/>
    </w:pPr>
  </w:p>
  <w:p w:rsidR="005A299A" w:rsidRDefault="005A299A"/>
  <w:p w:rsidR="005A299A" w:rsidRDefault="005A2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15"/>
  </w:num>
  <w:num w:numId="3">
    <w:abstractNumId w:val="7"/>
  </w:num>
  <w:num w:numId="4">
    <w:abstractNumId w:val="5"/>
  </w:num>
  <w:num w:numId="5">
    <w:abstractNumId w:val="2"/>
  </w:num>
  <w:num w:numId="6">
    <w:abstractNumId w:val="12"/>
  </w:num>
  <w:num w:numId="7">
    <w:abstractNumId w:val="17"/>
  </w:num>
  <w:num w:numId="8">
    <w:abstractNumId w:val="9"/>
  </w:num>
  <w:num w:numId="9">
    <w:abstractNumId w:val="6"/>
  </w:num>
  <w:num w:numId="10">
    <w:abstractNumId w:val="10"/>
  </w:num>
  <w:num w:numId="11">
    <w:abstractNumId w:val="11"/>
  </w:num>
  <w:num w:numId="12">
    <w:abstractNumId w:val="13"/>
  </w:num>
  <w:num w:numId="13">
    <w:abstractNumId w:val="14"/>
  </w:num>
  <w:num w:numId="14">
    <w:abstractNumId w:val="16"/>
  </w:num>
  <w:num w:numId="15">
    <w:abstractNumId w:val="4"/>
  </w:num>
  <w:num w:numId="16">
    <w:abstractNumId w:val="3"/>
  </w:num>
  <w:num w:numId="17">
    <w:abstractNumId w:val="18"/>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C5649"/>
    <w:rsid w:val="00002571"/>
    <w:rsid w:val="00004E97"/>
    <w:rsid w:val="000078A5"/>
    <w:rsid w:val="00010184"/>
    <w:rsid w:val="00011D24"/>
    <w:rsid w:val="00012244"/>
    <w:rsid w:val="00013FF4"/>
    <w:rsid w:val="000153FC"/>
    <w:rsid w:val="00020FE1"/>
    <w:rsid w:val="00022E13"/>
    <w:rsid w:val="00024113"/>
    <w:rsid w:val="00032388"/>
    <w:rsid w:val="000334E6"/>
    <w:rsid w:val="0003352A"/>
    <w:rsid w:val="000350A4"/>
    <w:rsid w:val="00035CE2"/>
    <w:rsid w:val="0003796A"/>
    <w:rsid w:val="00041CFB"/>
    <w:rsid w:val="00043EBE"/>
    <w:rsid w:val="0005016C"/>
    <w:rsid w:val="00050352"/>
    <w:rsid w:val="0005388C"/>
    <w:rsid w:val="00055275"/>
    <w:rsid w:val="0005553B"/>
    <w:rsid w:val="00056E55"/>
    <w:rsid w:val="000604D2"/>
    <w:rsid w:val="00060B88"/>
    <w:rsid w:val="000618F0"/>
    <w:rsid w:val="0006271A"/>
    <w:rsid w:val="000646B7"/>
    <w:rsid w:val="000654F8"/>
    <w:rsid w:val="00071CFB"/>
    <w:rsid w:val="0007567B"/>
    <w:rsid w:val="000824A0"/>
    <w:rsid w:val="0008669A"/>
    <w:rsid w:val="00087D09"/>
    <w:rsid w:val="0009005E"/>
    <w:rsid w:val="00090FAA"/>
    <w:rsid w:val="00094024"/>
    <w:rsid w:val="000941C5"/>
    <w:rsid w:val="00097705"/>
    <w:rsid w:val="000A28D7"/>
    <w:rsid w:val="000A6451"/>
    <w:rsid w:val="000A7D33"/>
    <w:rsid w:val="000B0123"/>
    <w:rsid w:val="000B064E"/>
    <w:rsid w:val="000B13A0"/>
    <w:rsid w:val="000B493F"/>
    <w:rsid w:val="000B69CF"/>
    <w:rsid w:val="000B716E"/>
    <w:rsid w:val="000C09D8"/>
    <w:rsid w:val="000C1465"/>
    <w:rsid w:val="000C2C5E"/>
    <w:rsid w:val="000C2DBA"/>
    <w:rsid w:val="000C4342"/>
    <w:rsid w:val="000C5F3B"/>
    <w:rsid w:val="000C790C"/>
    <w:rsid w:val="000D7F3A"/>
    <w:rsid w:val="000E0B43"/>
    <w:rsid w:val="000E25C6"/>
    <w:rsid w:val="000E348C"/>
    <w:rsid w:val="000E7ECF"/>
    <w:rsid w:val="000F061D"/>
    <w:rsid w:val="000F0CA3"/>
    <w:rsid w:val="000F4794"/>
    <w:rsid w:val="000F7EB5"/>
    <w:rsid w:val="00102D0B"/>
    <w:rsid w:val="00103517"/>
    <w:rsid w:val="00104977"/>
    <w:rsid w:val="00105DD9"/>
    <w:rsid w:val="0010679C"/>
    <w:rsid w:val="00110B4C"/>
    <w:rsid w:val="0011129C"/>
    <w:rsid w:val="00113A09"/>
    <w:rsid w:val="00122C93"/>
    <w:rsid w:val="00124F12"/>
    <w:rsid w:val="0012689A"/>
    <w:rsid w:val="00135465"/>
    <w:rsid w:val="0014001D"/>
    <w:rsid w:val="00142EF0"/>
    <w:rsid w:val="00144E3A"/>
    <w:rsid w:val="0015060C"/>
    <w:rsid w:val="001509CD"/>
    <w:rsid w:val="00153769"/>
    <w:rsid w:val="0016018A"/>
    <w:rsid w:val="00161121"/>
    <w:rsid w:val="00161134"/>
    <w:rsid w:val="00161F0E"/>
    <w:rsid w:val="00161FB6"/>
    <w:rsid w:val="0016550D"/>
    <w:rsid w:val="00170E2A"/>
    <w:rsid w:val="001750AC"/>
    <w:rsid w:val="00177394"/>
    <w:rsid w:val="00182C18"/>
    <w:rsid w:val="00183913"/>
    <w:rsid w:val="00183CC2"/>
    <w:rsid w:val="00187D23"/>
    <w:rsid w:val="001900E4"/>
    <w:rsid w:val="00190F88"/>
    <w:rsid w:val="00191370"/>
    <w:rsid w:val="00191444"/>
    <w:rsid w:val="00193070"/>
    <w:rsid w:val="00193931"/>
    <w:rsid w:val="001A26DF"/>
    <w:rsid w:val="001A4066"/>
    <w:rsid w:val="001A408E"/>
    <w:rsid w:val="001A5CFB"/>
    <w:rsid w:val="001A6AE4"/>
    <w:rsid w:val="001B01FD"/>
    <w:rsid w:val="001B4A71"/>
    <w:rsid w:val="001B4E01"/>
    <w:rsid w:val="001B5486"/>
    <w:rsid w:val="001B6B71"/>
    <w:rsid w:val="001C1150"/>
    <w:rsid w:val="001C3BE8"/>
    <w:rsid w:val="001C57F4"/>
    <w:rsid w:val="001D3476"/>
    <w:rsid w:val="001D5B54"/>
    <w:rsid w:val="001E1DBF"/>
    <w:rsid w:val="001E4639"/>
    <w:rsid w:val="001E4A7D"/>
    <w:rsid w:val="001E5D78"/>
    <w:rsid w:val="001E6D13"/>
    <w:rsid w:val="001E7374"/>
    <w:rsid w:val="001F014E"/>
    <w:rsid w:val="001F242B"/>
    <w:rsid w:val="001F2AEA"/>
    <w:rsid w:val="001F43A8"/>
    <w:rsid w:val="001F5CD6"/>
    <w:rsid w:val="001F763B"/>
    <w:rsid w:val="001F7E7E"/>
    <w:rsid w:val="0020181C"/>
    <w:rsid w:val="002032AF"/>
    <w:rsid w:val="00203E82"/>
    <w:rsid w:val="00211F8E"/>
    <w:rsid w:val="0021263D"/>
    <w:rsid w:val="002136A9"/>
    <w:rsid w:val="002136B0"/>
    <w:rsid w:val="00213F0C"/>
    <w:rsid w:val="00214094"/>
    <w:rsid w:val="0021592D"/>
    <w:rsid w:val="00215B52"/>
    <w:rsid w:val="00220393"/>
    <w:rsid w:val="00221132"/>
    <w:rsid w:val="0022195B"/>
    <w:rsid w:val="00222D76"/>
    <w:rsid w:val="00223EB1"/>
    <w:rsid w:val="00230A43"/>
    <w:rsid w:val="00231344"/>
    <w:rsid w:val="00232391"/>
    <w:rsid w:val="0023436E"/>
    <w:rsid w:val="002347C0"/>
    <w:rsid w:val="0023688B"/>
    <w:rsid w:val="00237370"/>
    <w:rsid w:val="00237478"/>
    <w:rsid w:val="00241A6C"/>
    <w:rsid w:val="00242D2B"/>
    <w:rsid w:val="0024314D"/>
    <w:rsid w:val="002443A9"/>
    <w:rsid w:val="0024755C"/>
    <w:rsid w:val="0025470A"/>
    <w:rsid w:val="00262E2B"/>
    <w:rsid w:val="00264382"/>
    <w:rsid w:val="00267074"/>
    <w:rsid w:val="002702EC"/>
    <w:rsid w:val="00270429"/>
    <w:rsid w:val="002723E9"/>
    <w:rsid w:val="00272F9D"/>
    <w:rsid w:val="002746DC"/>
    <w:rsid w:val="00276DC1"/>
    <w:rsid w:val="00277929"/>
    <w:rsid w:val="00280ABB"/>
    <w:rsid w:val="00281B79"/>
    <w:rsid w:val="00283B82"/>
    <w:rsid w:val="002846E9"/>
    <w:rsid w:val="00284C34"/>
    <w:rsid w:val="00287C8D"/>
    <w:rsid w:val="0029066C"/>
    <w:rsid w:val="002A0A16"/>
    <w:rsid w:val="002A2B14"/>
    <w:rsid w:val="002A5CCF"/>
    <w:rsid w:val="002B1169"/>
    <w:rsid w:val="002B50DB"/>
    <w:rsid w:val="002B5717"/>
    <w:rsid w:val="002C0671"/>
    <w:rsid w:val="002C12AB"/>
    <w:rsid w:val="002C4245"/>
    <w:rsid w:val="002C4F2C"/>
    <w:rsid w:val="002C5443"/>
    <w:rsid w:val="002C608F"/>
    <w:rsid w:val="002C7CAC"/>
    <w:rsid w:val="002D0D98"/>
    <w:rsid w:val="002D3306"/>
    <w:rsid w:val="002D48AA"/>
    <w:rsid w:val="002D61B9"/>
    <w:rsid w:val="002D7BAA"/>
    <w:rsid w:val="002D7F54"/>
    <w:rsid w:val="002E3FF4"/>
    <w:rsid w:val="002E7B46"/>
    <w:rsid w:val="002F05BC"/>
    <w:rsid w:val="002F0C08"/>
    <w:rsid w:val="002F4C3E"/>
    <w:rsid w:val="002F66CF"/>
    <w:rsid w:val="002F7390"/>
    <w:rsid w:val="002F78C8"/>
    <w:rsid w:val="00301CF3"/>
    <w:rsid w:val="0030373D"/>
    <w:rsid w:val="00304D7A"/>
    <w:rsid w:val="00321654"/>
    <w:rsid w:val="00322DC2"/>
    <w:rsid w:val="0032715C"/>
    <w:rsid w:val="00330520"/>
    <w:rsid w:val="00332A99"/>
    <w:rsid w:val="00334280"/>
    <w:rsid w:val="00337CA5"/>
    <w:rsid w:val="003470EC"/>
    <w:rsid w:val="00353A8E"/>
    <w:rsid w:val="00356F68"/>
    <w:rsid w:val="00362478"/>
    <w:rsid w:val="003670A1"/>
    <w:rsid w:val="003676CB"/>
    <w:rsid w:val="00375B25"/>
    <w:rsid w:val="003771FC"/>
    <w:rsid w:val="00380C9E"/>
    <w:rsid w:val="003855E3"/>
    <w:rsid w:val="00385890"/>
    <w:rsid w:val="00386AC9"/>
    <w:rsid w:val="00387090"/>
    <w:rsid w:val="0039021B"/>
    <w:rsid w:val="0039035A"/>
    <w:rsid w:val="00392FEA"/>
    <w:rsid w:val="00394F0F"/>
    <w:rsid w:val="00396542"/>
    <w:rsid w:val="0039685B"/>
    <w:rsid w:val="003A0759"/>
    <w:rsid w:val="003A0E22"/>
    <w:rsid w:val="003A31A6"/>
    <w:rsid w:val="003A7940"/>
    <w:rsid w:val="003A7C3F"/>
    <w:rsid w:val="003A7F0C"/>
    <w:rsid w:val="003A7F79"/>
    <w:rsid w:val="003B046B"/>
    <w:rsid w:val="003B0A96"/>
    <w:rsid w:val="003B1FF9"/>
    <w:rsid w:val="003B6404"/>
    <w:rsid w:val="003C449B"/>
    <w:rsid w:val="003C4A5E"/>
    <w:rsid w:val="003C691D"/>
    <w:rsid w:val="003D0994"/>
    <w:rsid w:val="003D21FF"/>
    <w:rsid w:val="003D2FE8"/>
    <w:rsid w:val="003D7A2B"/>
    <w:rsid w:val="003E0128"/>
    <w:rsid w:val="003E3410"/>
    <w:rsid w:val="003F0112"/>
    <w:rsid w:val="003F071A"/>
    <w:rsid w:val="003F160B"/>
    <w:rsid w:val="003F5F89"/>
    <w:rsid w:val="003F60ED"/>
    <w:rsid w:val="003F6818"/>
    <w:rsid w:val="003F6E26"/>
    <w:rsid w:val="00400032"/>
    <w:rsid w:val="00400B5B"/>
    <w:rsid w:val="00400C2F"/>
    <w:rsid w:val="00403036"/>
    <w:rsid w:val="00404B28"/>
    <w:rsid w:val="00405A00"/>
    <w:rsid w:val="004155E5"/>
    <w:rsid w:val="00420870"/>
    <w:rsid w:val="004223A5"/>
    <w:rsid w:val="00426812"/>
    <w:rsid w:val="00433962"/>
    <w:rsid w:val="00436732"/>
    <w:rsid w:val="00436994"/>
    <w:rsid w:val="0043791B"/>
    <w:rsid w:val="004402FB"/>
    <w:rsid w:val="0044038B"/>
    <w:rsid w:val="00441483"/>
    <w:rsid w:val="00441BCB"/>
    <w:rsid w:val="00442337"/>
    <w:rsid w:val="0045032E"/>
    <w:rsid w:val="0045176A"/>
    <w:rsid w:val="004538CA"/>
    <w:rsid w:val="00456332"/>
    <w:rsid w:val="00461826"/>
    <w:rsid w:val="0046329E"/>
    <w:rsid w:val="00467B1B"/>
    <w:rsid w:val="0047110F"/>
    <w:rsid w:val="004800F9"/>
    <w:rsid w:val="00480E2A"/>
    <w:rsid w:val="004847C8"/>
    <w:rsid w:val="004848A2"/>
    <w:rsid w:val="0049134A"/>
    <w:rsid w:val="0049218A"/>
    <w:rsid w:val="004A358D"/>
    <w:rsid w:val="004A377E"/>
    <w:rsid w:val="004A407D"/>
    <w:rsid w:val="004A58CB"/>
    <w:rsid w:val="004B0436"/>
    <w:rsid w:val="004B1795"/>
    <w:rsid w:val="004B4987"/>
    <w:rsid w:val="004B56DD"/>
    <w:rsid w:val="004B6EBB"/>
    <w:rsid w:val="004B7FB4"/>
    <w:rsid w:val="004C020F"/>
    <w:rsid w:val="004C1838"/>
    <w:rsid w:val="004C1AFD"/>
    <w:rsid w:val="004C558B"/>
    <w:rsid w:val="004C67EA"/>
    <w:rsid w:val="004D009B"/>
    <w:rsid w:val="004D0BCC"/>
    <w:rsid w:val="004D1E4B"/>
    <w:rsid w:val="004E1DE2"/>
    <w:rsid w:val="004E40A7"/>
    <w:rsid w:val="004F10E0"/>
    <w:rsid w:val="004F1F88"/>
    <w:rsid w:val="004F2E1F"/>
    <w:rsid w:val="004F5F1B"/>
    <w:rsid w:val="004F7725"/>
    <w:rsid w:val="00502374"/>
    <w:rsid w:val="00504921"/>
    <w:rsid w:val="005060A1"/>
    <w:rsid w:val="00516072"/>
    <w:rsid w:val="0051699D"/>
    <w:rsid w:val="005332EC"/>
    <w:rsid w:val="00534418"/>
    <w:rsid w:val="005346A9"/>
    <w:rsid w:val="005347E8"/>
    <w:rsid w:val="005353AB"/>
    <w:rsid w:val="00537DD9"/>
    <w:rsid w:val="005517DE"/>
    <w:rsid w:val="005560BC"/>
    <w:rsid w:val="005573BE"/>
    <w:rsid w:val="00566380"/>
    <w:rsid w:val="00571624"/>
    <w:rsid w:val="00572700"/>
    <w:rsid w:val="005768C5"/>
    <w:rsid w:val="00576C59"/>
    <w:rsid w:val="00576DFB"/>
    <w:rsid w:val="00580468"/>
    <w:rsid w:val="00581BBB"/>
    <w:rsid w:val="005824D6"/>
    <w:rsid w:val="005831D3"/>
    <w:rsid w:val="0058603B"/>
    <w:rsid w:val="0058707D"/>
    <w:rsid w:val="0059204C"/>
    <w:rsid w:val="0059431B"/>
    <w:rsid w:val="0059524B"/>
    <w:rsid w:val="00595315"/>
    <w:rsid w:val="005953FA"/>
    <w:rsid w:val="00597550"/>
    <w:rsid w:val="0059767E"/>
    <w:rsid w:val="005A0160"/>
    <w:rsid w:val="005A299A"/>
    <w:rsid w:val="005A30F2"/>
    <w:rsid w:val="005A39CC"/>
    <w:rsid w:val="005B2B13"/>
    <w:rsid w:val="005B3F76"/>
    <w:rsid w:val="005B4730"/>
    <w:rsid w:val="005B653D"/>
    <w:rsid w:val="005C15AF"/>
    <w:rsid w:val="005C2D2B"/>
    <w:rsid w:val="005C393B"/>
    <w:rsid w:val="005C6DCF"/>
    <w:rsid w:val="005D0636"/>
    <w:rsid w:val="005D258A"/>
    <w:rsid w:val="005D4291"/>
    <w:rsid w:val="005D54F3"/>
    <w:rsid w:val="005E05D7"/>
    <w:rsid w:val="005E37DB"/>
    <w:rsid w:val="005E41E7"/>
    <w:rsid w:val="005E450F"/>
    <w:rsid w:val="005F2E6B"/>
    <w:rsid w:val="00601DD8"/>
    <w:rsid w:val="00604824"/>
    <w:rsid w:val="00611C33"/>
    <w:rsid w:val="00616AE6"/>
    <w:rsid w:val="0062298A"/>
    <w:rsid w:val="006249DF"/>
    <w:rsid w:val="00624A76"/>
    <w:rsid w:val="0062504B"/>
    <w:rsid w:val="00626514"/>
    <w:rsid w:val="00626589"/>
    <w:rsid w:val="0062716C"/>
    <w:rsid w:val="006309E3"/>
    <w:rsid w:val="006339A0"/>
    <w:rsid w:val="0063733B"/>
    <w:rsid w:val="006413A8"/>
    <w:rsid w:val="00642E56"/>
    <w:rsid w:val="006464C9"/>
    <w:rsid w:val="0064680E"/>
    <w:rsid w:val="00651E00"/>
    <w:rsid w:val="00657E7B"/>
    <w:rsid w:val="00666299"/>
    <w:rsid w:val="006716A5"/>
    <w:rsid w:val="00671B7F"/>
    <w:rsid w:val="00674572"/>
    <w:rsid w:val="00675323"/>
    <w:rsid w:val="006763EF"/>
    <w:rsid w:val="006764DE"/>
    <w:rsid w:val="006856DF"/>
    <w:rsid w:val="00687763"/>
    <w:rsid w:val="00692B0D"/>
    <w:rsid w:val="00693E0E"/>
    <w:rsid w:val="00695B92"/>
    <w:rsid w:val="006A1124"/>
    <w:rsid w:val="006A1AE3"/>
    <w:rsid w:val="006A23E7"/>
    <w:rsid w:val="006A6BC8"/>
    <w:rsid w:val="006B4DEC"/>
    <w:rsid w:val="006B7947"/>
    <w:rsid w:val="006B7BD8"/>
    <w:rsid w:val="006C0764"/>
    <w:rsid w:val="006C30E1"/>
    <w:rsid w:val="006C4607"/>
    <w:rsid w:val="006C61F1"/>
    <w:rsid w:val="006C7CD2"/>
    <w:rsid w:val="006D48F1"/>
    <w:rsid w:val="006D4B8B"/>
    <w:rsid w:val="006E22E3"/>
    <w:rsid w:val="006E3454"/>
    <w:rsid w:val="006F068F"/>
    <w:rsid w:val="006F17CA"/>
    <w:rsid w:val="006F24BC"/>
    <w:rsid w:val="006F43DC"/>
    <w:rsid w:val="006F45BE"/>
    <w:rsid w:val="006F4FF5"/>
    <w:rsid w:val="007004FC"/>
    <w:rsid w:val="00703506"/>
    <w:rsid w:val="00706670"/>
    <w:rsid w:val="007123EC"/>
    <w:rsid w:val="00715516"/>
    <w:rsid w:val="0072245A"/>
    <w:rsid w:val="007233FA"/>
    <w:rsid w:val="0072417C"/>
    <w:rsid w:val="00726949"/>
    <w:rsid w:val="00727689"/>
    <w:rsid w:val="0073111C"/>
    <w:rsid w:val="007334DA"/>
    <w:rsid w:val="00733A85"/>
    <w:rsid w:val="00734245"/>
    <w:rsid w:val="00734450"/>
    <w:rsid w:val="00741C14"/>
    <w:rsid w:val="00745F67"/>
    <w:rsid w:val="00746DB4"/>
    <w:rsid w:val="00746E60"/>
    <w:rsid w:val="0075039E"/>
    <w:rsid w:val="00751FDD"/>
    <w:rsid w:val="00752D9D"/>
    <w:rsid w:val="00754784"/>
    <w:rsid w:val="00757C6E"/>
    <w:rsid w:val="0076140D"/>
    <w:rsid w:val="00762BDA"/>
    <w:rsid w:val="00764667"/>
    <w:rsid w:val="00771613"/>
    <w:rsid w:val="00774E76"/>
    <w:rsid w:val="007805FD"/>
    <w:rsid w:val="0078087E"/>
    <w:rsid w:val="00782FBF"/>
    <w:rsid w:val="00784422"/>
    <w:rsid w:val="00785CB0"/>
    <w:rsid w:val="00785CC4"/>
    <w:rsid w:val="007918A2"/>
    <w:rsid w:val="007974B4"/>
    <w:rsid w:val="007A07B4"/>
    <w:rsid w:val="007A2142"/>
    <w:rsid w:val="007A25A2"/>
    <w:rsid w:val="007A3ECD"/>
    <w:rsid w:val="007B05C4"/>
    <w:rsid w:val="007B08FD"/>
    <w:rsid w:val="007B3B54"/>
    <w:rsid w:val="007B3FA0"/>
    <w:rsid w:val="007B5C98"/>
    <w:rsid w:val="007B7BDB"/>
    <w:rsid w:val="007C0F2C"/>
    <w:rsid w:val="007C2BCC"/>
    <w:rsid w:val="007C4EF0"/>
    <w:rsid w:val="007C649D"/>
    <w:rsid w:val="007D099D"/>
    <w:rsid w:val="007D0EC9"/>
    <w:rsid w:val="007D26CA"/>
    <w:rsid w:val="007E2664"/>
    <w:rsid w:val="007E3ABF"/>
    <w:rsid w:val="007E5BFA"/>
    <w:rsid w:val="007E61BB"/>
    <w:rsid w:val="007E6689"/>
    <w:rsid w:val="007E731C"/>
    <w:rsid w:val="007F0A03"/>
    <w:rsid w:val="007F2251"/>
    <w:rsid w:val="007F49A0"/>
    <w:rsid w:val="007F6012"/>
    <w:rsid w:val="007F7B9B"/>
    <w:rsid w:val="008017D3"/>
    <w:rsid w:val="00802C80"/>
    <w:rsid w:val="008036AA"/>
    <w:rsid w:val="00805D4E"/>
    <w:rsid w:val="00810040"/>
    <w:rsid w:val="00812150"/>
    <w:rsid w:val="00812E22"/>
    <w:rsid w:val="0081558B"/>
    <w:rsid w:val="008163CD"/>
    <w:rsid w:val="00816478"/>
    <w:rsid w:val="00817707"/>
    <w:rsid w:val="0082023A"/>
    <w:rsid w:val="00821A7A"/>
    <w:rsid w:val="0082237F"/>
    <w:rsid w:val="008253F8"/>
    <w:rsid w:val="00827060"/>
    <w:rsid w:val="008301C3"/>
    <w:rsid w:val="008325E4"/>
    <w:rsid w:val="00832A2B"/>
    <w:rsid w:val="00833F4F"/>
    <w:rsid w:val="00834529"/>
    <w:rsid w:val="008375CC"/>
    <w:rsid w:val="008421B8"/>
    <w:rsid w:val="00845811"/>
    <w:rsid w:val="00846994"/>
    <w:rsid w:val="00847F33"/>
    <w:rsid w:val="00850451"/>
    <w:rsid w:val="00852042"/>
    <w:rsid w:val="008534C9"/>
    <w:rsid w:val="008541EC"/>
    <w:rsid w:val="0085599D"/>
    <w:rsid w:val="00861933"/>
    <w:rsid w:val="0087395C"/>
    <w:rsid w:val="0087510C"/>
    <w:rsid w:val="0088104A"/>
    <w:rsid w:val="008824E2"/>
    <w:rsid w:val="0088659D"/>
    <w:rsid w:val="00887C04"/>
    <w:rsid w:val="00892048"/>
    <w:rsid w:val="00893D4A"/>
    <w:rsid w:val="008964D5"/>
    <w:rsid w:val="0089738E"/>
    <w:rsid w:val="008A05A7"/>
    <w:rsid w:val="008A1998"/>
    <w:rsid w:val="008A23A7"/>
    <w:rsid w:val="008A2425"/>
    <w:rsid w:val="008A2721"/>
    <w:rsid w:val="008B0143"/>
    <w:rsid w:val="008B1D40"/>
    <w:rsid w:val="008B3804"/>
    <w:rsid w:val="008B57FB"/>
    <w:rsid w:val="008B5FDB"/>
    <w:rsid w:val="008B6ED3"/>
    <w:rsid w:val="008C1789"/>
    <w:rsid w:val="008C18B1"/>
    <w:rsid w:val="008C3B47"/>
    <w:rsid w:val="008C50F4"/>
    <w:rsid w:val="008C5649"/>
    <w:rsid w:val="008D2D46"/>
    <w:rsid w:val="008D7C94"/>
    <w:rsid w:val="008D7D08"/>
    <w:rsid w:val="008E201A"/>
    <w:rsid w:val="008E2116"/>
    <w:rsid w:val="008E3175"/>
    <w:rsid w:val="008E3F5B"/>
    <w:rsid w:val="008E44A2"/>
    <w:rsid w:val="008E697D"/>
    <w:rsid w:val="008E6B60"/>
    <w:rsid w:val="008F14B7"/>
    <w:rsid w:val="008F70DE"/>
    <w:rsid w:val="00903263"/>
    <w:rsid w:val="00905EC1"/>
    <w:rsid w:val="00906A21"/>
    <w:rsid w:val="0090722D"/>
    <w:rsid w:val="009079C3"/>
    <w:rsid w:val="00910462"/>
    <w:rsid w:val="00910897"/>
    <w:rsid w:val="00912049"/>
    <w:rsid w:val="00913D3A"/>
    <w:rsid w:val="00915030"/>
    <w:rsid w:val="00915AB1"/>
    <w:rsid w:val="00917144"/>
    <w:rsid w:val="00917532"/>
    <w:rsid w:val="009235BA"/>
    <w:rsid w:val="00923C95"/>
    <w:rsid w:val="00924023"/>
    <w:rsid w:val="00924CE2"/>
    <w:rsid w:val="00925B9F"/>
    <w:rsid w:val="009268CE"/>
    <w:rsid w:val="00931AED"/>
    <w:rsid w:val="009324D0"/>
    <w:rsid w:val="00934350"/>
    <w:rsid w:val="00934B2E"/>
    <w:rsid w:val="00935302"/>
    <w:rsid w:val="009412D0"/>
    <w:rsid w:val="009420CA"/>
    <w:rsid w:val="009445BE"/>
    <w:rsid w:val="009476A3"/>
    <w:rsid w:val="009509C8"/>
    <w:rsid w:val="009514AF"/>
    <w:rsid w:val="0095334F"/>
    <w:rsid w:val="00955456"/>
    <w:rsid w:val="00956EB5"/>
    <w:rsid w:val="00957157"/>
    <w:rsid w:val="00957EC8"/>
    <w:rsid w:val="00964577"/>
    <w:rsid w:val="00965897"/>
    <w:rsid w:val="009666D6"/>
    <w:rsid w:val="00967567"/>
    <w:rsid w:val="0096765C"/>
    <w:rsid w:val="00971DD4"/>
    <w:rsid w:val="0097244D"/>
    <w:rsid w:val="009727E4"/>
    <w:rsid w:val="00977E2E"/>
    <w:rsid w:val="009823B8"/>
    <w:rsid w:val="00984765"/>
    <w:rsid w:val="009934C5"/>
    <w:rsid w:val="00994C0F"/>
    <w:rsid w:val="00994E88"/>
    <w:rsid w:val="009A0D8F"/>
    <w:rsid w:val="009A2CAC"/>
    <w:rsid w:val="009A362F"/>
    <w:rsid w:val="009A6034"/>
    <w:rsid w:val="009B10EF"/>
    <w:rsid w:val="009B151B"/>
    <w:rsid w:val="009B22D7"/>
    <w:rsid w:val="009B52D6"/>
    <w:rsid w:val="009B7104"/>
    <w:rsid w:val="009B72ED"/>
    <w:rsid w:val="009C156B"/>
    <w:rsid w:val="009C6DEB"/>
    <w:rsid w:val="009D6504"/>
    <w:rsid w:val="009D780E"/>
    <w:rsid w:val="009E0A5E"/>
    <w:rsid w:val="009E12D7"/>
    <w:rsid w:val="009E2A21"/>
    <w:rsid w:val="009E661A"/>
    <w:rsid w:val="009E66F0"/>
    <w:rsid w:val="009F3A55"/>
    <w:rsid w:val="00A03753"/>
    <w:rsid w:val="00A055BE"/>
    <w:rsid w:val="00A05D13"/>
    <w:rsid w:val="00A06781"/>
    <w:rsid w:val="00A074C3"/>
    <w:rsid w:val="00A12F9A"/>
    <w:rsid w:val="00A1509C"/>
    <w:rsid w:val="00A15D85"/>
    <w:rsid w:val="00A20901"/>
    <w:rsid w:val="00A211E7"/>
    <w:rsid w:val="00A228CF"/>
    <w:rsid w:val="00A23DAE"/>
    <w:rsid w:val="00A339B2"/>
    <w:rsid w:val="00A34260"/>
    <w:rsid w:val="00A34BD8"/>
    <w:rsid w:val="00A4630D"/>
    <w:rsid w:val="00A515C3"/>
    <w:rsid w:val="00A52019"/>
    <w:rsid w:val="00A5252F"/>
    <w:rsid w:val="00A537FD"/>
    <w:rsid w:val="00A54AA8"/>
    <w:rsid w:val="00A5689B"/>
    <w:rsid w:val="00A64E59"/>
    <w:rsid w:val="00A674ED"/>
    <w:rsid w:val="00A70CFD"/>
    <w:rsid w:val="00A7160B"/>
    <w:rsid w:val="00A72338"/>
    <w:rsid w:val="00A72A0B"/>
    <w:rsid w:val="00A77799"/>
    <w:rsid w:val="00A81E42"/>
    <w:rsid w:val="00A82EDD"/>
    <w:rsid w:val="00A83DA2"/>
    <w:rsid w:val="00A864FE"/>
    <w:rsid w:val="00A86F41"/>
    <w:rsid w:val="00A8742A"/>
    <w:rsid w:val="00A87D04"/>
    <w:rsid w:val="00A906A0"/>
    <w:rsid w:val="00A91351"/>
    <w:rsid w:val="00A91780"/>
    <w:rsid w:val="00A924B0"/>
    <w:rsid w:val="00A94645"/>
    <w:rsid w:val="00A950C5"/>
    <w:rsid w:val="00A9712E"/>
    <w:rsid w:val="00AA1D25"/>
    <w:rsid w:val="00AA59E3"/>
    <w:rsid w:val="00AA7D7D"/>
    <w:rsid w:val="00AB2B1A"/>
    <w:rsid w:val="00AB397F"/>
    <w:rsid w:val="00AB3C62"/>
    <w:rsid w:val="00AB5832"/>
    <w:rsid w:val="00AC51F2"/>
    <w:rsid w:val="00AE35BD"/>
    <w:rsid w:val="00AE44EE"/>
    <w:rsid w:val="00AE5066"/>
    <w:rsid w:val="00AE5E24"/>
    <w:rsid w:val="00AE61B7"/>
    <w:rsid w:val="00AE6CBA"/>
    <w:rsid w:val="00AE79AD"/>
    <w:rsid w:val="00AE7EE7"/>
    <w:rsid w:val="00AF0CC2"/>
    <w:rsid w:val="00AF35E4"/>
    <w:rsid w:val="00AF3FA2"/>
    <w:rsid w:val="00AF50E5"/>
    <w:rsid w:val="00AF5CDE"/>
    <w:rsid w:val="00AF5FFB"/>
    <w:rsid w:val="00AF7611"/>
    <w:rsid w:val="00B03505"/>
    <w:rsid w:val="00B04DBD"/>
    <w:rsid w:val="00B05820"/>
    <w:rsid w:val="00B11A57"/>
    <w:rsid w:val="00B13F7C"/>
    <w:rsid w:val="00B164CD"/>
    <w:rsid w:val="00B211C3"/>
    <w:rsid w:val="00B25597"/>
    <w:rsid w:val="00B267B9"/>
    <w:rsid w:val="00B33E09"/>
    <w:rsid w:val="00B3454B"/>
    <w:rsid w:val="00B365FA"/>
    <w:rsid w:val="00B409C9"/>
    <w:rsid w:val="00B426F2"/>
    <w:rsid w:val="00B435D8"/>
    <w:rsid w:val="00B501C7"/>
    <w:rsid w:val="00B50708"/>
    <w:rsid w:val="00B50C68"/>
    <w:rsid w:val="00B51293"/>
    <w:rsid w:val="00B52B1E"/>
    <w:rsid w:val="00B55481"/>
    <w:rsid w:val="00B56C32"/>
    <w:rsid w:val="00B57ACF"/>
    <w:rsid w:val="00B6291A"/>
    <w:rsid w:val="00B62C3D"/>
    <w:rsid w:val="00B64BB1"/>
    <w:rsid w:val="00B65E47"/>
    <w:rsid w:val="00B705E5"/>
    <w:rsid w:val="00B73166"/>
    <w:rsid w:val="00B7568C"/>
    <w:rsid w:val="00B83082"/>
    <w:rsid w:val="00B83F83"/>
    <w:rsid w:val="00B8426C"/>
    <w:rsid w:val="00B910EB"/>
    <w:rsid w:val="00B91B8D"/>
    <w:rsid w:val="00B94E90"/>
    <w:rsid w:val="00BA0C04"/>
    <w:rsid w:val="00BA7C52"/>
    <w:rsid w:val="00BB0A82"/>
    <w:rsid w:val="00BB1B8C"/>
    <w:rsid w:val="00BB3795"/>
    <w:rsid w:val="00BB4C4B"/>
    <w:rsid w:val="00BB573A"/>
    <w:rsid w:val="00BB7152"/>
    <w:rsid w:val="00BB7C94"/>
    <w:rsid w:val="00BC059A"/>
    <w:rsid w:val="00BC0A9D"/>
    <w:rsid w:val="00BC1187"/>
    <w:rsid w:val="00BC1EDB"/>
    <w:rsid w:val="00BC685F"/>
    <w:rsid w:val="00BC7A51"/>
    <w:rsid w:val="00BC7A8F"/>
    <w:rsid w:val="00BD3A97"/>
    <w:rsid w:val="00BD49CF"/>
    <w:rsid w:val="00BD7F31"/>
    <w:rsid w:val="00BE07F9"/>
    <w:rsid w:val="00BE634E"/>
    <w:rsid w:val="00BF0524"/>
    <w:rsid w:val="00BF0C59"/>
    <w:rsid w:val="00BF1699"/>
    <w:rsid w:val="00BF1A25"/>
    <w:rsid w:val="00BF3F4F"/>
    <w:rsid w:val="00BF40ED"/>
    <w:rsid w:val="00BF5237"/>
    <w:rsid w:val="00BF5BC2"/>
    <w:rsid w:val="00C1133D"/>
    <w:rsid w:val="00C14E15"/>
    <w:rsid w:val="00C17A7F"/>
    <w:rsid w:val="00C17DF8"/>
    <w:rsid w:val="00C2179D"/>
    <w:rsid w:val="00C220EB"/>
    <w:rsid w:val="00C239DF"/>
    <w:rsid w:val="00C23FE3"/>
    <w:rsid w:val="00C2542E"/>
    <w:rsid w:val="00C27A08"/>
    <w:rsid w:val="00C30988"/>
    <w:rsid w:val="00C31312"/>
    <w:rsid w:val="00C326C6"/>
    <w:rsid w:val="00C3373B"/>
    <w:rsid w:val="00C33A2D"/>
    <w:rsid w:val="00C35295"/>
    <w:rsid w:val="00C36ADD"/>
    <w:rsid w:val="00C36E74"/>
    <w:rsid w:val="00C40595"/>
    <w:rsid w:val="00C41621"/>
    <w:rsid w:val="00C42F11"/>
    <w:rsid w:val="00C4491E"/>
    <w:rsid w:val="00C449FA"/>
    <w:rsid w:val="00C5012D"/>
    <w:rsid w:val="00C5384F"/>
    <w:rsid w:val="00C54A69"/>
    <w:rsid w:val="00C55826"/>
    <w:rsid w:val="00C56443"/>
    <w:rsid w:val="00C565D0"/>
    <w:rsid w:val="00C56964"/>
    <w:rsid w:val="00C6009B"/>
    <w:rsid w:val="00C654A0"/>
    <w:rsid w:val="00C656D5"/>
    <w:rsid w:val="00C67103"/>
    <w:rsid w:val="00C7016C"/>
    <w:rsid w:val="00C70825"/>
    <w:rsid w:val="00C71BB9"/>
    <w:rsid w:val="00C74373"/>
    <w:rsid w:val="00C75C2F"/>
    <w:rsid w:val="00C802D3"/>
    <w:rsid w:val="00C84377"/>
    <w:rsid w:val="00C90FAF"/>
    <w:rsid w:val="00C94C28"/>
    <w:rsid w:val="00C95D23"/>
    <w:rsid w:val="00C9691B"/>
    <w:rsid w:val="00C97A84"/>
    <w:rsid w:val="00CB0247"/>
    <w:rsid w:val="00CB2773"/>
    <w:rsid w:val="00CB3440"/>
    <w:rsid w:val="00CB3A19"/>
    <w:rsid w:val="00CC1692"/>
    <w:rsid w:val="00CC3246"/>
    <w:rsid w:val="00CC5A3D"/>
    <w:rsid w:val="00CD138B"/>
    <w:rsid w:val="00CD2BB5"/>
    <w:rsid w:val="00CD3E31"/>
    <w:rsid w:val="00CD5B87"/>
    <w:rsid w:val="00CD74A3"/>
    <w:rsid w:val="00CE0527"/>
    <w:rsid w:val="00CE20A5"/>
    <w:rsid w:val="00CE5B23"/>
    <w:rsid w:val="00CE74C2"/>
    <w:rsid w:val="00CF0B03"/>
    <w:rsid w:val="00CF271E"/>
    <w:rsid w:val="00CF41C0"/>
    <w:rsid w:val="00CF6E9C"/>
    <w:rsid w:val="00CF70AD"/>
    <w:rsid w:val="00CF7729"/>
    <w:rsid w:val="00D00059"/>
    <w:rsid w:val="00D01A5A"/>
    <w:rsid w:val="00D107FA"/>
    <w:rsid w:val="00D10DFD"/>
    <w:rsid w:val="00D12275"/>
    <w:rsid w:val="00D12766"/>
    <w:rsid w:val="00D17B5E"/>
    <w:rsid w:val="00D20FF4"/>
    <w:rsid w:val="00D22BCC"/>
    <w:rsid w:val="00D2398C"/>
    <w:rsid w:val="00D24D2C"/>
    <w:rsid w:val="00D3154F"/>
    <w:rsid w:val="00D31FBE"/>
    <w:rsid w:val="00D35881"/>
    <w:rsid w:val="00D37588"/>
    <w:rsid w:val="00D40C5B"/>
    <w:rsid w:val="00D45701"/>
    <w:rsid w:val="00D477C6"/>
    <w:rsid w:val="00D60240"/>
    <w:rsid w:val="00D60A54"/>
    <w:rsid w:val="00D6401C"/>
    <w:rsid w:val="00D73277"/>
    <w:rsid w:val="00D74FEA"/>
    <w:rsid w:val="00D75B22"/>
    <w:rsid w:val="00D83613"/>
    <w:rsid w:val="00D8441F"/>
    <w:rsid w:val="00D9287A"/>
    <w:rsid w:val="00DA533A"/>
    <w:rsid w:val="00DA7930"/>
    <w:rsid w:val="00DA7DA5"/>
    <w:rsid w:val="00DB073B"/>
    <w:rsid w:val="00DB12E2"/>
    <w:rsid w:val="00DB78F0"/>
    <w:rsid w:val="00DC21EA"/>
    <w:rsid w:val="00DC2E43"/>
    <w:rsid w:val="00DC4E65"/>
    <w:rsid w:val="00DD0896"/>
    <w:rsid w:val="00DD095C"/>
    <w:rsid w:val="00DD1020"/>
    <w:rsid w:val="00DD1330"/>
    <w:rsid w:val="00DE0B83"/>
    <w:rsid w:val="00DE1A81"/>
    <w:rsid w:val="00DE1C13"/>
    <w:rsid w:val="00DE4E10"/>
    <w:rsid w:val="00DF09E4"/>
    <w:rsid w:val="00DF3222"/>
    <w:rsid w:val="00DF5936"/>
    <w:rsid w:val="00E017A9"/>
    <w:rsid w:val="00E02ABF"/>
    <w:rsid w:val="00E03EB3"/>
    <w:rsid w:val="00E051F0"/>
    <w:rsid w:val="00E06C24"/>
    <w:rsid w:val="00E10844"/>
    <w:rsid w:val="00E13BE0"/>
    <w:rsid w:val="00E14995"/>
    <w:rsid w:val="00E168F0"/>
    <w:rsid w:val="00E174EA"/>
    <w:rsid w:val="00E179CD"/>
    <w:rsid w:val="00E20AE9"/>
    <w:rsid w:val="00E23E8D"/>
    <w:rsid w:val="00E27C93"/>
    <w:rsid w:val="00E31652"/>
    <w:rsid w:val="00E33EE9"/>
    <w:rsid w:val="00E3549C"/>
    <w:rsid w:val="00E3639F"/>
    <w:rsid w:val="00E37F98"/>
    <w:rsid w:val="00E40D22"/>
    <w:rsid w:val="00E41BD8"/>
    <w:rsid w:val="00E4210C"/>
    <w:rsid w:val="00E446DF"/>
    <w:rsid w:val="00E45C64"/>
    <w:rsid w:val="00E46559"/>
    <w:rsid w:val="00E469BC"/>
    <w:rsid w:val="00E545A3"/>
    <w:rsid w:val="00E60B09"/>
    <w:rsid w:val="00E62EBA"/>
    <w:rsid w:val="00E64A21"/>
    <w:rsid w:val="00E6670C"/>
    <w:rsid w:val="00E670DE"/>
    <w:rsid w:val="00E715E0"/>
    <w:rsid w:val="00E74CB1"/>
    <w:rsid w:val="00E776E8"/>
    <w:rsid w:val="00E80DD1"/>
    <w:rsid w:val="00E81075"/>
    <w:rsid w:val="00E81BD2"/>
    <w:rsid w:val="00E82314"/>
    <w:rsid w:val="00E83677"/>
    <w:rsid w:val="00E8704F"/>
    <w:rsid w:val="00E87221"/>
    <w:rsid w:val="00E87F08"/>
    <w:rsid w:val="00E92C1F"/>
    <w:rsid w:val="00E9351C"/>
    <w:rsid w:val="00E95D4B"/>
    <w:rsid w:val="00EA07CD"/>
    <w:rsid w:val="00EA0ED9"/>
    <w:rsid w:val="00EA1292"/>
    <w:rsid w:val="00EA5F15"/>
    <w:rsid w:val="00EA6821"/>
    <w:rsid w:val="00EA7178"/>
    <w:rsid w:val="00EA7C6B"/>
    <w:rsid w:val="00EB199F"/>
    <w:rsid w:val="00EB2C37"/>
    <w:rsid w:val="00EB3A63"/>
    <w:rsid w:val="00EC0ED0"/>
    <w:rsid w:val="00EC1E51"/>
    <w:rsid w:val="00EC23F7"/>
    <w:rsid w:val="00EC2F6A"/>
    <w:rsid w:val="00EC3099"/>
    <w:rsid w:val="00EC4BD8"/>
    <w:rsid w:val="00EC51B9"/>
    <w:rsid w:val="00EC63EB"/>
    <w:rsid w:val="00EC64B5"/>
    <w:rsid w:val="00ED1641"/>
    <w:rsid w:val="00ED17C9"/>
    <w:rsid w:val="00ED412F"/>
    <w:rsid w:val="00ED7E24"/>
    <w:rsid w:val="00EE66D9"/>
    <w:rsid w:val="00EE6F92"/>
    <w:rsid w:val="00EF1484"/>
    <w:rsid w:val="00EF36B2"/>
    <w:rsid w:val="00EF5178"/>
    <w:rsid w:val="00F00C2F"/>
    <w:rsid w:val="00F066CE"/>
    <w:rsid w:val="00F1251B"/>
    <w:rsid w:val="00F13E12"/>
    <w:rsid w:val="00F201EC"/>
    <w:rsid w:val="00F2070D"/>
    <w:rsid w:val="00F208A9"/>
    <w:rsid w:val="00F20F1A"/>
    <w:rsid w:val="00F24F5A"/>
    <w:rsid w:val="00F33BC9"/>
    <w:rsid w:val="00F35DD2"/>
    <w:rsid w:val="00F40341"/>
    <w:rsid w:val="00F40DB5"/>
    <w:rsid w:val="00F41D75"/>
    <w:rsid w:val="00F43246"/>
    <w:rsid w:val="00F45B7F"/>
    <w:rsid w:val="00F5139D"/>
    <w:rsid w:val="00F51E45"/>
    <w:rsid w:val="00F52FB2"/>
    <w:rsid w:val="00F6152E"/>
    <w:rsid w:val="00F62F89"/>
    <w:rsid w:val="00F63DAC"/>
    <w:rsid w:val="00F66985"/>
    <w:rsid w:val="00F70716"/>
    <w:rsid w:val="00F7454F"/>
    <w:rsid w:val="00F77988"/>
    <w:rsid w:val="00F77F48"/>
    <w:rsid w:val="00F81AF4"/>
    <w:rsid w:val="00F830D8"/>
    <w:rsid w:val="00F86C7C"/>
    <w:rsid w:val="00F94101"/>
    <w:rsid w:val="00F957D9"/>
    <w:rsid w:val="00F965BD"/>
    <w:rsid w:val="00FB0F3B"/>
    <w:rsid w:val="00FB30F1"/>
    <w:rsid w:val="00FB53E7"/>
    <w:rsid w:val="00FC0FA1"/>
    <w:rsid w:val="00FC5A63"/>
    <w:rsid w:val="00FD00BA"/>
    <w:rsid w:val="00FD655C"/>
    <w:rsid w:val="00FE24C1"/>
    <w:rsid w:val="00FE2B9C"/>
    <w:rsid w:val="00FE747A"/>
    <w:rsid w:val="00FF19CC"/>
    <w:rsid w:val="00FF5D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webSettings.xml><?xml version="1.0" encoding="utf-8"?>
<w:webSettings xmlns:r="http://schemas.openxmlformats.org/officeDocument/2006/relationships" xmlns:w="http://schemas.openxmlformats.org/wordprocessingml/2006/main">
  <w:divs>
    <w:div w:id="404183536">
      <w:bodyDiv w:val="1"/>
      <w:marLeft w:val="0"/>
      <w:marRight w:val="0"/>
      <w:marTop w:val="0"/>
      <w:marBottom w:val="0"/>
      <w:divBdr>
        <w:top w:val="none" w:sz="0" w:space="0" w:color="auto"/>
        <w:left w:val="none" w:sz="0" w:space="0" w:color="auto"/>
        <w:bottom w:val="none" w:sz="0" w:space="0" w:color="auto"/>
        <w:right w:val="none" w:sz="0" w:space="0" w:color="auto"/>
      </w:divBdr>
    </w:div>
    <w:div w:id="1747461536">
      <w:marLeft w:val="0"/>
      <w:marRight w:val="0"/>
      <w:marTop w:val="0"/>
      <w:marBottom w:val="0"/>
      <w:divBdr>
        <w:top w:val="none" w:sz="0" w:space="0" w:color="auto"/>
        <w:left w:val="none" w:sz="0" w:space="0" w:color="auto"/>
        <w:bottom w:val="none" w:sz="0" w:space="0" w:color="auto"/>
        <w:right w:val="none" w:sz="0" w:space="0" w:color="auto"/>
      </w:divBdr>
      <w:divsChild>
        <w:div w:id="1747461535">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1747461538">
      <w:marLeft w:val="0"/>
      <w:marRight w:val="0"/>
      <w:marTop w:val="0"/>
      <w:marBottom w:val="0"/>
      <w:divBdr>
        <w:top w:val="none" w:sz="0" w:space="0" w:color="auto"/>
        <w:left w:val="none" w:sz="0" w:space="0" w:color="auto"/>
        <w:bottom w:val="none" w:sz="0" w:space="0" w:color="auto"/>
        <w:right w:val="none" w:sz="0" w:space="0" w:color="auto"/>
      </w:divBdr>
    </w:div>
    <w:div w:id="1747461539">
      <w:marLeft w:val="45"/>
      <w:marRight w:val="45"/>
      <w:marTop w:val="90"/>
      <w:marBottom w:val="90"/>
      <w:divBdr>
        <w:top w:val="none" w:sz="0" w:space="0" w:color="auto"/>
        <w:left w:val="none" w:sz="0" w:space="0" w:color="auto"/>
        <w:bottom w:val="none" w:sz="0" w:space="0" w:color="auto"/>
        <w:right w:val="none" w:sz="0" w:space="0" w:color="auto"/>
      </w:divBdr>
      <w:divsChild>
        <w:div w:id="1747461537">
          <w:marLeft w:val="0"/>
          <w:marRight w:val="0"/>
          <w:marTop w:val="0"/>
          <w:marBottom w:val="567"/>
          <w:divBdr>
            <w:top w:val="none" w:sz="0" w:space="0" w:color="auto"/>
            <w:left w:val="none" w:sz="0" w:space="0" w:color="auto"/>
            <w:bottom w:val="none" w:sz="0" w:space="0" w:color="auto"/>
            <w:right w:val="none" w:sz="0" w:space="0" w:color="auto"/>
          </w:divBdr>
        </w:div>
      </w:divsChild>
    </w:div>
    <w:div w:id="174746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food/food/biotechnology/gmfood/qanda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2257</Words>
  <Characters>16185</Characters>
  <Application>Microsoft Office Word</Application>
  <DocSecurity>0</DocSecurity>
  <Lines>599</Lines>
  <Paragraphs>259</Paragraphs>
  <ScaleCrop>false</ScaleCrop>
  <HeadingPairs>
    <vt:vector size="2" baseType="variant">
      <vt:variant>
        <vt:lpstr>Nosaukums</vt:lpstr>
      </vt:variant>
      <vt:variant>
        <vt:i4>1</vt:i4>
      </vt:variant>
    </vt:vector>
  </HeadingPairs>
  <TitlesOfParts>
    <vt:vector size="1" baseType="lpstr">
      <vt:lpstr>Likumprojekta „Grozījumi likumā „Ģenētiski modificēto organismu aprites likums””</vt:lpstr>
    </vt:vector>
  </TitlesOfParts>
  <Company>EM</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„Ģenētiski modificēto organismu aprites likums””</dc:title>
  <dc:subject>Anotācija</dc:subject>
  <dc:creator>Dace Guste</dc:creator>
  <cp:keywords/>
  <dc:description>Dace.Guste@zm.gov.lv, 67027217</dc:description>
  <cp:lastModifiedBy>Renārs Žagars</cp:lastModifiedBy>
  <cp:revision>3</cp:revision>
  <cp:lastPrinted>2012-03-06T10:32:00Z</cp:lastPrinted>
  <dcterms:created xsi:type="dcterms:W3CDTF">2012-03-22T09:06:00Z</dcterms:created>
  <dcterms:modified xsi:type="dcterms:W3CDTF">2012-03-22T10:16:00Z</dcterms:modified>
</cp:coreProperties>
</file>