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98" w:rsidRPr="002A78A4" w:rsidRDefault="00767E98" w:rsidP="00767E98">
      <w:pPr>
        <w:pStyle w:val="naisc"/>
        <w:spacing w:before="0" w:beforeAutospacing="0" w:after="0" w:afterAutospacing="0"/>
        <w:jc w:val="center"/>
        <w:rPr>
          <w:b/>
          <w:bCs/>
          <w:sz w:val="28"/>
          <w:szCs w:val="28"/>
        </w:rPr>
      </w:pPr>
      <w:r w:rsidRPr="002A78A4">
        <w:rPr>
          <w:b/>
          <w:bCs/>
          <w:sz w:val="28"/>
          <w:szCs w:val="28"/>
        </w:rPr>
        <w:t>Ministru kabineta noteikumu projekta</w:t>
      </w:r>
    </w:p>
    <w:p w:rsidR="00F33E81" w:rsidRDefault="00767E98" w:rsidP="00F33E81">
      <w:pPr>
        <w:jc w:val="center"/>
        <w:rPr>
          <w:b/>
          <w:bCs/>
          <w:sz w:val="28"/>
          <w:szCs w:val="28"/>
        </w:rPr>
      </w:pPr>
      <w:r>
        <w:rPr>
          <w:b/>
          <w:sz w:val="28"/>
          <w:szCs w:val="28"/>
        </w:rPr>
        <w:t>„Grozījum</w:t>
      </w:r>
      <w:r w:rsidR="00160621">
        <w:rPr>
          <w:b/>
          <w:sz w:val="28"/>
          <w:szCs w:val="28"/>
        </w:rPr>
        <w:t>i</w:t>
      </w:r>
      <w:bookmarkStart w:id="0" w:name="OLE_LINK1"/>
      <w:bookmarkStart w:id="1" w:name="OLE_LINK2"/>
      <w:r w:rsidR="00F33E81" w:rsidRPr="00CA40F4">
        <w:rPr>
          <w:b/>
          <w:sz w:val="28"/>
          <w:szCs w:val="28"/>
        </w:rPr>
        <w:t xml:space="preserve"> Ministru kabineta 20</w:t>
      </w:r>
      <w:r w:rsidR="00F33E81">
        <w:rPr>
          <w:b/>
          <w:sz w:val="28"/>
          <w:szCs w:val="28"/>
        </w:rPr>
        <w:t>06</w:t>
      </w:r>
      <w:r w:rsidR="00F33E81" w:rsidRPr="00CA40F4">
        <w:rPr>
          <w:b/>
          <w:sz w:val="28"/>
          <w:szCs w:val="28"/>
        </w:rPr>
        <w:t xml:space="preserve">.gada </w:t>
      </w:r>
      <w:r w:rsidR="00F33E81">
        <w:rPr>
          <w:b/>
          <w:sz w:val="28"/>
          <w:szCs w:val="28"/>
        </w:rPr>
        <w:t>2</w:t>
      </w:r>
      <w:r w:rsidR="00F33E81" w:rsidRPr="00CA40F4">
        <w:rPr>
          <w:b/>
          <w:sz w:val="28"/>
          <w:szCs w:val="28"/>
        </w:rPr>
        <w:t>.</w:t>
      </w:r>
      <w:r w:rsidR="00F33E81">
        <w:rPr>
          <w:b/>
          <w:sz w:val="28"/>
          <w:szCs w:val="28"/>
        </w:rPr>
        <w:t>maija</w:t>
      </w:r>
      <w:r w:rsidR="00F33E81" w:rsidRPr="00CA40F4">
        <w:rPr>
          <w:b/>
          <w:sz w:val="28"/>
          <w:szCs w:val="28"/>
        </w:rPr>
        <w:t xml:space="preserve"> noteikumos Nr.</w:t>
      </w:r>
      <w:r w:rsidR="00F33E81">
        <w:rPr>
          <w:b/>
          <w:sz w:val="28"/>
          <w:szCs w:val="28"/>
        </w:rPr>
        <w:t xml:space="preserve">352 </w:t>
      </w:r>
      <w:r w:rsidR="00F33E81" w:rsidRPr="00CA40F4">
        <w:rPr>
          <w:b/>
          <w:sz w:val="28"/>
          <w:szCs w:val="28"/>
        </w:rPr>
        <w:t>„</w:t>
      </w:r>
      <w:r w:rsidR="00F33E81" w:rsidRPr="00CA40F4">
        <w:rPr>
          <w:b/>
          <w:bCs/>
          <w:sz w:val="28"/>
          <w:szCs w:val="28"/>
        </w:rPr>
        <w:t>Noteikumi par veterinār</w:t>
      </w:r>
      <w:r w:rsidR="00F33E81">
        <w:rPr>
          <w:b/>
          <w:bCs/>
          <w:sz w:val="28"/>
          <w:szCs w:val="28"/>
        </w:rPr>
        <w:t xml:space="preserve">ajai kontrolei nepakļautas </w:t>
      </w:r>
      <w:r w:rsidR="00F33E81" w:rsidRPr="00CA40F4">
        <w:rPr>
          <w:b/>
          <w:bCs/>
          <w:sz w:val="28"/>
          <w:szCs w:val="28"/>
        </w:rPr>
        <w:t>pārtikas</w:t>
      </w:r>
      <w:r w:rsidR="00F33E81">
        <w:rPr>
          <w:b/>
          <w:bCs/>
          <w:sz w:val="28"/>
          <w:szCs w:val="28"/>
        </w:rPr>
        <w:t xml:space="preserve"> ievešanu no trešajām valstīm un tās kontroles kārtību valsts robežkontroles punktos, brīvajās zonās, brīvajās noliktavās un muitas noliktavās</w:t>
      </w:r>
      <w:r w:rsidR="00F33E81" w:rsidRPr="00CA40F4">
        <w:rPr>
          <w:b/>
          <w:bCs/>
          <w:sz w:val="28"/>
          <w:szCs w:val="28"/>
        </w:rPr>
        <w:t>”</w:t>
      </w:r>
      <w:bookmarkEnd w:id="0"/>
      <w:bookmarkEnd w:id="1"/>
      <w:r w:rsidR="00F377E0">
        <w:rPr>
          <w:b/>
          <w:bCs/>
          <w:sz w:val="28"/>
          <w:szCs w:val="28"/>
        </w:rPr>
        <w:t>”</w:t>
      </w:r>
    </w:p>
    <w:p w:rsidR="00767E98" w:rsidRDefault="00767E98" w:rsidP="00767E98">
      <w:pPr>
        <w:pStyle w:val="Parastais1"/>
        <w:jc w:val="center"/>
        <w:rPr>
          <w:b/>
          <w:bCs/>
          <w:sz w:val="28"/>
          <w:szCs w:val="28"/>
        </w:rPr>
      </w:pPr>
      <w:r>
        <w:rPr>
          <w:b/>
          <w:sz w:val="28"/>
          <w:szCs w:val="28"/>
        </w:rPr>
        <w:t xml:space="preserve">sākotnējās </w:t>
      </w:r>
      <w:r w:rsidRPr="00C54558">
        <w:rPr>
          <w:b/>
          <w:sz w:val="28"/>
          <w:szCs w:val="28"/>
        </w:rPr>
        <w:t xml:space="preserve">ietekmes novērtējuma </w:t>
      </w:r>
      <w:smartTag w:uri="schemas-tilde-lv/tildestengine" w:element="veidnes">
        <w:smartTagPr>
          <w:attr w:name="text" w:val="ziņojums"/>
          <w:attr w:name="baseform" w:val="ziņojums"/>
          <w:attr w:name="id" w:val="-1"/>
        </w:smartTagPr>
        <w:r w:rsidRPr="00C54558">
          <w:rPr>
            <w:b/>
            <w:sz w:val="28"/>
            <w:szCs w:val="28"/>
          </w:rPr>
          <w:t>ziņojums</w:t>
        </w:r>
      </w:smartTag>
      <w:r w:rsidRPr="00C54558">
        <w:rPr>
          <w:b/>
          <w:bCs/>
          <w:sz w:val="28"/>
          <w:szCs w:val="28"/>
        </w:rPr>
        <w:t xml:space="preserve"> (anotācija)</w:t>
      </w:r>
    </w:p>
    <w:p w:rsidR="00767E98" w:rsidRPr="00CB12D6" w:rsidRDefault="00767E98" w:rsidP="00767E98">
      <w:pPr>
        <w:pStyle w:val="Parastais1"/>
        <w:jc w:val="center"/>
        <w:rPr>
          <w:b/>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16"/>
        <w:gridCol w:w="2305"/>
        <w:gridCol w:w="6349"/>
      </w:tblGrid>
      <w:tr w:rsidR="00767E98" w:rsidRPr="004867DE" w:rsidTr="00767E98">
        <w:tc>
          <w:tcPr>
            <w:tcW w:w="5000" w:type="pct"/>
            <w:gridSpan w:val="3"/>
          </w:tcPr>
          <w:p w:rsidR="00767E98" w:rsidRPr="004867DE" w:rsidRDefault="00767E98" w:rsidP="00767E98">
            <w:pPr>
              <w:pStyle w:val="Parastais1"/>
              <w:spacing w:before="100" w:beforeAutospacing="1" w:after="100" w:afterAutospacing="1"/>
              <w:jc w:val="center"/>
              <w:rPr>
                <w:b/>
                <w:bCs/>
                <w:color w:val="000000"/>
              </w:rPr>
            </w:pPr>
            <w:r w:rsidRPr="004867DE">
              <w:rPr>
                <w:b/>
                <w:bCs/>
                <w:color w:val="000000"/>
              </w:rPr>
              <w:t>I. Tiesību akta projekta izstrādes nepieciešamība</w:t>
            </w:r>
          </w:p>
        </w:tc>
      </w:tr>
      <w:tr w:rsidR="00767E98" w:rsidRPr="004867DE" w:rsidTr="00F70A5E">
        <w:tc>
          <w:tcPr>
            <w:tcW w:w="281" w:type="pct"/>
          </w:tcPr>
          <w:p w:rsidR="00767E98" w:rsidRPr="00F60350" w:rsidRDefault="00767E98" w:rsidP="00767E98">
            <w:pPr>
              <w:pStyle w:val="Parastais1"/>
              <w:spacing w:before="100" w:beforeAutospacing="1" w:after="100" w:afterAutospacing="1"/>
              <w:jc w:val="both"/>
              <w:rPr>
                <w:color w:val="000000"/>
              </w:rPr>
            </w:pPr>
            <w:r w:rsidRPr="00F60350">
              <w:rPr>
                <w:color w:val="000000"/>
              </w:rPr>
              <w:t>1.</w:t>
            </w:r>
          </w:p>
        </w:tc>
        <w:tc>
          <w:tcPr>
            <w:tcW w:w="1257" w:type="pct"/>
          </w:tcPr>
          <w:p w:rsidR="00767E98" w:rsidRPr="00F60350" w:rsidRDefault="00767E98" w:rsidP="00767E98">
            <w:pPr>
              <w:pStyle w:val="Parastais1"/>
              <w:spacing w:before="100" w:beforeAutospacing="1" w:after="100" w:afterAutospacing="1"/>
              <w:jc w:val="both"/>
              <w:rPr>
                <w:color w:val="000000"/>
              </w:rPr>
            </w:pPr>
            <w:r w:rsidRPr="00F60350">
              <w:rPr>
                <w:color w:val="000000"/>
              </w:rPr>
              <w:t>Pamatojums</w:t>
            </w:r>
          </w:p>
        </w:tc>
        <w:tc>
          <w:tcPr>
            <w:tcW w:w="3462" w:type="pct"/>
          </w:tcPr>
          <w:p w:rsidR="00767E98" w:rsidRPr="00145961" w:rsidRDefault="00145961" w:rsidP="00312EE7">
            <w:pPr>
              <w:jc w:val="both"/>
              <w:rPr>
                <w:iCs/>
                <w:sz w:val="24"/>
                <w:szCs w:val="24"/>
              </w:rPr>
            </w:pPr>
            <w:r w:rsidRPr="00A54D1B">
              <w:rPr>
                <w:sz w:val="24"/>
                <w:szCs w:val="24"/>
              </w:rPr>
              <w:t xml:space="preserve">Pārtikas aprites un uzraudzības likuma </w:t>
            </w:r>
            <w:r w:rsidR="00F33E81" w:rsidRPr="00A54D1B">
              <w:rPr>
                <w:iCs/>
                <w:sz w:val="24"/>
                <w:szCs w:val="24"/>
              </w:rPr>
              <w:t>21.panta ceturt</w:t>
            </w:r>
            <w:r w:rsidR="00312EE7" w:rsidRPr="00A54D1B">
              <w:rPr>
                <w:iCs/>
                <w:sz w:val="24"/>
                <w:szCs w:val="24"/>
              </w:rPr>
              <w:t>ā</w:t>
            </w:r>
            <w:r w:rsidR="00F33E81" w:rsidRPr="00A54D1B">
              <w:rPr>
                <w:iCs/>
                <w:sz w:val="24"/>
                <w:szCs w:val="24"/>
              </w:rPr>
              <w:t xml:space="preserve"> daļ</w:t>
            </w:r>
            <w:r w:rsidR="00312EE7" w:rsidRPr="00A54D1B">
              <w:rPr>
                <w:iCs/>
                <w:sz w:val="24"/>
                <w:szCs w:val="24"/>
              </w:rPr>
              <w:t>a</w:t>
            </w:r>
            <w:r w:rsidR="00767E98" w:rsidRPr="00A54D1B">
              <w:rPr>
                <w:iCs/>
                <w:sz w:val="24"/>
                <w:szCs w:val="24"/>
              </w:rPr>
              <w:t>.</w:t>
            </w:r>
          </w:p>
        </w:tc>
      </w:tr>
      <w:tr w:rsidR="00767E98" w:rsidRPr="004867DE" w:rsidTr="00F70A5E">
        <w:tc>
          <w:tcPr>
            <w:tcW w:w="281" w:type="pct"/>
          </w:tcPr>
          <w:p w:rsidR="00767E98" w:rsidRPr="00F60350" w:rsidRDefault="00767E98" w:rsidP="00767E98">
            <w:pPr>
              <w:pStyle w:val="Parastais1"/>
              <w:spacing w:before="100" w:beforeAutospacing="1" w:after="100" w:afterAutospacing="1"/>
              <w:jc w:val="both"/>
              <w:rPr>
                <w:color w:val="000000"/>
              </w:rPr>
            </w:pPr>
            <w:r w:rsidRPr="00F60350">
              <w:rPr>
                <w:color w:val="000000"/>
              </w:rPr>
              <w:t>2.</w:t>
            </w:r>
          </w:p>
        </w:tc>
        <w:tc>
          <w:tcPr>
            <w:tcW w:w="1257" w:type="pct"/>
          </w:tcPr>
          <w:p w:rsidR="00767E98" w:rsidRPr="00F60350" w:rsidRDefault="000C7B9A" w:rsidP="00767E98">
            <w:pPr>
              <w:pStyle w:val="Parastais1"/>
              <w:spacing w:before="100" w:beforeAutospacing="1" w:after="100" w:afterAutospacing="1"/>
              <w:jc w:val="both"/>
              <w:rPr>
                <w:color w:val="000000"/>
              </w:rPr>
            </w:pPr>
            <w:r w:rsidRPr="00BD0CD9">
              <w:t>Pašreizējā situācija un problēmas, kuru risināšanai tiesību akta projekts izstrādāts, tiesiskā regulējuma mērķis un būtība</w:t>
            </w:r>
          </w:p>
        </w:tc>
        <w:tc>
          <w:tcPr>
            <w:tcW w:w="3462" w:type="pct"/>
          </w:tcPr>
          <w:p w:rsidR="00F33E81" w:rsidRPr="00F33E81" w:rsidRDefault="00767E98" w:rsidP="00F33E81">
            <w:pPr>
              <w:jc w:val="both"/>
              <w:rPr>
                <w:sz w:val="24"/>
                <w:szCs w:val="24"/>
              </w:rPr>
            </w:pPr>
            <w:r w:rsidRPr="00F33E81">
              <w:rPr>
                <w:rFonts w:eastAsia="Arial Unicode MS"/>
                <w:sz w:val="24"/>
                <w:szCs w:val="24"/>
              </w:rPr>
              <w:t xml:space="preserve">Patlaban spēkā ir </w:t>
            </w:r>
            <w:r w:rsidRPr="00F33E81">
              <w:rPr>
                <w:sz w:val="24"/>
                <w:szCs w:val="24"/>
              </w:rPr>
              <w:t xml:space="preserve">Ministru </w:t>
            </w:r>
            <w:r w:rsidR="00F33E81" w:rsidRPr="00F33E81">
              <w:rPr>
                <w:sz w:val="24"/>
                <w:szCs w:val="24"/>
              </w:rPr>
              <w:t>2006.gada 2.maija noteikumi Nr.352 „</w:t>
            </w:r>
            <w:r w:rsidR="00F33E81" w:rsidRPr="00F33E81">
              <w:rPr>
                <w:bCs/>
                <w:sz w:val="24"/>
                <w:szCs w:val="24"/>
              </w:rPr>
              <w:t xml:space="preserve">Noteikumi par veterinārajai kontrolei nepakļautas pārtikas ievešanu no trešajām valstīm un tās kontroles kārtību valsts robežkontroles punktos, brīvajās zonās, brīvajās noliktavās un muitas noliktavās” </w:t>
            </w:r>
            <w:r w:rsidRPr="00F33E81">
              <w:rPr>
                <w:sz w:val="24"/>
                <w:szCs w:val="24"/>
              </w:rPr>
              <w:t>(turpmāk – noteikumi Nr.</w:t>
            </w:r>
            <w:r w:rsidR="00F33E81" w:rsidRPr="00F33E81">
              <w:rPr>
                <w:sz w:val="24"/>
                <w:szCs w:val="24"/>
              </w:rPr>
              <w:t>352</w:t>
            </w:r>
            <w:r w:rsidRPr="00F33E81">
              <w:rPr>
                <w:sz w:val="24"/>
                <w:szCs w:val="24"/>
              </w:rPr>
              <w:t>)</w:t>
            </w:r>
            <w:r w:rsidR="00312EE7">
              <w:rPr>
                <w:sz w:val="24"/>
                <w:szCs w:val="24"/>
              </w:rPr>
              <w:t>, kas</w:t>
            </w:r>
            <w:r w:rsidR="00E90F70">
              <w:rPr>
                <w:sz w:val="24"/>
                <w:szCs w:val="24"/>
              </w:rPr>
              <w:t xml:space="preserve"> no</w:t>
            </w:r>
            <w:r w:rsidR="00312EE7">
              <w:rPr>
                <w:sz w:val="24"/>
                <w:szCs w:val="24"/>
              </w:rPr>
              <w:t>saka</w:t>
            </w:r>
            <w:r w:rsidR="00E90F70">
              <w:rPr>
                <w:sz w:val="24"/>
                <w:szCs w:val="24"/>
              </w:rPr>
              <w:t>, ka Pārtikas un veterinārais dienests</w:t>
            </w:r>
            <w:r w:rsidR="00DD6595">
              <w:rPr>
                <w:sz w:val="24"/>
                <w:szCs w:val="24"/>
              </w:rPr>
              <w:t xml:space="preserve"> (turpmāk – PVD)</w:t>
            </w:r>
            <w:r w:rsidR="00E90F70">
              <w:rPr>
                <w:sz w:val="24"/>
                <w:szCs w:val="24"/>
              </w:rPr>
              <w:t>, nosakot pārtikas atbilstību, noformē pārtikas robežkontroles dokumentu</w:t>
            </w:r>
            <w:r w:rsidR="002B61A9">
              <w:rPr>
                <w:sz w:val="24"/>
                <w:szCs w:val="24"/>
              </w:rPr>
              <w:t>.</w:t>
            </w:r>
            <w:r w:rsidR="00E90F70">
              <w:rPr>
                <w:sz w:val="24"/>
                <w:szCs w:val="24"/>
              </w:rPr>
              <w:t xml:space="preserve"> </w:t>
            </w:r>
            <w:r w:rsidR="002B61A9">
              <w:rPr>
                <w:sz w:val="24"/>
                <w:szCs w:val="24"/>
              </w:rPr>
              <w:t>Pārtikas robežkontroles dokumenta paraugs ir dots</w:t>
            </w:r>
            <w:r w:rsidR="00E90F70">
              <w:rPr>
                <w:sz w:val="24"/>
                <w:szCs w:val="24"/>
              </w:rPr>
              <w:t xml:space="preserve"> </w:t>
            </w:r>
            <w:r w:rsidR="00312EE7">
              <w:rPr>
                <w:sz w:val="24"/>
                <w:szCs w:val="24"/>
              </w:rPr>
              <w:t xml:space="preserve">noteikumu </w:t>
            </w:r>
            <w:r w:rsidR="002B61A9">
              <w:rPr>
                <w:sz w:val="24"/>
                <w:szCs w:val="24"/>
              </w:rPr>
              <w:t xml:space="preserve">Nr.352 </w:t>
            </w:r>
            <w:r w:rsidR="00E90F70">
              <w:rPr>
                <w:sz w:val="24"/>
                <w:szCs w:val="24"/>
              </w:rPr>
              <w:t xml:space="preserve">pielikumā. </w:t>
            </w:r>
          </w:p>
          <w:p w:rsidR="00F90766" w:rsidRPr="00790B22" w:rsidRDefault="00E90F70" w:rsidP="00F90766">
            <w:pPr>
              <w:pStyle w:val="Bezatstarpm"/>
              <w:jc w:val="both"/>
              <w:rPr>
                <w:rFonts w:ascii="Times New Roman" w:hAnsi="Times New Roman"/>
                <w:sz w:val="24"/>
                <w:szCs w:val="24"/>
              </w:rPr>
            </w:pPr>
            <w:r w:rsidRPr="00790B22">
              <w:rPr>
                <w:rFonts w:ascii="Times New Roman" w:hAnsi="Times New Roman"/>
                <w:bCs/>
                <w:sz w:val="24"/>
                <w:szCs w:val="24"/>
              </w:rPr>
              <w:t>Komisijas 2009. gada 24. jūlija Regul</w:t>
            </w:r>
            <w:r w:rsidR="002B61A9">
              <w:rPr>
                <w:rFonts w:ascii="Times New Roman" w:hAnsi="Times New Roman"/>
                <w:bCs/>
                <w:sz w:val="24"/>
                <w:szCs w:val="24"/>
              </w:rPr>
              <w:t>ā</w:t>
            </w:r>
            <w:r w:rsidRPr="00790B22">
              <w:rPr>
                <w:rFonts w:ascii="Times New Roman" w:hAnsi="Times New Roman"/>
                <w:bCs/>
                <w:sz w:val="24"/>
                <w:szCs w:val="24"/>
              </w:rPr>
              <w:t xml:space="preserve"> (EK) Nr.669/2009, ar ko īsteno Eiropas Parlamenta un Padomes Regulu (EK) Nr.882/2004 saistībā ar dzīvnieku barības un pārtikas, kas nav dzīvnieku izcelsmes barība un pārtika, pastiprinātu importa </w:t>
            </w:r>
            <w:r w:rsidRPr="00B05CD6">
              <w:rPr>
                <w:rFonts w:ascii="Times New Roman" w:hAnsi="Times New Roman"/>
                <w:bCs/>
                <w:sz w:val="24"/>
                <w:szCs w:val="24"/>
              </w:rPr>
              <w:t>oficiālo kontroli un groza Lēmumu 2006/504/EK (turpmāk – Regula Nr.669/2009)</w:t>
            </w:r>
            <w:r w:rsidR="00F90766" w:rsidRPr="00B05CD6">
              <w:rPr>
                <w:rFonts w:ascii="Times New Roman" w:hAnsi="Times New Roman"/>
                <w:bCs/>
                <w:sz w:val="24"/>
                <w:szCs w:val="24"/>
              </w:rPr>
              <w:t>,</w:t>
            </w:r>
            <w:r w:rsidR="00F90766" w:rsidRPr="00B05CD6">
              <w:rPr>
                <w:rFonts w:ascii="Times New Roman" w:hAnsi="Times New Roman"/>
                <w:sz w:val="24"/>
                <w:szCs w:val="24"/>
              </w:rPr>
              <w:t xml:space="preserve"> Komisijas 2009.gada 27.novembra Regul</w:t>
            </w:r>
            <w:r w:rsidR="002B61A9">
              <w:rPr>
                <w:rFonts w:ascii="Times New Roman" w:hAnsi="Times New Roman"/>
                <w:sz w:val="24"/>
                <w:szCs w:val="24"/>
              </w:rPr>
              <w:t>ā</w:t>
            </w:r>
            <w:r w:rsidR="00F90766" w:rsidRPr="00B05CD6">
              <w:rPr>
                <w:rFonts w:ascii="Times New Roman" w:hAnsi="Times New Roman"/>
                <w:sz w:val="24"/>
                <w:szCs w:val="24"/>
              </w:rPr>
              <w:t xml:space="preserve"> (EK) Nr.1152/2009, ar ko paredz īpašus nosacījumus, kas piemērojami dažiem no konkrētām </w:t>
            </w:r>
            <w:proofErr w:type="spellStart"/>
            <w:r w:rsidR="00F90766" w:rsidRPr="00B05CD6">
              <w:rPr>
                <w:rFonts w:ascii="Times New Roman" w:hAnsi="Times New Roman"/>
                <w:sz w:val="24"/>
                <w:szCs w:val="24"/>
              </w:rPr>
              <w:t>trešām</w:t>
            </w:r>
            <w:proofErr w:type="spellEnd"/>
            <w:r w:rsidR="00F90766" w:rsidRPr="00B05CD6">
              <w:rPr>
                <w:rFonts w:ascii="Times New Roman" w:hAnsi="Times New Roman"/>
                <w:sz w:val="24"/>
                <w:szCs w:val="24"/>
              </w:rPr>
              <w:t xml:space="preserve"> valstīm importētiem pārtikas produktiem saistībā ar to piesārņojuma risku ar </w:t>
            </w:r>
            <w:proofErr w:type="spellStart"/>
            <w:r w:rsidR="00F90766" w:rsidRPr="00B05CD6">
              <w:rPr>
                <w:rFonts w:ascii="Times New Roman" w:hAnsi="Times New Roman"/>
                <w:sz w:val="24"/>
                <w:szCs w:val="24"/>
              </w:rPr>
              <w:t>aflatoksīniem</w:t>
            </w:r>
            <w:proofErr w:type="spellEnd"/>
            <w:r w:rsidR="00F90766" w:rsidRPr="00B05CD6">
              <w:rPr>
                <w:rFonts w:ascii="Times New Roman" w:hAnsi="Times New Roman"/>
                <w:sz w:val="24"/>
                <w:szCs w:val="24"/>
              </w:rPr>
              <w:t xml:space="preserve">, un atceļ Lēmumu 2006/504/EK (turpmāk – Regula Nr.1152/2009) un Komisijas </w:t>
            </w:r>
            <w:r w:rsidR="00790B22" w:rsidRPr="00B05CD6">
              <w:rPr>
                <w:rFonts w:ascii="Times New Roman" w:hAnsi="Times New Roman"/>
                <w:sz w:val="24"/>
                <w:szCs w:val="24"/>
              </w:rPr>
              <w:t>2013.gada 31.janvāra ī</w:t>
            </w:r>
            <w:r w:rsidR="00F90766" w:rsidRPr="00B05CD6">
              <w:rPr>
                <w:rFonts w:ascii="Times New Roman" w:hAnsi="Times New Roman"/>
                <w:sz w:val="24"/>
                <w:szCs w:val="24"/>
              </w:rPr>
              <w:t>stenošanas Regul</w:t>
            </w:r>
            <w:r w:rsidR="002B61A9">
              <w:rPr>
                <w:rFonts w:ascii="Times New Roman" w:hAnsi="Times New Roman"/>
                <w:sz w:val="24"/>
                <w:szCs w:val="24"/>
              </w:rPr>
              <w:t>ā</w:t>
            </w:r>
            <w:r w:rsidR="00F90766" w:rsidRPr="00B05CD6">
              <w:rPr>
                <w:rFonts w:ascii="Times New Roman" w:hAnsi="Times New Roman"/>
                <w:sz w:val="24"/>
                <w:szCs w:val="24"/>
              </w:rPr>
              <w:t xml:space="preserve"> (ES) Nr.</w:t>
            </w:r>
            <w:r w:rsidR="00790B22" w:rsidRPr="00B05CD6">
              <w:rPr>
                <w:rFonts w:ascii="Times New Roman" w:hAnsi="Times New Roman"/>
                <w:sz w:val="24"/>
                <w:szCs w:val="24"/>
              </w:rPr>
              <w:t>91/2013</w:t>
            </w:r>
            <w:r w:rsidR="00F90766" w:rsidRPr="00B05CD6">
              <w:rPr>
                <w:rFonts w:ascii="Times New Roman" w:hAnsi="Times New Roman"/>
                <w:sz w:val="24"/>
                <w:szCs w:val="24"/>
              </w:rPr>
              <w:t xml:space="preserve">, ar ko nosaka īpašus noteikumus, ko piemēro no Ganas un Indijas importētiem zemesriekstiem, no Indijas importētām </w:t>
            </w:r>
            <w:proofErr w:type="spellStart"/>
            <w:r w:rsidR="00F90766" w:rsidRPr="00B05CD6">
              <w:rPr>
                <w:rFonts w:ascii="Times New Roman" w:hAnsi="Times New Roman"/>
                <w:sz w:val="24"/>
                <w:szCs w:val="24"/>
              </w:rPr>
              <w:t>okrām</w:t>
            </w:r>
            <w:proofErr w:type="spellEnd"/>
            <w:r w:rsidR="00F90766" w:rsidRPr="00B05CD6">
              <w:rPr>
                <w:rFonts w:ascii="Times New Roman" w:hAnsi="Times New Roman"/>
                <w:sz w:val="24"/>
                <w:szCs w:val="24"/>
              </w:rPr>
              <w:t xml:space="preserve"> un </w:t>
            </w:r>
            <w:proofErr w:type="spellStart"/>
            <w:r w:rsidR="00F90766" w:rsidRPr="00B05CD6">
              <w:rPr>
                <w:rFonts w:ascii="Times New Roman" w:hAnsi="Times New Roman"/>
                <w:sz w:val="24"/>
                <w:szCs w:val="24"/>
              </w:rPr>
              <w:t>karija</w:t>
            </w:r>
            <w:proofErr w:type="spellEnd"/>
            <w:r w:rsidR="00F90766" w:rsidRPr="00B05CD6">
              <w:rPr>
                <w:rFonts w:ascii="Times New Roman" w:hAnsi="Times New Roman"/>
                <w:sz w:val="24"/>
                <w:szCs w:val="24"/>
              </w:rPr>
              <w:t xml:space="preserve"> lapām un no Nigērijas importētām arbūzu sēklām, un ar ko groza Komisijas Regulas (EK) Nr.669/2009 un Nr.1152/2009</w:t>
            </w:r>
            <w:r w:rsidR="00790B22" w:rsidRPr="00B05CD6">
              <w:rPr>
                <w:rFonts w:ascii="Times New Roman" w:hAnsi="Times New Roman"/>
                <w:sz w:val="24"/>
                <w:szCs w:val="24"/>
              </w:rPr>
              <w:t xml:space="preserve"> (turpmāk – Regula Nr.91/2013)</w:t>
            </w:r>
            <w:r w:rsidR="002B61A9">
              <w:rPr>
                <w:rFonts w:ascii="Times New Roman" w:hAnsi="Times New Roman"/>
                <w:sz w:val="24"/>
                <w:szCs w:val="24"/>
              </w:rPr>
              <w:t>,</w:t>
            </w:r>
            <w:r w:rsidRPr="00790B22">
              <w:rPr>
                <w:rFonts w:ascii="Times New Roman" w:hAnsi="Times New Roman"/>
                <w:bCs/>
                <w:sz w:val="24"/>
                <w:szCs w:val="24"/>
              </w:rPr>
              <w:t xml:space="preserve"> </w:t>
            </w:r>
            <w:r w:rsidR="00F90766" w:rsidRPr="00790B22">
              <w:rPr>
                <w:rFonts w:ascii="Times New Roman" w:hAnsi="Times New Roman"/>
                <w:sz w:val="24"/>
                <w:szCs w:val="24"/>
              </w:rPr>
              <w:t>no</w:t>
            </w:r>
            <w:r w:rsidR="002B61A9">
              <w:rPr>
                <w:rFonts w:ascii="Times New Roman" w:hAnsi="Times New Roman"/>
                <w:sz w:val="24"/>
                <w:szCs w:val="24"/>
              </w:rPr>
              <w:t>teikts:</w:t>
            </w:r>
            <w:r w:rsidR="00F90766" w:rsidRPr="00790B22">
              <w:rPr>
                <w:rFonts w:ascii="Times New Roman" w:hAnsi="Times New Roman"/>
                <w:sz w:val="24"/>
                <w:szCs w:val="24"/>
              </w:rPr>
              <w:t xml:space="preserve"> lai veiktu iepriekšējo paziņošanu par šajās regulās minēto produktu importu, </w:t>
            </w:r>
            <w:r w:rsidR="00F90766" w:rsidRPr="00790B22">
              <w:rPr>
                <w:rFonts w:ascii="Times New Roman" w:hAnsi="Times New Roman"/>
                <w:color w:val="000000"/>
                <w:sz w:val="24"/>
                <w:szCs w:val="24"/>
              </w:rPr>
              <w:t>uzņēm</w:t>
            </w:r>
            <w:r w:rsidR="00790B22" w:rsidRPr="00790B22">
              <w:rPr>
                <w:rFonts w:ascii="Times New Roman" w:hAnsi="Times New Roman"/>
                <w:color w:val="000000"/>
                <w:sz w:val="24"/>
                <w:szCs w:val="24"/>
              </w:rPr>
              <w:t>ēji</w:t>
            </w:r>
            <w:r w:rsidR="00F90766" w:rsidRPr="00790B22">
              <w:rPr>
                <w:rFonts w:ascii="Times New Roman" w:hAnsi="Times New Roman"/>
                <w:color w:val="000000"/>
                <w:sz w:val="24"/>
                <w:szCs w:val="24"/>
              </w:rPr>
              <w:t xml:space="preserve"> aizpilda Regulas </w:t>
            </w:r>
            <w:r w:rsidR="000C1164">
              <w:rPr>
                <w:rFonts w:ascii="Times New Roman" w:hAnsi="Times New Roman"/>
                <w:color w:val="000000"/>
                <w:sz w:val="24"/>
                <w:szCs w:val="24"/>
              </w:rPr>
              <w:t>Nr.</w:t>
            </w:r>
            <w:r w:rsidR="00F90766" w:rsidRPr="00790B22">
              <w:rPr>
                <w:rFonts w:ascii="Times New Roman" w:hAnsi="Times New Roman"/>
                <w:color w:val="000000"/>
                <w:sz w:val="24"/>
                <w:szCs w:val="24"/>
              </w:rPr>
              <w:t xml:space="preserve">669/2009 3.panta </w:t>
            </w:r>
            <w:r w:rsidR="00385187">
              <w:rPr>
                <w:rFonts w:ascii="Times New Roman" w:hAnsi="Times New Roman"/>
                <w:color w:val="000000"/>
                <w:sz w:val="24"/>
                <w:szCs w:val="24"/>
              </w:rPr>
              <w:t>„</w:t>
            </w:r>
            <w:r w:rsidR="00F90766" w:rsidRPr="00790B22">
              <w:rPr>
                <w:rFonts w:ascii="Times New Roman" w:hAnsi="Times New Roman"/>
                <w:color w:val="000000"/>
                <w:sz w:val="24"/>
                <w:szCs w:val="24"/>
              </w:rPr>
              <w:t>a</w:t>
            </w:r>
            <w:r w:rsidR="00385187">
              <w:rPr>
                <w:rFonts w:ascii="Times New Roman" w:hAnsi="Times New Roman"/>
                <w:color w:val="000000"/>
                <w:sz w:val="24"/>
                <w:szCs w:val="24"/>
              </w:rPr>
              <w:t>”</w:t>
            </w:r>
            <w:r w:rsidR="00F90766" w:rsidRPr="00790B22">
              <w:rPr>
                <w:rFonts w:ascii="Times New Roman" w:hAnsi="Times New Roman"/>
                <w:color w:val="000000"/>
                <w:sz w:val="24"/>
                <w:szCs w:val="24"/>
              </w:rPr>
              <w:t xml:space="preserve"> apakšpunktā minētā kopējā ievešanas dokumenta (turpmāk – KID) I daļu un iesniedz to kompetentas iestādes izraudzītai ievešanas vietai (turpmāk – PVD KP), savukārt PVD KP inspektors aizpilda attiecīgo kopējā ievešanas dokumenta II daļu par veiktās kontroles rezultātiem.</w:t>
            </w:r>
          </w:p>
          <w:p w:rsidR="00BF73CB" w:rsidRPr="009954F4" w:rsidRDefault="006156A1" w:rsidP="00BF73CB">
            <w:pPr>
              <w:pStyle w:val="Bezatstarpm"/>
              <w:jc w:val="both"/>
              <w:rPr>
                <w:rFonts w:ascii="Times New Roman" w:hAnsi="Times New Roman"/>
                <w:sz w:val="24"/>
                <w:szCs w:val="24"/>
              </w:rPr>
            </w:pPr>
            <w:r w:rsidRPr="009954F4">
              <w:rPr>
                <w:rFonts w:ascii="Times New Roman" w:hAnsi="Times New Roman"/>
                <w:sz w:val="24"/>
                <w:szCs w:val="24"/>
              </w:rPr>
              <w:t>Tādējādi</w:t>
            </w:r>
            <w:r w:rsidR="002B61A9">
              <w:rPr>
                <w:rFonts w:ascii="Times New Roman" w:hAnsi="Times New Roman"/>
                <w:sz w:val="24"/>
                <w:szCs w:val="24"/>
              </w:rPr>
              <w:t>,</w:t>
            </w:r>
            <w:r w:rsidRPr="009954F4">
              <w:rPr>
                <w:rFonts w:ascii="Times New Roman" w:hAnsi="Times New Roman"/>
                <w:sz w:val="24"/>
                <w:szCs w:val="24"/>
              </w:rPr>
              <w:t xml:space="preserve"> sākot ar 2010.gada </w:t>
            </w:r>
            <w:r w:rsidR="00BF73CB" w:rsidRPr="009954F4">
              <w:rPr>
                <w:rFonts w:ascii="Times New Roman" w:hAnsi="Times New Roman"/>
                <w:sz w:val="24"/>
                <w:szCs w:val="24"/>
              </w:rPr>
              <w:t>25.</w:t>
            </w:r>
            <w:r w:rsidRPr="009954F4">
              <w:rPr>
                <w:rFonts w:ascii="Times New Roman" w:hAnsi="Times New Roman"/>
                <w:sz w:val="24"/>
                <w:szCs w:val="24"/>
              </w:rPr>
              <w:t xml:space="preserve">janvāri </w:t>
            </w:r>
            <w:r w:rsidR="00BF73CB" w:rsidRPr="009954F4">
              <w:rPr>
                <w:rFonts w:ascii="Times New Roman" w:hAnsi="Times New Roman"/>
                <w:sz w:val="24"/>
                <w:szCs w:val="24"/>
              </w:rPr>
              <w:t>(Regulas Nr.669/2009 piemērošanas datums)</w:t>
            </w:r>
            <w:r w:rsidR="002B61A9">
              <w:rPr>
                <w:rFonts w:ascii="Times New Roman" w:hAnsi="Times New Roman"/>
                <w:sz w:val="24"/>
                <w:szCs w:val="24"/>
              </w:rPr>
              <w:t>,</w:t>
            </w:r>
            <w:r w:rsidR="00BF73CB">
              <w:rPr>
                <w:rFonts w:ascii="Times New Roman" w:hAnsi="Times New Roman"/>
                <w:sz w:val="24"/>
                <w:szCs w:val="24"/>
              </w:rPr>
              <w:t xml:space="preserve"> </w:t>
            </w:r>
            <w:r w:rsidR="00F90766" w:rsidRPr="00790B22">
              <w:rPr>
                <w:rFonts w:ascii="Times New Roman" w:hAnsi="Times New Roman"/>
                <w:sz w:val="24"/>
                <w:szCs w:val="24"/>
              </w:rPr>
              <w:t>dati par regulās minēt</w:t>
            </w:r>
            <w:r w:rsidR="00385187">
              <w:rPr>
                <w:rFonts w:ascii="Times New Roman" w:hAnsi="Times New Roman"/>
                <w:sz w:val="24"/>
                <w:szCs w:val="24"/>
              </w:rPr>
              <w:t>o</w:t>
            </w:r>
            <w:r w:rsidR="00F90766" w:rsidRPr="00790B22">
              <w:rPr>
                <w:rFonts w:ascii="Times New Roman" w:hAnsi="Times New Roman"/>
                <w:sz w:val="24"/>
                <w:szCs w:val="24"/>
              </w:rPr>
              <w:t xml:space="preserve"> prod</w:t>
            </w:r>
            <w:r w:rsidR="006616DA">
              <w:rPr>
                <w:rFonts w:ascii="Times New Roman" w:hAnsi="Times New Roman"/>
                <w:sz w:val="24"/>
                <w:szCs w:val="24"/>
              </w:rPr>
              <w:t>ukt</w:t>
            </w:r>
            <w:r w:rsidR="00385187">
              <w:rPr>
                <w:rFonts w:ascii="Times New Roman" w:hAnsi="Times New Roman"/>
                <w:sz w:val="24"/>
                <w:szCs w:val="24"/>
              </w:rPr>
              <w:t>u kontroli</w:t>
            </w:r>
            <w:r w:rsidR="006616DA">
              <w:rPr>
                <w:rFonts w:ascii="Times New Roman" w:hAnsi="Times New Roman"/>
                <w:sz w:val="24"/>
                <w:szCs w:val="24"/>
              </w:rPr>
              <w:t xml:space="preserve"> tiek </w:t>
            </w:r>
            <w:r w:rsidR="00385187">
              <w:rPr>
                <w:rFonts w:ascii="Times New Roman" w:hAnsi="Times New Roman"/>
                <w:sz w:val="24"/>
                <w:szCs w:val="24"/>
              </w:rPr>
              <w:t>ie</w:t>
            </w:r>
            <w:r w:rsidR="006616DA">
              <w:rPr>
                <w:rFonts w:ascii="Times New Roman" w:hAnsi="Times New Roman"/>
                <w:sz w:val="24"/>
                <w:szCs w:val="24"/>
              </w:rPr>
              <w:t>vadīti divās sistēmā</w:t>
            </w:r>
            <w:r w:rsidR="00F90766" w:rsidRPr="00790B22">
              <w:rPr>
                <w:rFonts w:ascii="Times New Roman" w:hAnsi="Times New Roman"/>
                <w:sz w:val="24"/>
                <w:szCs w:val="24"/>
              </w:rPr>
              <w:t>s: TRACES sistēm</w:t>
            </w:r>
            <w:r w:rsidR="006616DA">
              <w:rPr>
                <w:rFonts w:ascii="Times New Roman" w:hAnsi="Times New Roman"/>
                <w:sz w:val="24"/>
                <w:szCs w:val="24"/>
              </w:rPr>
              <w:t xml:space="preserve">ā </w:t>
            </w:r>
            <w:r w:rsidR="006616DA" w:rsidRPr="006616DA">
              <w:rPr>
                <w:rFonts w:ascii="Times New Roman" w:hAnsi="Times New Roman"/>
                <w:sz w:val="24"/>
                <w:szCs w:val="24"/>
                <w:lang w:eastAsia="lv-LV"/>
              </w:rPr>
              <w:t>(</w:t>
            </w:r>
            <w:proofErr w:type="spellStart"/>
            <w:r w:rsidR="006616DA" w:rsidRPr="006616DA">
              <w:rPr>
                <w:rFonts w:ascii="Times New Roman" w:hAnsi="Times New Roman"/>
                <w:i/>
                <w:sz w:val="24"/>
                <w:szCs w:val="24"/>
              </w:rPr>
              <w:t>Trade</w:t>
            </w:r>
            <w:proofErr w:type="spellEnd"/>
            <w:r w:rsidR="006616DA" w:rsidRPr="006616DA">
              <w:rPr>
                <w:rFonts w:ascii="Times New Roman" w:hAnsi="Times New Roman"/>
                <w:i/>
                <w:sz w:val="24"/>
                <w:szCs w:val="24"/>
              </w:rPr>
              <w:t xml:space="preserve"> </w:t>
            </w:r>
            <w:proofErr w:type="spellStart"/>
            <w:r w:rsidR="006616DA" w:rsidRPr="006616DA">
              <w:rPr>
                <w:rFonts w:ascii="Times New Roman" w:hAnsi="Times New Roman"/>
                <w:i/>
                <w:sz w:val="24"/>
                <w:szCs w:val="24"/>
              </w:rPr>
              <w:t>Control</w:t>
            </w:r>
            <w:proofErr w:type="spellEnd"/>
            <w:r w:rsidR="006616DA" w:rsidRPr="006616DA">
              <w:rPr>
                <w:rFonts w:ascii="Times New Roman" w:hAnsi="Times New Roman"/>
                <w:i/>
                <w:sz w:val="24"/>
                <w:szCs w:val="24"/>
              </w:rPr>
              <w:t xml:space="preserve"> </w:t>
            </w:r>
            <w:proofErr w:type="spellStart"/>
            <w:r w:rsidR="006616DA" w:rsidRPr="006616DA">
              <w:rPr>
                <w:rFonts w:ascii="Times New Roman" w:hAnsi="Times New Roman"/>
                <w:i/>
                <w:sz w:val="24"/>
                <w:szCs w:val="24"/>
              </w:rPr>
              <w:t>and</w:t>
            </w:r>
            <w:proofErr w:type="spellEnd"/>
            <w:r w:rsidR="006616DA" w:rsidRPr="006616DA">
              <w:rPr>
                <w:rFonts w:ascii="Times New Roman" w:hAnsi="Times New Roman"/>
                <w:i/>
                <w:sz w:val="24"/>
                <w:szCs w:val="24"/>
              </w:rPr>
              <w:t xml:space="preserve"> </w:t>
            </w:r>
            <w:proofErr w:type="spellStart"/>
            <w:r w:rsidR="006616DA" w:rsidRPr="006616DA">
              <w:rPr>
                <w:rFonts w:ascii="Times New Roman" w:hAnsi="Times New Roman"/>
                <w:i/>
                <w:sz w:val="24"/>
                <w:szCs w:val="24"/>
              </w:rPr>
              <w:t>Expert</w:t>
            </w:r>
            <w:proofErr w:type="spellEnd"/>
            <w:r w:rsidR="006616DA" w:rsidRPr="006616DA">
              <w:rPr>
                <w:rFonts w:ascii="Times New Roman" w:hAnsi="Times New Roman"/>
                <w:i/>
                <w:sz w:val="24"/>
                <w:szCs w:val="24"/>
              </w:rPr>
              <w:t xml:space="preserve"> </w:t>
            </w:r>
            <w:proofErr w:type="spellStart"/>
            <w:r w:rsidR="006616DA" w:rsidRPr="006616DA">
              <w:rPr>
                <w:rFonts w:ascii="Times New Roman" w:hAnsi="Times New Roman"/>
                <w:i/>
                <w:sz w:val="24"/>
                <w:szCs w:val="24"/>
              </w:rPr>
              <w:t>System</w:t>
            </w:r>
            <w:proofErr w:type="spellEnd"/>
            <w:r w:rsidR="006616DA">
              <w:rPr>
                <w:rFonts w:ascii="Times New Roman" w:hAnsi="Times New Roman"/>
                <w:i/>
                <w:sz w:val="24"/>
                <w:szCs w:val="24"/>
              </w:rPr>
              <w:t xml:space="preserve">, </w:t>
            </w:r>
            <w:r w:rsidR="006616DA">
              <w:rPr>
                <w:rFonts w:ascii="Times New Roman" w:hAnsi="Times New Roman"/>
                <w:sz w:val="24"/>
                <w:szCs w:val="24"/>
              </w:rPr>
              <w:t>kas ir K</w:t>
            </w:r>
            <w:r w:rsidR="006616DA" w:rsidRPr="006616DA">
              <w:rPr>
                <w:rFonts w:ascii="Times New Roman" w:hAnsi="Times New Roman"/>
                <w:sz w:val="24"/>
                <w:szCs w:val="24"/>
              </w:rPr>
              <w:t>opienas datorizēta sistēma</w:t>
            </w:r>
            <w:r w:rsidR="006616DA" w:rsidRPr="006616DA">
              <w:rPr>
                <w:rFonts w:ascii="Times New Roman" w:hAnsi="Times New Roman"/>
                <w:sz w:val="24"/>
                <w:szCs w:val="24"/>
                <w:lang w:eastAsia="lv-LV"/>
              </w:rPr>
              <w:t>)</w:t>
            </w:r>
            <w:r w:rsidR="00F90766" w:rsidRPr="006616DA">
              <w:rPr>
                <w:rFonts w:ascii="Times New Roman" w:hAnsi="Times New Roman"/>
                <w:sz w:val="24"/>
                <w:szCs w:val="24"/>
              </w:rPr>
              <w:t xml:space="preserve"> </w:t>
            </w:r>
            <w:r w:rsidR="00F90766" w:rsidRPr="00790B22">
              <w:rPr>
                <w:rFonts w:ascii="Times New Roman" w:hAnsi="Times New Roman"/>
                <w:sz w:val="24"/>
                <w:szCs w:val="24"/>
              </w:rPr>
              <w:t xml:space="preserve">– KID izsniegšanai par noteikto produktu kontroli </w:t>
            </w:r>
            <w:r w:rsidR="002B61A9">
              <w:rPr>
                <w:rFonts w:ascii="Times New Roman" w:hAnsi="Times New Roman"/>
                <w:sz w:val="24"/>
                <w:szCs w:val="24"/>
              </w:rPr>
              <w:t xml:space="preserve">– </w:t>
            </w:r>
            <w:r w:rsidR="00F90766" w:rsidRPr="00790B22">
              <w:rPr>
                <w:rFonts w:ascii="Times New Roman" w:hAnsi="Times New Roman"/>
                <w:sz w:val="24"/>
                <w:szCs w:val="24"/>
              </w:rPr>
              <w:t>un SRDOK</w:t>
            </w:r>
            <w:r w:rsidR="006616DA">
              <w:rPr>
                <w:rFonts w:ascii="Times New Roman" w:hAnsi="Times New Roman"/>
                <w:sz w:val="24"/>
                <w:szCs w:val="24"/>
              </w:rPr>
              <w:t xml:space="preserve"> (PVD datorizēta sistēma, ko izmanto robežkontroles uzskaitei)</w:t>
            </w:r>
            <w:r w:rsidR="00F90766" w:rsidRPr="00790B22">
              <w:rPr>
                <w:rFonts w:ascii="Times New Roman" w:hAnsi="Times New Roman"/>
                <w:sz w:val="24"/>
                <w:szCs w:val="24"/>
              </w:rPr>
              <w:t xml:space="preserve"> – visu importējamo kravu uzskaitei un </w:t>
            </w:r>
            <w:r w:rsidR="00385187">
              <w:rPr>
                <w:rFonts w:ascii="Times New Roman" w:hAnsi="Times New Roman"/>
                <w:sz w:val="24"/>
                <w:szCs w:val="24"/>
              </w:rPr>
              <w:lastRenderedPageBreak/>
              <w:t>r</w:t>
            </w:r>
            <w:r w:rsidR="00F90766" w:rsidRPr="00790B22">
              <w:rPr>
                <w:rFonts w:ascii="Times New Roman" w:hAnsi="Times New Roman"/>
                <w:sz w:val="24"/>
                <w:szCs w:val="24"/>
              </w:rPr>
              <w:t xml:space="preserve">obežkontroles dokumenta izsniegšanai regulās neminētiem produktiem. </w:t>
            </w:r>
            <w:r w:rsidRPr="009954F4">
              <w:rPr>
                <w:rFonts w:ascii="Times New Roman" w:hAnsi="Times New Roman"/>
                <w:sz w:val="24"/>
                <w:szCs w:val="24"/>
              </w:rPr>
              <w:t>Divu datorizēto sistēmu lietošana rada pastiprinātu administratīvo slogu uzņēmējam, kā arī lieku resursu un laika izlietojumu</w:t>
            </w:r>
            <w:r w:rsidR="00314733" w:rsidRPr="009954F4">
              <w:rPr>
                <w:rFonts w:ascii="Times New Roman" w:hAnsi="Times New Roman"/>
                <w:sz w:val="24"/>
                <w:szCs w:val="24"/>
              </w:rPr>
              <w:t xml:space="preserve"> un </w:t>
            </w:r>
            <w:r w:rsidRPr="009954F4">
              <w:rPr>
                <w:rFonts w:ascii="Times New Roman" w:hAnsi="Times New Roman"/>
                <w:sz w:val="24"/>
                <w:szCs w:val="24"/>
              </w:rPr>
              <w:t xml:space="preserve">uzskaites </w:t>
            </w:r>
            <w:r w:rsidR="00BF73CB" w:rsidRPr="009954F4">
              <w:rPr>
                <w:rFonts w:ascii="Times New Roman" w:hAnsi="Times New Roman"/>
                <w:sz w:val="24"/>
                <w:szCs w:val="24"/>
              </w:rPr>
              <w:t xml:space="preserve">datu </w:t>
            </w:r>
            <w:r w:rsidRPr="009954F4">
              <w:rPr>
                <w:rFonts w:ascii="Times New Roman" w:hAnsi="Times New Roman"/>
                <w:sz w:val="24"/>
                <w:szCs w:val="24"/>
              </w:rPr>
              <w:t xml:space="preserve">dublēšanos </w:t>
            </w:r>
            <w:r w:rsidR="00BF73CB" w:rsidRPr="009954F4">
              <w:rPr>
                <w:rFonts w:ascii="Times New Roman" w:hAnsi="Times New Roman"/>
                <w:sz w:val="24"/>
                <w:szCs w:val="24"/>
              </w:rPr>
              <w:t>PVD, tāpēc ir lietderīgi atteikties no SRDOK sistēmas lietošanas un par visu importējamo pārtikas produktu, kuri nav pakļauti veterinārajai kontrolei, kā arī materiālu un izstrādājumu, kuri paredzēti saskarei ar pārtiku, veikto kontroļu rezultātiem izsniegt KID, vienlai</w:t>
            </w:r>
            <w:r w:rsidR="002B61A9">
              <w:rPr>
                <w:rFonts w:ascii="Times New Roman" w:hAnsi="Times New Roman"/>
                <w:sz w:val="24"/>
                <w:szCs w:val="24"/>
              </w:rPr>
              <w:t>kus</w:t>
            </w:r>
            <w:r w:rsidR="00BF73CB" w:rsidRPr="009954F4">
              <w:rPr>
                <w:rFonts w:ascii="Times New Roman" w:hAnsi="Times New Roman"/>
                <w:sz w:val="24"/>
                <w:szCs w:val="24"/>
              </w:rPr>
              <w:t xml:space="preserve"> reģistrējot tos TRACES sistēmā. </w:t>
            </w:r>
          </w:p>
          <w:p w:rsidR="000C7B9A" w:rsidRDefault="000C7B9A" w:rsidP="00146DDC">
            <w:pPr>
              <w:pStyle w:val="Bezatstarpm"/>
              <w:jc w:val="both"/>
              <w:rPr>
                <w:rFonts w:ascii="Times New Roman" w:hAnsi="Times New Roman"/>
                <w:bCs/>
                <w:sz w:val="24"/>
                <w:szCs w:val="24"/>
              </w:rPr>
            </w:pPr>
            <w:r w:rsidRPr="009954F4">
              <w:rPr>
                <w:rFonts w:ascii="Times New Roman" w:hAnsi="Times New Roman"/>
                <w:color w:val="000000"/>
                <w:sz w:val="24"/>
                <w:szCs w:val="24"/>
              </w:rPr>
              <w:t xml:space="preserve">Sagatavotais Ministru kabineta noteikumu projekts </w:t>
            </w:r>
            <w:r w:rsidRPr="009954F4">
              <w:rPr>
                <w:rFonts w:ascii="Times New Roman" w:hAnsi="Times New Roman"/>
                <w:sz w:val="24"/>
                <w:szCs w:val="24"/>
              </w:rPr>
              <w:t>„Grozījumi Ministru kabineta 2006.gada 2.maija noteikumos Nr.352 „</w:t>
            </w:r>
            <w:r w:rsidRPr="009954F4">
              <w:rPr>
                <w:rFonts w:ascii="Times New Roman" w:hAnsi="Times New Roman"/>
                <w:bCs/>
                <w:sz w:val="24"/>
                <w:szCs w:val="24"/>
              </w:rPr>
              <w:t>Noteikumi par veterinārajai kontrolei nepakļautas pārtikas ievešanu no trešajām valstīm un tās kontroles kārtību valsts robežkontroles punktos, brīvajās zonās, brīvajās noliktavās un muitas noliktavās”” (turpmāk – noteikumu projekts) nosaka, ka pārtikas robežkontroles dokuments tiek aizstāts ar KID</w:t>
            </w:r>
            <w:r w:rsidR="00BF73CB" w:rsidRPr="009954F4">
              <w:rPr>
                <w:rFonts w:ascii="Times New Roman" w:hAnsi="Times New Roman"/>
                <w:bCs/>
                <w:sz w:val="24"/>
                <w:szCs w:val="24"/>
              </w:rPr>
              <w:t>, tādēj</w:t>
            </w:r>
            <w:r w:rsidR="00314733" w:rsidRPr="009954F4">
              <w:rPr>
                <w:rFonts w:ascii="Times New Roman" w:hAnsi="Times New Roman"/>
                <w:bCs/>
                <w:sz w:val="24"/>
                <w:szCs w:val="24"/>
              </w:rPr>
              <w:t>ādi atsakoties no SRDOK sistēmas lietošanas</w:t>
            </w:r>
            <w:r w:rsidR="00146DDC" w:rsidRPr="009954F4">
              <w:rPr>
                <w:rFonts w:ascii="Times New Roman" w:hAnsi="Times New Roman"/>
                <w:bCs/>
                <w:sz w:val="24"/>
                <w:szCs w:val="24"/>
              </w:rPr>
              <w:t xml:space="preserve"> </w:t>
            </w:r>
            <w:r w:rsidR="00314733" w:rsidRPr="009954F4">
              <w:rPr>
                <w:rFonts w:ascii="Times New Roman" w:hAnsi="Times New Roman"/>
                <w:bCs/>
                <w:sz w:val="24"/>
                <w:szCs w:val="24"/>
              </w:rPr>
              <w:t>un pārejot uz vienas datorizētās sistēmas lietošanu.</w:t>
            </w:r>
          </w:p>
          <w:p w:rsidR="00FB6F5F" w:rsidRPr="00862675" w:rsidRDefault="00FB6F5F" w:rsidP="00146DDC">
            <w:pPr>
              <w:pStyle w:val="Bezatstarpm"/>
              <w:jc w:val="both"/>
              <w:rPr>
                <w:rFonts w:ascii="Times New Roman" w:hAnsi="Times New Roman"/>
                <w:bCs/>
                <w:sz w:val="24"/>
                <w:szCs w:val="24"/>
              </w:rPr>
            </w:pPr>
            <w:r w:rsidRPr="00862675">
              <w:rPr>
                <w:rFonts w:ascii="Times New Roman" w:hAnsi="Times New Roman"/>
                <w:bCs/>
                <w:sz w:val="24"/>
                <w:szCs w:val="24"/>
              </w:rPr>
              <w:t>Noteikumu Nr.352 3.punkts tiek izteikts jaunā redakcijā, atsaucoties uz Regulas Nr.669/2009 II pielikumu, kas nosaka KID paraugu.</w:t>
            </w:r>
          </w:p>
          <w:p w:rsidR="00EA1DAF" w:rsidRPr="00B31245" w:rsidRDefault="00354EA5" w:rsidP="00EA1DAF">
            <w:pPr>
              <w:pStyle w:val="Bezatstarpm"/>
              <w:jc w:val="both"/>
              <w:rPr>
                <w:rFonts w:ascii="Times New Roman" w:hAnsi="Times New Roman"/>
                <w:sz w:val="24"/>
                <w:szCs w:val="24"/>
              </w:rPr>
            </w:pPr>
            <w:r w:rsidRPr="009954F4">
              <w:rPr>
                <w:rFonts w:ascii="Times New Roman" w:hAnsi="Times New Roman"/>
                <w:sz w:val="24"/>
                <w:szCs w:val="24"/>
              </w:rPr>
              <w:t xml:space="preserve">Noteikumu Nr.352 7.punktā svītrota atsauce uz </w:t>
            </w:r>
            <w:r w:rsidR="002B61A9" w:rsidRPr="009954F4">
              <w:rPr>
                <w:rFonts w:ascii="Times New Roman" w:eastAsia="Times New Roman" w:hAnsi="Times New Roman"/>
                <w:sz w:val="24"/>
                <w:szCs w:val="24"/>
                <w:lang w:eastAsia="lv-LV"/>
              </w:rPr>
              <w:t xml:space="preserve">1.pantu </w:t>
            </w:r>
            <w:r w:rsidR="00EA1DAF" w:rsidRPr="009954F4">
              <w:rPr>
                <w:rFonts w:ascii="Times New Roman" w:eastAsia="Times New Roman" w:hAnsi="Times New Roman"/>
                <w:sz w:val="24"/>
                <w:szCs w:val="24"/>
                <w:lang w:eastAsia="lv-LV"/>
              </w:rPr>
              <w:t>Padomes 1993.gada 8.februāra Regul</w:t>
            </w:r>
            <w:r w:rsidR="002B61A9">
              <w:rPr>
                <w:rFonts w:ascii="Times New Roman" w:eastAsia="Times New Roman" w:hAnsi="Times New Roman"/>
                <w:sz w:val="24"/>
                <w:szCs w:val="24"/>
                <w:lang w:eastAsia="lv-LV"/>
              </w:rPr>
              <w:t>ā</w:t>
            </w:r>
            <w:r w:rsidR="00EA1DAF" w:rsidRPr="009954F4">
              <w:rPr>
                <w:rFonts w:ascii="Times New Roman" w:eastAsia="Times New Roman" w:hAnsi="Times New Roman"/>
                <w:sz w:val="24"/>
                <w:szCs w:val="24"/>
                <w:lang w:eastAsia="lv-LV"/>
              </w:rPr>
              <w:t xml:space="preserve"> Nr.</w:t>
            </w:r>
            <w:hyperlink r:id="rId8" w:tgtFrame="_blank" w:history="1">
              <w:r w:rsidR="00EA1DAF" w:rsidRPr="009954F4">
                <w:rPr>
                  <w:rFonts w:ascii="Times New Roman" w:eastAsia="Times New Roman" w:hAnsi="Times New Roman"/>
                  <w:sz w:val="24"/>
                  <w:szCs w:val="24"/>
                  <w:lang w:eastAsia="lv-LV"/>
                </w:rPr>
                <w:t>339/93</w:t>
              </w:r>
            </w:hyperlink>
            <w:r w:rsidR="00EA1DAF" w:rsidRPr="009954F4">
              <w:rPr>
                <w:rFonts w:ascii="Times New Roman" w:eastAsia="Times New Roman" w:hAnsi="Times New Roman"/>
                <w:sz w:val="24"/>
                <w:szCs w:val="24"/>
                <w:lang w:eastAsia="lv-LV"/>
              </w:rPr>
              <w:t xml:space="preserve"> par produktu pārbaudēm attiecībā uz atbilstību noteikumiem par produktu drošību, ja tos importē no trešajām valstīm</w:t>
            </w:r>
            <w:r w:rsidRPr="009954F4">
              <w:rPr>
                <w:rFonts w:ascii="Times New Roman" w:eastAsia="Times New Roman" w:hAnsi="Times New Roman"/>
                <w:sz w:val="24"/>
                <w:szCs w:val="24"/>
                <w:lang w:eastAsia="lv-LV"/>
              </w:rPr>
              <w:t xml:space="preserve">, jo </w:t>
            </w:r>
            <w:r w:rsidR="002B61A9">
              <w:rPr>
                <w:rFonts w:ascii="Times New Roman" w:eastAsia="Times New Roman" w:hAnsi="Times New Roman"/>
                <w:sz w:val="24"/>
                <w:szCs w:val="24"/>
                <w:lang w:eastAsia="lv-LV"/>
              </w:rPr>
              <w:t>šī</w:t>
            </w:r>
            <w:r w:rsidRPr="009954F4">
              <w:rPr>
                <w:rFonts w:ascii="Times New Roman" w:eastAsia="Times New Roman" w:hAnsi="Times New Roman"/>
                <w:sz w:val="24"/>
                <w:szCs w:val="24"/>
                <w:lang w:eastAsia="lv-LV"/>
              </w:rPr>
              <w:t xml:space="preserve"> </w:t>
            </w:r>
            <w:r w:rsidR="002B61A9">
              <w:rPr>
                <w:rFonts w:ascii="Times New Roman" w:eastAsia="Times New Roman" w:hAnsi="Times New Roman"/>
                <w:sz w:val="24"/>
                <w:szCs w:val="24"/>
                <w:lang w:eastAsia="lv-LV"/>
              </w:rPr>
              <w:t>r</w:t>
            </w:r>
            <w:r w:rsidRPr="009954F4">
              <w:rPr>
                <w:rFonts w:ascii="Times New Roman" w:eastAsia="Times New Roman" w:hAnsi="Times New Roman"/>
                <w:sz w:val="24"/>
                <w:szCs w:val="24"/>
                <w:lang w:eastAsia="lv-LV"/>
              </w:rPr>
              <w:t>egula</w:t>
            </w:r>
            <w:r w:rsidR="00EA1DAF" w:rsidRPr="009954F4">
              <w:rPr>
                <w:rFonts w:ascii="Times New Roman" w:eastAsia="Times New Roman" w:hAnsi="Times New Roman"/>
                <w:sz w:val="24"/>
                <w:szCs w:val="24"/>
                <w:lang w:eastAsia="lv-LV"/>
              </w:rPr>
              <w:t xml:space="preserve"> ir </w:t>
            </w:r>
            <w:r w:rsidRPr="009954F4">
              <w:rPr>
                <w:rFonts w:ascii="Times New Roman" w:hAnsi="Times New Roman"/>
                <w:sz w:val="24"/>
                <w:szCs w:val="24"/>
                <w:u w:val="single"/>
              </w:rPr>
              <w:t>atcelta</w:t>
            </w:r>
            <w:r w:rsidRPr="009954F4">
              <w:rPr>
                <w:rFonts w:ascii="Times New Roman" w:hAnsi="Times New Roman"/>
                <w:sz w:val="24"/>
                <w:szCs w:val="24"/>
              </w:rPr>
              <w:t xml:space="preserve"> ar Eiropas </w:t>
            </w:r>
            <w:r w:rsidRPr="00B31245">
              <w:rPr>
                <w:rFonts w:ascii="Times New Roman" w:hAnsi="Times New Roman"/>
                <w:sz w:val="24"/>
                <w:szCs w:val="24"/>
              </w:rPr>
              <w:t>Parlamenta un Padomes 2008. gada 9. jūlija Regulu (EK) Nr. 765/2008, ar ko nosaka akreditācijas un tirgus uzraudzības prasības attiecībā uz produktu tirdzniecību un atceļ Regulu (EEK) Nr. 339/93.</w:t>
            </w:r>
          </w:p>
          <w:p w:rsidR="00B31245" w:rsidRPr="00B31245" w:rsidRDefault="000C7B9A" w:rsidP="00B31245">
            <w:pPr>
              <w:pStyle w:val="Bezatstarpm"/>
              <w:jc w:val="both"/>
              <w:rPr>
                <w:rFonts w:ascii="Times New Roman" w:hAnsi="Times New Roman"/>
                <w:bCs/>
                <w:sz w:val="24"/>
                <w:szCs w:val="24"/>
              </w:rPr>
            </w:pPr>
            <w:r w:rsidRPr="00B31245">
              <w:rPr>
                <w:rFonts w:ascii="Times New Roman" w:hAnsi="Times New Roman"/>
                <w:bCs/>
                <w:sz w:val="24"/>
                <w:szCs w:val="24"/>
              </w:rPr>
              <w:t xml:space="preserve">Noteikumi Nr.352 papildināti ar punktu, </w:t>
            </w:r>
            <w:r w:rsidR="002B61A9" w:rsidRPr="00B31245">
              <w:rPr>
                <w:rFonts w:ascii="Times New Roman" w:hAnsi="Times New Roman"/>
                <w:bCs/>
                <w:sz w:val="24"/>
                <w:szCs w:val="24"/>
              </w:rPr>
              <w:t>kurā</w:t>
            </w:r>
            <w:r w:rsidRPr="00B31245">
              <w:rPr>
                <w:rFonts w:ascii="Times New Roman" w:hAnsi="Times New Roman"/>
                <w:bCs/>
                <w:sz w:val="24"/>
                <w:szCs w:val="24"/>
              </w:rPr>
              <w:t xml:space="preserve"> noteik</w:t>
            </w:r>
            <w:r w:rsidR="002B61A9" w:rsidRPr="00B31245">
              <w:rPr>
                <w:rFonts w:ascii="Times New Roman" w:hAnsi="Times New Roman"/>
                <w:bCs/>
                <w:sz w:val="24"/>
                <w:szCs w:val="24"/>
              </w:rPr>
              <w:t>t</w:t>
            </w:r>
            <w:r w:rsidRPr="00B31245">
              <w:rPr>
                <w:rFonts w:ascii="Times New Roman" w:hAnsi="Times New Roman"/>
                <w:bCs/>
                <w:sz w:val="24"/>
                <w:szCs w:val="24"/>
              </w:rPr>
              <w:t xml:space="preserve">s pārejas </w:t>
            </w:r>
            <w:r w:rsidR="002B61A9" w:rsidRPr="00B31245">
              <w:rPr>
                <w:rFonts w:ascii="Times New Roman" w:hAnsi="Times New Roman"/>
                <w:bCs/>
                <w:sz w:val="24"/>
                <w:szCs w:val="24"/>
              </w:rPr>
              <w:t>periods</w:t>
            </w:r>
            <w:r w:rsidRPr="00B31245">
              <w:rPr>
                <w:rFonts w:ascii="Times New Roman" w:hAnsi="Times New Roman"/>
                <w:bCs/>
                <w:sz w:val="24"/>
                <w:szCs w:val="24"/>
              </w:rPr>
              <w:t xml:space="preserve"> līdz 2014.gada 1.</w:t>
            </w:r>
            <w:r w:rsidR="00354EA5" w:rsidRPr="00B31245">
              <w:rPr>
                <w:rFonts w:ascii="Times New Roman" w:hAnsi="Times New Roman"/>
                <w:bCs/>
                <w:sz w:val="24"/>
                <w:szCs w:val="24"/>
              </w:rPr>
              <w:t>jūnijam</w:t>
            </w:r>
            <w:r w:rsidRPr="00B31245">
              <w:rPr>
                <w:rFonts w:ascii="Times New Roman" w:hAnsi="Times New Roman"/>
                <w:bCs/>
                <w:sz w:val="24"/>
                <w:szCs w:val="24"/>
              </w:rPr>
              <w:t>, lai uzņēmējiem dotu laiku pilnībā pielāgoties noteikumu Nr.352 prasībām.</w:t>
            </w:r>
          </w:p>
          <w:p w:rsidR="000C7B9A" w:rsidRPr="00862675" w:rsidRDefault="00B31245" w:rsidP="00B31245">
            <w:pPr>
              <w:pStyle w:val="Bezatstarpm"/>
              <w:jc w:val="both"/>
              <w:rPr>
                <w:bCs/>
                <w:sz w:val="24"/>
                <w:szCs w:val="24"/>
              </w:rPr>
            </w:pPr>
            <w:r w:rsidRPr="00D23694">
              <w:rPr>
                <w:rFonts w:ascii="Times New Roman" w:hAnsi="Times New Roman"/>
                <w:b/>
                <w:sz w:val="24"/>
                <w:szCs w:val="24"/>
              </w:rPr>
              <w:t xml:space="preserve"> </w:t>
            </w:r>
            <w:bookmarkStart w:id="2" w:name="_GoBack"/>
            <w:r w:rsidRPr="00862675">
              <w:rPr>
                <w:rFonts w:ascii="Times New Roman" w:hAnsi="Times New Roman"/>
                <w:sz w:val="24"/>
                <w:szCs w:val="24"/>
              </w:rPr>
              <w:t>Noteikumu Nr.352 pielikums tiek svītrots</w:t>
            </w:r>
            <w:bookmarkEnd w:id="2"/>
            <w:r w:rsidRPr="00862675">
              <w:rPr>
                <w:rFonts w:ascii="Times New Roman" w:hAnsi="Times New Roman"/>
                <w:sz w:val="24"/>
                <w:szCs w:val="24"/>
              </w:rPr>
              <w:t xml:space="preserve">. </w:t>
            </w:r>
          </w:p>
          <w:p w:rsidR="000C7B9A" w:rsidRPr="001F6A0A" w:rsidRDefault="000C7B9A" w:rsidP="000C7B9A">
            <w:pPr>
              <w:pStyle w:val="Bezatstarpm"/>
              <w:jc w:val="both"/>
            </w:pPr>
            <w:r w:rsidRPr="00F70A5E">
              <w:rPr>
                <w:rFonts w:ascii="Times New Roman" w:hAnsi="Times New Roman"/>
                <w:sz w:val="24"/>
                <w:szCs w:val="24"/>
              </w:rPr>
              <w:t>Šīs anotācijas I sadaļas 2.punktā minētās problēmas noteikumu projekts atrisinās pilnībā.</w:t>
            </w:r>
          </w:p>
        </w:tc>
      </w:tr>
      <w:tr w:rsidR="00767E98" w:rsidRPr="004867DE" w:rsidTr="00F70A5E">
        <w:tc>
          <w:tcPr>
            <w:tcW w:w="281" w:type="pct"/>
          </w:tcPr>
          <w:p w:rsidR="00767E98" w:rsidRPr="00F60350" w:rsidRDefault="000C7B9A" w:rsidP="00767E98">
            <w:pPr>
              <w:pStyle w:val="Parastais1"/>
              <w:spacing w:before="100" w:beforeAutospacing="1" w:after="100" w:afterAutospacing="1"/>
              <w:jc w:val="both"/>
              <w:rPr>
                <w:color w:val="000000"/>
              </w:rPr>
            </w:pPr>
            <w:r>
              <w:rPr>
                <w:color w:val="000000"/>
              </w:rPr>
              <w:lastRenderedPageBreak/>
              <w:t>3</w:t>
            </w:r>
            <w:r w:rsidR="00767E98" w:rsidRPr="00F60350">
              <w:rPr>
                <w:color w:val="000000"/>
              </w:rPr>
              <w:t>.</w:t>
            </w:r>
          </w:p>
        </w:tc>
        <w:tc>
          <w:tcPr>
            <w:tcW w:w="1257" w:type="pct"/>
          </w:tcPr>
          <w:p w:rsidR="00767E98" w:rsidRPr="00F60350" w:rsidRDefault="00767E98" w:rsidP="00767E98">
            <w:pPr>
              <w:pStyle w:val="Parastais1"/>
              <w:spacing w:before="100" w:beforeAutospacing="1" w:after="100" w:afterAutospacing="1"/>
              <w:jc w:val="both"/>
              <w:rPr>
                <w:color w:val="000000"/>
              </w:rPr>
            </w:pPr>
            <w:r w:rsidRPr="00F60350">
              <w:rPr>
                <w:color w:val="000000"/>
              </w:rPr>
              <w:t>Projekta izstrādē iesaistītās institūcijas</w:t>
            </w:r>
          </w:p>
        </w:tc>
        <w:tc>
          <w:tcPr>
            <w:tcW w:w="3462" w:type="pct"/>
          </w:tcPr>
          <w:p w:rsidR="00767E98" w:rsidRPr="00F60350" w:rsidRDefault="008B0CB2" w:rsidP="009E43E7">
            <w:pPr>
              <w:pStyle w:val="Parastais1"/>
              <w:spacing w:before="100" w:beforeAutospacing="1" w:after="100" w:afterAutospacing="1"/>
              <w:jc w:val="both"/>
              <w:rPr>
                <w:color w:val="000000"/>
              </w:rPr>
            </w:pPr>
            <w:r>
              <w:rPr>
                <w:color w:val="000000"/>
              </w:rPr>
              <w:t>Pārtikas un veterinārais dienests</w:t>
            </w:r>
          </w:p>
        </w:tc>
      </w:tr>
      <w:tr w:rsidR="00767E98" w:rsidRPr="004867DE" w:rsidTr="00F70A5E">
        <w:tc>
          <w:tcPr>
            <w:tcW w:w="281" w:type="pct"/>
          </w:tcPr>
          <w:p w:rsidR="00767E98" w:rsidRPr="00F60350" w:rsidRDefault="000C7B9A" w:rsidP="00767E98">
            <w:pPr>
              <w:pStyle w:val="Parastais1"/>
              <w:spacing w:before="100" w:beforeAutospacing="1" w:after="100" w:afterAutospacing="1"/>
              <w:jc w:val="both"/>
              <w:rPr>
                <w:color w:val="000000"/>
              </w:rPr>
            </w:pPr>
            <w:r>
              <w:rPr>
                <w:color w:val="000000"/>
              </w:rPr>
              <w:t>4</w:t>
            </w:r>
            <w:r w:rsidR="00767E98" w:rsidRPr="00F60350">
              <w:rPr>
                <w:color w:val="000000"/>
              </w:rPr>
              <w:t>.</w:t>
            </w:r>
          </w:p>
        </w:tc>
        <w:tc>
          <w:tcPr>
            <w:tcW w:w="1257" w:type="pct"/>
          </w:tcPr>
          <w:p w:rsidR="00767E98" w:rsidRPr="00F60350" w:rsidRDefault="00767E98" w:rsidP="00767E98">
            <w:pPr>
              <w:pStyle w:val="Parastais1"/>
              <w:spacing w:before="100" w:beforeAutospacing="1" w:after="100" w:afterAutospacing="1"/>
              <w:jc w:val="both"/>
              <w:rPr>
                <w:color w:val="000000"/>
              </w:rPr>
            </w:pPr>
            <w:r w:rsidRPr="00F60350">
              <w:rPr>
                <w:color w:val="000000"/>
              </w:rPr>
              <w:t>Cita informācija</w:t>
            </w:r>
          </w:p>
        </w:tc>
        <w:tc>
          <w:tcPr>
            <w:tcW w:w="3462" w:type="pct"/>
          </w:tcPr>
          <w:p w:rsidR="00767E98" w:rsidRPr="00F60350" w:rsidRDefault="00767E98" w:rsidP="00767E98">
            <w:pPr>
              <w:pStyle w:val="Parastais1"/>
              <w:spacing w:before="100" w:beforeAutospacing="1" w:after="100" w:afterAutospacing="1"/>
              <w:jc w:val="both"/>
              <w:rPr>
                <w:color w:val="000000"/>
              </w:rPr>
            </w:pPr>
            <w:r w:rsidRPr="00F60350">
              <w:rPr>
                <w:color w:val="000000"/>
              </w:rPr>
              <w:t>Nav</w:t>
            </w:r>
          </w:p>
        </w:tc>
      </w:tr>
    </w:tbl>
    <w:p w:rsidR="00767E98" w:rsidRPr="004867DE" w:rsidRDefault="00767E98" w:rsidP="00767E98">
      <w:pPr>
        <w:pStyle w:val="Parastais1"/>
        <w:jc w:val="both"/>
        <w:rPr>
          <w:color w:val="000000"/>
        </w:rPr>
      </w:pPr>
      <w:r w:rsidRPr="004867DE">
        <w:rPr>
          <w:color w:val="000000"/>
        </w:rPr>
        <w:t> </w:t>
      </w: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516"/>
        <w:gridCol w:w="3077"/>
        <w:gridCol w:w="5577"/>
      </w:tblGrid>
      <w:tr w:rsidR="00767E98" w:rsidRPr="004867DE" w:rsidTr="00767E98">
        <w:tc>
          <w:tcPr>
            <w:tcW w:w="5000" w:type="pct"/>
            <w:gridSpan w:val="3"/>
          </w:tcPr>
          <w:p w:rsidR="00767E98" w:rsidRPr="004867DE" w:rsidRDefault="00767E98" w:rsidP="00767E98">
            <w:pPr>
              <w:pStyle w:val="Parastais1"/>
              <w:spacing w:before="100" w:beforeAutospacing="1" w:after="100" w:afterAutospacing="1"/>
              <w:jc w:val="center"/>
              <w:rPr>
                <w:b/>
                <w:bCs/>
                <w:color w:val="000000"/>
              </w:rPr>
            </w:pPr>
            <w:r w:rsidRPr="004867DE">
              <w:rPr>
                <w:b/>
                <w:bCs/>
                <w:color w:val="000000"/>
              </w:rPr>
              <w:t>II. Tiesību akta projekta ietekme uz sabiedrību</w:t>
            </w:r>
            <w:r w:rsidR="000C7B9A">
              <w:rPr>
                <w:b/>
                <w:bCs/>
                <w:color w:val="000000"/>
              </w:rPr>
              <w:t>, tautsaimniecības attīstību un administratīvo slogu</w:t>
            </w:r>
          </w:p>
        </w:tc>
      </w:tr>
      <w:tr w:rsidR="00767E98" w:rsidRPr="004867DE" w:rsidTr="00F70A5E">
        <w:tc>
          <w:tcPr>
            <w:tcW w:w="281" w:type="pct"/>
          </w:tcPr>
          <w:p w:rsidR="00767E98" w:rsidRPr="004867DE" w:rsidRDefault="00767E98" w:rsidP="00767E98">
            <w:pPr>
              <w:pStyle w:val="Parastais1"/>
              <w:spacing w:before="100" w:beforeAutospacing="1" w:after="100" w:afterAutospacing="1"/>
              <w:jc w:val="both"/>
              <w:rPr>
                <w:color w:val="000000"/>
              </w:rPr>
            </w:pPr>
            <w:r w:rsidRPr="004867DE">
              <w:rPr>
                <w:color w:val="000000"/>
              </w:rPr>
              <w:t>1.</w:t>
            </w:r>
          </w:p>
        </w:tc>
        <w:tc>
          <w:tcPr>
            <w:tcW w:w="1678" w:type="pct"/>
          </w:tcPr>
          <w:p w:rsidR="00767E98" w:rsidRPr="004867DE" w:rsidRDefault="00767E98" w:rsidP="00767E98">
            <w:pPr>
              <w:pStyle w:val="Parastais1"/>
              <w:spacing w:before="100" w:beforeAutospacing="1" w:after="100" w:afterAutospacing="1"/>
              <w:jc w:val="both"/>
              <w:rPr>
                <w:color w:val="000000"/>
              </w:rPr>
            </w:pPr>
            <w:r w:rsidRPr="004867DE">
              <w:rPr>
                <w:color w:val="000000"/>
              </w:rPr>
              <w:t xml:space="preserve">Sabiedrības </w:t>
            </w:r>
            <w:proofErr w:type="spellStart"/>
            <w:r w:rsidRPr="004867DE">
              <w:rPr>
                <w:color w:val="000000"/>
              </w:rPr>
              <w:t>mērķgrupa</w:t>
            </w:r>
            <w:proofErr w:type="spellEnd"/>
            <w:r w:rsidR="000C7B9A">
              <w:rPr>
                <w:color w:val="000000"/>
              </w:rPr>
              <w:t>,</w:t>
            </w:r>
            <w:r w:rsidR="000C7B9A" w:rsidRPr="004867DE">
              <w:rPr>
                <w:color w:val="000000"/>
              </w:rPr>
              <w:t xml:space="preserve"> kuras tiesiskais regulējums arī ietekmē vai varētu ietekmēt</w:t>
            </w:r>
          </w:p>
        </w:tc>
        <w:tc>
          <w:tcPr>
            <w:tcW w:w="3040" w:type="pct"/>
          </w:tcPr>
          <w:p w:rsidR="00767E98" w:rsidRPr="00315DCC" w:rsidRDefault="00767E98" w:rsidP="00603F72">
            <w:pPr>
              <w:pStyle w:val="Parastais1"/>
              <w:spacing w:before="100" w:beforeAutospacing="1" w:after="100" w:afterAutospacing="1"/>
              <w:jc w:val="both"/>
            </w:pPr>
            <w:r>
              <w:t xml:space="preserve">Noteikumu projekta tiesiskais regulējums attiecas uz saimnieciskās darbības veicējiem, komersantiem, kas nodarbojas ar uzņēmējdarbību pārtikas aprites un tirdzniecības jomā. </w:t>
            </w:r>
            <w:proofErr w:type="spellStart"/>
            <w:r>
              <w:t>Mērķgrupas</w:t>
            </w:r>
            <w:proofErr w:type="spellEnd"/>
            <w:r>
              <w:t xml:space="preserve"> palielināšanās ir atkarīga no </w:t>
            </w:r>
            <w:r w:rsidR="00603F72">
              <w:t xml:space="preserve">valsts </w:t>
            </w:r>
            <w:r>
              <w:t>ekonomiskās attīstības</w:t>
            </w:r>
            <w:r w:rsidRPr="009954F4">
              <w:t xml:space="preserve">. </w:t>
            </w:r>
            <w:r w:rsidR="00354EA5" w:rsidRPr="009954F4">
              <w:rPr>
                <w:rFonts w:eastAsia="Calibri"/>
              </w:rPr>
              <w:t>Tiesiskais regulējums attiecas uz PVD, kas uz ārējās robežas veic veterinārajai kontrolei nepakļautas pārtikas kontroli.</w:t>
            </w:r>
            <w:r w:rsidR="00354EA5">
              <w:rPr>
                <w:rFonts w:eastAsia="Calibri"/>
              </w:rPr>
              <w:t xml:space="preserve"> </w:t>
            </w:r>
          </w:p>
        </w:tc>
      </w:tr>
      <w:tr w:rsidR="00767E98" w:rsidRPr="004867DE" w:rsidTr="00F70A5E">
        <w:tc>
          <w:tcPr>
            <w:tcW w:w="281" w:type="pct"/>
          </w:tcPr>
          <w:p w:rsidR="00767E98" w:rsidRPr="004867DE" w:rsidRDefault="000C7B9A" w:rsidP="00767E98">
            <w:pPr>
              <w:pStyle w:val="Parastais1"/>
              <w:spacing w:before="100" w:beforeAutospacing="1" w:after="100" w:afterAutospacing="1"/>
              <w:jc w:val="both"/>
              <w:rPr>
                <w:color w:val="000000"/>
              </w:rPr>
            </w:pPr>
            <w:r>
              <w:rPr>
                <w:color w:val="000000"/>
              </w:rPr>
              <w:t>2</w:t>
            </w:r>
            <w:r w:rsidR="00767E98" w:rsidRPr="004867DE">
              <w:rPr>
                <w:color w:val="000000"/>
              </w:rPr>
              <w:t>.</w:t>
            </w:r>
          </w:p>
        </w:tc>
        <w:tc>
          <w:tcPr>
            <w:tcW w:w="1678" w:type="pct"/>
          </w:tcPr>
          <w:p w:rsidR="00767E98" w:rsidRPr="004867DE" w:rsidRDefault="00767E98" w:rsidP="000C7B9A">
            <w:pPr>
              <w:pStyle w:val="Parastais1"/>
              <w:spacing w:before="100" w:beforeAutospacing="1" w:after="100" w:afterAutospacing="1"/>
              <w:jc w:val="both"/>
              <w:rPr>
                <w:color w:val="000000"/>
              </w:rPr>
            </w:pPr>
            <w:r w:rsidRPr="004867DE">
              <w:rPr>
                <w:color w:val="000000"/>
              </w:rPr>
              <w:t>Tiesiskā regulējuma ietekme</w:t>
            </w:r>
            <w:r w:rsidR="000C7B9A">
              <w:rPr>
                <w:color w:val="000000"/>
              </w:rPr>
              <w:t xml:space="preserve"> uz tautsaimniecību un </w:t>
            </w:r>
            <w:r w:rsidR="000C7B9A">
              <w:rPr>
                <w:color w:val="000000"/>
              </w:rPr>
              <w:lastRenderedPageBreak/>
              <w:t>administratīvo slogu</w:t>
            </w:r>
          </w:p>
        </w:tc>
        <w:tc>
          <w:tcPr>
            <w:tcW w:w="3040" w:type="pct"/>
          </w:tcPr>
          <w:p w:rsidR="00767E98" w:rsidRPr="00315DCC" w:rsidRDefault="00EE2EF9" w:rsidP="002B61A9">
            <w:pPr>
              <w:pStyle w:val="Parastais1"/>
              <w:jc w:val="both"/>
            </w:pPr>
            <w:r>
              <w:rPr>
                <w:iCs/>
              </w:rPr>
              <w:lastRenderedPageBreak/>
              <w:t xml:space="preserve">Finansiālā ietekme </w:t>
            </w:r>
            <w:r>
              <w:t xml:space="preserve">mazināsies, jo </w:t>
            </w:r>
            <w:r w:rsidR="002B61A9">
              <w:t xml:space="preserve">no diviem uz vienu </w:t>
            </w:r>
            <w:r>
              <w:t>ti</w:t>
            </w:r>
            <w:r w:rsidR="002B61A9">
              <w:t>ek</w:t>
            </w:r>
            <w:r>
              <w:t xml:space="preserve"> </w:t>
            </w:r>
            <w:r w:rsidR="002B61A9">
              <w:t>sa</w:t>
            </w:r>
            <w:r>
              <w:t xml:space="preserve">mazināts iesniedzamo dokumentu skaits. </w:t>
            </w:r>
            <w:r>
              <w:lastRenderedPageBreak/>
              <w:t xml:space="preserve">Datorizētās sistēmas izmantošana ļaus </w:t>
            </w:r>
            <w:r w:rsidR="006616DA">
              <w:t>vienkāršot procedūru gan uzņēmējiem, gan kompetentajai institūcijai.</w:t>
            </w:r>
          </w:p>
        </w:tc>
      </w:tr>
      <w:tr w:rsidR="00895D4E" w:rsidRPr="004867DE" w:rsidTr="00F70A5E">
        <w:tc>
          <w:tcPr>
            <w:tcW w:w="281" w:type="pct"/>
          </w:tcPr>
          <w:p w:rsidR="00895D4E" w:rsidRPr="004867DE" w:rsidRDefault="000C7B9A" w:rsidP="00767E98">
            <w:pPr>
              <w:pStyle w:val="Parastais1"/>
              <w:spacing w:before="100" w:beforeAutospacing="1" w:after="100" w:afterAutospacing="1"/>
              <w:jc w:val="both"/>
              <w:rPr>
                <w:color w:val="000000"/>
              </w:rPr>
            </w:pPr>
            <w:r>
              <w:rPr>
                <w:color w:val="000000"/>
              </w:rPr>
              <w:lastRenderedPageBreak/>
              <w:t>3</w:t>
            </w:r>
            <w:r w:rsidR="00895D4E" w:rsidRPr="004867DE">
              <w:rPr>
                <w:color w:val="000000"/>
              </w:rPr>
              <w:t>.</w:t>
            </w:r>
          </w:p>
        </w:tc>
        <w:tc>
          <w:tcPr>
            <w:tcW w:w="1678" w:type="pct"/>
          </w:tcPr>
          <w:p w:rsidR="00895D4E" w:rsidRPr="004867DE" w:rsidRDefault="00895D4E" w:rsidP="00767E98">
            <w:pPr>
              <w:pStyle w:val="Parastais1"/>
              <w:spacing w:before="100" w:beforeAutospacing="1" w:after="100" w:afterAutospacing="1"/>
              <w:jc w:val="both"/>
              <w:rPr>
                <w:color w:val="000000"/>
              </w:rPr>
            </w:pPr>
            <w:r w:rsidRPr="004867DE">
              <w:rPr>
                <w:color w:val="000000"/>
              </w:rPr>
              <w:t>Administratīvo izmaksu monetārs novērtējums</w:t>
            </w:r>
          </w:p>
        </w:tc>
        <w:tc>
          <w:tcPr>
            <w:tcW w:w="3040" w:type="pct"/>
          </w:tcPr>
          <w:p w:rsidR="00895D4E" w:rsidRPr="004867DE" w:rsidRDefault="008B0CB2" w:rsidP="00767E98">
            <w:pPr>
              <w:pStyle w:val="Parastais1"/>
              <w:spacing w:before="100" w:beforeAutospacing="1" w:after="100" w:afterAutospacing="1"/>
              <w:jc w:val="both"/>
              <w:rPr>
                <w:color w:val="000000"/>
              </w:rPr>
            </w:pPr>
            <w:r w:rsidRPr="00B91AE8">
              <w:rPr>
                <w:iCs/>
              </w:rPr>
              <w:t>Projekts šo jomu neskar</w:t>
            </w:r>
            <w:r w:rsidRPr="00B91AE8">
              <w:t>.</w:t>
            </w:r>
          </w:p>
        </w:tc>
      </w:tr>
      <w:tr w:rsidR="00767E98" w:rsidRPr="004867DE" w:rsidTr="00F70A5E">
        <w:tc>
          <w:tcPr>
            <w:tcW w:w="281" w:type="pct"/>
          </w:tcPr>
          <w:p w:rsidR="00767E98" w:rsidRPr="004867DE" w:rsidRDefault="000C7B9A" w:rsidP="00767E98">
            <w:pPr>
              <w:pStyle w:val="Parastais1"/>
              <w:spacing w:before="100" w:beforeAutospacing="1" w:after="100" w:afterAutospacing="1"/>
              <w:jc w:val="both"/>
              <w:rPr>
                <w:color w:val="000000"/>
              </w:rPr>
            </w:pPr>
            <w:r>
              <w:rPr>
                <w:color w:val="000000"/>
              </w:rPr>
              <w:t>4</w:t>
            </w:r>
            <w:r w:rsidR="00767E98" w:rsidRPr="004867DE">
              <w:rPr>
                <w:color w:val="000000"/>
              </w:rPr>
              <w:t>.</w:t>
            </w:r>
          </w:p>
        </w:tc>
        <w:tc>
          <w:tcPr>
            <w:tcW w:w="1678" w:type="pct"/>
          </w:tcPr>
          <w:p w:rsidR="00767E98" w:rsidRPr="004867DE" w:rsidRDefault="00767E98" w:rsidP="00767E98">
            <w:pPr>
              <w:pStyle w:val="Parastais1"/>
              <w:spacing w:before="100" w:beforeAutospacing="1" w:after="100" w:afterAutospacing="1"/>
              <w:jc w:val="both"/>
              <w:rPr>
                <w:color w:val="000000"/>
              </w:rPr>
            </w:pPr>
            <w:r w:rsidRPr="004867DE">
              <w:rPr>
                <w:color w:val="000000"/>
              </w:rPr>
              <w:t>Cita informācija</w:t>
            </w:r>
          </w:p>
        </w:tc>
        <w:tc>
          <w:tcPr>
            <w:tcW w:w="3040" w:type="pct"/>
          </w:tcPr>
          <w:p w:rsidR="00767E98" w:rsidRPr="004867DE" w:rsidRDefault="00767E98" w:rsidP="00767E98">
            <w:pPr>
              <w:pStyle w:val="Parastais1"/>
              <w:spacing w:before="100" w:beforeAutospacing="1" w:after="100" w:afterAutospacing="1"/>
              <w:jc w:val="both"/>
              <w:rPr>
                <w:color w:val="000000"/>
              </w:rPr>
            </w:pPr>
            <w:r w:rsidRPr="004867DE">
              <w:rPr>
                <w:color w:val="000000"/>
              </w:rPr>
              <w:t>Nav</w:t>
            </w:r>
          </w:p>
        </w:tc>
      </w:tr>
    </w:tbl>
    <w:p w:rsidR="00767E98" w:rsidRPr="004867DE" w:rsidRDefault="00767E98" w:rsidP="00767E98">
      <w:pPr>
        <w:pStyle w:val="Parastais1"/>
        <w:jc w:val="both"/>
        <w:rPr>
          <w:color w:val="000000"/>
        </w:rPr>
      </w:pPr>
    </w:p>
    <w:p w:rsidR="000C7B9A" w:rsidRDefault="00767E98" w:rsidP="00767E98">
      <w:pPr>
        <w:pStyle w:val="ParastaisWeb1"/>
        <w:spacing w:before="0" w:beforeAutospacing="0" w:after="0" w:afterAutospacing="0"/>
        <w:rPr>
          <w:i/>
          <w:sz w:val="24"/>
          <w:szCs w:val="24"/>
        </w:rPr>
      </w:pPr>
      <w:r>
        <w:rPr>
          <w:i/>
          <w:sz w:val="24"/>
          <w:szCs w:val="24"/>
        </w:rPr>
        <w:t xml:space="preserve">Anotācijas III </w:t>
      </w:r>
      <w:r w:rsidR="009B18C5">
        <w:rPr>
          <w:i/>
          <w:sz w:val="24"/>
          <w:szCs w:val="24"/>
        </w:rPr>
        <w:t xml:space="preserve">un IV </w:t>
      </w:r>
      <w:r w:rsidRPr="005C5132">
        <w:rPr>
          <w:i/>
          <w:sz w:val="24"/>
          <w:szCs w:val="24"/>
        </w:rPr>
        <w:t xml:space="preserve">sadaļa – </w:t>
      </w:r>
      <w:r w:rsidR="00C77AB3">
        <w:rPr>
          <w:i/>
          <w:sz w:val="24"/>
          <w:szCs w:val="24"/>
        </w:rPr>
        <w:t xml:space="preserve">projekts </w:t>
      </w:r>
      <w:r w:rsidR="00CF3E3A">
        <w:rPr>
          <w:i/>
          <w:sz w:val="24"/>
          <w:szCs w:val="24"/>
        </w:rPr>
        <w:t>šīs</w:t>
      </w:r>
      <w:r w:rsidR="00F308A5">
        <w:rPr>
          <w:i/>
          <w:sz w:val="24"/>
          <w:szCs w:val="24"/>
        </w:rPr>
        <w:t xml:space="preserve"> </w:t>
      </w:r>
      <w:r w:rsidR="00CF3E3A">
        <w:rPr>
          <w:i/>
          <w:sz w:val="24"/>
          <w:szCs w:val="24"/>
        </w:rPr>
        <w:t>jomas</w:t>
      </w:r>
      <w:r w:rsidR="00F308A5">
        <w:rPr>
          <w:i/>
          <w:sz w:val="24"/>
          <w:szCs w:val="24"/>
        </w:rPr>
        <w:t xml:space="preserve"> neskar</w:t>
      </w:r>
      <w:r w:rsidRPr="005C5132">
        <w:rPr>
          <w:i/>
          <w:sz w:val="24"/>
          <w:szCs w:val="24"/>
        </w:rPr>
        <w:t>.</w:t>
      </w:r>
    </w:p>
    <w:p w:rsidR="00767E98" w:rsidRPr="00C67E58" w:rsidRDefault="00767E98" w:rsidP="00C67E58">
      <w:pPr>
        <w:pStyle w:val="Bezatstarpm"/>
        <w:rPr>
          <w:rFonts w:ascii="Times New Roman" w:hAnsi="Times New Roman"/>
          <w:color w:val="000000"/>
        </w:rPr>
      </w:pPr>
    </w:p>
    <w:tbl>
      <w:tblPr>
        <w:tblW w:w="4858" w:type="pct"/>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55"/>
        <w:gridCol w:w="2191"/>
        <w:gridCol w:w="1601"/>
        <w:gridCol w:w="436"/>
        <w:gridCol w:w="2366"/>
        <w:gridCol w:w="1968"/>
      </w:tblGrid>
      <w:tr w:rsidR="00767E98" w:rsidRPr="00C67E58" w:rsidTr="00F33E81">
        <w:tc>
          <w:tcPr>
            <w:tcW w:w="5000" w:type="pct"/>
            <w:gridSpan w:val="6"/>
            <w:tcBorders>
              <w:top w:val="outset" w:sz="6" w:space="0" w:color="auto"/>
              <w:left w:val="outset" w:sz="6" w:space="0" w:color="auto"/>
              <w:bottom w:val="outset" w:sz="6" w:space="0" w:color="auto"/>
              <w:right w:val="outset" w:sz="6" w:space="0" w:color="auto"/>
            </w:tcBorders>
          </w:tcPr>
          <w:p w:rsidR="00767E98" w:rsidRPr="00C77AB3" w:rsidRDefault="00767E98" w:rsidP="00C67E58">
            <w:pPr>
              <w:pStyle w:val="Bezatstarpm"/>
              <w:rPr>
                <w:rFonts w:ascii="Times New Roman" w:hAnsi="Times New Roman"/>
                <w:b/>
                <w:sz w:val="24"/>
                <w:szCs w:val="24"/>
              </w:rPr>
            </w:pPr>
            <w:r w:rsidRPr="00C77AB3">
              <w:rPr>
                <w:rFonts w:ascii="Times New Roman" w:hAnsi="Times New Roman"/>
                <w:b/>
                <w:sz w:val="24"/>
                <w:szCs w:val="24"/>
              </w:rPr>
              <w:t> V. Tiesību akta projekta atbilstība Latvijas Republikas starptautiskajām saistībām</w:t>
            </w:r>
          </w:p>
        </w:tc>
      </w:tr>
      <w:tr w:rsidR="00767E98" w:rsidRPr="00B87CD9" w:rsidTr="00B038AE">
        <w:tc>
          <w:tcPr>
            <w:tcW w:w="252" w:type="pct"/>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1"/>
            </w:pPr>
            <w:r>
              <w:t>1.</w:t>
            </w:r>
          </w:p>
        </w:tc>
        <w:tc>
          <w:tcPr>
            <w:tcW w:w="2103" w:type="pct"/>
            <w:gridSpan w:val="2"/>
            <w:tcBorders>
              <w:top w:val="outset" w:sz="6" w:space="0" w:color="auto"/>
              <w:left w:val="outset" w:sz="6" w:space="0" w:color="auto"/>
              <w:bottom w:val="outset" w:sz="6" w:space="0" w:color="auto"/>
              <w:right w:val="outset" w:sz="6" w:space="0" w:color="auto"/>
            </w:tcBorders>
          </w:tcPr>
          <w:p w:rsidR="00767E98" w:rsidRPr="00FE188F" w:rsidRDefault="00767E98" w:rsidP="00767E98">
            <w:pPr>
              <w:pStyle w:val="Parastais1"/>
            </w:pPr>
            <w:r w:rsidRPr="00FE188F">
              <w:t>Saistības pret Eiropas Savienību</w:t>
            </w:r>
          </w:p>
        </w:tc>
        <w:tc>
          <w:tcPr>
            <w:tcW w:w="2645" w:type="pct"/>
            <w:gridSpan w:val="3"/>
            <w:tcBorders>
              <w:top w:val="outset" w:sz="6" w:space="0" w:color="auto"/>
              <w:left w:val="outset" w:sz="6" w:space="0" w:color="auto"/>
              <w:bottom w:val="outset" w:sz="6" w:space="0" w:color="auto"/>
              <w:right w:val="outset" w:sz="6" w:space="0" w:color="auto"/>
            </w:tcBorders>
          </w:tcPr>
          <w:p w:rsidR="00645504" w:rsidRPr="00645504" w:rsidRDefault="009E43E7" w:rsidP="00645504">
            <w:pPr>
              <w:pStyle w:val="Default"/>
              <w:numPr>
                <w:ilvl w:val="0"/>
                <w:numId w:val="12"/>
              </w:numPr>
              <w:rPr>
                <w:rFonts w:ascii="Times New Roman" w:hAnsi="Times New Roman" w:cs="Times New Roman"/>
                <w:bCs/>
              </w:rPr>
            </w:pPr>
            <w:r>
              <w:rPr>
                <w:rFonts w:ascii="Times New Roman" w:hAnsi="Times New Roman" w:cs="Times New Roman"/>
                <w:bCs/>
              </w:rPr>
              <w:t xml:space="preserve">Regula </w:t>
            </w:r>
            <w:r w:rsidR="006A4ACB">
              <w:rPr>
                <w:rFonts w:ascii="Times New Roman" w:hAnsi="Times New Roman" w:cs="Times New Roman"/>
                <w:bCs/>
              </w:rPr>
              <w:t>Nr.</w:t>
            </w:r>
            <w:r>
              <w:rPr>
                <w:rFonts w:ascii="Times New Roman" w:hAnsi="Times New Roman" w:cs="Times New Roman"/>
                <w:bCs/>
              </w:rPr>
              <w:t>669/2009</w:t>
            </w:r>
            <w:r w:rsidR="00F90766">
              <w:rPr>
                <w:rFonts w:ascii="Times New Roman" w:hAnsi="Times New Roman" w:cs="Times New Roman"/>
                <w:bCs/>
              </w:rPr>
              <w:t>;</w:t>
            </w:r>
          </w:p>
          <w:p w:rsidR="009E43E7" w:rsidRPr="00645504" w:rsidRDefault="009E43E7" w:rsidP="00645504">
            <w:pPr>
              <w:pStyle w:val="Default"/>
              <w:numPr>
                <w:ilvl w:val="0"/>
                <w:numId w:val="12"/>
              </w:numPr>
              <w:rPr>
                <w:rFonts w:ascii="Times New Roman" w:hAnsi="Times New Roman" w:cs="Times New Roman"/>
                <w:bCs/>
              </w:rPr>
            </w:pPr>
            <w:r w:rsidRPr="00645504">
              <w:rPr>
                <w:rFonts w:ascii="Times New Roman" w:hAnsi="Times New Roman" w:cs="Times New Roman"/>
              </w:rPr>
              <w:t>Regula Nr.1152/2009;</w:t>
            </w:r>
          </w:p>
          <w:p w:rsidR="002B70E3" w:rsidRPr="006A4ACB" w:rsidRDefault="009E43E7" w:rsidP="00EA1DAF">
            <w:pPr>
              <w:pStyle w:val="Default"/>
              <w:numPr>
                <w:ilvl w:val="0"/>
                <w:numId w:val="12"/>
              </w:numPr>
              <w:rPr>
                <w:rFonts w:ascii="Times New Roman" w:hAnsi="Times New Roman" w:cs="Times New Roman"/>
              </w:rPr>
            </w:pPr>
            <w:r w:rsidRPr="00790B22">
              <w:rPr>
                <w:rFonts w:ascii="Times New Roman" w:hAnsi="Times New Roman" w:cs="Times New Roman"/>
              </w:rPr>
              <w:t>Regula Nr.91/2013</w:t>
            </w:r>
            <w:r w:rsidR="00EA1DAF">
              <w:rPr>
                <w:rFonts w:ascii="Times New Roman" w:hAnsi="Times New Roman" w:cs="Times New Roman"/>
                <w:bCs/>
              </w:rPr>
              <w:t>.</w:t>
            </w:r>
          </w:p>
        </w:tc>
      </w:tr>
      <w:tr w:rsidR="00767E98" w:rsidRPr="000D7FC2" w:rsidTr="00B038AE">
        <w:tc>
          <w:tcPr>
            <w:tcW w:w="252" w:type="pct"/>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1"/>
            </w:pPr>
            <w:r>
              <w:t>2.</w:t>
            </w:r>
          </w:p>
        </w:tc>
        <w:tc>
          <w:tcPr>
            <w:tcW w:w="2103" w:type="pct"/>
            <w:gridSpan w:val="2"/>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1"/>
            </w:pPr>
            <w:r>
              <w:t>Citas starptautiskās saistības</w:t>
            </w:r>
          </w:p>
        </w:tc>
        <w:tc>
          <w:tcPr>
            <w:tcW w:w="2645" w:type="pct"/>
            <w:gridSpan w:val="3"/>
            <w:tcBorders>
              <w:top w:val="outset" w:sz="6" w:space="0" w:color="auto"/>
              <w:left w:val="outset" w:sz="6" w:space="0" w:color="auto"/>
              <w:bottom w:val="outset" w:sz="6" w:space="0" w:color="auto"/>
              <w:right w:val="outset" w:sz="6" w:space="0" w:color="auto"/>
            </w:tcBorders>
          </w:tcPr>
          <w:p w:rsidR="00767E98" w:rsidRPr="000D7FC2" w:rsidRDefault="00895D4E" w:rsidP="00767E98">
            <w:pPr>
              <w:pStyle w:val="Parastais1"/>
            </w:pPr>
            <w:r w:rsidRPr="00097448">
              <w:rPr>
                <w:iCs/>
              </w:rPr>
              <w:t>Projekts šo jomu neskar</w:t>
            </w:r>
            <w:r>
              <w:t>.</w:t>
            </w:r>
          </w:p>
        </w:tc>
      </w:tr>
      <w:tr w:rsidR="00767E98" w:rsidTr="00B038AE">
        <w:tc>
          <w:tcPr>
            <w:tcW w:w="252" w:type="pct"/>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1"/>
            </w:pPr>
            <w:r>
              <w:t>3.</w:t>
            </w:r>
          </w:p>
        </w:tc>
        <w:tc>
          <w:tcPr>
            <w:tcW w:w="2103" w:type="pct"/>
            <w:gridSpan w:val="2"/>
            <w:tcBorders>
              <w:top w:val="outset" w:sz="6" w:space="0" w:color="auto"/>
              <w:left w:val="outset" w:sz="6" w:space="0" w:color="auto"/>
              <w:bottom w:val="outset" w:sz="6" w:space="0" w:color="auto"/>
              <w:right w:val="outset" w:sz="6" w:space="0" w:color="auto"/>
            </w:tcBorders>
          </w:tcPr>
          <w:p w:rsidR="00767E98" w:rsidRDefault="00767E98" w:rsidP="00767E98">
            <w:pPr>
              <w:pStyle w:val="Parastais1"/>
            </w:pPr>
            <w:r>
              <w:t>Cita informācija</w:t>
            </w:r>
          </w:p>
        </w:tc>
        <w:tc>
          <w:tcPr>
            <w:tcW w:w="2645" w:type="pct"/>
            <w:gridSpan w:val="3"/>
            <w:tcBorders>
              <w:top w:val="outset" w:sz="6" w:space="0" w:color="auto"/>
              <w:left w:val="outset" w:sz="6" w:space="0" w:color="auto"/>
              <w:bottom w:val="outset" w:sz="6" w:space="0" w:color="auto"/>
              <w:right w:val="outset" w:sz="6" w:space="0" w:color="auto"/>
            </w:tcBorders>
          </w:tcPr>
          <w:p w:rsidR="00767E98" w:rsidRDefault="00767E98" w:rsidP="00767E98">
            <w:pPr>
              <w:pStyle w:val="Parastais1"/>
            </w:pPr>
            <w:r>
              <w:t xml:space="preserve">Nav </w:t>
            </w:r>
          </w:p>
        </w:tc>
      </w:tr>
      <w:tr w:rsidR="00767E98" w:rsidRPr="00B0490E" w:rsidTr="00F33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6"/>
          </w:tcPr>
          <w:p w:rsidR="00767E98" w:rsidRPr="008677D5" w:rsidRDefault="00767E98" w:rsidP="00767E98">
            <w:pPr>
              <w:pStyle w:val="Parastais1"/>
              <w:jc w:val="center"/>
              <w:rPr>
                <w:b/>
              </w:rPr>
            </w:pPr>
            <w:r w:rsidRPr="008677D5">
              <w:rPr>
                <w:b/>
              </w:rPr>
              <w:t xml:space="preserve">1.tabula </w:t>
            </w:r>
          </w:p>
          <w:p w:rsidR="00767E98" w:rsidRPr="00B0490E" w:rsidRDefault="00767E98" w:rsidP="00767E98">
            <w:pPr>
              <w:pStyle w:val="Parastais1"/>
              <w:jc w:val="center"/>
            </w:pPr>
            <w:r w:rsidRPr="008677D5">
              <w:rPr>
                <w:b/>
              </w:rPr>
              <w:t>Tiesību akta projekta atbilstība ES tiesību aktiem</w:t>
            </w:r>
          </w:p>
        </w:tc>
      </w:tr>
      <w:tr w:rsidR="00767E98" w:rsidRPr="00D730D2"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55" w:type="pct"/>
            <w:gridSpan w:val="3"/>
          </w:tcPr>
          <w:p w:rsidR="00767E98" w:rsidRPr="008D05D4" w:rsidRDefault="00767E98" w:rsidP="00767E98">
            <w:pPr>
              <w:pStyle w:val="naisc"/>
              <w:spacing w:before="0" w:after="0"/>
              <w:jc w:val="both"/>
            </w:pPr>
            <w:r w:rsidRPr="008D05D4">
              <w:t>Attiecīgo Eiropas Savienības tiesību aktu datums</w:t>
            </w:r>
            <w:r>
              <w:t>,</w:t>
            </w:r>
            <w:r w:rsidRPr="008D05D4">
              <w:t xml:space="preserve"> numurs un nosaukums</w:t>
            </w:r>
          </w:p>
        </w:tc>
        <w:tc>
          <w:tcPr>
            <w:tcW w:w="2645" w:type="pct"/>
            <w:gridSpan w:val="3"/>
          </w:tcPr>
          <w:p w:rsidR="00767E98" w:rsidRPr="00D730D2" w:rsidRDefault="002A3D37" w:rsidP="006A4ACB">
            <w:pPr>
              <w:pStyle w:val="Parastais1"/>
              <w:jc w:val="both"/>
            </w:pPr>
            <w:r>
              <w:rPr>
                <w:rFonts w:cs="EUAlbertina"/>
                <w:color w:val="000000"/>
              </w:rPr>
              <w:t xml:space="preserve">Komisijas </w:t>
            </w:r>
            <w:r w:rsidR="006A4ACB">
              <w:rPr>
                <w:rFonts w:cs="EUAlbertina"/>
                <w:color w:val="000000"/>
              </w:rPr>
              <w:t>Regula Nr.669/2009</w:t>
            </w:r>
            <w:r>
              <w:rPr>
                <w:rFonts w:cs="EUAlbertina"/>
                <w:color w:val="000000"/>
              </w:rPr>
              <w:t xml:space="preserve">. </w:t>
            </w:r>
          </w:p>
        </w:tc>
      </w:tr>
      <w:tr w:rsidR="00767E98" w:rsidRPr="002F10A4"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767E98" w:rsidRPr="002F10A4" w:rsidRDefault="00767E98" w:rsidP="00767E98">
            <w:pPr>
              <w:pStyle w:val="naisc"/>
              <w:spacing w:before="0" w:after="0"/>
            </w:pPr>
            <w:r>
              <w:t>A</w:t>
            </w:r>
          </w:p>
        </w:tc>
        <w:tc>
          <w:tcPr>
            <w:tcW w:w="1130" w:type="pct"/>
            <w:gridSpan w:val="2"/>
          </w:tcPr>
          <w:p w:rsidR="00767E98" w:rsidRPr="002F10A4" w:rsidRDefault="00767E98" w:rsidP="00767E98">
            <w:pPr>
              <w:pStyle w:val="naisc"/>
              <w:spacing w:before="0" w:after="0"/>
            </w:pPr>
            <w:r>
              <w:t>B</w:t>
            </w:r>
          </w:p>
        </w:tc>
        <w:tc>
          <w:tcPr>
            <w:tcW w:w="1312" w:type="pct"/>
          </w:tcPr>
          <w:p w:rsidR="00767E98" w:rsidRPr="002F10A4" w:rsidRDefault="00767E98" w:rsidP="00767E98">
            <w:pPr>
              <w:pStyle w:val="naisc"/>
              <w:spacing w:before="0" w:after="0"/>
            </w:pPr>
            <w:r>
              <w:t>C</w:t>
            </w:r>
          </w:p>
        </w:tc>
        <w:tc>
          <w:tcPr>
            <w:tcW w:w="1091" w:type="pct"/>
          </w:tcPr>
          <w:p w:rsidR="00767E98" w:rsidRPr="002F10A4" w:rsidRDefault="00767E98" w:rsidP="00767E98">
            <w:pPr>
              <w:pStyle w:val="naisc"/>
              <w:spacing w:before="0" w:after="0"/>
            </w:pPr>
            <w:r>
              <w:t>D</w:t>
            </w:r>
          </w:p>
        </w:tc>
      </w:tr>
      <w:tr w:rsidR="00767E98"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767E98" w:rsidRDefault="00767E98" w:rsidP="00767E98">
            <w:pPr>
              <w:pStyle w:val="naisc"/>
              <w:spacing w:before="0" w:after="0"/>
              <w:jc w:val="both"/>
            </w:pPr>
            <w:r>
              <w:t>Attiecīgā ES tiesību akta panta numurs (uzskaitot katru tiesību akta vienību-pantu, daļu, punktu, apakšpunktu)</w:t>
            </w:r>
          </w:p>
        </w:tc>
        <w:tc>
          <w:tcPr>
            <w:tcW w:w="1130" w:type="pct"/>
            <w:gridSpan w:val="2"/>
          </w:tcPr>
          <w:p w:rsidR="00767E98" w:rsidRDefault="000C7B9A" w:rsidP="00767E98">
            <w:pPr>
              <w:pStyle w:val="naisc"/>
              <w:spacing w:before="0" w:after="0"/>
              <w:jc w:val="both"/>
            </w:pPr>
            <w:r w:rsidRPr="00F70A5E">
              <w:t>Projekta vienība, kas pārņem vai ievieš katru šīs tabulas A ailē minēto ES tiesību akta vienību, vai tiesību akts, kur attiecīgā ES tiesību akta vienība pārņemta vai ieviesta</w:t>
            </w:r>
          </w:p>
        </w:tc>
        <w:tc>
          <w:tcPr>
            <w:tcW w:w="1312" w:type="pct"/>
          </w:tcPr>
          <w:p w:rsidR="00767E98" w:rsidRDefault="00767E98" w:rsidP="00767E98">
            <w:pPr>
              <w:pStyle w:val="naisc"/>
              <w:spacing w:before="0" w:after="0"/>
              <w:jc w:val="both"/>
            </w:pPr>
            <w:r>
              <w:t xml:space="preserve">Informācija par to, vai </w:t>
            </w:r>
            <w:r w:rsidR="000B7CEA">
              <w:t>šīs tabulas</w:t>
            </w:r>
            <w:r>
              <w:t xml:space="preserve"> A ailē minētās ES tiesību akta vienības tiek pārņemtas vai ieviestas pilnībā vai daļēji. Ja attiecīgā ES tiesību akta vienība tiek pārņemta vai ieviesta daļēji,  sniedz attiecīgu skaidrojumu, kā arī precīzi norāda, kad un kādā veidā ES tiesību akta vienība tiks pārņemta vai ieviesta pilnībā.</w:t>
            </w:r>
          </w:p>
          <w:p w:rsidR="00767E98" w:rsidRDefault="00767E98" w:rsidP="00767E98">
            <w:pPr>
              <w:pStyle w:val="naisc"/>
              <w:spacing w:before="0" w:after="0"/>
              <w:jc w:val="both"/>
            </w:pPr>
            <w:r>
              <w:t>Norāda institūciju, kas ir atbildīga par šo saistību izpildi pilnībā</w:t>
            </w:r>
          </w:p>
        </w:tc>
        <w:tc>
          <w:tcPr>
            <w:tcW w:w="1091" w:type="pct"/>
          </w:tcPr>
          <w:p w:rsidR="00767E98" w:rsidRDefault="00767E98" w:rsidP="00767E98">
            <w:pPr>
              <w:pStyle w:val="naisc"/>
              <w:spacing w:before="0" w:after="0"/>
              <w:jc w:val="both"/>
            </w:pPr>
            <w:r>
              <w:t xml:space="preserve">Informācija par to, vai šīs tabulas B ailē minētās projekta vienības paredz stingrākas prasības nekā </w:t>
            </w:r>
            <w:r w:rsidR="000B7CEA">
              <w:t>šīs tabulas</w:t>
            </w:r>
            <w:r>
              <w:t xml:space="preserve"> A ailē minētās ES tiesību akta vienības. Ja projekts satur stingrākas prasības nekā attiecīgais ES tiesību </w:t>
            </w:r>
            <w:smartTag w:uri="schemas-tilde-lv/tildestengine" w:element="veidnes">
              <w:smartTagPr>
                <w:attr w:name="id" w:val="-1"/>
                <w:attr w:name="baseform" w:val="akts"/>
                <w:attr w:name="text" w:val="akts"/>
              </w:smartTagPr>
              <w:r>
                <w:t>akts</w:t>
              </w:r>
            </w:smartTag>
            <w:r>
              <w:t>, norāda pamatojumu un samērīgumu.</w:t>
            </w:r>
          </w:p>
          <w:p w:rsidR="00767E98" w:rsidRDefault="00767E98" w:rsidP="00767E98">
            <w:pPr>
              <w:pStyle w:val="naisc"/>
              <w:spacing w:before="0" w:after="0"/>
              <w:jc w:val="both"/>
            </w:pPr>
            <w:r>
              <w:t xml:space="preserve">Norāda iespējamās alternatīvas (t.sk. alternatīvas, kas neparedz tiesiskā regulējuma </w:t>
            </w:r>
            <w:r>
              <w:lastRenderedPageBreak/>
              <w:t>izstrādi)</w:t>
            </w:r>
            <w:r w:rsidR="000C7B9A">
              <w:t xml:space="preserve"> </w:t>
            </w:r>
            <w:r>
              <w:t>- kādos gadījumos būtu iespējams izvairīties no stingrāku prasību noteikšanas, nekā paredzēts attiecīgajos ES tiesību aktos</w:t>
            </w:r>
          </w:p>
        </w:tc>
      </w:tr>
      <w:tr w:rsidR="00B038AE"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B038AE" w:rsidRPr="009954F4" w:rsidRDefault="00B038AE" w:rsidP="00B038AE">
            <w:pPr>
              <w:pStyle w:val="Parastais1"/>
            </w:pPr>
            <w:r w:rsidRPr="009954F4">
              <w:lastRenderedPageBreak/>
              <w:t xml:space="preserve">Regulas Nr.669/2009 3.panta </w:t>
            </w:r>
            <w:r w:rsidR="002B61A9">
              <w:t>„</w:t>
            </w:r>
            <w:r w:rsidRPr="009954F4">
              <w:t>a</w:t>
            </w:r>
            <w:r w:rsidR="002B61A9">
              <w:t>”</w:t>
            </w:r>
            <w:r w:rsidRPr="009954F4">
              <w:t xml:space="preserve"> apakšpunkts</w:t>
            </w:r>
          </w:p>
          <w:p w:rsidR="00B038AE" w:rsidRPr="009954F4" w:rsidRDefault="00B038AE" w:rsidP="007251F6">
            <w:pPr>
              <w:pStyle w:val="Parastais1"/>
            </w:pPr>
          </w:p>
        </w:tc>
        <w:tc>
          <w:tcPr>
            <w:tcW w:w="1130" w:type="pct"/>
            <w:gridSpan w:val="2"/>
          </w:tcPr>
          <w:p w:rsidR="00B038AE" w:rsidRPr="009954F4" w:rsidRDefault="00B038AE" w:rsidP="006B43DE">
            <w:pPr>
              <w:pStyle w:val="naisc"/>
              <w:spacing w:before="0" w:after="0"/>
              <w:jc w:val="both"/>
            </w:pPr>
            <w:r w:rsidRPr="009954F4">
              <w:t>1.1.apakšpunkts</w:t>
            </w:r>
          </w:p>
        </w:tc>
        <w:tc>
          <w:tcPr>
            <w:tcW w:w="1312" w:type="pct"/>
          </w:tcPr>
          <w:p w:rsidR="00B038AE" w:rsidRPr="009954F4" w:rsidRDefault="00B038AE" w:rsidP="00767E98">
            <w:pPr>
              <w:pStyle w:val="naisc"/>
              <w:spacing w:before="0" w:after="0"/>
              <w:jc w:val="both"/>
            </w:pPr>
            <w:r w:rsidRPr="009954F4">
              <w:t>Ieviests pilnībā.</w:t>
            </w:r>
          </w:p>
        </w:tc>
        <w:tc>
          <w:tcPr>
            <w:tcW w:w="1091" w:type="pct"/>
          </w:tcPr>
          <w:p w:rsidR="00B038AE" w:rsidRPr="009954F4" w:rsidRDefault="00B038AE" w:rsidP="00767E98">
            <w:pPr>
              <w:pStyle w:val="naisc"/>
              <w:spacing w:before="0" w:after="0"/>
              <w:jc w:val="both"/>
              <w:rPr>
                <w:iCs/>
              </w:rPr>
            </w:pPr>
            <w:r w:rsidRPr="009954F4">
              <w:t>Neparedz stingrākas prasības.</w:t>
            </w:r>
          </w:p>
        </w:tc>
      </w:tr>
      <w:tr w:rsidR="00BB0AF9"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9C24B2" w:rsidRPr="009954F4" w:rsidRDefault="009C24B2" w:rsidP="007251F6">
            <w:pPr>
              <w:pStyle w:val="Parastais1"/>
            </w:pPr>
            <w:r w:rsidRPr="009954F4">
              <w:t>Regula</w:t>
            </w:r>
            <w:r w:rsidR="00F95D30" w:rsidRPr="009954F4">
              <w:t>s</w:t>
            </w:r>
            <w:r w:rsidRPr="009954F4">
              <w:t xml:space="preserve"> Nr.669/2009</w:t>
            </w:r>
            <w:r w:rsidR="00D2650E" w:rsidRPr="009954F4">
              <w:t xml:space="preserve"> </w:t>
            </w:r>
            <w:r w:rsidR="007251F6" w:rsidRPr="009954F4">
              <w:t>6</w:t>
            </w:r>
            <w:r w:rsidR="00D2650E" w:rsidRPr="009954F4">
              <w:t>.pants</w:t>
            </w:r>
          </w:p>
          <w:p w:rsidR="009C24B2" w:rsidRPr="009954F4" w:rsidRDefault="009C24B2" w:rsidP="007251F6">
            <w:pPr>
              <w:pStyle w:val="Parastais1"/>
            </w:pPr>
          </w:p>
        </w:tc>
        <w:tc>
          <w:tcPr>
            <w:tcW w:w="1130" w:type="pct"/>
            <w:gridSpan w:val="2"/>
          </w:tcPr>
          <w:p w:rsidR="00BB0AF9" w:rsidRPr="009954F4" w:rsidRDefault="00645504" w:rsidP="00A54D1B">
            <w:pPr>
              <w:pStyle w:val="naisc"/>
              <w:spacing w:before="0" w:after="0"/>
              <w:jc w:val="both"/>
            </w:pPr>
            <w:r w:rsidRPr="009954F4">
              <w:t>1</w:t>
            </w:r>
            <w:r w:rsidR="00D2650E" w:rsidRPr="009954F4">
              <w:t>.</w:t>
            </w:r>
            <w:r w:rsidR="006B43DE" w:rsidRPr="009954F4">
              <w:t>3.apakš</w:t>
            </w:r>
            <w:r w:rsidR="00D2650E" w:rsidRPr="009954F4">
              <w:t>punkt</w:t>
            </w:r>
            <w:r w:rsidR="00B05CD6" w:rsidRPr="009954F4">
              <w:t>s</w:t>
            </w:r>
          </w:p>
        </w:tc>
        <w:tc>
          <w:tcPr>
            <w:tcW w:w="1312" w:type="pct"/>
          </w:tcPr>
          <w:p w:rsidR="00BB0AF9" w:rsidRPr="009954F4" w:rsidRDefault="00D2650E" w:rsidP="00767E98">
            <w:pPr>
              <w:pStyle w:val="naisc"/>
              <w:spacing w:before="0" w:after="0"/>
              <w:jc w:val="both"/>
            </w:pPr>
            <w:r w:rsidRPr="009954F4">
              <w:t>Ieviests pilnībā.</w:t>
            </w:r>
          </w:p>
        </w:tc>
        <w:tc>
          <w:tcPr>
            <w:tcW w:w="1091" w:type="pct"/>
          </w:tcPr>
          <w:p w:rsidR="00BB0AF9" w:rsidRPr="009954F4" w:rsidRDefault="00F95D30" w:rsidP="00767E98">
            <w:pPr>
              <w:pStyle w:val="naisc"/>
              <w:spacing w:before="0" w:after="0"/>
              <w:jc w:val="both"/>
              <w:rPr>
                <w:highlight w:val="yellow"/>
              </w:rPr>
            </w:pPr>
            <w:r w:rsidRPr="009954F4">
              <w:rPr>
                <w:iCs/>
              </w:rPr>
              <w:t>Neparedz stingrākas prasības.</w:t>
            </w:r>
          </w:p>
        </w:tc>
      </w:tr>
      <w:tr w:rsidR="00BB0AF9"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7251F6" w:rsidRPr="009954F4" w:rsidRDefault="001D5CAD" w:rsidP="007251F6">
            <w:pPr>
              <w:pStyle w:val="Parastais1"/>
            </w:pPr>
            <w:hyperlink r:id="rId9" w:tgtFrame="_blank" w:history="1">
              <w:r w:rsidR="007251F6" w:rsidRPr="009954F4">
                <w:rPr>
                  <w:rStyle w:val="Izteiksmgs"/>
                  <w:b w:val="0"/>
                </w:rPr>
                <w:t xml:space="preserve"> Regula Nr.1152/2009</w:t>
              </w:r>
            </w:hyperlink>
            <w:r w:rsidR="007251F6" w:rsidRPr="009954F4">
              <w:t> </w:t>
            </w:r>
          </w:p>
          <w:p w:rsidR="00BB0AF9" w:rsidRPr="009954F4" w:rsidRDefault="007251F6" w:rsidP="007251F6">
            <w:pPr>
              <w:pStyle w:val="Parastais1"/>
            </w:pPr>
            <w:r w:rsidRPr="009954F4">
              <w:t>5. pant</w:t>
            </w:r>
            <w:r w:rsidR="008C16FD" w:rsidRPr="009954F4">
              <w:t xml:space="preserve">s </w:t>
            </w:r>
          </w:p>
        </w:tc>
        <w:tc>
          <w:tcPr>
            <w:tcW w:w="1130" w:type="pct"/>
            <w:gridSpan w:val="2"/>
          </w:tcPr>
          <w:p w:rsidR="00BB0AF9" w:rsidRPr="009954F4" w:rsidRDefault="00645504" w:rsidP="00B05CD6">
            <w:pPr>
              <w:pStyle w:val="naisc"/>
              <w:spacing w:before="0" w:after="0"/>
              <w:jc w:val="both"/>
            </w:pPr>
            <w:r w:rsidRPr="009954F4">
              <w:t>1</w:t>
            </w:r>
            <w:r w:rsidR="00D40C85" w:rsidRPr="009954F4">
              <w:t>.</w:t>
            </w:r>
            <w:r w:rsidR="00B038AE" w:rsidRPr="009954F4">
              <w:t>3.apakš</w:t>
            </w:r>
            <w:r w:rsidR="00D40C85" w:rsidRPr="009954F4">
              <w:t xml:space="preserve">punkts </w:t>
            </w:r>
          </w:p>
        </w:tc>
        <w:tc>
          <w:tcPr>
            <w:tcW w:w="1312" w:type="pct"/>
          </w:tcPr>
          <w:p w:rsidR="00BB0AF9" w:rsidRPr="009954F4" w:rsidRDefault="00D40C85" w:rsidP="00767E98">
            <w:pPr>
              <w:pStyle w:val="naisc"/>
              <w:spacing w:before="0" w:after="0"/>
              <w:jc w:val="both"/>
            </w:pPr>
            <w:r w:rsidRPr="009954F4">
              <w:t>Ieviests pilnībā.</w:t>
            </w:r>
          </w:p>
        </w:tc>
        <w:tc>
          <w:tcPr>
            <w:tcW w:w="1091" w:type="pct"/>
          </w:tcPr>
          <w:p w:rsidR="00BB0AF9" w:rsidRPr="009954F4" w:rsidRDefault="00F95D30" w:rsidP="00767E98">
            <w:pPr>
              <w:pStyle w:val="naisc"/>
              <w:spacing w:before="0" w:after="0"/>
              <w:jc w:val="both"/>
              <w:rPr>
                <w:highlight w:val="yellow"/>
              </w:rPr>
            </w:pPr>
            <w:r w:rsidRPr="009954F4">
              <w:rPr>
                <w:iCs/>
              </w:rPr>
              <w:t>Neparedz stingrākas prasības.</w:t>
            </w:r>
          </w:p>
        </w:tc>
      </w:tr>
      <w:tr w:rsidR="0014551F" w:rsidRPr="00BD74DA"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14551F" w:rsidRPr="009954F4" w:rsidRDefault="00D40C85" w:rsidP="00914122">
            <w:pPr>
              <w:pStyle w:val="naisc"/>
              <w:spacing w:before="0" w:after="0"/>
              <w:jc w:val="both"/>
            </w:pPr>
            <w:r w:rsidRPr="009954F4">
              <w:t>Regula Nr.91/2013 7.panta 2.punkts</w:t>
            </w:r>
          </w:p>
        </w:tc>
        <w:tc>
          <w:tcPr>
            <w:tcW w:w="1130" w:type="pct"/>
            <w:gridSpan w:val="2"/>
          </w:tcPr>
          <w:p w:rsidR="0014551F" w:rsidRPr="009954F4" w:rsidRDefault="00645504" w:rsidP="00B05CD6">
            <w:pPr>
              <w:pStyle w:val="naisc"/>
              <w:spacing w:before="0" w:after="0"/>
              <w:jc w:val="both"/>
            </w:pPr>
            <w:r w:rsidRPr="009954F4">
              <w:t>1</w:t>
            </w:r>
            <w:r w:rsidR="00D40C85" w:rsidRPr="009954F4">
              <w:t>.</w:t>
            </w:r>
            <w:r w:rsidR="00B54EE9" w:rsidRPr="009954F4">
              <w:t>3.apakš</w:t>
            </w:r>
            <w:r w:rsidR="00D40C85" w:rsidRPr="009954F4">
              <w:t xml:space="preserve">punkts </w:t>
            </w:r>
          </w:p>
        </w:tc>
        <w:tc>
          <w:tcPr>
            <w:tcW w:w="1312" w:type="pct"/>
          </w:tcPr>
          <w:p w:rsidR="0014551F" w:rsidRPr="009954F4" w:rsidRDefault="00D40C85" w:rsidP="0014551F">
            <w:pPr>
              <w:pStyle w:val="naisc"/>
              <w:spacing w:before="0" w:after="0"/>
              <w:jc w:val="both"/>
            </w:pPr>
            <w:r w:rsidRPr="009954F4">
              <w:t>Ieviests pilnībā.</w:t>
            </w:r>
          </w:p>
        </w:tc>
        <w:tc>
          <w:tcPr>
            <w:tcW w:w="1091" w:type="pct"/>
          </w:tcPr>
          <w:p w:rsidR="0014551F" w:rsidRPr="009954F4" w:rsidRDefault="00F95D30" w:rsidP="00767E98">
            <w:pPr>
              <w:pStyle w:val="naisc"/>
              <w:spacing w:before="0" w:after="0"/>
              <w:jc w:val="both"/>
              <w:rPr>
                <w:highlight w:val="yellow"/>
              </w:rPr>
            </w:pPr>
            <w:r w:rsidRPr="009954F4">
              <w:rPr>
                <w:iCs/>
              </w:rPr>
              <w:t>Neparedz stingrākas prasības.</w:t>
            </w:r>
          </w:p>
        </w:tc>
      </w:tr>
      <w:tr w:rsidR="00B038AE" w:rsidRPr="00BD74DA"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B038AE" w:rsidRPr="009954F4" w:rsidRDefault="00B038AE" w:rsidP="00914122">
            <w:pPr>
              <w:pStyle w:val="naisc"/>
              <w:spacing w:before="0" w:after="0"/>
              <w:jc w:val="both"/>
            </w:pPr>
            <w:r w:rsidRPr="009954F4">
              <w:t>Regulas Nr.669/2009 II</w:t>
            </w:r>
            <w:r w:rsidR="002B61A9">
              <w:t> </w:t>
            </w:r>
            <w:r w:rsidRPr="009954F4">
              <w:t>pielikums</w:t>
            </w:r>
          </w:p>
        </w:tc>
        <w:tc>
          <w:tcPr>
            <w:tcW w:w="1130" w:type="pct"/>
            <w:gridSpan w:val="2"/>
          </w:tcPr>
          <w:p w:rsidR="00B038AE" w:rsidRPr="009954F4" w:rsidRDefault="00B038AE" w:rsidP="00B05CD6">
            <w:pPr>
              <w:pStyle w:val="naisc"/>
              <w:spacing w:before="0" w:after="0"/>
              <w:jc w:val="both"/>
            </w:pPr>
            <w:r w:rsidRPr="009954F4">
              <w:t>1.6.apakšpunkts</w:t>
            </w:r>
          </w:p>
        </w:tc>
        <w:tc>
          <w:tcPr>
            <w:tcW w:w="1312" w:type="pct"/>
          </w:tcPr>
          <w:p w:rsidR="00B038AE" w:rsidRPr="009954F4" w:rsidRDefault="00B038AE" w:rsidP="0014551F">
            <w:pPr>
              <w:pStyle w:val="naisc"/>
              <w:spacing w:before="0" w:after="0"/>
              <w:jc w:val="both"/>
            </w:pPr>
            <w:r w:rsidRPr="009954F4">
              <w:t>Ieviests pilnībā</w:t>
            </w:r>
            <w:r w:rsidR="002B61A9">
              <w:t>.</w:t>
            </w:r>
          </w:p>
        </w:tc>
        <w:tc>
          <w:tcPr>
            <w:tcW w:w="1091" w:type="pct"/>
          </w:tcPr>
          <w:p w:rsidR="00B038AE" w:rsidRPr="009954F4" w:rsidRDefault="00B038AE" w:rsidP="00767E98">
            <w:pPr>
              <w:pStyle w:val="naisc"/>
              <w:spacing w:before="0" w:after="0"/>
              <w:jc w:val="both"/>
              <w:rPr>
                <w:iCs/>
              </w:rPr>
            </w:pPr>
            <w:r w:rsidRPr="009954F4">
              <w:rPr>
                <w:iCs/>
              </w:rPr>
              <w:t>Neparedz stingrākas prasības.</w:t>
            </w:r>
          </w:p>
        </w:tc>
      </w:tr>
      <w:tr w:rsidR="00566B59" w:rsidRPr="004B0E22" w:rsidTr="00EA1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566B59" w:rsidRPr="004B0E22" w:rsidRDefault="00566B59" w:rsidP="00767E98">
            <w:pPr>
              <w:pStyle w:val="Parastais1"/>
              <w:jc w:val="both"/>
            </w:pPr>
            <w:r w:rsidRPr="004B0E22">
              <w:t>Kā ir i</w:t>
            </w:r>
            <w:smartTag w:uri="urn:schemas-microsoft-com:office:smarttags" w:element="PersonName">
              <w:r w:rsidRPr="004B0E22">
                <w:t>zm</w:t>
              </w:r>
            </w:smartTag>
            <w:r w:rsidRPr="004B0E22">
              <w:t>antota ES tiesību aktā paredzētā rīcības brīvība dalībvalstij</w:t>
            </w:r>
            <w:r>
              <w:t xml:space="preserve"> </w:t>
            </w:r>
            <w:r w:rsidRPr="004B0E22">
              <w:t>pārņemt vai ieviest noteiktas ES tiesību akta normas.</w:t>
            </w:r>
          </w:p>
          <w:p w:rsidR="00566B59" w:rsidRPr="004B0E22" w:rsidRDefault="00566B59" w:rsidP="00767E98">
            <w:pPr>
              <w:pStyle w:val="Parastais1"/>
              <w:jc w:val="both"/>
            </w:pPr>
            <w:r w:rsidRPr="004B0E22">
              <w:t>Kādēļ?</w:t>
            </w:r>
          </w:p>
        </w:tc>
        <w:tc>
          <w:tcPr>
            <w:tcW w:w="3533" w:type="pct"/>
            <w:gridSpan w:val="4"/>
          </w:tcPr>
          <w:p w:rsidR="00566B59" w:rsidRPr="004B0E22" w:rsidRDefault="00566B59" w:rsidP="00767E98">
            <w:pPr>
              <w:pStyle w:val="naisc"/>
              <w:spacing w:before="0" w:after="0"/>
              <w:jc w:val="both"/>
            </w:pPr>
            <w:r w:rsidRPr="00097448">
              <w:rPr>
                <w:iCs/>
              </w:rPr>
              <w:t>Projekts šo jomu neskar</w:t>
            </w:r>
            <w:r>
              <w:t>.</w:t>
            </w:r>
          </w:p>
        </w:tc>
      </w:tr>
      <w:tr w:rsidR="00566B59" w:rsidRPr="004B0E22" w:rsidTr="00EA1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566B59" w:rsidRPr="004B0E22" w:rsidRDefault="00566B59" w:rsidP="00767E98">
            <w:pPr>
              <w:pStyle w:val="naisc"/>
              <w:spacing w:before="0" w:after="0"/>
              <w:jc w:val="both"/>
            </w:pPr>
            <w: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533" w:type="pct"/>
            <w:gridSpan w:val="4"/>
          </w:tcPr>
          <w:p w:rsidR="00566B59" w:rsidRPr="004B0E22" w:rsidRDefault="00566B59" w:rsidP="00767E98">
            <w:pPr>
              <w:pStyle w:val="naisc"/>
              <w:spacing w:before="0" w:after="0"/>
              <w:jc w:val="both"/>
            </w:pPr>
            <w:r w:rsidRPr="00097448">
              <w:rPr>
                <w:iCs/>
              </w:rPr>
              <w:t>Projekts šo jomu neskar</w:t>
            </w:r>
            <w:r>
              <w:t>.</w:t>
            </w:r>
          </w:p>
        </w:tc>
      </w:tr>
      <w:tr w:rsidR="00767E98" w:rsidRPr="004B0E22" w:rsidTr="00EA1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767E98" w:rsidRPr="004B0E22" w:rsidRDefault="00767E98" w:rsidP="00767E98">
            <w:pPr>
              <w:pStyle w:val="naisc"/>
              <w:spacing w:before="0" w:after="0"/>
              <w:jc w:val="both"/>
            </w:pPr>
            <w:r>
              <w:lastRenderedPageBreak/>
              <w:t>Cita informācija</w:t>
            </w:r>
          </w:p>
        </w:tc>
        <w:tc>
          <w:tcPr>
            <w:tcW w:w="3533" w:type="pct"/>
            <w:gridSpan w:val="4"/>
          </w:tcPr>
          <w:p w:rsidR="00767E98" w:rsidRPr="004B0E22" w:rsidRDefault="00767E98" w:rsidP="00767E98">
            <w:pPr>
              <w:pStyle w:val="naisc"/>
              <w:spacing w:before="0" w:after="0"/>
              <w:jc w:val="both"/>
            </w:pPr>
            <w:r>
              <w:t>Nav</w:t>
            </w:r>
          </w:p>
        </w:tc>
      </w:tr>
    </w:tbl>
    <w:p w:rsidR="00767E98" w:rsidRDefault="00767E98" w:rsidP="00767E98">
      <w:pPr>
        <w:pStyle w:val="Parastais1"/>
        <w:jc w:val="both"/>
        <w:rPr>
          <w:color w:val="000000"/>
        </w:rPr>
      </w:pPr>
    </w:p>
    <w:p w:rsidR="00767E98" w:rsidRDefault="00767E98" w:rsidP="00767E98">
      <w:pPr>
        <w:pStyle w:val="ParastaisWeb1"/>
        <w:spacing w:before="0" w:beforeAutospacing="0" w:after="0" w:afterAutospacing="0"/>
        <w:rPr>
          <w:i/>
          <w:sz w:val="24"/>
          <w:szCs w:val="24"/>
        </w:rPr>
      </w:pPr>
      <w:r>
        <w:rPr>
          <w:i/>
          <w:sz w:val="24"/>
          <w:szCs w:val="24"/>
        </w:rPr>
        <w:t xml:space="preserve">Anotācijas </w:t>
      </w:r>
      <w:r w:rsidR="00914122">
        <w:rPr>
          <w:i/>
          <w:sz w:val="24"/>
          <w:szCs w:val="24"/>
        </w:rPr>
        <w:t>V sadaļas 2.tabula</w:t>
      </w:r>
      <w:r w:rsidRPr="005C5132">
        <w:rPr>
          <w:i/>
          <w:sz w:val="24"/>
          <w:szCs w:val="24"/>
        </w:rPr>
        <w:t xml:space="preserve">– </w:t>
      </w:r>
      <w:r w:rsidR="00F308A5">
        <w:rPr>
          <w:i/>
          <w:sz w:val="24"/>
          <w:szCs w:val="24"/>
        </w:rPr>
        <w:t>projekts š</w:t>
      </w:r>
      <w:r w:rsidR="00EE2EF9">
        <w:rPr>
          <w:i/>
          <w:sz w:val="24"/>
          <w:szCs w:val="24"/>
        </w:rPr>
        <w:t>o</w:t>
      </w:r>
      <w:r w:rsidR="00F308A5">
        <w:rPr>
          <w:i/>
          <w:sz w:val="24"/>
          <w:szCs w:val="24"/>
        </w:rPr>
        <w:t xml:space="preserve"> jom</w:t>
      </w:r>
      <w:r w:rsidR="00EE2EF9">
        <w:rPr>
          <w:i/>
          <w:sz w:val="24"/>
          <w:szCs w:val="24"/>
        </w:rPr>
        <w:t>u</w:t>
      </w:r>
      <w:r w:rsidR="00F308A5">
        <w:rPr>
          <w:i/>
          <w:sz w:val="24"/>
          <w:szCs w:val="24"/>
        </w:rPr>
        <w:t xml:space="preserve"> neskar</w:t>
      </w:r>
      <w:r w:rsidRPr="005C5132">
        <w:rPr>
          <w:i/>
          <w:sz w:val="24"/>
          <w:szCs w:val="24"/>
        </w:rPr>
        <w:t>.</w:t>
      </w:r>
    </w:p>
    <w:p w:rsidR="00EE2EF9" w:rsidRPr="005C5132" w:rsidRDefault="00EE2EF9" w:rsidP="00767E98">
      <w:pPr>
        <w:pStyle w:val="ParastaisWeb1"/>
        <w:spacing w:before="0" w:beforeAutospacing="0" w:after="0" w:afterAutospacing="0"/>
        <w:rPr>
          <w:i/>
          <w:sz w:val="24"/>
          <w:szCs w:val="24"/>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8"/>
        <w:gridCol w:w="3872"/>
        <w:gridCol w:w="4824"/>
      </w:tblGrid>
      <w:tr w:rsidR="00EE2EF9" w:rsidRPr="006D0EE0" w:rsidTr="00EE2EF9">
        <w:trPr>
          <w:jc w:val="center"/>
        </w:trPr>
        <w:tc>
          <w:tcPr>
            <w:tcW w:w="9174" w:type="dxa"/>
            <w:gridSpan w:val="3"/>
          </w:tcPr>
          <w:p w:rsidR="00EE2EF9" w:rsidRPr="006D0EE0" w:rsidRDefault="00EE2EF9" w:rsidP="000C7B9A">
            <w:pPr>
              <w:pStyle w:val="naisnod"/>
              <w:spacing w:before="0" w:after="0"/>
              <w:ind w:left="57" w:right="57"/>
              <w:rPr>
                <w:color w:val="000000"/>
              </w:rPr>
            </w:pPr>
            <w:r w:rsidRPr="006D0EE0">
              <w:rPr>
                <w:color w:val="000000"/>
              </w:rPr>
              <w:t xml:space="preserve">VI. Sabiedrības līdzdalība un </w:t>
            </w:r>
            <w:r w:rsidR="000C7B9A">
              <w:rPr>
                <w:color w:val="000000"/>
              </w:rPr>
              <w:t>komunikācijas aktivitātes</w:t>
            </w:r>
          </w:p>
        </w:tc>
      </w:tr>
      <w:tr w:rsidR="00EE2EF9" w:rsidRPr="00DD4FC3" w:rsidTr="00EE2EF9">
        <w:trPr>
          <w:trHeight w:val="553"/>
          <w:jc w:val="center"/>
        </w:trPr>
        <w:tc>
          <w:tcPr>
            <w:tcW w:w="478" w:type="dxa"/>
          </w:tcPr>
          <w:p w:rsidR="00EE2EF9" w:rsidRPr="006D0EE0" w:rsidRDefault="00EE2EF9" w:rsidP="00676618">
            <w:pPr>
              <w:pStyle w:val="naiskr"/>
              <w:spacing w:before="0" w:after="0"/>
              <w:ind w:left="57" w:right="57"/>
              <w:rPr>
                <w:bCs/>
                <w:color w:val="000000"/>
                <w:szCs w:val="22"/>
              </w:rPr>
            </w:pPr>
            <w:r w:rsidRPr="006D0EE0">
              <w:rPr>
                <w:bCs/>
                <w:color w:val="000000"/>
                <w:szCs w:val="22"/>
              </w:rPr>
              <w:t>1.</w:t>
            </w:r>
          </w:p>
        </w:tc>
        <w:tc>
          <w:tcPr>
            <w:tcW w:w="3872" w:type="dxa"/>
          </w:tcPr>
          <w:p w:rsidR="00EE2EF9" w:rsidRPr="006D0EE0" w:rsidRDefault="000C7B9A" w:rsidP="000C7B9A">
            <w:pPr>
              <w:pStyle w:val="naiskr"/>
              <w:tabs>
                <w:tab w:val="left" w:pos="170"/>
              </w:tabs>
              <w:spacing w:before="0" w:after="0"/>
              <w:ind w:left="57" w:right="57"/>
              <w:rPr>
                <w:color w:val="000000"/>
                <w:szCs w:val="22"/>
              </w:rPr>
            </w:pPr>
            <w:r w:rsidRPr="007B41B0">
              <w:rPr>
                <w:color w:val="414142"/>
              </w:rPr>
              <w:t>Plānotās sabiedrības līdzdalības un komunikācijas aktivitātes saistībā ar projektu</w:t>
            </w:r>
          </w:p>
        </w:tc>
        <w:tc>
          <w:tcPr>
            <w:tcW w:w="4824" w:type="dxa"/>
          </w:tcPr>
          <w:p w:rsidR="00EE2EF9" w:rsidRPr="00DD4FC3" w:rsidRDefault="00EE2EF9" w:rsidP="00CF3E3A">
            <w:pPr>
              <w:pStyle w:val="naiskr"/>
              <w:spacing w:before="0" w:after="0"/>
              <w:ind w:left="57" w:right="57"/>
              <w:jc w:val="both"/>
              <w:rPr>
                <w:color w:val="000000"/>
                <w:szCs w:val="22"/>
              </w:rPr>
            </w:pPr>
            <w:r>
              <w:t xml:space="preserve">Noteikumu projekts </w:t>
            </w:r>
            <w:r w:rsidR="00B05CD6">
              <w:t>tik</w:t>
            </w:r>
            <w:r w:rsidR="00CF3E3A">
              <w:t>a</w:t>
            </w:r>
            <w:r w:rsidR="00B05CD6">
              <w:t xml:space="preserve"> </w:t>
            </w:r>
            <w:r>
              <w:t>ievietots publiskai apspriešanai Zemkopības ministrijas tīmekļa vietnē</w:t>
            </w:r>
            <w:r w:rsidR="00CF3E3A">
              <w:t xml:space="preserve"> no 5.12</w:t>
            </w:r>
            <w:r w:rsidR="00B05CD6">
              <w:t>.</w:t>
            </w:r>
            <w:r w:rsidR="002B61A9">
              <w:t xml:space="preserve">2013. līdz </w:t>
            </w:r>
            <w:r w:rsidR="00CF3E3A">
              <w:t>12.12.2013.</w:t>
            </w:r>
            <w:r>
              <w:t xml:space="preserve"> </w:t>
            </w:r>
          </w:p>
        </w:tc>
      </w:tr>
      <w:tr w:rsidR="00EE2EF9" w:rsidRPr="00930F18" w:rsidTr="00EE2EF9">
        <w:trPr>
          <w:trHeight w:val="339"/>
          <w:jc w:val="center"/>
        </w:trPr>
        <w:tc>
          <w:tcPr>
            <w:tcW w:w="478" w:type="dxa"/>
          </w:tcPr>
          <w:p w:rsidR="00EE2EF9" w:rsidRPr="006D0EE0" w:rsidRDefault="00EE2EF9" w:rsidP="00676618">
            <w:pPr>
              <w:pStyle w:val="naiskr"/>
              <w:spacing w:before="0" w:after="0"/>
              <w:ind w:left="57" w:right="57"/>
              <w:rPr>
                <w:bCs/>
                <w:color w:val="000000"/>
                <w:szCs w:val="22"/>
              </w:rPr>
            </w:pPr>
            <w:r w:rsidRPr="006D0EE0">
              <w:rPr>
                <w:bCs/>
                <w:color w:val="000000"/>
                <w:szCs w:val="22"/>
              </w:rPr>
              <w:t>2.</w:t>
            </w:r>
          </w:p>
        </w:tc>
        <w:tc>
          <w:tcPr>
            <w:tcW w:w="3872" w:type="dxa"/>
          </w:tcPr>
          <w:p w:rsidR="00EE2EF9" w:rsidRPr="006D0EE0" w:rsidRDefault="000C7B9A" w:rsidP="00676618">
            <w:pPr>
              <w:pStyle w:val="naiskr"/>
              <w:spacing w:before="0" w:after="0"/>
              <w:ind w:left="57" w:right="57"/>
              <w:rPr>
                <w:color w:val="000000"/>
                <w:szCs w:val="22"/>
              </w:rPr>
            </w:pPr>
            <w:r w:rsidRPr="007B41B0">
              <w:rPr>
                <w:color w:val="414142"/>
              </w:rPr>
              <w:t>Sabiedrības līdzdalība projekta izstrādē</w:t>
            </w:r>
          </w:p>
        </w:tc>
        <w:tc>
          <w:tcPr>
            <w:tcW w:w="4824" w:type="dxa"/>
          </w:tcPr>
          <w:p w:rsidR="00EE2EF9" w:rsidRPr="00930F18" w:rsidRDefault="00B05CD6" w:rsidP="002B61A9">
            <w:pPr>
              <w:pStyle w:val="naiskr"/>
              <w:spacing w:before="0" w:after="0"/>
              <w:ind w:left="57" w:right="57"/>
              <w:jc w:val="both"/>
              <w:rPr>
                <w:color w:val="000000"/>
              </w:rPr>
            </w:pPr>
            <w:r w:rsidRPr="00B05CD6">
              <w:rPr>
                <w:iCs/>
              </w:rPr>
              <w:t xml:space="preserve">Par noteikumu projektu </w:t>
            </w:r>
            <w:r w:rsidR="002B61A9">
              <w:rPr>
                <w:iCs/>
              </w:rPr>
              <w:t>elektroniski</w:t>
            </w:r>
            <w:r w:rsidR="002B61A9" w:rsidRPr="00B05CD6">
              <w:rPr>
                <w:iCs/>
              </w:rPr>
              <w:t xml:space="preserve"> </w:t>
            </w:r>
            <w:r w:rsidRPr="00B05CD6">
              <w:rPr>
                <w:iCs/>
              </w:rPr>
              <w:t xml:space="preserve">nosūtīta </w:t>
            </w:r>
            <w:r w:rsidRPr="00BF4174">
              <w:rPr>
                <w:iCs/>
              </w:rPr>
              <w:t xml:space="preserve">informācija </w:t>
            </w:r>
            <w:r w:rsidR="008B0CB2" w:rsidRPr="00BF4174">
              <w:rPr>
                <w:iCs/>
              </w:rPr>
              <w:t>biedrīb</w:t>
            </w:r>
            <w:r w:rsidR="002B61A9">
              <w:rPr>
                <w:iCs/>
              </w:rPr>
              <w:t>ām</w:t>
            </w:r>
            <w:r w:rsidR="008B0CB2" w:rsidRPr="00BF4174">
              <w:rPr>
                <w:iCs/>
              </w:rPr>
              <w:t xml:space="preserve"> „</w:t>
            </w:r>
            <w:r w:rsidR="00EE2EF9" w:rsidRPr="00BF4174">
              <w:rPr>
                <w:iCs/>
              </w:rPr>
              <w:t>Lauksaimnieku organizāciju sadarbības padome</w:t>
            </w:r>
            <w:r w:rsidR="008B0CB2" w:rsidRPr="00BF4174">
              <w:rPr>
                <w:iCs/>
              </w:rPr>
              <w:t>”</w:t>
            </w:r>
            <w:r w:rsidRPr="00BF4174">
              <w:rPr>
                <w:iCs/>
              </w:rPr>
              <w:t xml:space="preserve"> un </w:t>
            </w:r>
            <w:r w:rsidR="008B0CB2" w:rsidRPr="00BF4174">
              <w:rPr>
                <w:iCs/>
              </w:rPr>
              <w:t>„</w:t>
            </w:r>
            <w:r w:rsidRPr="00BF4174">
              <w:rPr>
                <w:iCs/>
              </w:rPr>
              <w:t xml:space="preserve">Zemnieku </w:t>
            </w:r>
            <w:r w:rsidR="008B0CB2" w:rsidRPr="00BF4174">
              <w:rPr>
                <w:iCs/>
              </w:rPr>
              <w:t>s</w:t>
            </w:r>
            <w:r w:rsidRPr="00BF4174">
              <w:rPr>
                <w:iCs/>
              </w:rPr>
              <w:t>aeima</w:t>
            </w:r>
            <w:r w:rsidR="008B0CB2" w:rsidRPr="00BF4174">
              <w:rPr>
                <w:iCs/>
              </w:rPr>
              <w:t>”</w:t>
            </w:r>
            <w:r w:rsidR="00645504" w:rsidRPr="00BF4174">
              <w:rPr>
                <w:iCs/>
              </w:rPr>
              <w:t xml:space="preserve">, </w:t>
            </w:r>
            <w:r w:rsidR="00BF4174" w:rsidRPr="00BF4174">
              <w:rPr>
                <w:rStyle w:val="st"/>
              </w:rPr>
              <w:t xml:space="preserve">Latvijas </w:t>
            </w:r>
            <w:r w:rsidR="00BF4174" w:rsidRPr="00BF4174">
              <w:rPr>
                <w:rStyle w:val="Izclums"/>
                <w:b w:val="0"/>
              </w:rPr>
              <w:t>Pārtikas</w:t>
            </w:r>
            <w:r w:rsidR="00BF4174" w:rsidRPr="00BF4174">
              <w:rPr>
                <w:rStyle w:val="st"/>
              </w:rPr>
              <w:t xml:space="preserve"> uzņēmumu </w:t>
            </w:r>
            <w:r w:rsidR="00BF4174" w:rsidRPr="00BF4174">
              <w:rPr>
                <w:rStyle w:val="Izclums"/>
                <w:b w:val="0"/>
              </w:rPr>
              <w:t xml:space="preserve">federācijai un </w:t>
            </w:r>
            <w:r w:rsidR="00BF4174" w:rsidRPr="00BF4174">
              <w:t>Latvijas Pārtikas tirgotāju asociācijai.</w:t>
            </w:r>
          </w:p>
        </w:tc>
      </w:tr>
      <w:tr w:rsidR="00EE2EF9" w:rsidRPr="006D0EE0" w:rsidTr="00EE2EF9">
        <w:trPr>
          <w:trHeight w:val="375"/>
          <w:jc w:val="center"/>
        </w:trPr>
        <w:tc>
          <w:tcPr>
            <w:tcW w:w="478" w:type="dxa"/>
          </w:tcPr>
          <w:p w:rsidR="00EE2EF9" w:rsidRPr="006D0EE0" w:rsidRDefault="00EE2EF9" w:rsidP="00676618">
            <w:pPr>
              <w:pStyle w:val="naiskr"/>
              <w:spacing w:before="0" w:after="0"/>
              <w:ind w:left="57" w:right="57"/>
              <w:rPr>
                <w:bCs/>
                <w:color w:val="000000"/>
                <w:szCs w:val="22"/>
              </w:rPr>
            </w:pPr>
            <w:r w:rsidRPr="006D0EE0">
              <w:rPr>
                <w:bCs/>
                <w:color w:val="000000"/>
                <w:szCs w:val="22"/>
              </w:rPr>
              <w:t>3.</w:t>
            </w:r>
          </w:p>
        </w:tc>
        <w:tc>
          <w:tcPr>
            <w:tcW w:w="3872" w:type="dxa"/>
          </w:tcPr>
          <w:p w:rsidR="00EE2EF9" w:rsidRPr="006D0EE0" w:rsidRDefault="00EE2EF9" w:rsidP="00676618">
            <w:pPr>
              <w:pStyle w:val="naiskr"/>
              <w:spacing w:before="0" w:after="0"/>
              <w:ind w:left="57" w:right="57"/>
              <w:rPr>
                <w:color w:val="000000"/>
                <w:szCs w:val="22"/>
              </w:rPr>
            </w:pPr>
            <w:r w:rsidRPr="006D0EE0">
              <w:rPr>
                <w:color w:val="000000"/>
                <w:szCs w:val="22"/>
              </w:rPr>
              <w:t xml:space="preserve">Sabiedrības līdzdalības rezultāti </w:t>
            </w:r>
          </w:p>
        </w:tc>
        <w:tc>
          <w:tcPr>
            <w:tcW w:w="4824" w:type="dxa"/>
          </w:tcPr>
          <w:p w:rsidR="00EE2EF9" w:rsidRPr="006D0EE0" w:rsidRDefault="00BF4174" w:rsidP="00676618">
            <w:pPr>
              <w:pStyle w:val="naiskr"/>
              <w:spacing w:before="0" w:after="0"/>
              <w:ind w:left="57" w:right="57"/>
              <w:jc w:val="both"/>
              <w:rPr>
                <w:color w:val="000000"/>
                <w:szCs w:val="22"/>
              </w:rPr>
            </w:pPr>
            <w:r>
              <w:rPr>
                <w:color w:val="000000"/>
                <w:szCs w:val="22"/>
              </w:rPr>
              <w:t>Nav.</w:t>
            </w:r>
          </w:p>
        </w:tc>
      </w:tr>
      <w:tr w:rsidR="00EE2EF9" w:rsidRPr="006D0EE0" w:rsidTr="00EE2EF9">
        <w:trPr>
          <w:trHeight w:val="476"/>
          <w:jc w:val="center"/>
        </w:trPr>
        <w:tc>
          <w:tcPr>
            <w:tcW w:w="478" w:type="dxa"/>
          </w:tcPr>
          <w:p w:rsidR="00EE2EF9" w:rsidRPr="006D0EE0" w:rsidRDefault="00CF3E3A" w:rsidP="00676618">
            <w:pPr>
              <w:pStyle w:val="naiskr"/>
              <w:spacing w:before="0" w:after="0"/>
              <w:ind w:left="57" w:right="57"/>
              <w:rPr>
                <w:bCs/>
                <w:color w:val="000000"/>
                <w:szCs w:val="22"/>
              </w:rPr>
            </w:pPr>
            <w:r>
              <w:rPr>
                <w:bCs/>
                <w:color w:val="000000"/>
                <w:szCs w:val="22"/>
              </w:rPr>
              <w:t>4</w:t>
            </w:r>
            <w:r w:rsidR="00EE2EF9" w:rsidRPr="006D0EE0">
              <w:rPr>
                <w:bCs/>
                <w:color w:val="000000"/>
                <w:szCs w:val="22"/>
              </w:rPr>
              <w:t>.</w:t>
            </w:r>
          </w:p>
        </w:tc>
        <w:tc>
          <w:tcPr>
            <w:tcW w:w="3872" w:type="dxa"/>
          </w:tcPr>
          <w:p w:rsidR="00EE2EF9" w:rsidRPr="006D0EE0" w:rsidRDefault="00EE2EF9" w:rsidP="00676618">
            <w:pPr>
              <w:pStyle w:val="naiskr"/>
              <w:spacing w:before="0" w:after="0"/>
              <w:ind w:left="57" w:right="57"/>
              <w:rPr>
                <w:color w:val="000000"/>
                <w:szCs w:val="22"/>
              </w:rPr>
            </w:pPr>
            <w:r w:rsidRPr="006D0EE0">
              <w:rPr>
                <w:color w:val="000000"/>
                <w:szCs w:val="22"/>
              </w:rPr>
              <w:t>Cita informācija</w:t>
            </w:r>
          </w:p>
          <w:p w:rsidR="00EE2EF9" w:rsidRPr="006D0EE0" w:rsidRDefault="00EE2EF9" w:rsidP="00676618">
            <w:pPr>
              <w:pStyle w:val="naiskr"/>
              <w:spacing w:before="0" w:after="0"/>
              <w:ind w:left="57" w:right="57"/>
              <w:rPr>
                <w:color w:val="000000"/>
                <w:szCs w:val="22"/>
              </w:rPr>
            </w:pPr>
          </w:p>
        </w:tc>
        <w:tc>
          <w:tcPr>
            <w:tcW w:w="4824" w:type="dxa"/>
          </w:tcPr>
          <w:p w:rsidR="00EE2EF9" w:rsidRPr="006D0EE0" w:rsidRDefault="00EE2EF9" w:rsidP="00676618">
            <w:pPr>
              <w:pStyle w:val="naiskr"/>
              <w:spacing w:before="0" w:after="0"/>
              <w:ind w:left="57" w:right="57"/>
              <w:jc w:val="both"/>
              <w:rPr>
                <w:color w:val="000000"/>
                <w:szCs w:val="22"/>
              </w:rPr>
            </w:pPr>
            <w:r w:rsidRPr="006D0EE0">
              <w:rPr>
                <w:color w:val="000000"/>
                <w:szCs w:val="22"/>
              </w:rPr>
              <w:t>Nav</w:t>
            </w:r>
            <w:r>
              <w:rPr>
                <w:color w:val="000000"/>
                <w:szCs w:val="22"/>
              </w:rPr>
              <w:t>.</w:t>
            </w:r>
          </w:p>
        </w:tc>
      </w:tr>
    </w:tbl>
    <w:p w:rsidR="00767E98" w:rsidRPr="004867DE" w:rsidRDefault="00767E98" w:rsidP="00767E98">
      <w:pPr>
        <w:pStyle w:val="Parastais1"/>
        <w:jc w:val="both"/>
        <w:rPr>
          <w:color w:val="000000"/>
        </w:rPr>
      </w:pPr>
    </w:p>
    <w:tbl>
      <w:tblPr>
        <w:tblpPr w:leftFromText="180" w:rightFromText="180" w:vertAnchor="text" w:horzAnchor="margin" w:tblpX="75" w:tblpY="113"/>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96"/>
        <w:gridCol w:w="5382"/>
        <w:gridCol w:w="3425"/>
      </w:tblGrid>
      <w:tr w:rsidR="00767E98" w:rsidRPr="004867DE" w:rsidTr="00767E98">
        <w:tc>
          <w:tcPr>
            <w:tcW w:w="5000" w:type="pct"/>
            <w:gridSpan w:val="3"/>
          </w:tcPr>
          <w:p w:rsidR="00767E98" w:rsidRPr="004867DE" w:rsidRDefault="00767E98" w:rsidP="00767E98">
            <w:pPr>
              <w:pStyle w:val="Parastais1"/>
              <w:spacing w:before="100" w:beforeAutospacing="1" w:after="100" w:afterAutospacing="1"/>
              <w:jc w:val="center"/>
              <w:rPr>
                <w:b/>
                <w:bCs/>
                <w:color w:val="000000"/>
              </w:rPr>
            </w:pPr>
            <w:r w:rsidRPr="004867DE">
              <w:rPr>
                <w:b/>
                <w:bCs/>
                <w:color w:val="000000"/>
              </w:rPr>
              <w:t>VII. Tiesību akta projekta izpildes nodrošināšana un tās ietekme uz institūcijām</w:t>
            </w:r>
          </w:p>
        </w:tc>
      </w:tr>
      <w:tr w:rsidR="00767E98" w:rsidRPr="004867DE" w:rsidTr="00F308A5">
        <w:tc>
          <w:tcPr>
            <w:tcW w:w="215" w:type="pct"/>
          </w:tcPr>
          <w:p w:rsidR="00767E98" w:rsidRPr="004867DE" w:rsidRDefault="00767E98" w:rsidP="00767E98">
            <w:pPr>
              <w:pStyle w:val="Parastais1"/>
              <w:spacing w:before="100" w:beforeAutospacing="1" w:after="100" w:afterAutospacing="1"/>
              <w:rPr>
                <w:color w:val="000000"/>
              </w:rPr>
            </w:pPr>
            <w:r w:rsidRPr="004867DE">
              <w:rPr>
                <w:color w:val="000000"/>
              </w:rPr>
              <w:t>1.</w:t>
            </w:r>
          </w:p>
        </w:tc>
        <w:tc>
          <w:tcPr>
            <w:tcW w:w="2924" w:type="pct"/>
          </w:tcPr>
          <w:p w:rsidR="00767E98" w:rsidRPr="004867DE" w:rsidRDefault="00767E98" w:rsidP="00767E98">
            <w:pPr>
              <w:pStyle w:val="Parastais1"/>
              <w:spacing w:before="100" w:beforeAutospacing="1" w:after="100" w:afterAutospacing="1"/>
              <w:rPr>
                <w:color w:val="000000"/>
              </w:rPr>
            </w:pPr>
            <w:r w:rsidRPr="004867DE">
              <w:rPr>
                <w:color w:val="000000"/>
              </w:rPr>
              <w:t>Projekta izpildē iesaistītās institūcijas</w:t>
            </w:r>
          </w:p>
        </w:tc>
        <w:tc>
          <w:tcPr>
            <w:tcW w:w="1861" w:type="pct"/>
          </w:tcPr>
          <w:p w:rsidR="00767E98" w:rsidRPr="004867DE" w:rsidRDefault="00767E98" w:rsidP="00767E98">
            <w:pPr>
              <w:pStyle w:val="Parastais1"/>
              <w:spacing w:before="100" w:beforeAutospacing="1" w:after="100" w:afterAutospacing="1"/>
              <w:rPr>
                <w:color w:val="000000"/>
              </w:rPr>
            </w:pPr>
            <w:r>
              <w:rPr>
                <w:color w:val="000000"/>
              </w:rPr>
              <w:t>P</w:t>
            </w:r>
            <w:r w:rsidR="002B61A9">
              <w:rPr>
                <w:color w:val="000000"/>
              </w:rPr>
              <w:t>VD</w:t>
            </w:r>
          </w:p>
        </w:tc>
      </w:tr>
      <w:tr w:rsidR="00566B59" w:rsidRPr="004867DE" w:rsidTr="00F308A5">
        <w:tc>
          <w:tcPr>
            <w:tcW w:w="215" w:type="pct"/>
          </w:tcPr>
          <w:p w:rsidR="00566B59" w:rsidRPr="004867DE" w:rsidRDefault="00566B59" w:rsidP="00767E98">
            <w:pPr>
              <w:pStyle w:val="Parastais1"/>
              <w:spacing w:before="100" w:beforeAutospacing="1" w:after="100" w:afterAutospacing="1"/>
              <w:rPr>
                <w:color w:val="000000"/>
              </w:rPr>
            </w:pPr>
            <w:r w:rsidRPr="004867DE">
              <w:rPr>
                <w:color w:val="000000"/>
              </w:rPr>
              <w:t>2.</w:t>
            </w:r>
          </w:p>
        </w:tc>
        <w:tc>
          <w:tcPr>
            <w:tcW w:w="2924" w:type="pct"/>
          </w:tcPr>
          <w:p w:rsidR="00CF3E3A" w:rsidRDefault="00566B59" w:rsidP="00767E98">
            <w:pPr>
              <w:pStyle w:val="Parastais1"/>
              <w:spacing w:before="100" w:beforeAutospacing="1" w:after="100" w:afterAutospacing="1"/>
              <w:rPr>
                <w:color w:val="000000"/>
              </w:rPr>
            </w:pPr>
            <w:r w:rsidRPr="004867DE">
              <w:rPr>
                <w:color w:val="000000"/>
              </w:rPr>
              <w:t>Projekta izpildes ietekme uz pārvaldes funkcijām</w:t>
            </w:r>
            <w:r w:rsidR="00CF3E3A">
              <w:rPr>
                <w:color w:val="000000"/>
              </w:rPr>
              <w:t xml:space="preserve"> un institucionālo struktūru.</w:t>
            </w:r>
            <w:r w:rsidR="00CF3E3A" w:rsidRPr="004867DE">
              <w:rPr>
                <w:color w:val="000000"/>
              </w:rPr>
              <w:t xml:space="preserve"> </w:t>
            </w:r>
          </w:p>
          <w:p w:rsidR="00566B59" w:rsidRPr="004867DE" w:rsidRDefault="00CF3E3A" w:rsidP="00767E98">
            <w:pPr>
              <w:pStyle w:val="Parastais1"/>
              <w:spacing w:before="100" w:beforeAutospacing="1" w:after="100" w:afterAutospacing="1"/>
              <w:rPr>
                <w:color w:val="000000"/>
              </w:rPr>
            </w:pPr>
            <w:r w:rsidRPr="004867DE">
              <w:rPr>
                <w:color w:val="000000"/>
              </w:rPr>
              <w:t>Jaunu institūciju izveide</w:t>
            </w:r>
          </w:p>
        </w:tc>
        <w:tc>
          <w:tcPr>
            <w:tcW w:w="1861" w:type="pct"/>
          </w:tcPr>
          <w:p w:rsidR="00566B59" w:rsidRPr="005C5132" w:rsidRDefault="00566B59" w:rsidP="00767E98">
            <w:pPr>
              <w:pStyle w:val="Parastais1"/>
              <w:spacing w:before="100" w:beforeAutospacing="1" w:after="100" w:afterAutospacing="1"/>
              <w:rPr>
                <w:color w:val="000000"/>
              </w:rPr>
            </w:pPr>
            <w:r w:rsidRPr="0067663D">
              <w:rPr>
                <w:iCs/>
              </w:rPr>
              <w:t>Projekts šo jomu neskar</w:t>
            </w:r>
            <w:r w:rsidRPr="0067663D">
              <w:t>.</w:t>
            </w:r>
            <w:r w:rsidR="00F70A5E">
              <w:t xml:space="preserve"> Nav plānota jaunu institūciju izveide.</w:t>
            </w:r>
          </w:p>
        </w:tc>
      </w:tr>
      <w:tr w:rsidR="00767E98" w:rsidRPr="004867DE" w:rsidTr="00F308A5">
        <w:tc>
          <w:tcPr>
            <w:tcW w:w="215" w:type="pct"/>
          </w:tcPr>
          <w:p w:rsidR="00767E98" w:rsidRPr="004867DE" w:rsidRDefault="00CF3E3A" w:rsidP="00767E98">
            <w:pPr>
              <w:pStyle w:val="Parastais1"/>
              <w:spacing w:before="100" w:beforeAutospacing="1" w:after="100" w:afterAutospacing="1"/>
              <w:jc w:val="both"/>
              <w:rPr>
                <w:color w:val="000000"/>
              </w:rPr>
            </w:pPr>
            <w:r>
              <w:rPr>
                <w:color w:val="000000"/>
              </w:rPr>
              <w:t>3</w:t>
            </w:r>
            <w:r w:rsidR="00767E98" w:rsidRPr="004867DE">
              <w:rPr>
                <w:color w:val="000000"/>
              </w:rPr>
              <w:t>.</w:t>
            </w:r>
          </w:p>
        </w:tc>
        <w:tc>
          <w:tcPr>
            <w:tcW w:w="2924" w:type="pct"/>
          </w:tcPr>
          <w:p w:rsidR="00767E98" w:rsidRPr="004867DE" w:rsidRDefault="00767E98" w:rsidP="00767E98">
            <w:pPr>
              <w:pStyle w:val="Parastais1"/>
              <w:spacing w:before="100" w:beforeAutospacing="1" w:after="100" w:afterAutospacing="1"/>
              <w:jc w:val="both"/>
              <w:rPr>
                <w:color w:val="000000"/>
              </w:rPr>
            </w:pPr>
            <w:r w:rsidRPr="004867DE">
              <w:rPr>
                <w:color w:val="000000"/>
              </w:rPr>
              <w:t>Cita informācija</w:t>
            </w:r>
          </w:p>
        </w:tc>
        <w:tc>
          <w:tcPr>
            <w:tcW w:w="1861" w:type="pct"/>
          </w:tcPr>
          <w:p w:rsidR="00767E98" w:rsidRPr="004867DE" w:rsidRDefault="00767E98" w:rsidP="00767E98">
            <w:pPr>
              <w:pStyle w:val="Parastais1"/>
              <w:spacing w:before="100" w:beforeAutospacing="1" w:after="100" w:afterAutospacing="1"/>
              <w:jc w:val="both"/>
              <w:rPr>
                <w:color w:val="000000"/>
              </w:rPr>
            </w:pPr>
            <w:r w:rsidRPr="004867DE">
              <w:rPr>
                <w:color w:val="000000"/>
              </w:rPr>
              <w:t>Nav</w:t>
            </w:r>
          </w:p>
        </w:tc>
      </w:tr>
    </w:tbl>
    <w:p w:rsidR="00767E98" w:rsidRDefault="00767E98" w:rsidP="00767E98">
      <w:pPr>
        <w:pStyle w:val="Parastais1"/>
        <w:jc w:val="both"/>
      </w:pPr>
      <w:r w:rsidRPr="002D3157">
        <w:t> </w:t>
      </w:r>
    </w:p>
    <w:p w:rsidR="001B62D1" w:rsidRPr="007253ED" w:rsidRDefault="001B62D1" w:rsidP="00767E98">
      <w:pPr>
        <w:pStyle w:val="Parastais1"/>
        <w:jc w:val="both"/>
        <w:rPr>
          <w:color w:val="000000"/>
          <w:sz w:val="20"/>
          <w:szCs w:val="20"/>
        </w:rPr>
      </w:pPr>
    </w:p>
    <w:p w:rsidR="00767E98" w:rsidRDefault="00767E98" w:rsidP="00767E98">
      <w:pPr>
        <w:pStyle w:val="naisf"/>
        <w:spacing w:before="0" w:after="0"/>
        <w:ind w:firstLine="720"/>
        <w:rPr>
          <w:sz w:val="28"/>
          <w:szCs w:val="28"/>
        </w:rPr>
      </w:pPr>
    </w:p>
    <w:p w:rsidR="00767E98" w:rsidRPr="00A37721" w:rsidRDefault="00767E98" w:rsidP="00767E98">
      <w:pPr>
        <w:pStyle w:val="naisf"/>
        <w:spacing w:before="0" w:after="0"/>
        <w:ind w:firstLine="720"/>
        <w:rPr>
          <w:sz w:val="28"/>
          <w:szCs w:val="28"/>
        </w:rPr>
      </w:pPr>
      <w:r>
        <w:rPr>
          <w:sz w:val="28"/>
          <w:szCs w:val="28"/>
        </w:rPr>
        <w:t>Zemkopības ministr</w:t>
      </w:r>
      <w:r w:rsidR="006156A1">
        <w:rPr>
          <w:sz w:val="28"/>
          <w:szCs w:val="28"/>
        </w:rPr>
        <w:t>s</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6156A1">
        <w:rPr>
          <w:sz w:val="28"/>
          <w:szCs w:val="28"/>
        </w:rPr>
        <w:t>J.Dūklavs</w:t>
      </w:r>
      <w:proofErr w:type="spellEnd"/>
    </w:p>
    <w:p w:rsidR="00767E98" w:rsidRDefault="00767E98" w:rsidP="00767E98">
      <w:pPr>
        <w:pStyle w:val="Parastais1"/>
        <w:jc w:val="both"/>
        <w:rPr>
          <w:sz w:val="28"/>
          <w:szCs w:val="28"/>
        </w:rPr>
      </w:pPr>
    </w:p>
    <w:p w:rsidR="00767E98" w:rsidRDefault="00767E98" w:rsidP="00767E98">
      <w:pPr>
        <w:pStyle w:val="naisf"/>
        <w:spacing w:before="0" w:after="0"/>
        <w:ind w:firstLine="0"/>
      </w:pPr>
    </w:p>
    <w:p w:rsidR="00767E98" w:rsidRDefault="00767E98" w:rsidP="00767E98">
      <w:pPr>
        <w:pStyle w:val="naisf"/>
        <w:spacing w:before="0" w:after="0"/>
        <w:ind w:firstLine="0"/>
      </w:pPr>
    </w:p>
    <w:p w:rsidR="00767E98" w:rsidRDefault="00767E98" w:rsidP="00767E98">
      <w:pPr>
        <w:pStyle w:val="naisf"/>
        <w:spacing w:before="0" w:after="0"/>
        <w:ind w:firstLine="0"/>
      </w:pPr>
    </w:p>
    <w:p w:rsidR="00767E98" w:rsidRDefault="00767E98" w:rsidP="00767E98">
      <w:pPr>
        <w:pStyle w:val="naisf"/>
        <w:spacing w:before="0" w:after="0"/>
        <w:ind w:firstLine="0"/>
      </w:pPr>
    </w:p>
    <w:p w:rsidR="007E24E5" w:rsidRDefault="007E24E5" w:rsidP="00767E98">
      <w:pPr>
        <w:pStyle w:val="naisf"/>
        <w:spacing w:before="0" w:after="0"/>
        <w:ind w:firstLine="0"/>
      </w:pPr>
    </w:p>
    <w:p w:rsidR="007E24E5" w:rsidRDefault="007E24E5" w:rsidP="00767E98">
      <w:pPr>
        <w:pStyle w:val="naisf"/>
        <w:spacing w:before="0" w:after="0"/>
        <w:ind w:firstLine="0"/>
      </w:pPr>
    </w:p>
    <w:p w:rsidR="007E24E5" w:rsidRDefault="007E24E5" w:rsidP="00767E98">
      <w:pPr>
        <w:pStyle w:val="naisf"/>
        <w:spacing w:before="0" w:after="0"/>
        <w:ind w:firstLine="0"/>
      </w:pPr>
    </w:p>
    <w:p w:rsidR="007E24E5" w:rsidRDefault="007E24E5" w:rsidP="00767E98">
      <w:pPr>
        <w:pStyle w:val="naisf"/>
        <w:spacing w:before="0" w:after="0"/>
        <w:ind w:firstLine="0"/>
      </w:pPr>
    </w:p>
    <w:p w:rsidR="007E24E5" w:rsidRDefault="007E24E5" w:rsidP="00767E98">
      <w:pPr>
        <w:pStyle w:val="naisf"/>
        <w:spacing w:before="0" w:after="0"/>
        <w:ind w:firstLine="0"/>
      </w:pPr>
    </w:p>
    <w:p w:rsidR="009422CB" w:rsidRDefault="009422CB" w:rsidP="00767E98">
      <w:pPr>
        <w:pStyle w:val="naisf"/>
        <w:spacing w:before="0" w:after="0"/>
        <w:ind w:firstLine="0"/>
      </w:pPr>
    </w:p>
    <w:p w:rsidR="009422CB" w:rsidRDefault="009422CB" w:rsidP="00767E98">
      <w:pPr>
        <w:pStyle w:val="naisf"/>
        <w:spacing w:before="0" w:after="0"/>
        <w:ind w:firstLine="0"/>
      </w:pPr>
    </w:p>
    <w:p w:rsidR="009422CB" w:rsidRDefault="009422CB" w:rsidP="00767E98">
      <w:pPr>
        <w:pStyle w:val="naisf"/>
        <w:spacing w:before="0" w:after="0"/>
        <w:ind w:firstLine="0"/>
      </w:pPr>
    </w:p>
    <w:p w:rsidR="00767E98" w:rsidRPr="004407CE" w:rsidRDefault="00767E98" w:rsidP="00767E98">
      <w:pPr>
        <w:pStyle w:val="naisf"/>
        <w:spacing w:before="0" w:after="0"/>
        <w:ind w:firstLine="0"/>
      </w:pPr>
    </w:p>
    <w:p w:rsidR="00A31019" w:rsidRDefault="007E24E5" w:rsidP="00767E98">
      <w:pPr>
        <w:pStyle w:val="Parastais1"/>
        <w:rPr>
          <w:sz w:val="20"/>
          <w:szCs w:val="20"/>
        </w:rPr>
      </w:pPr>
      <w:r>
        <w:rPr>
          <w:sz w:val="20"/>
          <w:szCs w:val="20"/>
        </w:rPr>
        <w:t>2014.02.27. 8:32</w:t>
      </w:r>
    </w:p>
    <w:p w:rsidR="007E24E5" w:rsidRDefault="007E24E5" w:rsidP="00767E98">
      <w:pPr>
        <w:pStyle w:val="Parastais1"/>
        <w:rPr>
          <w:sz w:val="20"/>
          <w:szCs w:val="20"/>
        </w:rPr>
      </w:pPr>
      <w:fldSimple w:instr=" NUMWORDS   \* MERGEFORMAT ">
        <w:r>
          <w:rPr>
            <w:noProof/>
            <w:sz w:val="20"/>
            <w:szCs w:val="20"/>
          </w:rPr>
          <w:t>1197</w:t>
        </w:r>
      </w:fldSimple>
    </w:p>
    <w:p w:rsidR="00767E98" w:rsidRPr="002F10A4" w:rsidRDefault="00425BC4" w:rsidP="00767E98">
      <w:pPr>
        <w:pStyle w:val="Parastais1"/>
        <w:rPr>
          <w:sz w:val="20"/>
          <w:szCs w:val="20"/>
        </w:rPr>
      </w:pPr>
      <w:r>
        <w:rPr>
          <w:sz w:val="20"/>
          <w:szCs w:val="20"/>
        </w:rPr>
        <w:t>D.Lauska</w:t>
      </w:r>
    </w:p>
    <w:p w:rsidR="0056226E" w:rsidRDefault="00767E98">
      <w:pPr>
        <w:pStyle w:val="Parastais1"/>
      </w:pPr>
      <w:r>
        <w:rPr>
          <w:sz w:val="20"/>
          <w:szCs w:val="20"/>
        </w:rPr>
        <w:t>6</w:t>
      </w:r>
      <w:r w:rsidRPr="00415584">
        <w:rPr>
          <w:sz w:val="20"/>
          <w:szCs w:val="20"/>
        </w:rPr>
        <w:t>7027</w:t>
      </w:r>
      <w:r w:rsidR="00425BC4">
        <w:rPr>
          <w:sz w:val="20"/>
          <w:szCs w:val="20"/>
        </w:rPr>
        <w:t>264</w:t>
      </w:r>
      <w:r w:rsidRPr="00415584">
        <w:rPr>
          <w:sz w:val="20"/>
          <w:szCs w:val="20"/>
        </w:rPr>
        <w:t xml:space="preserve">, </w:t>
      </w:r>
      <w:r w:rsidR="00425BC4">
        <w:rPr>
          <w:sz w:val="20"/>
          <w:szCs w:val="20"/>
        </w:rPr>
        <w:t>Dace.Lauska</w:t>
      </w:r>
      <w:r w:rsidRPr="00415584">
        <w:rPr>
          <w:sz w:val="20"/>
          <w:szCs w:val="20"/>
        </w:rPr>
        <w:t>@zm.gov.lv</w:t>
      </w:r>
    </w:p>
    <w:sectPr w:rsidR="0056226E" w:rsidSect="00A31019">
      <w:headerReference w:type="even" r:id="rId10"/>
      <w:headerReference w:type="default" r:id="rId11"/>
      <w:footerReference w:type="default" r:id="rId12"/>
      <w:footerReference w:type="first" r:id="rId13"/>
      <w:pgSz w:w="11906" w:h="16838" w:code="9"/>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87E9E" w15:done="0"/>
  <w15:commentEx w15:paraId="6387AAA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2F2" w:rsidRDefault="004522F2">
      <w:pPr>
        <w:pStyle w:val="Parastais1"/>
      </w:pPr>
      <w:r>
        <w:separator/>
      </w:r>
    </w:p>
  </w:endnote>
  <w:endnote w:type="continuationSeparator" w:id="0">
    <w:p w:rsidR="004522F2" w:rsidRDefault="004522F2">
      <w:pPr>
        <w:pStyle w:val="Parastais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CB" w:rsidRPr="009422CB" w:rsidRDefault="009422CB" w:rsidP="009422CB">
    <w:pPr>
      <w:jc w:val="both"/>
      <w:rPr>
        <w:bCs/>
        <w:color w:val="0D0D0D"/>
      </w:rPr>
    </w:pPr>
    <w:r w:rsidRPr="009422CB">
      <w:rPr>
        <w:noProof/>
      </w:rPr>
      <w:t>ZM</w:t>
    </w:r>
    <w:r>
      <w:rPr>
        <w:noProof/>
      </w:rPr>
      <w:t>An</w:t>
    </w:r>
    <w:r w:rsidRPr="009422CB">
      <w:rPr>
        <w:noProof/>
      </w:rPr>
      <w:t>ot_</w:t>
    </w:r>
    <w:r w:rsidR="00FB6F5F">
      <w:rPr>
        <w:noProof/>
      </w:rPr>
      <w:t>26</w:t>
    </w:r>
    <w:r w:rsidR="00BD0CD9">
      <w:rPr>
        <w:noProof/>
      </w:rPr>
      <w:t>02</w:t>
    </w:r>
    <w:r w:rsidR="00B54EE9">
      <w:rPr>
        <w:noProof/>
      </w:rPr>
      <w:t>14</w:t>
    </w:r>
    <w:r w:rsidRPr="009422CB">
      <w:rPr>
        <w:noProof/>
      </w:rPr>
      <w:t>_partkontr; Grozījumi Ministru kabineta 2006.gada 2.maija  noteikumos Nr.352 „</w:t>
    </w:r>
    <w:r w:rsidRPr="009422CB">
      <w:rPr>
        <w:bCs/>
        <w:noProof/>
      </w:rPr>
      <w:t>Noteikumi par veterinārajai kontrolei nepakļautas pārtikas ievešanu no trešajām valstīm un tās kontroles kārtību valsts robežkontroles punktos, brīvajās zonās, brīvajās noliktavās un muitas noliktavās”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CB" w:rsidRPr="009422CB" w:rsidRDefault="009422CB" w:rsidP="009422CB">
    <w:pPr>
      <w:jc w:val="both"/>
      <w:rPr>
        <w:bCs/>
        <w:color w:val="0D0D0D"/>
      </w:rPr>
    </w:pPr>
    <w:r w:rsidRPr="009422CB">
      <w:rPr>
        <w:noProof/>
      </w:rPr>
      <w:t>ZM</w:t>
    </w:r>
    <w:r>
      <w:rPr>
        <w:noProof/>
      </w:rPr>
      <w:t>An</w:t>
    </w:r>
    <w:r w:rsidRPr="009422CB">
      <w:rPr>
        <w:noProof/>
      </w:rPr>
      <w:t>ot_</w:t>
    </w:r>
    <w:r w:rsidR="00FB6F5F">
      <w:rPr>
        <w:noProof/>
      </w:rPr>
      <w:t>26</w:t>
    </w:r>
    <w:r w:rsidR="00BD0CD9">
      <w:rPr>
        <w:noProof/>
      </w:rPr>
      <w:t>02</w:t>
    </w:r>
    <w:r w:rsidR="00B54EE9">
      <w:rPr>
        <w:noProof/>
      </w:rPr>
      <w:t>14</w:t>
    </w:r>
    <w:r w:rsidRPr="009422CB">
      <w:rPr>
        <w:noProof/>
      </w:rPr>
      <w:t>_partkontr; Grozījumi Ministru kabineta 2006.gada 2.maija  noteikumos Nr.352 „</w:t>
    </w:r>
    <w:r w:rsidRPr="009422CB">
      <w:rPr>
        <w:bCs/>
        <w:noProof/>
      </w:rPr>
      <w:t>Noteikumi par veterinārajai kontrolei nepakļautas pārtikas ievešanu no trešajām valstīm un tās kontroles kārtību valsts robežkontroles punktos, brīvajās zonās, brīvajās noliktavās un muitas noliktavās”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2F2" w:rsidRDefault="004522F2">
      <w:pPr>
        <w:pStyle w:val="Parastais1"/>
      </w:pPr>
      <w:r>
        <w:separator/>
      </w:r>
    </w:p>
  </w:footnote>
  <w:footnote w:type="continuationSeparator" w:id="0">
    <w:p w:rsidR="004522F2" w:rsidRDefault="004522F2">
      <w:pPr>
        <w:pStyle w:val="Parastai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98" w:rsidRDefault="001D5CAD" w:rsidP="00767E98">
    <w:pPr>
      <w:pStyle w:val="Galvene"/>
      <w:framePr w:wrap="around" w:vAnchor="text" w:hAnchor="margin" w:xAlign="center" w:y="1"/>
      <w:rPr>
        <w:rStyle w:val="Lappusesnumurs"/>
      </w:rPr>
    </w:pPr>
    <w:r>
      <w:rPr>
        <w:rStyle w:val="Lappusesnumurs"/>
      </w:rPr>
      <w:fldChar w:fldCharType="begin"/>
    </w:r>
    <w:r w:rsidR="00767E98">
      <w:rPr>
        <w:rStyle w:val="Lappusesnumurs"/>
      </w:rPr>
      <w:instrText xml:space="preserve">PAGE  </w:instrText>
    </w:r>
    <w:r>
      <w:rPr>
        <w:rStyle w:val="Lappusesnumurs"/>
      </w:rPr>
      <w:fldChar w:fldCharType="end"/>
    </w:r>
  </w:p>
  <w:p w:rsidR="00767E98" w:rsidRDefault="00767E9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98" w:rsidRDefault="001D5CAD" w:rsidP="00767E98">
    <w:pPr>
      <w:pStyle w:val="Galvene"/>
      <w:framePr w:wrap="around" w:vAnchor="text" w:hAnchor="margin" w:xAlign="center" w:y="1"/>
      <w:rPr>
        <w:rStyle w:val="Lappusesnumurs"/>
      </w:rPr>
    </w:pPr>
    <w:r>
      <w:rPr>
        <w:rStyle w:val="Lappusesnumurs"/>
      </w:rPr>
      <w:fldChar w:fldCharType="begin"/>
    </w:r>
    <w:r w:rsidR="00767E98">
      <w:rPr>
        <w:rStyle w:val="Lappusesnumurs"/>
      </w:rPr>
      <w:instrText xml:space="preserve">PAGE  </w:instrText>
    </w:r>
    <w:r>
      <w:rPr>
        <w:rStyle w:val="Lappusesnumurs"/>
      </w:rPr>
      <w:fldChar w:fldCharType="separate"/>
    </w:r>
    <w:r w:rsidR="007E24E5">
      <w:rPr>
        <w:rStyle w:val="Lappusesnumurs"/>
        <w:noProof/>
      </w:rPr>
      <w:t>5</w:t>
    </w:r>
    <w:r>
      <w:rPr>
        <w:rStyle w:val="Lappusesnumurs"/>
      </w:rPr>
      <w:fldChar w:fldCharType="end"/>
    </w:r>
  </w:p>
  <w:p w:rsidR="00767E98" w:rsidRDefault="00767E9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9E8"/>
    <w:multiLevelType w:val="multilevel"/>
    <w:tmpl w:val="719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57C6D"/>
    <w:multiLevelType w:val="hybridMultilevel"/>
    <w:tmpl w:val="86AA8F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460FFB"/>
    <w:multiLevelType w:val="hybridMultilevel"/>
    <w:tmpl w:val="0772EB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E42964"/>
    <w:multiLevelType w:val="hybridMultilevel"/>
    <w:tmpl w:val="E836E7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325448E"/>
    <w:multiLevelType w:val="hybridMultilevel"/>
    <w:tmpl w:val="15C6A8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4F54A61"/>
    <w:multiLevelType w:val="hybridMultilevel"/>
    <w:tmpl w:val="C77A4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BA432BD"/>
    <w:multiLevelType w:val="hybridMultilevel"/>
    <w:tmpl w:val="886627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C11FF0"/>
    <w:multiLevelType w:val="hybridMultilevel"/>
    <w:tmpl w:val="BD8C4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BFA41DD"/>
    <w:multiLevelType w:val="multilevel"/>
    <w:tmpl w:val="E18C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3040F5"/>
    <w:multiLevelType w:val="hybridMultilevel"/>
    <w:tmpl w:val="A3E2B1C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7D1B3DBA"/>
    <w:multiLevelType w:val="hybridMultilevel"/>
    <w:tmpl w:val="E3AA89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F8271AC"/>
    <w:multiLevelType w:val="multilevel"/>
    <w:tmpl w:val="626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6"/>
  </w:num>
  <w:num w:numId="5">
    <w:abstractNumId w:val="1"/>
  </w:num>
  <w:num w:numId="6">
    <w:abstractNumId w:val="8"/>
  </w:num>
  <w:num w:numId="7">
    <w:abstractNumId w:val="11"/>
  </w:num>
  <w:num w:numId="8">
    <w:abstractNumId w:val="0"/>
  </w:num>
  <w:num w:numId="9">
    <w:abstractNumId w:val="5"/>
  </w:num>
  <w:num w:numId="10">
    <w:abstractNumId w:val="9"/>
  </w:num>
  <w:num w:numId="11">
    <w:abstractNumId w:val="4"/>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ja Stirna">
    <w15:presenceInfo w15:providerId="AD" w15:userId="S-1-5-21-1078081533-1682526488-1202660629-15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67E98"/>
    <w:rsid w:val="00003BC4"/>
    <w:rsid w:val="00003EC9"/>
    <w:rsid w:val="0000445C"/>
    <w:rsid w:val="00027616"/>
    <w:rsid w:val="000622A0"/>
    <w:rsid w:val="00094197"/>
    <w:rsid w:val="000A137D"/>
    <w:rsid w:val="000B4962"/>
    <w:rsid w:val="000B7CEA"/>
    <w:rsid w:val="000C1164"/>
    <w:rsid w:val="000C7B9A"/>
    <w:rsid w:val="000E3EE6"/>
    <w:rsid w:val="000E5D2D"/>
    <w:rsid w:val="000F597D"/>
    <w:rsid w:val="0014551F"/>
    <w:rsid w:val="00145961"/>
    <w:rsid w:val="00146DDC"/>
    <w:rsid w:val="001541BE"/>
    <w:rsid w:val="00156501"/>
    <w:rsid w:val="00160621"/>
    <w:rsid w:val="00174598"/>
    <w:rsid w:val="00176989"/>
    <w:rsid w:val="0017782D"/>
    <w:rsid w:val="001B62D1"/>
    <w:rsid w:val="001B66F0"/>
    <w:rsid w:val="001C410B"/>
    <w:rsid w:val="001C66F4"/>
    <w:rsid w:val="001C7CB6"/>
    <w:rsid w:val="001D5CAD"/>
    <w:rsid w:val="001F6A0A"/>
    <w:rsid w:val="00213158"/>
    <w:rsid w:val="00224BA2"/>
    <w:rsid w:val="0024319F"/>
    <w:rsid w:val="00295F99"/>
    <w:rsid w:val="002A3D37"/>
    <w:rsid w:val="002B2D6A"/>
    <w:rsid w:val="002B5879"/>
    <w:rsid w:val="002B61A9"/>
    <w:rsid w:val="002B70E3"/>
    <w:rsid w:val="002C7CD7"/>
    <w:rsid w:val="002D2649"/>
    <w:rsid w:val="002D4848"/>
    <w:rsid w:val="00305B58"/>
    <w:rsid w:val="00312EE7"/>
    <w:rsid w:val="00314733"/>
    <w:rsid w:val="00323D77"/>
    <w:rsid w:val="00324F7C"/>
    <w:rsid w:val="003273CE"/>
    <w:rsid w:val="00354EA5"/>
    <w:rsid w:val="0036117E"/>
    <w:rsid w:val="0038111B"/>
    <w:rsid w:val="00385187"/>
    <w:rsid w:val="003D5DC3"/>
    <w:rsid w:val="003F3082"/>
    <w:rsid w:val="00400E8F"/>
    <w:rsid w:val="00425BC4"/>
    <w:rsid w:val="00444988"/>
    <w:rsid w:val="004522F2"/>
    <w:rsid w:val="0046342E"/>
    <w:rsid w:val="004A3629"/>
    <w:rsid w:val="004E28B9"/>
    <w:rsid w:val="00526E00"/>
    <w:rsid w:val="0052725B"/>
    <w:rsid w:val="0056226E"/>
    <w:rsid w:val="00566B59"/>
    <w:rsid w:val="00575B26"/>
    <w:rsid w:val="00581C30"/>
    <w:rsid w:val="005A14CB"/>
    <w:rsid w:val="005A6E3A"/>
    <w:rsid w:val="005E686E"/>
    <w:rsid w:val="005F4AA0"/>
    <w:rsid w:val="00603F72"/>
    <w:rsid w:val="006078EA"/>
    <w:rsid w:val="006156A1"/>
    <w:rsid w:val="00615F05"/>
    <w:rsid w:val="00633C66"/>
    <w:rsid w:val="00645504"/>
    <w:rsid w:val="00645806"/>
    <w:rsid w:val="006616DA"/>
    <w:rsid w:val="00661AF3"/>
    <w:rsid w:val="00687AA2"/>
    <w:rsid w:val="006A31A1"/>
    <w:rsid w:val="006A4ACB"/>
    <w:rsid w:val="006B10DE"/>
    <w:rsid w:val="006B43DE"/>
    <w:rsid w:val="006E538A"/>
    <w:rsid w:val="006E6616"/>
    <w:rsid w:val="006F1247"/>
    <w:rsid w:val="007251F6"/>
    <w:rsid w:val="0072524B"/>
    <w:rsid w:val="0075045E"/>
    <w:rsid w:val="00767E98"/>
    <w:rsid w:val="00780BA7"/>
    <w:rsid w:val="007813E1"/>
    <w:rsid w:val="00781B75"/>
    <w:rsid w:val="007876D7"/>
    <w:rsid w:val="00790B22"/>
    <w:rsid w:val="007C6A98"/>
    <w:rsid w:val="007D5D36"/>
    <w:rsid w:val="007D7634"/>
    <w:rsid w:val="007E24E5"/>
    <w:rsid w:val="00827654"/>
    <w:rsid w:val="008319AF"/>
    <w:rsid w:val="00862675"/>
    <w:rsid w:val="008718F3"/>
    <w:rsid w:val="00872048"/>
    <w:rsid w:val="0088418A"/>
    <w:rsid w:val="00893FDD"/>
    <w:rsid w:val="00895D4E"/>
    <w:rsid w:val="008A6A23"/>
    <w:rsid w:val="008B0CB2"/>
    <w:rsid w:val="008B764F"/>
    <w:rsid w:val="008C16FD"/>
    <w:rsid w:val="008D30A1"/>
    <w:rsid w:val="008F74C7"/>
    <w:rsid w:val="00914122"/>
    <w:rsid w:val="0093606E"/>
    <w:rsid w:val="009422CB"/>
    <w:rsid w:val="00972F1E"/>
    <w:rsid w:val="00982E41"/>
    <w:rsid w:val="009833B5"/>
    <w:rsid w:val="00995456"/>
    <w:rsid w:val="009954F4"/>
    <w:rsid w:val="009B18C5"/>
    <w:rsid w:val="009C24B2"/>
    <w:rsid w:val="009D6CEF"/>
    <w:rsid w:val="009E250A"/>
    <w:rsid w:val="009E43E7"/>
    <w:rsid w:val="00A15CA2"/>
    <w:rsid w:val="00A270FB"/>
    <w:rsid w:val="00A31019"/>
    <w:rsid w:val="00A54D1B"/>
    <w:rsid w:val="00A57371"/>
    <w:rsid w:val="00A658C6"/>
    <w:rsid w:val="00A7331B"/>
    <w:rsid w:val="00A75536"/>
    <w:rsid w:val="00A96FCF"/>
    <w:rsid w:val="00AA4CBC"/>
    <w:rsid w:val="00AE1E1F"/>
    <w:rsid w:val="00B005D5"/>
    <w:rsid w:val="00B038AE"/>
    <w:rsid w:val="00B05CD6"/>
    <w:rsid w:val="00B31245"/>
    <w:rsid w:val="00B51743"/>
    <w:rsid w:val="00B5429E"/>
    <w:rsid w:val="00B54EE9"/>
    <w:rsid w:val="00B55747"/>
    <w:rsid w:val="00B81E52"/>
    <w:rsid w:val="00B841B0"/>
    <w:rsid w:val="00B967D8"/>
    <w:rsid w:val="00BA48F5"/>
    <w:rsid w:val="00BB0AF9"/>
    <w:rsid w:val="00BD0CD9"/>
    <w:rsid w:val="00BF15F6"/>
    <w:rsid w:val="00BF4174"/>
    <w:rsid w:val="00BF73CB"/>
    <w:rsid w:val="00C3073B"/>
    <w:rsid w:val="00C656CA"/>
    <w:rsid w:val="00C67E58"/>
    <w:rsid w:val="00C739AF"/>
    <w:rsid w:val="00C77AB3"/>
    <w:rsid w:val="00C969A8"/>
    <w:rsid w:val="00CA7A43"/>
    <w:rsid w:val="00CB2425"/>
    <w:rsid w:val="00CE47BB"/>
    <w:rsid w:val="00CF3E3A"/>
    <w:rsid w:val="00D166D5"/>
    <w:rsid w:val="00D23694"/>
    <w:rsid w:val="00D2650E"/>
    <w:rsid w:val="00D32694"/>
    <w:rsid w:val="00D40C85"/>
    <w:rsid w:val="00D967DC"/>
    <w:rsid w:val="00D97DB8"/>
    <w:rsid w:val="00DA10B1"/>
    <w:rsid w:val="00DA53DA"/>
    <w:rsid w:val="00DB4EE7"/>
    <w:rsid w:val="00DD2E5A"/>
    <w:rsid w:val="00DD6595"/>
    <w:rsid w:val="00DE4939"/>
    <w:rsid w:val="00E041F3"/>
    <w:rsid w:val="00E1280E"/>
    <w:rsid w:val="00E13B80"/>
    <w:rsid w:val="00E20364"/>
    <w:rsid w:val="00E60A85"/>
    <w:rsid w:val="00E747D7"/>
    <w:rsid w:val="00E90F70"/>
    <w:rsid w:val="00E972EF"/>
    <w:rsid w:val="00EA1DAF"/>
    <w:rsid w:val="00ED0E0B"/>
    <w:rsid w:val="00EE2EF9"/>
    <w:rsid w:val="00F22EDE"/>
    <w:rsid w:val="00F23134"/>
    <w:rsid w:val="00F30750"/>
    <w:rsid w:val="00F308A5"/>
    <w:rsid w:val="00F33E81"/>
    <w:rsid w:val="00F377E0"/>
    <w:rsid w:val="00F438F3"/>
    <w:rsid w:val="00F61132"/>
    <w:rsid w:val="00F6229E"/>
    <w:rsid w:val="00F70A5E"/>
    <w:rsid w:val="00F83605"/>
    <w:rsid w:val="00F90766"/>
    <w:rsid w:val="00F95D30"/>
    <w:rsid w:val="00FB29BF"/>
    <w:rsid w:val="00FB6F5F"/>
    <w:rsid w:val="00FC68AD"/>
    <w:rsid w:val="00FD1FD1"/>
    <w:rsid w:val="00FE188F"/>
    <w:rsid w:val="00FE45CE"/>
    <w:rsid w:val="00FF52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D5CAD"/>
  </w:style>
  <w:style w:type="paragraph" w:styleId="Virsraksts1">
    <w:name w:val="heading 1"/>
    <w:basedOn w:val="Parastais"/>
    <w:next w:val="Parastais"/>
    <w:link w:val="Virsraksts1Rakstz"/>
    <w:qFormat/>
    <w:rsid w:val="00FB2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ais1"/>
    <w:next w:val="Parastais1"/>
    <w:link w:val="Virsraksts3Rakstz"/>
    <w:qFormat/>
    <w:rsid w:val="00767E98"/>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1">
    <w:name w:val="Parastais1"/>
    <w:qFormat/>
    <w:rsid w:val="00767E98"/>
    <w:rPr>
      <w:sz w:val="24"/>
      <w:szCs w:val="24"/>
    </w:rPr>
  </w:style>
  <w:style w:type="character" w:customStyle="1" w:styleId="Virsraksts3Rakstz">
    <w:name w:val="Virsraksts 3 Rakstz."/>
    <w:link w:val="Virsraksts3"/>
    <w:rsid w:val="00767E98"/>
    <w:rPr>
      <w:rFonts w:ascii="Cambria" w:hAnsi="Cambria"/>
      <w:b/>
      <w:bCs/>
      <w:sz w:val="26"/>
      <w:szCs w:val="26"/>
      <w:lang w:val="lv-LV" w:eastAsia="lv-LV" w:bidi="ar-SA"/>
    </w:rPr>
  </w:style>
  <w:style w:type="paragraph" w:customStyle="1" w:styleId="ParastaisWeb1">
    <w:name w:val="Parastais (Web)1"/>
    <w:basedOn w:val="Parastais1"/>
    <w:rsid w:val="00767E98"/>
    <w:pPr>
      <w:spacing w:before="100" w:beforeAutospacing="1" w:after="100" w:afterAutospacing="1"/>
      <w:jc w:val="both"/>
    </w:pPr>
    <w:rPr>
      <w:color w:val="000000"/>
      <w:sz w:val="20"/>
      <w:szCs w:val="20"/>
    </w:rPr>
  </w:style>
  <w:style w:type="paragraph" w:customStyle="1" w:styleId="naisf">
    <w:name w:val="naisf"/>
    <w:basedOn w:val="Parastais1"/>
    <w:rsid w:val="00767E98"/>
    <w:pPr>
      <w:spacing w:before="75" w:after="75"/>
      <w:ind w:firstLine="375"/>
      <w:jc w:val="both"/>
    </w:pPr>
  </w:style>
  <w:style w:type="paragraph" w:styleId="Galvene">
    <w:name w:val="header"/>
    <w:basedOn w:val="Parastais1"/>
    <w:link w:val="GalveneRakstz"/>
    <w:rsid w:val="00767E98"/>
    <w:pPr>
      <w:tabs>
        <w:tab w:val="center" w:pos="4153"/>
        <w:tab w:val="right" w:pos="8306"/>
      </w:tabs>
    </w:pPr>
  </w:style>
  <w:style w:type="character" w:customStyle="1" w:styleId="GalveneRakstz">
    <w:name w:val="Galvene Rakstz."/>
    <w:link w:val="Galvene"/>
    <w:rsid w:val="00767E98"/>
    <w:rPr>
      <w:sz w:val="24"/>
      <w:szCs w:val="24"/>
      <w:lang w:val="lv-LV" w:eastAsia="lv-LV" w:bidi="ar-SA"/>
    </w:rPr>
  </w:style>
  <w:style w:type="paragraph" w:styleId="Kjene">
    <w:name w:val="footer"/>
    <w:basedOn w:val="Parastais1"/>
    <w:link w:val="KjeneRakstz"/>
    <w:rsid w:val="00767E98"/>
    <w:pPr>
      <w:tabs>
        <w:tab w:val="center" w:pos="4153"/>
        <w:tab w:val="right" w:pos="8306"/>
      </w:tabs>
    </w:pPr>
  </w:style>
  <w:style w:type="character" w:customStyle="1" w:styleId="KjeneRakstz">
    <w:name w:val="Kājene Rakstz."/>
    <w:link w:val="Kjene"/>
    <w:rsid w:val="00767E98"/>
    <w:rPr>
      <w:sz w:val="24"/>
      <w:szCs w:val="24"/>
      <w:lang w:val="lv-LV" w:eastAsia="lv-LV" w:bidi="ar-SA"/>
    </w:rPr>
  </w:style>
  <w:style w:type="character" w:styleId="Lappusesnumurs">
    <w:name w:val="page number"/>
    <w:basedOn w:val="Noklusjumarindkopasfonts"/>
    <w:rsid w:val="00767E98"/>
  </w:style>
  <w:style w:type="paragraph" w:customStyle="1" w:styleId="naisc">
    <w:name w:val="naisc"/>
    <w:basedOn w:val="Parastais1"/>
    <w:rsid w:val="00767E98"/>
    <w:pPr>
      <w:spacing w:before="100" w:beforeAutospacing="1" w:after="100" w:afterAutospacing="1"/>
    </w:pPr>
  </w:style>
  <w:style w:type="paragraph" w:customStyle="1" w:styleId="naiskr">
    <w:name w:val="naiskr"/>
    <w:basedOn w:val="Parastais1"/>
    <w:rsid w:val="002B2D6A"/>
    <w:pPr>
      <w:spacing w:before="75" w:after="75"/>
    </w:pPr>
  </w:style>
  <w:style w:type="paragraph" w:styleId="Balonteksts">
    <w:name w:val="Balloon Text"/>
    <w:basedOn w:val="Parastais1"/>
    <w:link w:val="BalontekstsRakstz"/>
    <w:rsid w:val="002B2D6A"/>
    <w:rPr>
      <w:rFonts w:ascii="Tahoma" w:hAnsi="Tahoma"/>
      <w:sz w:val="16"/>
      <w:szCs w:val="16"/>
      <w:lang/>
    </w:rPr>
  </w:style>
  <w:style w:type="character" w:customStyle="1" w:styleId="BalontekstsRakstz">
    <w:name w:val="Balonteksts Rakstz."/>
    <w:link w:val="Balonteksts"/>
    <w:rsid w:val="002B2D6A"/>
    <w:rPr>
      <w:rFonts w:ascii="Tahoma" w:hAnsi="Tahoma" w:cs="Tahoma"/>
      <w:sz w:val="16"/>
      <w:szCs w:val="16"/>
    </w:rPr>
  </w:style>
  <w:style w:type="paragraph" w:styleId="Bezatstarpm">
    <w:name w:val="No Spacing"/>
    <w:uiPriority w:val="1"/>
    <w:qFormat/>
    <w:rsid w:val="000622A0"/>
    <w:rPr>
      <w:rFonts w:ascii="Calibri" w:eastAsia="Calibri" w:hAnsi="Calibri"/>
      <w:sz w:val="22"/>
      <w:szCs w:val="22"/>
      <w:lang w:eastAsia="en-US"/>
    </w:rPr>
  </w:style>
  <w:style w:type="character" w:styleId="Komentraatsauce">
    <w:name w:val="annotation reference"/>
    <w:rsid w:val="00C3073B"/>
    <w:rPr>
      <w:sz w:val="16"/>
      <w:szCs w:val="16"/>
    </w:rPr>
  </w:style>
  <w:style w:type="paragraph" w:styleId="Komentrateksts">
    <w:name w:val="annotation text"/>
    <w:basedOn w:val="Parastais1"/>
    <w:link w:val="KomentratekstsRakstz"/>
    <w:rsid w:val="00C3073B"/>
    <w:rPr>
      <w:sz w:val="20"/>
      <w:szCs w:val="20"/>
    </w:rPr>
  </w:style>
  <w:style w:type="character" w:customStyle="1" w:styleId="KomentratekstsRakstz">
    <w:name w:val="Komentāra teksts Rakstz."/>
    <w:basedOn w:val="Noklusjumarindkopasfonts"/>
    <w:link w:val="Komentrateksts"/>
    <w:rsid w:val="00C3073B"/>
  </w:style>
  <w:style w:type="paragraph" w:styleId="Komentratma">
    <w:name w:val="annotation subject"/>
    <w:basedOn w:val="Komentrateksts"/>
    <w:next w:val="Komentrateksts"/>
    <w:link w:val="KomentratmaRakstz"/>
    <w:rsid w:val="00C3073B"/>
    <w:rPr>
      <w:b/>
      <w:bCs/>
      <w:lang/>
    </w:rPr>
  </w:style>
  <w:style w:type="character" w:customStyle="1" w:styleId="KomentratmaRakstz">
    <w:name w:val="Komentāra tēma Rakstz."/>
    <w:link w:val="Komentratma"/>
    <w:rsid w:val="00C3073B"/>
    <w:rPr>
      <w:b/>
      <w:bCs/>
    </w:rPr>
  </w:style>
  <w:style w:type="character" w:styleId="Hipersaite">
    <w:name w:val="Hyperlink"/>
    <w:rsid w:val="007D7634"/>
    <w:rPr>
      <w:color w:val="0000FF"/>
      <w:u w:val="single"/>
    </w:rPr>
  </w:style>
  <w:style w:type="paragraph" w:customStyle="1" w:styleId="Default">
    <w:name w:val="Default"/>
    <w:rsid w:val="006A4AC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A4ACB"/>
    <w:rPr>
      <w:rFonts w:cs="Times New Roman"/>
      <w:color w:val="auto"/>
    </w:rPr>
  </w:style>
  <w:style w:type="paragraph" w:customStyle="1" w:styleId="CM4">
    <w:name w:val="CM4"/>
    <w:basedOn w:val="Default"/>
    <w:next w:val="Default"/>
    <w:uiPriority w:val="99"/>
    <w:rsid w:val="006A4ACB"/>
    <w:rPr>
      <w:rFonts w:cs="Times New Roman"/>
      <w:color w:val="auto"/>
    </w:rPr>
  </w:style>
  <w:style w:type="character" w:customStyle="1" w:styleId="Virsraksts1Rakstz">
    <w:name w:val="Virsraksts 1 Rakstz."/>
    <w:basedOn w:val="Noklusjumarindkopasfonts"/>
    <w:link w:val="Virsraksts1"/>
    <w:rsid w:val="00FB29BF"/>
    <w:rPr>
      <w:rFonts w:asciiTheme="majorHAnsi" w:eastAsiaTheme="majorEastAsia" w:hAnsiTheme="majorHAnsi" w:cstheme="majorBidi"/>
      <w:b/>
      <w:bCs/>
      <w:color w:val="365F91" w:themeColor="accent1" w:themeShade="BF"/>
      <w:sz w:val="28"/>
      <w:szCs w:val="28"/>
    </w:rPr>
  </w:style>
  <w:style w:type="paragraph" w:styleId="Veidlapasz-auga">
    <w:name w:val="HTML Top of Form"/>
    <w:basedOn w:val="Parastais"/>
    <w:next w:val="Parastais"/>
    <w:link w:val="Veidlapasz-augaRakstz"/>
    <w:hidden/>
    <w:uiPriority w:val="99"/>
    <w:unhideWhenUsed/>
    <w:rsid w:val="00FB29BF"/>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rsid w:val="00FB29BF"/>
    <w:rPr>
      <w:rFonts w:ascii="Arial" w:hAnsi="Arial" w:cs="Arial"/>
      <w:vanish/>
      <w:sz w:val="16"/>
      <w:szCs w:val="16"/>
    </w:rPr>
  </w:style>
  <w:style w:type="paragraph" w:styleId="Veidlapasz-apaka">
    <w:name w:val="HTML Bottom of Form"/>
    <w:basedOn w:val="Parastais"/>
    <w:next w:val="Parastais"/>
    <w:link w:val="Veidlapasz-apakaRakstz"/>
    <w:hidden/>
    <w:uiPriority w:val="99"/>
    <w:unhideWhenUsed/>
    <w:rsid w:val="00FB29BF"/>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rsid w:val="00FB29BF"/>
    <w:rPr>
      <w:rFonts w:ascii="Arial" w:hAnsi="Arial" w:cs="Arial"/>
      <w:vanish/>
      <w:sz w:val="16"/>
      <w:szCs w:val="16"/>
    </w:rPr>
  </w:style>
  <w:style w:type="character" w:styleId="Izteiksmgs">
    <w:name w:val="Strong"/>
    <w:basedOn w:val="Noklusjumarindkopasfonts"/>
    <w:uiPriority w:val="22"/>
    <w:qFormat/>
    <w:rsid w:val="00FB29BF"/>
    <w:rPr>
      <w:b/>
      <w:bCs/>
    </w:rPr>
  </w:style>
  <w:style w:type="paragraph" w:customStyle="1" w:styleId="naisnod">
    <w:name w:val="naisnod"/>
    <w:basedOn w:val="Parastais"/>
    <w:rsid w:val="00EE2EF9"/>
    <w:pPr>
      <w:spacing w:before="150" w:after="150"/>
      <w:jc w:val="center"/>
    </w:pPr>
    <w:rPr>
      <w:b/>
      <w:bCs/>
      <w:sz w:val="24"/>
      <w:szCs w:val="24"/>
    </w:rPr>
  </w:style>
  <w:style w:type="character" w:styleId="Izclums">
    <w:name w:val="Emphasis"/>
    <w:basedOn w:val="Noklusjumarindkopasfonts"/>
    <w:uiPriority w:val="20"/>
    <w:qFormat/>
    <w:rsid w:val="00BF4174"/>
    <w:rPr>
      <w:b/>
      <w:bCs/>
      <w:i w:val="0"/>
      <w:iCs w:val="0"/>
    </w:rPr>
  </w:style>
  <w:style w:type="character" w:customStyle="1" w:styleId="st">
    <w:name w:val="st"/>
    <w:basedOn w:val="Noklusjumarindkopasfonts"/>
    <w:rsid w:val="00BF4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FB2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ais"/>
    <w:next w:val="Parastais"/>
    <w:link w:val="Virsraksts3Rakstz"/>
    <w:qFormat/>
    <w:rsid w:val="00767E98"/>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767E98"/>
    <w:rPr>
      <w:sz w:val="24"/>
      <w:szCs w:val="24"/>
    </w:rPr>
  </w:style>
  <w:style w:type="character" w:customStyle="1" w:styleId="Virsraksts3Rakstz">
    <w:name w:val="Virsraksts 3 Rakstz."/>
    <w:link w:val="Virsraksts3"/>
    <w:rsid w:val="00767E98"/>
    <w:rPr>
      <w:rFonts w:ascii="Cambria" w:hAnsi="Cambria"/>
      <w:b/>
      <w:bCs/>
      <w:sz w:val="26"/>
      <w:szCs w:val="26"/>
      <w:lang w:val="lv-LV" w:eastAsia="lv-LV" w:bidi="ar-SA"/>
    </w:rPr>
  </w:style>
  <w:style w:type="paragraph" w:customStyle="1" w:styleId="ParastaisWeb">
    <w:name w:val="Parastais (Web)"/>
    <w:basedOn w:val="Parastais"/>
    <w:rsid w:val="00767E98"/>
    <w:pPr>
      <w:spacing w:before="100" w:beforeAutospacing="1" w:after="100" w:afterAutospacing="1"/>
      <w:jc w:val="both"/>
    </w:pPr>
    <w:rPr>
      <w:color w:val="000000"/>
      <w:sz w:val="20"/>
      <w:szCs w:val="20"/>
    </w:rPr>
  </w:style>
  <w:style w:type="paragraph" w:customStyle="1" w:styleId="naisf">
    <w:name w:val="naisf"/>
    <w:basedOn w:val="Parastais"/>
    <w:rsid w:val="00767E98"/>
    <w:pPr>
      <w:spacing w:before="75" w:after="75"/>
      <w:ind w:firstLine="375"/>
      <w:jc w:val="both"/>
    </w:pPr>
  </w:style>
  <w:style w:type="paragraph" w:styleId="Galvene">
    <w:name w:val="header"/>
    <w:basedOn w:val="Parastais"/>
    <w:link w:val="GalveneRakstz"/>
    <w:rsid w:val="00767E98"/>
    <w:pPr>
      <w:tabs>
        <w:tab w:val="center" w:pos="4153"/>
        <w:tab w:val="right" w:pos="8306"/>
      </w:tabs>
    </w:pPr>
  </w:style>
  <w:style w:type="character" w:customStyle="1" w:styleId="GalveneRakstz">
    <w:name w:val="Galvene Rakstz."/>
    <w:link w:val="Galvene"/>
    <w:rsid w:val="00767E98"/>
    <w:rPr>
      <w:sz w:val="24"/>
      <w:szCs w:val="24"/>
      <w:lang w:val="lv-LV" w:eastAsia="lv-LV" w:bidi="ar-SA"/>
    </w:rPr>
  </w:style>
  <w:style w:type="paragraph" w:styleId="Kjene">
    <w:name w:val="footer"/>
    <w:basedOn w:val="Parastais"/>
    <w:link w:val="KjeneRakstz"/>
    <w:rsid w:val="00767E98"/>
    <w:pPr>
      <w:tabs>
        <w:tab w:val="center" w:pos="4153"/>
        <w:tab w:val="right" w:pos="8306"/>
      </w:tabs>
    </w:pPr>
  </w:style>
  <w:style w:type="character" w:customStyle="1" w:styleId="KjeneRakstz">
    <w:name w:val="Kājene Rakstz."/>
    <w:link w:val="Kjene"/>
    <w:rsid w:val="00767E98"/>
    <w:rPr>
      <w:sz w:val="24"/>
      <w:szCs w:val="24"/>
      <w:lang w:val="lv-LV" w:eastAsia="lv-LV" w:bidi="ar-SA"/>
    </w:rPr>
  </w:style>
  <w:style w:type="character" w:styleId="Lappusesnumurs">
    <w:name w:val="page number"/>
    <w:basedOn w:val="Noklusjumarindkopasfonts"/>
    <w:rsid w:val="00767E98"/>
  </w:style>
  <w:style w:type="paragraph" w:customStyle="1" w:styleId="naisc">
    <w:name w:val="naisc"/>
    <w:basedOn w:val="Parastais"/>
    <w:rsid w:val="00767E98"/>
    <w:pPr>
      <w:spacing w:before="100" w:beforeAutospacing="1" w:after="100" w:afterAutospacing="1"/>
    </w:pPr>
  </w:style>
  <w:style w:type="paragraph" w:customStyle="1" w:styleId="naiskr">
    <w:name w:val="naiskr"/>
    <w:basedOn w:val="Parastais"/>
    <w:rsid w:val="002B2D6A"/>
    <w:pPr>
      <w:spacing w:before="75" w:after="75"/>
    </w:pPr>
  </w:style>
  <w:style w:type="paragraph" w:styleId="Balonteksts">
    <w:name w:val="Balloon Text"/>
    <w:basedOn w:val="Parastais"/>
    <w:link w:val="BalontekstsRakstz"/>
    <w:rsid w:val="002B2D6A"/>
    <w:rPr>
      <w:rFonts w:ascii="Tahoma" w:hAnsi="Tahoma"/>
      <w:sz w:val="16"/>
      <w:szCs w:val="16"/>
      <w:lang w:val="x-none" w:eastAsia="x-none"/>
    </w:rPr>
  </w:style>
  <w:style w:type="character" w:customStyle="1" w:styleId="BalontekstsRakstz">
    <w:name w:val="Balonteksts Rakstz."/>
    <w:link w:val="Balonteksts"/>
    <w:rsid w:val="002B2D6A"/>
    <w:rPr>
      <w:rFonts w:ascii="Tahoma" w:hAnsi="Tahoma" w:cs="Tahoma"/>
      <w:sz w:val="16"/>
      <w:szCs w:val="16"/>
    </w:rPr>
  </w:style>
  <w:style w:type="paragraph" w:styleId="Bezatstarpm">
    <w:name w:val="No Spacing"/>
    <w:uiPriority w:val="1"/>
    <w:qFormat/>
    <w:rsid w:val="000622A0"/>
    <w:rPr>
      <w:rFonts w:ascii="Calibri" w:eastAsia="Calibri" w:hAnsi="Calibri"/>
      <w:sz w:val="22"/>
      <w:szCs w:val="22"/>
      <w:lang w:eastAsia="en-US"/>
    </w:rPr>
  </w:style>
  <w:style w:type="character" w:styleId="Komentraatsauce">
    <w:name w:val="annotation reference"/>
    <w:rsid w:val="00C3073B"/>
    <w:rPr>
      <w:sz w:val="16"/>
      <w:szCs w:val="16"/>
    </w:rPr>
  </w:style>
  <w:style w:type="paragraph" w:styleId="Komentrateksts">
    <w:name w:val="annotation text"/>
    <w:basedOn w:val="Parastais"/>
    <w:link w:val="KomentratekstsRakstz"/>
    <w:rsid w:val="00C3073B"/>
    <w:rPr>
      <w:sz w:val="20"/>
      <w:szCs w:val="20"/>
    </w:rPr>
  </w:style>
  <w:style w:type="character" w:customStyle="1" w:styleId="KomentratekstsRakstz">
    <w:name w:val="Komentāra teksts Rakstz."/>
    <w:basedOn w:val="Noklusjumarindkopasfonts"/>
    <w:link w:val="Komentrateksts"/>
    <w:rsid w:val="00C3073B"/>
  </w:style>
  <w:style w:type="paragraph" w:styleId="Komentratma">
    <w:name w:val="annotation subject"/>
    <w:basedOn w:val="Komentrateksts"/>
    <w:next w:val="Komentrateksts"/>
    <w:link w:val="KomentratmaRakstz"/>
    <w:rsid w:val="00C3073B"/>
    <w:rPr>
      <w:b/>
      <w:bCs/>
      <w:lang w:val="x-none" w:eastAsia="x-none"/>
    </w:rPr>
  </w:style>
  <w:style w:type="character" w:customStyle="1" w:styleId="KomentratmaRakstz">
    <w:name w:val="Komentāra tēma Rakstz."/>
    <w:link w:val="Komentratma"/>
    <w:rsid w:val="00C3073B"/>
    <w:rPr>
      <w:b/>
      <w:bCs/>
    </w:rPr>
  </w:style>
  <w:style w:type="character" w:styleId="Hipersaite">
    <w:name w:val="Hyperlink"/>
    <w:rsid w:val="007D7634"/>
    <w:rPr>
      <w:color w:val="0000FF"/>
      <w:u w:val="single"/>
    </w:rPr>
  </w:style>
  <w:style w:type="paragraph" w:customStyle="1" w:styleId="Default">
    <w:name w:val="Default"/>
    <w:rsid w:val="006A4AC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A4ACB"/>
    <w:rPr>
      <w:rFonts w:cs="Times New Roman"/>
      <w:color w:val="auto"/>
    </w:rPr>
  </w:style>
  <w:style w:type="paragraph" w:customStyle="1" w:styleId="CM4">
    <w:name w:val="CM4"/>
    <w:basedOn w:val="Default"/>
    <w:next w:val="Default"/>
    <w:uiPriority w:val="99"/>
    <w:rsid w:val="006A4ACB"/>
    <w:rPr>
      <w:rFonts w:cs="Times New Roman"/>
      <w:color w:val="auto"/>
    </w:rPr>
  </w:style>
  <w:style w:type="character" w:customStyle="1" w:styleId="Virsraksts1Rakstz">
    <w:name w:val="Virsraksts 1 Rakstz."/>
    <w:basedOn w:val="Noklusjumarindkopasfonts"/>
    <w:link w:val="Virsraksts1"/>
    <w:rsid w:val="00FB29BF"/>
    <w:rPr>
      <w:rFonts w:asciiTheme="majorHAnsi" w:eastAsiaTheme="majorEastAsia" w:hAnsiTheme="majorHAnsi" w:cstheme="majorBidi"/>
      <w:b/>
      <w:bCs/>
      <w:color w:val="365F91" w:themeColor="accent1" w:themeShade="BF"/>
      <w:sz w:val="28"/>
      <w:szCs w:val="28"/>
    </w:rPr>
  </w:style>
  <w:style w:type="paragraph" w:styleId="Veidlapasz-auga">
    <w:name w:val="HTML Top of Form"/>
    <w:basedOn w:val="Parasts"/>
    <w:next w:val="Parasts"/>
    <w:link w:val="Veidlapasz-augaRakstz"/>
    <w:hidden/>
    <w:uiPriority w:val="99"/>
    <w:unhideWhenUsed/>
    <w:rsid w:val="00FB29BF"/>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rsid w:val="00FB29BF"/>
    <w:rPr>
      <w:rFonts w:ascii="Arial" w:hAnsi="Arial" w:cs="Arial"/>
      <w:vanish/>
      <w:sz w:val="16"/>
      <w:szCs w:val="16"/>
    </w:rPr>
  </w:style>
  <w:style w:type="paragraph" w:styleId="Veidlapasz-apaka">
    <w:name w:val="HTML Bottom of Form"/>
    <w:basedOn w:val="Parasts"/>
    <w:next w:val="Parasts"/>
    <w:link w:val="Veidlapasz-apakaRakstz"/>
    <w:hidden/>
    <w:uiPriority w:val="99"/>
    <w:unhideWhenUsed/>
    <w:rsid w:val="00FB29BF"/>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rsid w:val="00FB29BF"/>
    <w:rPr>
      <w:rFonts w:ascii="Arial" w:hAnsi="Arial" w:cs="Arial"/>
      <w:vanish/>
      <w:sz w:val="16"/>
      <w:szCs w:val="16"/>
    </w:rPr>
  </w:style>
  <w:style w:type="character" w:styleId="Izteiksmgs">
    <w:name w:val="Strong"/>
    <w:basedOn w:val="Noklusjumarindkopasfonts"/>
    <w:uiPriority w:val="22"/>
    <w:qFormat/>
    <w:rsid w:val="00FB29BF"/>
    <w:rPr>
      <w:b/>
      <w:bCs/>
    </w:rPr>
  </w:style>
  <w:style w:type="paragraph" w:customStyle="1" w:styleId="naisnod">
    <w:name w:val="naisnod"/>
    <w:basedOn w:val="Parasts"/>
    <w:rsid w:val="00EE2EF9"/>
    <w:pPr>
      <w:spacing w:before="150" w:after="150"/>
      <w:jc w:val="center"/>
    </w:pPr>
    <w:rPr>
      <w:b/>
      <w:bCs/>
      <w:sz w:val="24"/>
      <w:szCs w:val="24"/>
    </w:rPr>
  </w:style>
  <w:style w:type="character" w:styleId="Izclums">
    <w:name w:val="Emphasis"/>
    <w:basedOn w:val="Noklusjumarindkopasfonts"/>
    <w:uiPriority w:val="20"/>
    <w:qFormat/>
    <w:rsid w:val="00BF4174"/>
    <w:rPr>
      <w:b/>
      <w:bCs/>
      <w:i w:val="0"/>
      <w:iCs w:val="0"/>
    </w:rPr>
  </w:style>
  <w:style w:type="character" w:customStyle="1" w:styleId="st">
    <w:name w:val="st"/>
    <w:basedOn w:val="Noklusjumarindkopasfonts"/>
    <w:rsid w:val="00BF4174"/>
  </w:style>
</w:styles>
</file>

<file path=word/webSettings.xml><?xml version="1.0" encoding="utf-8"?>
<w:webSettings xmlns:r="http://schemas.openxmlformats.org/officeDocument/2006/relationships" xmlns:w="http://schemas.openxmlformats.org/wordprocessingml/2006/main">
  <w:divs>
    <w:div w:id="105659835">
      <w:bodyDiv w:val="1"/>
      <w:marLeft w:val="0"/>
      <w:marRight w:val="0"/>
      <w:marTop w:val="0"/>
      <w:marBottom w:val="0"/>
      <w:divBdr>
        <w:top w:val="none" w:sz="0" w:space="0" w:color="auto"/>
        <w:left w:val="none" w:sz="0" w:space="0" w:color="auto"/>
        <w:bottom w:val="none" w:sz="0" w:space="0" w:color="auto"/>
        <w:right w:val="none" w:sz="0" w:space="0" w:color="auto"/>
      </w:divBdr>
      <w:divsChild>
        <w:div w:id="385493649">
          <w:marLeft w:val="0"/>
          <w:marRight w:val="0"/>
          <w:marTop w:val="0"/>
          <w:marBottom w:val="0"/>
          <w:divBdr>
            <w:top w:val="none" w:sz="0" w:space="0" w:color="auto"/>
            <w:left w:val="none" w:sz="0" w:space="0" w:color="auto"/>
            <w:bottom w:val="none" w:sz="0" w:space="0" w:color="auto"/>
            <w:right w:val="none" w:sz="0" w:space="0" w:color="auto"/>
          </w:divBdr>
          <w:divsChild>
            <w:div w:id="2081781482">
              <w:marLeft w:val="0"/>
              <w:marRight w:val="0"/>
              <w:marTop w:val="0"/>
              <w:marBottom w:val="0"/>
              <w:divBdr>
                <w:top w:val="none" w:sz="0" w:space="0" w:color="auto"/>
                <w:left w:val="none" w:sz="0" w:space="0" w:color="auto"/>
                <w:bottom w:val="none" w:sz="0" w:space="0" w:color="auto"/>
                <w:right w:val="none" w:sz="0" w:space="0" w:color="auto"/>
              </w:divBdr>
              <w:divsChild>
                <w:div w:id="917323607">
                  <w:marLeft w:val="0"/>
                  <w:marRight w:val="0"/>
                  <w:marTop w:val="0"/>
                  <w:marBottom w:val="0"/>
                  <w:divBdr>
                    <w:top w:val="none" w:sz="0" w:space="0" w:color="auto"/>
                    <w:left w:val="none" w:sz="0" w:space="0" w:color="auto"/>
                    <w:bottom w:val="none" w:sz="0" w:space="0" w:color="auto"/>
                    <w:right w:val="none" w:sz="0" w:space="0" w:color="auto"/>
                  </w:divBdr>
                  <w:divsChild>
                    <w:div w:id="1080516593">
                      <w:marLeft w:val="0"/>
                      <w:marRight w:val="0"/>
                      <w:marTop w:val="0"/>
                      <w:marBottom w:val="0"/>
                      <w:divBdr>
                        <w:top w:val="none" w:sz="0" w:space="0" w:color="auto"/>
                        <w:left w:val="none" w:sz="0" w:space="0" w:color="auto"/>
                        <w:bottom w:val="none" w:sz="0" w:space="0" w:color="auto"/>
                        <w:right w:val="none" w:sz="0" w:space="0" w:color="auto"/>
                      </w:divBdr>
                      <w:divsChild>
                        <w:div w:id="832143111">
                          <w:marLeft w:val="0"/>
                          <w:marRight w:val="0"/>
                          <w:marTop w:val="0"/>
                          <w:marBottom w:val="0"/>
                          <w:divBdr>
                            <w:top w:val="none" w:sz="0" w:space="0" w:color="auto"/>
                            <w:left w:val="none" w:sz="0" w:space="0" w:color="auto"/>
                            <w:bottom w:val="none" w:sz="0" w:space="0" w:color="auto"/>
                            <w:right w:val="none" w:sz="0" w:space="0" w:color="auto"/>
                          </w:divBdr>
                          <w:divsChild>
                            <w:div w:id="328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22300">
      <w:bodyDiv w:val="1"/>
      <w:marLeft w:val="0"/>
      <w:marRight w:val="0"/>
      <w:marTop w:val="0"/>
      <w:marBottom w:val="0"/>
      <w:divBdr>
        <w:top w:val="none" w:sz="0" w:space="0" w:color="auto"/>
        <w:left w:val="none" w:sz="0" w:space="0" w:color="auto"/>
        <w:bottom w:val="none" w:sz="0" w:space="0" w:color="auto"/>
        <w:right w:val="none" w:sz="0" w:space="0" w:color="auto"/>
      </w:divBdr>
      <w:divsChild>
        <w:div w:id="14130455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82428314">
      <w:bodyDiv w:val="1"/>
      <w:marLeft w:val="0"/>
      <w:marRight w:val="0"/>
      <w:marTop w:val="0"/>
      <w:marBottom w:val="0"/>
      <w:divBdr>
        <w:top w:val="none" w:sz="0" w:space="0" w:color="auto"/>
        <w:left w:val="none" w:sz="0" w:space="0" w:color="auto"/>
        <w:bottom w:val="none" w:sz="0" w:space="0" w:color="auto"/>
        <w:right w:val="none" w:sz="0" w:space="0" w:color="auto"/>
      </w:divBdr>
      <w:divsChild>
        <w:div w:id="18835954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23316130">
      <w:bodyDiv w:val="1"/>
      <w:marLeft w:val="0"/>
      <w:marRight w:val="0"/>
      <w:marTop w:val="0"/>
      <w:marBottom w:val="0"/>
      <w:divBdr>
        <w:top w:val="none" w:sz="0" w:space="0" w:color="auto"/>
        <w:left w:val="none" w:sz="0" w:space="0" w:color="auto"/>
        <w:bottom w:val="none" w:sz="0" w:space="0" w:color="auto"/>
        <w:right w:val="none" w:sz="0" w:space="0" w:color="auto"/>
      </w:divBdr>
      <w:divsChild>
        <w:div w:id="2034068578">
          <w:marLeft w:val="0"/>
          <w:marRight w:val="0"/>
          <w:marTop w:val="0"/>
          <w:marBottom w:val="0"/>
          <w:divBdr>
            <w:top w:val="none" w:sz="0" w:space="0" w:color="auto"/>
            <w:left w:val="none" w:sz="0" w:space="0" w:color="auto"/>
            <w:bottom w:val="none" w:sz="0" w:space="0" w:color="auto"/>
            <w:right w:val="none" w:sz="0" w:space="0" w:color="auto"/>
          </w:divBdr>
          <w:divsChild>
            <w:div w:id="619186450">
              <w:marLeft w:val="0"/>
              <w:marRight w:val="0"/>
              <w:marTop w:val="0"/>
              <w:marBottom w:val="0"/>
              <w:divBdr>
                <w:top w:val="none" w:sz="0" w:space="0" w:color="auto"/>
                <w:left w:val="none" w:sz="0" w:space="0" w:color="auto"/>
                <w:bottom w:val="none" w:sz="0" w:space="0" w:color="auto"/>
                <w:right w:val="none" w:sz="0" w:space="0" w:color="auto"/>
              </w:divBdr>
              <w:divsChild>
                <w:div w:id="1679426791">
                  <w:marLeft w:val="0"/>
                  <w:marRight w:val="0"/>
                  <w:marTop w:val="0"/>
                  <w:marBottom w:val="0"/>
                  <w:divBdr>
                    <w:top w:val="none" w:sz="0" w:space="0" w:color="auto"/>
                    <w:left w:val="none" w:sz="0" w:space="0" w:color="auto"/>
                    <w:bottom w:val="none" w:sz="0" w:space="0" w:color="auto"/>
                    <w:right w:val="none" w:sz="0" w:space="0" w:color="auto"/>
                  </w:divBdr>
                  <w:divsChild>
                    <w:div w:id="1941256405">
                      <w:marLeft w:val="0"/>
                      <w:marRight w:val="0"/>
                      <w:marTop w:val="0"/>
                      <w:marBottom w:val="0"/>
                      <w:divBdr>
                        <w:top w:val="none" w:sz="0" w:space="0" w:color="auto"/>
                        <w:left w:val="none" w:sz="0" w:space="0" w:color="auto"/>
                        <w:bottom w:val="none" w:sz="0" w:space="0" w:color="auto"/>
                        <w:right w:val="none" w:sz="0" w:space="0" w:color="auto"/>
                      </w:divBdr>
                      <w:divsChild>
                        <w:div w:id="415515586">
                          <w:marLeft w:val="0"/>
                          <w:marRight w:val="0"/>
                          <w:marTop w:val="300"/>
                          <w:marBottom w:val="0"/>
                          <w:divBdr>
                            <w:top w:val="none" w:sz="0" w:space="0" w:color="auto"/>
                            <w:left w:val="none" w:sz="0" w:space="0" w:color="auto"/>
                            <w:bottom w:val="none" w:sz="0" w:space="0" w:color="auto"/>
                            <w:right w:val="none" w:sz="0" w:space="0" w:color="auto"/>
                          </w:divBdr>
                          <w:divsChild>
                            <w:div w:id="16551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87568">
      <w:bodyDiv w:val="1"/>
      <w:marLeft w:val="0"/>
      <w:marRight w:val="0"/>
      <w:marTop w:val="0"/>
      <w:marBottom w:val="0"/>
      <w:divBdr>
        <w:top w:val="none" w:sz="0" w:space="0" w:color="auto"/>
        <w:left w:val="none" w:sz="0" w:space="0" w:color="auto"/>
        <w:bottom w:val="none" w:sz="0" w:space="0" w:color="auto"/>
        <w:right w:val="none" w:sz="0" w:space="0" w:color="auto"/>
      </w:divBdr>
    </w:div>
    <w:div w:id="1074620593">
      <w:bodyDiv w:val="1"/>
      <w:marLeft w:val="0"/>
      <w:marRight w:val="0"/>
      <w:marTop w:val="0"/>
      <w:marBottom w:val="0"/>
      <w:divBdr>
        <w:top w:val="none" w:sz="0" w:space="0" w:color="auto"/>
        <w:left w:val="none" w:sz="0" w:space="0" w:color="auto"/>
        <w:bottom w:val="none" w:sz="0" w:space="0" w:color="auto"/>
        <w:right w:val="none" w:sz="0" w:space="0" w:color="auto"/>
      </w:divBdr>
      <w:divsChild>
        <w:div w:id="1180775576">
          <w:marLeft w:val="0"/>
          <w:marRight w:val="0"/>
          <w:marTop w:val="0"/>
          <w:marBottom w:val="1800"/>
          <w:divBdr>
            <w:top w:val="none" w:sz="0" w:space="0" w:color="auto"/>
            <w:left w:val="none" w:sz="0" w:space="0" w:color="auto"/>
            <w:bottom w:val="none" w:sz="0" w:space="0" w:color="auto"/>
            <w:right w:val="none" w:sz="0" w:space="0" w:color="auto"/>
          </w:divBdr>
          <w:divsChild>
            <w:div w:id="371468359">
              <w:marLeft w:val="0"/>
              <w:marRight w:val="0"/>
              <w:marTop w:val="0"/>
              <w:marBottom w:val="0"/>
              <w:divBdr>
                <w:top w:val="none" w:sz="0" w:space="0" w:color="auto"/>
                <w:left w:val="none" w:sz="0" w:space="0" w:color="auto"/>
                <w:bottom w:val="none" w:sz="0" w:space="0" w:color="auto"/>
                <w:right w:val="none" w:sz="0" w:space="0" w:color="auto"/>
              </w:divBdr>
              <w:divsChild>
                <w:div w:id="1715688941">
                  <w:marLeft w:val="0"/>
                  <w:marRight w:val="0"/>
                  <w:marTop w:val="0"/>
                  <w:marBottom w:val="0"/>
                  <w:divBdr>
                    <w:top w:val="none" w:sz="0" w:space="0" w:color="auto"/>
                    <w:left w:val="none" w:sz="0" w:space="0" w:color="auto"/>
                    <w:bottom w:val="none" w:sz="0" w:space="0" w:color="auto"/>
                    <w:right w:val="none" w:sz="0" w:space="0" w:color="auto"/>
                  </w:divBdr>
                  <w:divsChild>
                    <w:div w:id="240218963">
                      <w:marLeft w:val="0"/>
                      <w:marRight w:val="0"/>
                      <w:marTop w:val="0"/>
                      <w:marBottom w:val="0"/>
                      <w:divBdr>
                        <w:top w:val="none" w:sz="0" w:space="0" w:color="auto"/>
                        <w:left w:val="none" w:sz="0" w:space="0" w:color="auto"/>
                        <w:bottom w:val="none" w:sz="0" w:space="0" w:color="auto"/>
                        <w:right w:val="none" w:sz="0" w:space="0" w:color="auto"/>
                      </w:divBdr>
                      <w:divsChild>
                        <w:div w:id="1956792362">
                          <w:marLeft w:val="0"/>
                          <w:marRight w:val="0"/>
                          <w:marTop w:val="0"/>
                          <w:marBottom w:val="0"/>
                          <w:divBdr>
                            <w:top w:val="none" w:sz="0" w:space="0" w:color="auto"/>
                            <w:left w:val="none" w:sz="0" w:space="0" w:color="auto"/>
                            <w:bottom w:val="none" w:sz="0" w:space="0" w:color="auto"/>
                            <w:right w:val="none" w:sz="0" w:space="0" w:color="auto"/>
                          </w:divBdr>
                          <w:divsChild>
                            <w:div w:id="1010520429">
                              <w:marLeft w:val="0"/>
                              <w:marRight w:val="0"/>
                              <w:marTop w:val="0"/>
                              <w:marBottom w:val="0"/>
                              <w:divBdr>
                                <w:top w:val="none" w:sz="0" w:space="0" w:color="auto"/>
                                <w:left w:val="none" w:sz="0" w:space="0" w:color="auto"/>
                                <w:bottom w:val="none" w:sz="0" w:space="0" w:color="auto"/>
                                <w:right w:val="none" w:sz="0" w:space="0" w:color="auto"/>
                              </w:divBdr>
                              <w:divsChild>
                                <w:div w:id="929241915">
                                  <w:marLeft w:val="0"/>
                                  <w:marRight w:val="0"/>
                                  <w:marTop w:val="0"/>
                                  <w:marBottom w:val="0"/>
                                  <w:divBdr>
                                    <w:top w:val="none" w:sz="0" w:space="0" w:color="auto"/>
                                    <w:left w:val="none" w:sz="0" w:space="0" w:color="auto"/>
                                    <w:bottom w:val="none" w:sz="0" w:space="0" w:color="auto"/>
                                    <w:right w:val="none" w:sz="0" w:space="0" w:color="auto"/>
                                  </w:divBdr>
                                  <w:divsChild>
                                    <w:div w:id="1216158371">
                                      <w:marLeft w:val="0"/>
                                      <w:marRight w:val="0"/>
                                      <w:marTop w:val="0"/>
                                      <w:marBottom w:val="0"/>
                                      <w:divBdr>
                                        <w:top w:val="none" w:sz="0" w:space="0" w:color="auto"/>
                                        <w:left w:val="single" w:sz="6" w:space="0" w:color="CBCDCF"/>
                                        <w:bottom w:val="none" w:sz="0" w:space="0" w:color="auto"/>
                                        <w:right w:val="none" w:sz="0" w:space="0" w:color="auto"/>
                                      </w:divBdr>
                                    </w:div>
                                    <w:div w:id="922179778">
                                      <w:marLeft w:val="4245"/>
                                      <w:marRight w:val="3870"/>
                                      <w:marTop w:val="0"/>
                                      <w:marBottom w:val="0"/>
                                      <w:divBdr>
                                        <w:top w:val="none" w:sz="0" w:space="0" w:color="auto"/>
                                        <w:left w:val="none" w:sz="0" w:space="0" w:color="auto"/>
                                        <w:bottom w:val="none" w:sz="0" w:space="0" w:color="auto"/>
                                        <w:right w:val="none" w:sz="0" w:space="0" w:color="auto"/>
                                      </w:divBdr>
                                      <w:divsChild>
                                        <w:div w:id="1728409856">
                                          <w:marLeft w:val="0"/>
                                          <w:marRight w:val="0"/>
                                          <w:marTop w:val="0"/>
                                          <w:marBottom w:val="0"/>
                                          <w:divBdr>
                                            <w:top w:val="none" w:sz="0" w:space="0" w:color="auto"/>
                                            <w:left w:val="none" w:sz="0" w:space="0" w:color="auto"/>
                                            <w:bottom w:val="none" w:sz="0" w:space="0" w:color="auto"/>
                                            <w:right w:val="none" w:sz="0" w:space="0" w:color="auto"/>
                                          </w:divBdr>
                                        </w:div>
                                        <w:div w:id="1010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553135">
      <w:bodyDiv w:val="1"/>
      <w:marLeft w:val="0"/>
      <w:marRight w:val="0"/>
      <w:marTop w:val="0"/>
      <w:marBottom w:val="0"/>
      <w:divBdr>
        <w:top w:val="none" w:sz="0" w:space="0" w:color="auto"/>
        <w:left w:val="none" w:sz="0" w:space="0" w:color="auto"/>
        <w:bottom w:val="none" w:sz="0" w:space="0" w:color="auto"/>
        <w:right w:val="none" w:sz="0" w:space="0" w:color="auto"/>
      </w:divBdr>
    </w:div>
    <w:div w:id="1682968553">
      <w:bodyDiv w:val="1"/>
      <w:marLeft w:val="0"/>
      <w:marRight w:val="0"/>
      <w:marTop w:val="0"/>
      <w:marBottom w:val="0"/>
      <w:divBdr>
        <w:top w:val="none" w:sz="0" w:space="0" w:color="auto"/>
        <w:left w:val="none" w:sz="0" w:space="0" w:color="auto"/>
        <w:bottom w:val="none" w:sz="0" w:space="0" w:color="auto"/>
        <w:right w:val="none" w:sz="0" w:space="0" w:color="auto"/>
      </w:divBdr>
      <w:divsChild>
        <w:div w:id="1212114824">
          <w:marLeft w:val="0"/>
          <w:marRight w:val="0"/>
          <w:marTop w:val="0"/>
          <w:marBottom w:val="0"/>
          <w:divBdr>
            <w:top w:val="none" w:sz="0" w:space="0" w:color="auto"/>
            <w:left w:val="none" w:sz="0" w:space="0" w:color="auto"/>
            <w:bottom w:val="none" w:sz="0" w:space="0" w:color="auto"/>
            <w:right w:val="none" w:sz="0" w:space="0" w:color="auto"/>
          </w:divBdr>
          <w:divsChild>
            <w:div w:id="999382388">
              <w:marLeft w:val="0"/>
              <w:marRight w:val="0"/>
              <w:marTop w:val="0"/>
              <w:marBottom w:val="0"/>
              <w:divBdr>
                <w:top w:val="none" w:sz="0" w:space="0" w:color="auto"/>
                <w:left w:val="none" w:sz="0" w:space="0" w:color="auto"/>
                <w:bottom w:val="none" w:sz="0" w:space="0" w:color="auto"/>
                <w:right w:val="none" w:sz="0" w:space="0" w:color="auto"/>
              </w:divBdr>
              <w:divsChild>
                <w:div w:id="325598891">
                  <w:marLeft w:val="0"/>
                  <w:marRight w:val="0"/>
                  <w:marTop w:val="0"/>
                  <w:marBottom w:val="0"/>
                  <w:divBdr>
                    <w:top w:val="none" w:sz="0" w:space="0" w:color="auto"/>
                    <w:left w:val="none" w:sz="0" w:space="0" w:color="auto"/>
                    <w:bottom w:val="none" w:sz="0" w:space="0" w:color="auto"/>
                    <w:right w:val="none" w:sz="0" w:space="0" w:color="auto"/>
                  </w:divBdr>
                  <w:divsChild>
                    <w:div w:id="1410613129">
                      <w:marLeft w:val="0"/>
                      <w:marRight w:val="0"/>
                      <w:marTop w:val="0"/>
                      <w:marBottom w:val="0"/>
                      <w:divBdr>
                        <w:top w:val="none" w:sz="0" w:space="0" w:color="auto"/>
                        <w:left w:val="none" w:sz="0" w:space="0" w:color="auto"/>
                        <w:bottom w:val="none" w:sz="0" w:space="0" w:color="auto"/>
                        <w:right w:val="none" w:sz="0" w:space="0" w:color="auto"/>
                      </w:divBdr>
                      <w:divsChild>
                        <w:div w:id="140781632">
                          <w:marLeft w:val="0"/>
                          <w:marRight w:val="0"/>
                          <w:marTop w:val="0"/>
                          <w:marBottom w:val="0"/>
                          <w:divBdr>
                            <w:top w:val="none" w:sz="0" w:space="0" w:color="auto"/>
                            <w:left w:val="none" w:sz="0" w:space="0" w:color="auto"/>
                            <w:bottom w:val="none" w:sz="0" w:space="0" w:color="auto"/>
                            <w:right w:val="none" w:sz="0" w:space="0" w:color="auto"/>
                          </w:divBdr>
                          <w:divsChild>
                            <w:div w:id="1443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1993R0339:20070101:LV:HTML"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eur-lex.europa.eu/Notice.do?val=504892:cs&amp;lang=lv&amp;list=608742:cs,534206:cs,504892:cs,&amp;pos=3&amp;page=1&amp;nbl=3&amp;pgs=10&amp;hwords="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D7EF6-E29C-4914-B8D0-F9030510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1248</Words>
  <Characters>8626</Characters>
  <Application>Microsoft Office Word</Application>
  <DocSecurity>0</DocSecurity>
  <Lines>359</Lines>
  <Paragraphs>143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2006.gada 2.maija noteikumos Nr.352 "Noteikumi par veterinārajai kontrolei nepakļautas pārtikas ievešanu no trešajām valstīm, un tās kontroles kārtību valsts robežas kontroles punktos, brīv</vt:lpstr>
      <vt:lpstr>Ministru kabineta noteikumu projekta "Grozījumi Ministru kabineta 2006.gada 2.maija noteikumos Nr.352 "Noteikumi par veterinārajai kontrolei nepakļautas pārtikas ievešanu no trešajām valstīm, un tās kontroles kārtību valsts robežas kontroles punktos, brīv</vt:lpstr>
    </vt:vector>
  </TitlesOfParts>
  <Company>ZM</Company>
  <LinksUpToDate>false</LinksUpToDate>
  <CharactersWithSpaces>9731</CharactersWithSpaces>
  <SharedDoc>false</SharedDoc>
  <HLinks>
    <vt:vector size="6" baseType="variant">
      <vt:variant>
        <vt:i4>7995512</vt:i4>
      </vt:variant>
      <vt:variant>
        <vt:i4>0</vt:i4>
      </vt:variant>
      <vt:variant>
        <vt:i4>0</vt:i4>
      </vt:variant>
      <vt:variant>
        <vt:i4>5</vt:i4>
      </vt:variant>
      <vt:variant>
        <vt:lpwstr>http://likumi.lv/doc.php?id=131655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2.maija noteikumos Nr.352 "Noteikumi par veterinārajai kontrolei nepakļautas pārtikas ievešanu no trešajām valstīm, un tās kontroles kārtību valsts robežas kontroles punktos, brīvajās zonās, brīvajās noliktavās un muitas noliktavās" anotācija</dc:title>
  <dc:creator>Dace Lauska</dc:creator>
  <cp:lastModifiedBy>Renārs Žagars</cp:lastModifiedBy>
  <cp:revision>7</cp:revision>
  <cp:lastPrinted>2014-01-06T07:40:00Z</cp:lastPrinted>
  <dcterms:created xsi:type="dcterms:W3CDTF">2014-02-26T12:17:00Z</dcterms:created>
  <dcterms:modified xsi:type="dcterms:W3CDTF">2014-02-27T06:32:00Z</dcterms:modified>
</cp:coreProperties>
</file>