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DE1" w:rsidRPr="002C7240" w:rsidRDefault="00253DE1" w:rsidP="004C5C05">
      <w:pPr>
        <w:pStyle w:val="Virsraksts3"/>
        <w:spacing w:before="0" w:after="0"/>
        <w:jc w:val="center"/>
        <w:rPr>
          <w:rFonts w:ascii="Times New Roman" w:hAnsi="Times New Roman" w:cs="Times New Roman"/>
          <w:sz w:val="28"/>
          <w:szCs w:val="28"/>
        </w:rPr>
      </w:pPr>
      <w:r w:rsidRPr="002C7240">
        <w:rPr>
          <w:rFonts w:ascii="Times New Roman" w:hAnsi="Times New Roman" w:cs="Times New Roman"/>
          <w:sz w:val="28"/>
          <w:szCs w:val="28"/>
        </w:rPr>
        <w:t>Ministru kabineta noteikumu projekta „</w:t>
      </w:r>
      <w:r>
        <w:rPr>
          <w:rFonts w:ascii="Times New Roman" w:hAnsi="Times New Roman" w:cs="Times New Roman"/>
          <w:sz w:val="28"/>
          <w:szCs w:val="28"/>
        </w:rPr>
        <w:t>Zinātniskās izpētes mežu apsaimniekošanas un uzraudzības kārtība</w:t>
      </w:r>
      <w:r w:rsidRPr="002C7240">
        <w:rPr>
          <w:rFonts w:ascii="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2C7240">
          <w:rPr>
            <w:rFonts w:ascii="Times New Roman" w:hAnsi="Times New Roman" w:cs="Times New Roman"/>
            <w:sz w:val="28"/>
            <w:szCs w:val="28"/>
          </w:rPr>
          <w:t>ziņojums</w:t>
        </w:r>
      </w:smartTag>
      <w:r w:rsidRPr="002C7240">
        <w:rPr>
          <w:rFonts w:ascii="Times New Roman" w:hAnsi="Times New Roman" w:cs="Times New Roman"/>
          <w:sz w:val="28"/>
          <w:szCs w:val="28"/>
        </w:rPr>
        <w:t xml:space="preserve"> (anotācija)</w:t>
      </w:r>
    </w:p>
    <w:p w:rsidR="00253DE1" w:rsidRPr="00174E89" w:rsidRDefault="00253DE1" w:rsidP="004C5C05">
      <w:pPr>
        <w:rPr>
          <w:lang w:eastAsia="lv-LV"/>
        </w:rPr>
      </w:pPr>
    </w:p>
    <w:tbl>
      <w:tblPr>
        <w:tblW w:w="9016"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2795"/>
        <w:gridCol w:w="5825"/>
      </w:tblGrid>
      <w:tr w:rsidR="00253DE1" w:rsidRPr="00765439" w:rsidTr="00E82B1E">
        <w:trPr>
          <w:jc w:val="center"/>
        </w:trPr>
        <w:tc>
          <w:tcPr>
            <w:tcW w:w="9016" w:type="dxa"/>
            <w:gridSpan w:val="3"/>
          </w:tcPr>
          <w:p w:rsidR="00253DE1" w:rsidRPr="00765439" w:rsidRDefault="00253DE1" w:rsidP="004B4313">
            <w:pPr>
              <w:pStyle w:val="naislab"/>
              <w:spacing w:before="0" w:after="0"/>
              <w:jc w:val="center"/>
              <w:outlineLvl w:val="0"/>
              <w:rPr>
                <w:b/>
                <w:szCs w:val="24"/>
              </w:rPr>
            </w:pPr>
            <w:r w:rsidRPr="00765439">
              <w:rPr>
                <w:b/>
                <w:szCs w:val="24"/>
              </w:rPr>
              <w:t>I. Tiesību akta projekta izstrādes nepieciešamība</w:t>
            </w:r>
          </w:p>
        </w:tc>
      </w:tr>
      <w:tr w:rsidR="00253DE1" w:rsidRPr="00765439" w:rsidTr="00E82B1E">
        <w:trPr>
          <w:jc w:val="center"/>
        </w:trPr>
        <w:tc>
          <w:tcPr>
            <w:tcW w:w="396" w:type="dxa"/>
          </w:tcPr>
          <w:p w:rsidR="00253DE1" w:rsidRPr="00765439" w:rsidRDefault="00253DE1" w:rsidP="004B4313">
            <w:pPr>
              <w:pStyle w:val="naislab"/>
              <w:spacing w:before="0" w:after="0"/>
              <w:jc w:val="center"/>
              <w:outlineLvl w:val="0"/>
              <w:rPr>
                <w:szCs w:val="24"/>
              </w:rPr>
            </w:pPr>
            <w:r w:rsidRPr="00765439">
              <w:rPr>
                <w:szCs w:val="24"/>
              </w:rPr>
              <w:t>1.</w:t>
            </w:r>
          </w:p>
        </w:tc>
        <w:tc>
          <w:tcPr>
            <w:tcW w:w="2795" w:type="dxa"/>
          </w:tcPr>
          <w:p w:rsidR="00253DE1" w:rsidRPr="00765439" w:rsidRDefault="00253DE1" w:rsidP="004B4313">
            <w:pPr>
              <w:pStyle w:val="naislab"/>
              <w:spacing w:before="0" w:after="0"/>
              <w:jc w:val="both"/>
              <w:outlineLvl w:val="0"/>
              <w:rPr>
                <w:szCs w:val="24"/>
              </w:rPr>
            </w:pPr>
            <w:r w:rsidRPr="00765439">
              <w:rPr>
                <w:szCs w:val="24"/>
              </w:rPr>
              <w:t>Pamatojums</w:t>
            </w:r>
          </w:p>
        </w:tc>
        <w:tc>
          <w:tcPr>
            <w:tcW w:w="5825" w:type="dxa"/>
          </w:tcPr>
          <w:p w:rsidR="00253DE1" w:rsidRPr="002C7240" w:rsidRDefault="00253DE1" w:rsidP="004B4313">
            <w:pPr>
              <w:pStyle w:val="Virsraksts3"/>
              <w:spacing w:before="0" w:after="0"/>
              <w:jc w:val="both"/>
              <w:rPr>
                <w:rFonts w:ascii="Times New Roman" w:hAnsi="Times New Roman" w:cs="Times New Roman"/>
                <w:b w:val="0"/>
                <w:sz w:val="24"/>
                <w:szCs w:val="24"/>
              </w:rPr>
            </w:pPr>
            <w:r w:rsidRPr="002C7240">
              <w:rPr>
                <w:rFonts w:ascii="Times New Roman" w:hAnsi="Times New Roman" w:cs="Times New Roman"/>
                <w:b w:val="0"/>
                <w:sz w:val="24"/>
                <w:szCs w:val="24"/>
              </w:rPr>
              <w:t xml:space="preserve">Ministru kabineta noteikumu projekts </w:t>
            </w:r>
            <w:r w:rsidRPr="008A7F19">
              <w:rPr>
                <w:rFonts w:ascii="Times New Roman" w:hAnsi="Times New Roman" w:cs="Times New Roman"/>
                <w:b w:val="0"/>
                <w:sz w:val="24"/>
                <w:szCs w:val="24"/>
              </w:rPr>
              <w:t>„</w:t>
            </w:r>
            <w:r>
              <w:rPr>
                <w:rFonts w:ascii="Times New Roman" w:hAnsi="Times New Roman" w:cs="Times New Roman"/>
                <w:b w:val="0"/>
                <w:sz w:val="24"/>
                <w:szCs w:val="24"/>
              </w:rPr>
              <w:t>Zinātniskās izpētes mežu apsaimniekošanas un uzraudzības kārtība” (t</w:t>
            </w:r>
            <w:r w:rsidRPr="002C7240">
              <w:rPr>
                <w:rFonts w:ascii="Times New Roman" w:hAnsi="Times New Roman" w:cs="Times New Roman"/>
                <w:b w:val="0"/>
                <w:sz w:val="24"/>
                <w:szCs w:val="24"/>
              </w:rPr>
              <w:t xml:space="preserve">urpmāk – noteikumu projekts) sagatavots saskaņā ar </w:t>
            </w:r>
            <w:r>
              <w:rPr>
                <w:rFonts w:ascii="Times New Roman" w:hAnsi="Times New Roman" w:cs="Times New Roman"/>
                <w:b w:val="0"/>
                <w:sz w:val="24"/>
                <w:szCs w:val="24"/>
              </w:rPr>
              <w:t>Meža likuma 49</w:t>
            </w:r>
            <w:r w:rsidRPr="002C7240">
              <w:rPr>
                <w:rFonts w:ascii="Times New Roman" w:hAnsi="Times New Roman" w:cs="Times New Roman"/>
                <w:b w:val="0"/>
                <w:sz w:val="24"/>
                <w:szCs w:val="24"/>
              </w:rPr>
              <w:t xml:space="preserve">.panta </w:t>
            </w:r>
            <w:r>
              <w:rPr>
                <w:rFonts w:ascii="Times New Roman" w:hAnsi="Times New Roman" w:cs="Times New Roman"/>
                <w:b w:val="0"/>
                <w:sz w:val="24"/>
                <w:szCs w:val="24"/>
              </w:rPr>
              <w:t xml:space="preserve">trešo </w:t>
            </w:r>
            <w:r w:rsidRPr="002C7240">
              <w:rPr>
                <w:rFonts w:ascii="Times New Roman" w:hAnsi="Times New Roman" w:cs="Times New Roman"/>
                <w:b w:val="0"/>
                <w:sz w:val="24"/>
                <w:szCs w:val="24"/>
              </w:rPr>
              <w:t>daļu.</w:t>
            </w:r>
          </w:p>
        </w:tc>
      </w:tr>
      <w:tr w:rsidR="00253DE1" w:rsidRPr="00765439" w:rsidTr="00E82B1E">
        <w:trPr>
          <w:jc w:val="center"/>
        </w:trPr>
        <w:tc>
          <w:tcPr>
            <w:tcW w:w="396" w:type="dxa"/>
          </w:tcPr>
          <w:p w:rsidR="00253DE1" w:rsidRPr="00765439" w:rsidRDefault="00253DE1" w:rsidP="004B4313">
            <w:pPr>
              <w:pStyle w:val="naislab"/>
              <w:spacing w:before="0" w:after="0"/>
              <w:jc w:val="center"/>
              <w:outlineLvl w:val="0"/>
              <w:rPr>
                <w:szCs w:val="24"/>
              </w:rPr>
            </w:pPr>
            <w:r w:rsidRPr="00765439">
              <w:rPr>
                <w:szCs w:val="24"/>
              </w:rPr>
              <w:t>2.</w:t>
            </w:r>
          </w:p>
        </w:tc>
        <w:tc>
          <w:tcPr>
            <w:tcW w:w="2795" w:type="dxa"/>
          </w:tcPr>
          <w:p w:rsidR="00253DE1" w:rsidRPr="00765439" w:rsidRDefault="00253DE1" w:rsidP="004B4313">
            <w:pPr>
              <w:pStyle w:val="naislab"/>
              <w:spacing w:before="0" w:after="0"/>
              <w:jc w:val="both"/>
              <w:outlineLvl w:val="0"/>
              <w:rPr>
                <w:szCs w:val="24"/>
              </w:rPr>
            </w:pPr>
            <w:r w:rsidRPr="00765439">
              <w:rPr>
                <w:szCs w:val="24"/>
              </w:rPr>
              <w:t>Pašreizējā situācija un problēmas</w:t>
            </w:r>
          </w:p>
        </w:tc>
        <w:tc>
          <w:tcPr>
            <w:tcW w:w="5825" w:type="dxa"/>
          </w:tcPr>
          <w:p w:rsidR="00253DE1" w:rsidRDefault="00253DE1" w:rsidP="004B4313">
            <w:pPr>
              <w:jc w:val="both"/>
            </w:pPr>
            <w:r w:rsidRPr="00BF1F4F">
              <w:t xml:space="preserve">2011.gada 13.oktobra likuma "Grozījumi Meža likumā" ("Latvijas Vēstnesis", 2011., 173.nr.), kas stājās spēkā 2012.gada 1.janvārī, </w:t>
            </w:r>
            <w:r>
              <w:t>49</w:t>
            </w:r>
            <w:r w:rsidRPr="00BF1F4F">
              <w:t>.pant</w:t>
            </w:r>
            <w:r>
              <w:t>s izteikts jaunā redakcijā, un šī panta trešajā daļā</w:t>
            </w:r>
            <w:r w:rsidRPr="00BF1F4F">
              <w:t xml:space="preserve"> dots deleģējums Ministru kabinetam izdot</w:t>
            </w:r>
            <w:r>
              <w:t xml:space="preserve"> noteikumus, kuri nosaka zinātniskās izpētes mežu apsaimniekošanas un uzraudzības kārtību.</w:t>
            </w:r>
          </w:p>
          <w:p w:rsidR="00253DE1" w:rsidRPr="005D0145" w:rsidRDefault="00253DE1" w:rsidP="004B4313">
            <w:pPr>
              <w:jc w:val="both"/>
            </w:pPr>
            <w:r>
              <w:t xml:space="preserve">Grozījumi Meža likumā paplašina zinātniskās izpētes mežu apsaimniekošanas mērķi, nosakot atbalstu mācību praksēm un tālākizglītībai meža nozares jomā, kā arī dod iespēju veidot jaunus zinātniskās izpētes mežus institūcijām, kas reģistrētas zinātnisko institūciju reģistrā. Līdz šim tiesiskais regulējums bija paredzēts tikai valsts zinātniskās izpētes mežiem, tādēļ </w:t>
            </w:r>
            <w:r w:rsidRPr="005D0145">
              <w:t xml:space="preserve">bija nepieciešams </w:t>
            </w:r>
            <w:r>
              <w:t>sagatavot</w:t>
            </w:r>
            <w:r w:rsidRPr="005D0145">
              <w:t xml:space="preserve"> jaunu Ministru kabineta noteikumu projektu.</w:t>
            </w:r>
          </w:p>
          <w:p w:rsidR="00253DE1" w:rsidRPr="002158A6" w:rsidRDefault="00253DE1" w:rsidP="004B4313">
            <w:pPr>
              <w:jc w:val="both"/>
            </w:pPr>
            <w:r w:rsidRPr="005D0145">
              <w:t>Valsts zinātniskās izpētes meži ir uz valsts vārda Zemkopī</w:t>
            </w:r>
            <w:r w:rsidRPr="002158A6">
              <w:t>bas ministrijas personā reģistrēti meži (Ministru kabineta 2001.gada 27.jūnija rīkojums Nr.</w:t>
            </w:r>
            <w:r w:rsidRPr="00342EB4">
              <w:t>322 „Par valsts meža zemes piešķiršanu zinātniskās izpētes vajadzībām”), kas nodalīti specifiskiem</w:t>
            </w:r>
            <w:r w:rsidRPr="002158A6">
              <w:t xml:space="preserve"> mērķiem </w:t>
            </w:r>
            <w:r>
              <w:t>–</w:t>
            </w:r>
            <w:r w:rsidRPr="002158A6">
              <w:t xml:space="preserve"> pētījumu un apmācību objektu ierīkošanai, kuros realizē mežsaimniecības un meža ekosistēmas izzināšanu meža nozares vajadzībām. Šie meži sniedz būtisku atbalstu ilglaicīgai zinātniskai pētniecībai un izglītībai meža nozares jomā.</w:t>
            </w:r>
          </w:p>
          <w:p w:rsidR="00253DE1" w:rsidRPr="00D71932" w:rsidRDefault="00253DE1" w:rsidP="004B4313">
            <w:pPr>
              <w:jc w:val="both"/>
              <w:rPr>
                <w:color w:val="000000"/>
                <w:sz w:val="28"/>
                <w:szCs w:val="28"/>
                <w:lang w:eastAsia="lv-LV"/>
              </w:rPr>
            </w:pPr>
            <w:r w:rsidRPr="005D0145">
              <w:t xml:space="preserve">Saskaņā ar </w:t>
            </w:r>
            <w:r>
              <w:t>Meža likuma 47.panta otro daļu v</w:t>
            </w:r>
            <w:r w:rsidRPr="005D0145">
              <w:t>alsts</w:t>
            </w:r>
            <w:r>
              <w:t xml:space="preserve"> zinātniskās izpētes mežus pārvalda Valsts meža dienests. </w:t>
            </w:r>
          </w:p>
          <w:p w:rsidR="00253DE1" w:rsidRPr="00E62725" w:rsidRDefault="00253DE1" w:rsidP="004B4313">
            <w:pPr>
              <w:jc w:val="both"/>
            </w:pPr>
          </w:p>
        </w:tc>
      </w:tr>
      <w:tr w:rsidR="00253DE1" w:rsidRPr="00765439" w:rsidTr="00E82B1E">
        <w:trPr>
          <w:jc w:val="center"/>
        </w:trPr>
        <w:tc>
          <w:tcPr>
            <w:tcW w:w="396" w:type="dxa"/>
          </w:tcPr>
          <w:p w:rsidR="00253DE1" w:rsidRPr="00765439" w:rsidRDefault="00253DE1" w:rsidP="004B4313">
            <w:pPr>
              <w:pStyle w:val="naislab"/>
              <w:spacing w:before="0" w:after="0"/>
              <w:jc w:val="center"/>
              <w:outlineLvl w:val="0"/>
              <w:rPr>
                <w:szCs w:val="24"/>
              </w:rPr>
            </w:pPr>
            <w:r w:rsidRPr="00765439">
              <w:rPr>
                <w:szCs w:val="24"/>
              </w:rPr>
              <w:t>3.</w:t>
            </w:r>
          </w:p>
        </w:tc>
        <w:tc>
          <w:tcPr>
            <w:tcW w:w="2795" w:type="dxa"/>
          </w:tcPr>
          <w:p w:rsidR="00253DE1" w:rsidRPr="00765439" w:rsidRDefault="00253DE1" w:rsidP="004B4313">
            <w:pPr>
              <w:pStyle w:val="naislab"/>
              <w:spacing w:before="0" w:after="0"/>
              <w:jc w:val="both"/>
              <w:outlineLvl w:val="0"/>
              <w:rPr>
                <w:szCs w:val="24"/>
              </w:rPr>
            </w:pPr>
            <w:r w:rsidRPr="00765439">
              <w:rPr>
                <w:szCs w:val="24"/>
              </w:rPr>
              <w:t>Saistītie politikas ietekmes novērtējumi un pētījumi</w:t>
            </w:r>
          </w:p>
        </w:tc>
        <w:tc>
          <w:tcPr>
            <w:tcW w:w="5825" w:type="dxa"/>
          </w:tcPr>
          <w:p w:rsidR="00253DE1" w:rsidRPr="00765439" w:rsidRDefault="00253DE1" w:rsidP="004B4313">
            <w:pPr>
              <w:jc w:val="both"/>
            </w:pPr>
            <w:r w:rsidRPr="00765439">
              <w:t>Nav attiecināms.</w:t>
            </w:r>
          </w:p>
        </w:tc>
      </w:tr>
      <w:tr w:rsidR="00253DE1" w:rsidRPr="00A10F67" w:rsidTr="00E82B1E">
        <w:trPr>
          <w:jc w:val="center"/>
        </w:trPr>
        <w:tc>
          <w:tcPr>
            <w:tcW w:w="396" w:type="dxa"/>
          </w:tcPr>
          <w:p w:rsidR="00253DE1" w:rsidRPr="00765439" w:rsidRDefault="00253DE1" w:rsidP="004B4313">
            <w:pPr>
              <w:pStyle w:val="naislab"/>
              <w:spacing w:before="0" w:after="0"/>
              <w:jc w:val="center"/>
              <w:outlineLvl w:val="0"/>
              <w:rPr>
                <w:szCs w:val="24"/>
              </w:rPr>
            </w:pPr>
            <w:r w:rsidRPr="00765439">
              <w:rPr>
                <w:szCs w:val="24"/>
              </w:rPr>
              <w:t>4.</w:t>
            </w:r>
          </w:p>
        </w:tc>
        <w:tc>
          <w:tcPr>
            <w:tcW w:w="2795" w:type="dxa"/>
          </w:tcPr>
          <w:p w:rsidR="00253DE1" w:rsidRPr="00765439" w:rsidRDefault="00253DE1" w:rsidP="004B4313">
            <w:pPr>
              <w:pStyle w:val="naislab"/>
              <w:spacing w:before="0" w:after="0"/>
              <w:jc w:val="both"/>
              <w:outlineLvl w:val="0"/>
              <w:rPr>
                <w:szCs w:val="24"/>
              </w:rPr>
            </w:pPr>
            <w:r w:rsidRPr="00765439">
              <w:rPr>
                <w:szCs w:val="24"/>
              </w:rPr>
              <w:t>Tiesiskā regulējuma mērķis un būtība</w:t>
            </w:r>
          </w:p>
        </w:tc>
        <w:tc>
          <w:tcPr>
            <w:tcW w:w="5825" w:type="dxa"/>
          </w:tcPr>
          <w:p w:rsidR="00253DE1" w:rsidRPr="00F14D96" w:rsidRDefault="00253DE1" w:rsidP="004B4313">
            <w:pPr>
              <w:jc w:val="both"/>
            </w:pPr>
            <w:r w:rsidRPr="00F14D96">
              <w:t>Zinātniskās izpētes mežus apsaimnieko pētījumu veikšanai, ilglaicīgai zinātniskās izpētes, vides un meža monitoringa objektu ierīkošanai un uzturēšanai, kā arī mācību un tālākizglītības atbalstam meža nozares izglītības jomā.</w:t>
            </w:r>
          </w:p>
          <w:p w:rsidR="00253DE1" w:rsidRPr="00F14D96" w:rsidRDefault="00253DE1" w:rsidP="004B4313">
            <w:pPr>
              <w:jc w:val="both"/>
            </w:pPr>
            <w:r w:rsidRPr="00E507BD">
              <w:t>Meža likuma 47.panta pirmā daļa paredz, ka zinātniskās izpētes mežus pārvalda un apsaimnieko zinātnisko institūciju reģistrā reģistrēta institūcija. Šī institūcija darbojas saskaņā ar normatīviem aktiem par zinātnisko darbību, kā arī veido savu zinātnisko padomi.</w:t>
            </w:r>
            <w:r>
              <w:t xml:space="preserve"> Valsts zinātniskās izpētes mežus pārvalda un apsaimnieko Valsts </w:t>
            </w:r>
            <w:r>
              <w:lastRenderedPageBreak/>
              <w:t>meža dienests.</w:t>
            </w:r>
          </w:p>
          <w:p w:rsidR="00253DE1" w:rsidRDefault="00253DE1" w:rsidP="004B4313">
            <w:pPr>
              <w:jc w:val="both"/>
            </w:pPr>
            <w:r w:rsidRPr="00F14D96">
              <w:t>Noteikumu projekts paredz, ka zinātniskās izpētes mežus apsaimnieko</w:t>
            </w:r>
            <w:r>
              <w:t>,</w:t>
            </w:r>
            <w:r w:rsidRPr="00F14D96">
              <w:t xml:space="preserve"> pamatojoties uz plānu. Ja zinātniskās izpētes mežos ierīko jaunus izpētes objektus, plānā pamato nepieciešamību ievērot Meža likuma 48.panta nosacījumus, kas pieļauj atkāpes no šī likuma normu ievērošanas. Jautājumus, kas skar esošo izpētes un mācību  objektu apsaimniekošanu un jaunu ierīkošanu, saskaņo ar pārvaldītāja zinātnisko padomi. </w:t>
            </w:r>
            <w:r w:rsidRPr="00A37600">
              <w:t>Izpētes objekti pēc būtības veido lielāku vai mazāku platību, kurā notiek izpēte, piemēram, tiek veikta koku dimensiju uzmērīšana. Tā kā meža attīstība ilgst pat 100 un vairāk gadu, tad šie izpētes objekti (lielākā to daļa) ir pastāvīgi un ilglaicīgi.  Noteikumu projekts paredz izpētes objektus Valsts meža reģistrā reģistrēt ar atzīmi „izpētes objekts”, tādēļ tiks grozīts Ministru kabineta 2013.gada 12.februāra noteikumu Nr.88 „Meža inventarizācijas un Meža valsts reģistra informācijas aprites noteikumi” 26.4.2.apakšpunkts.</w:t>
            </w:r>
          </w:p>
          <w:p w:rsidR="00253DE1" w:rsidRPr="00F14D96" w:rsidRDefault="00253DE1" w:rsidP="00A37600">
            <w:pPr>
              <w:jc w:val="both"/>
            </w:pPr>
            <w:r w:rsidRPr="00F14D96">
              <w:t>Zinātnisko mežu pārvaldītājs atkarībā no saviem mērķiem, kas tiks atspoguļoti šī pārvaldītāja nolikumā, varēs veikt gan saimnieciska rakstura, gan nesaimnieciska rakstura pētniecību. Darbību, kas nav saimnieciska rakstura pētniecība, varēs finansēt no valsts līdzekļiem, ja pētījuma veicējs abus darbības virzienus skaidri nodalīs un ja nesaimnieciska rakstura pētniecība atbildīs Eiropas Komisijas 2006.gada 12. decembra nostādnēm ,,Kopienas nostādnes par valsts atbalstu pētniecībai, attīstībai un inovācijai (Oficiālais Vēstnesis, 2006.gada 30.decembrī, C 323)</w:t>
            </w:r>
            <w:r>
              <w:t>”</w:t>
            </w:r>
            <w:r w:rsidRPr="00F14D96">
              <w:t>. Tā kā šī noteikumu projekta deleģējums ir zinātniskās izpētes mežu apsaimniekošanas un uzraudzības kārtība, tad nav lietderīgi šajā noteikumu projektā tiesiski regulēt iespējamā pārvaldītāja iespējamos pētījumus.</w:t>
            </w:r>
          </w:p>
          <w:p w:rsidR="00253DE1" w:rsidRPr="0092221B" w:rsidRDefault="00253DE1" w:rsidP="004B4313">
            <w:pPr>
              <w:jc w:val="both"/>
            </w:pPr>
            <w:r w:rsidRPr="0092221B">
              <w:t xml:space="preserve">Ņemot vērā, ka iespējamo pētījumu raksturs un virziens nav nosakāms, pārvaldītāja atbildība noteikumu projektā formulēta vispārīgi. Administratīvo pārkāpumu kodeksā  atbildība paredzēta par </w:t>
            </w:r>
            <w:proofErr w:type="spellStart"/>
            <w:r w:rsidRPr="0092221B">
              <w:t>invazīvo</w:t>
            </w:r>
            <w:proofErr w:type="spellEnd"/>
            <w:r w:rsidRPr="0092221B">
              <w:t xml:space="preserve"> sugu (51.</w:t>
            </w:r>
            <w:r w:rsidRPr="0092221B">
              <w:rPr>
                <w:vertAlign w:val="superscript"/>
              </w:rPr>
              <w:t xml:space="preserve">2 </w:t>
            </w:r>
            <w:r w:rsidRPr="0092221B">
              <w:t>pants) vai ģenētiski modificēto organismu (78.</w:t>
            </w:r>
            <w:r w:rsidRPr="0092221B">
              <w:rPr>
                <w:vertAlign w:val="superscript"/>
              </w:rPr>
              <w:t xml:space="preserve">1 </w:t>
            </w:r>
            <w:r w:rsidRPr="0092221B">
              <w:t>pants) izplatību vidē, vides piesārņošanu (58., 59., 76., 87.pants) , t.sk. arī radioaktīvā piesārņošana (87.</w:t>
            </w:r>
            <w:r w:rsidRPr="0092221B">
              <w:rPr>
                <w:vertAlign w:val="superscript"/>
              </w:rPr>
              <w:t>1</w:t>
            </w:r>
            <w:r w:rsidRPr="0092221B">
              <w:t xml:space="preserve">pants). </w:t>
            </w:r>
          </w:p>
          <w:p w:rsidR="00253DE1" w:rsidRPr="00F14D96" w:rsidRDefault="00253DE1" w:rsidP="004B4313">
            <w:pPr>
              <w:jc w:val="both"/>
            </w:pPr>
            <w:r w:rsidRPr="00F14D96">
              <w:t>Ja šo noteikumu nosacījumi netiek ievēroti, Zemkopības ministrija ir tiesīga lemt par īpašo nosacījumu (Meža likuma 48.pants) piemērošanas pārtraukšanu.</w:t>
            </w:r>
          </w:p>
          <w:p w:rsidR="00253DE1" w:rsidRPr="00F14D96" w:rsidRDefault="00253DE1" w:rsidP="004B4313">
            <w:pPr>
              <w:jc w:val="both"/>
              <w:rPr>
                <w:b/>
              </w:rPr>
            </w:pPr>
          </w:p>
          <w:p w:rsidR="00253DE1" w:rsidRPr="00F14D96" w:rsidRDefault="00253DE1" w:rsidP="004B4313">
            <w:pPr>
              <w:jc w:val="both"/>
              <w:rPr>
                <w:b/>
              </w:rPr>
            </w:pPr>
            <w:r w:rsidRPr="00F14D96">
              <w:rPr>
                <w:b/>
              </w:rPr>
              <w:t>Valsts zinātniskās izpētes meži</w:t>
            </w:r>
          </w:p>
          <w:p w:rsidR="00253DE1" w:rsidRPr="00F14D96" w:rsidRDefault="00253DE1" w:rsidP="004B4313">
            <w:pPr>
              <w:pStyle w:val="Sarakstarindkopa"/>
              <w:autoSpaceDE w:val="0"/>
              <w:autoSpaceDN w:val="0"/>
              <w:adjustRightInd w:val="0"/>
              <w:spacing w:after="0" w:line="240" w:lineRule="auto"/>
              <w:ind w:left="0"/>
              <w:jc w:val="both"/>
              <w:rPr>
                <w:rFonts w:ascii="Times New Roman" w:hAnsi="Times New Roman"/>
                <w:sz w:val="24"/>
                <w:szCs w:val="24"/>
              </w:rPr>
            </w:pPr>
            <w:r w:rsidRPr="00F14D96">
              <w:rPr>
                <w:rFonts w:ascii="Times New Roman" w:hAnsi="Times New Roman"/>
                <w:sz w:val="24"/>
                <w:szCs w:val="24"/>
              </w:rPr>
              <w:t>Noteikumu projektā ietverti papildu nosacījumi valsts zinātniskās izpētes mežu apsaimniekošanai, paredzot atbalstīt izpētes un mācību procesu.</w:t>
            </w:r>
          </w:p>
          <w:p w:rsidR="00253DE1" w:rsidRPr="004141A8" w:rsidRDefault="00253DE1" w:rsidP="004B4313">
            <w:pPr>
              <w:pStyle w:val="Sarakstarindkopa"/>
              <w:autoSpaceDE w:val="0"/>
              <w:autoSpaceDN w:val="0"/>
              <w:adjustRightInd w:val="0"/>
              <w:spacing w:after="0" w:line="240" w:lineRule="auto"/>
              <w:ind w:left="0"/>
              <w:jc w:val="both"/>
              <w:rPr>
                <w:rFonts w:ascii="Times New Roman" w:hAnsi="Times New Roman"/>
                <w:sz w:val="24"/>
                <w:szCs w:val="24"/>
              </w:rPr>
            </w:pPr>
            <w:r w:rsidRPr="004141A8">
              <w:rPr>
                <w:rFonts w:ascii="Times New Roman" w:hAnsi="Times New Roman"/>
                <w:sz w:val="24"/>
                <w:szCs w:val="24"/>
              </w:rPr>
              <w:t xml:space="preserve">Arī turpmāk, lai efektīvi pārvaldītu valsts zinātniskās </w:t>
            </w:r>
            <w:r w:rsidRPr="004141A8">
              <w:rPr>
                <w:rFonts w:ascii="Times New Roman" w:hAnsi="Times New Roman"/>
                <w:sz w:val="24"/>
                <w:szCs w:val="24"/>
              </w:rPr>
              <w:lastRenderedPageBreak/>
              <w:t>izpētes mežus un atbalstītu izglītību, paredzēta valsts zinātniskās izpētes mežu konsultatīvā padome. Tās sastāvā iekļauti pārstāvji no 3 pētniecības institūcijām (LVMI „Silava”, LV Koksnes ķīmijas institūts, SIA „Meža un koksnes produktu pētniecības un attīstības institūts”), kā arī 3 augstākās izglītības iestādēm (Latvijas Lauksaimniecības universitāte, Latvijas Universitāte, Daugavpils universitāte), kuras nodarbojas gan ar pētniecību, gan izglītību meža un vides jomā. Padomes sastāvā iekļauts pārstāvis no SIA „Latvijas Lauku konsultāciju un izglītības centrs”, kas nodarbojas ar apmācību un sniedz konsultācijas par meža apsaimniekošanu, kā arī neformālo izglītību meža jomā. Padomes sastāvā iekļauts pārstāvis no kontrolējošās iestādes – Valsts meža dienesta – un pārstāvis no AS „Latvijas valsts meži”, kas ieinteresēta pētījumu rezultātu ieviešanā. Šīs institūcijas ir kompetentas un ieinteresētas valsts zinātnisko mežu mērķtiecīgā apsaimniekošanā un ir piekritušas darboties šajā konsultatīvajā padomē.</w:t>
            </w:r>
          </w:p>
          <w:p w:rsidR="00253DE1" w:rsidRPr="00F14D96" w:rsidRDefault="00253DE1" w:rsidP="004B4313">
            <w:pPr>
              <w:jc w:val="both"/>
            </w:pPr>
            <w:r w:rsidRPr="00F14D96">
              <w:t xml:space="preserve"> Konsultatīvā padome izvērtē un sniedz ieteikumus valsts zinātnisko mežu pārvaldītājam, tas ir</w:t>
            </w:r>
            <w:r>
              <w:t>,</w:t>
            </w:r>
            <w:r w:rsidRPr="00F14D96">
              <w:t xml:space="preserve"> Valsts meža dienestam, par izpētes objektu, kā arī to infrastruktūras izveidi un uzturēšanu, arī par mācību un tālākizglītības pasākumu atbalstu.</w:t>
            </w:r>
          </w:p>
          <w:p w:rsidR="00253DE1" w:rsidRPr="00A26012" w:rsidRDefault="00253DE1" w:rsidP="004B4313">
            <w:pPr>
              <w:jc w:val="both"/>
              <w:rPr>
                <w:bCs/>
              </w:rPr>
            </w:pPr>
            <w:r w:rsidRPr="00F14D96">
              <w:t>Noteikumu projekts paredz valsts zinātniskās izpētes mežu apsaimniekošanas rezultātā iegūto resursu realizācijas veidus, t</w:t>
            </w:r>
            <w:r>
              <w:t>ostarp</w:t>
            </w:r>
            <w:r w:rsidRPr="00F14D96">
              <w:t xml:space="preserve"> gadījumos, kad noslēgti ilgtermiņa mežizstrādes līgumi. Lai gan spēku ir zaudējis likums </w:t>
            </w:r>
            <w:r>
              <w:t>„</w:t>
            </w:r>
            <w:r w:rsidRPr="00F14D96">
              <w:t>Par valsts meža izmantošanu</w:t>
            </w:r>
            <w:r>
              <w:t>”</w:t>
            </w:r>
            <w:r w:rsidRPr="00F14D96">
              <w:t xml:space="preserve"> un no tā izrietošie </w:t>
            </w:r>
            <w:r w:rsidRPr="00F14D96">
              <w:rPr>
                <w:bCs/>
              </w:rPr>
              <w:t xml:space="preserve">Ministru kabineta </w:t>
            </w:r>
            <w:r w:rsidRPr="00F14D96">
              <w:t xml:space="preserve">1995.gada 7.novembra </w:t>
            </w:r>
            <w:r w:rsidRPr="00F14D96">
              <w:rPr>
                <w:bCs/>
              </w:rPr>
              <w:t>noteikumi Nr.</w:t>
            </w:r>
            <w:r>
              <w:rPr>
                <w:bCs/>
              </w:rPr>
              <w:t> </w:t>
            </w:r>
            <w:r w:rsidRPr="00F14D96">
              <w:rPr>
                <w:bCs/>
              </w:rPr>
              <w:t>335 „Noteikumi par kārtību, kādā noslēdzami ilgtermiņa mežizstrādes līgumi”, kuru 3.punktā noteikts, ka „ilgtermiņa līgums tiek noslēgts uz 20 un vairāk gadiem…”, ap</w:t>
            </w:r>
            <w:r>
              <w:rPr>
                <w:bCs/>
              </w:rPr>
              <w:t>tuveni</w:t>
            </w:r>
            <w:r w:rsidRPr="00F14D96">
              <w:rPr>
                <w:bCs/>
              </w:rPr>
              <w:t xml:space="preserve"> 6 tūkstoš</w:t>
            </w:r>
            <w:r>
              <w:rPr>
                <w:bCs/>
              </w:rPr>
              <w:t>us</w:t>
            </w:r>
            <w:r w:rsidRPr="00F14D96">
              <w:rPr>
                <w:bCs/>
              </w:rPr>
              <w:t xml:space="preserve"> hektāru </w:t>
            </w:r>
            <w:r>
              <w:rPr>
                <w:bCs/>
              </w:rPr>
              <w:t xml:space="preserve">lielā </w:t>
            </w:r>
            <w:r w:rsidRPr="00F14D96">
              <w:rPr>
                <w:bCs/>
              </w:rPr>
              <w:t xml:space="preserve">platībā līgumattiecības joprojām ir spēkā. </w:t>
            </w:r>
            <w:r w:rsidRPr="00A26012">
              <w:rPr>
                <w:bCs/>
              </w:rPr>
              <w:t>Iegūtos resursus, tajā skaitā, kokmateriālus uzskaita saskaņā ar normatīvajiem aktiem par grāmatvedību.</w:t>
            </w:r>
          </w:p>
          <w:p w:rsidR="00253DE1" w:rsidRPr="00F14D96" w:rsidRDefault="00253DE1" w:rsidP="004B4313">
            <w:pPr>
              <w:jc w:val="both"/>
            </w:pPr>
            <w:r w:rsidRPr="00F14D96">
              <w:t xml:space="preserve">Noteikumu projekts </w:t>
            </w:r>
            <w:r>
              <w:t>veicinās</w:t>
            </w:r>
            <w:r w:rsidRPr="00F14D96">
              <w:t xml:space="preserve"> zinātniskās izpētes mežu mērķtiecīgu izmantošanu zinātnes un izglītības vajadzībām.</w:t>
            </w:r>
          </w:p>
          <w:p w:rsidR="00253DE1" w:rsidRPr="00F14D96" w:rsidRDefault="00253DE1" w:rsidP="004B4313">
            <w:pPr>
              <w:pStyle w:val="Sarakstarindkopa"/>
              <w:autoSpaceDE w:val="0"/>
              <w:autoSpaceDN w:val="0"/>
              <w:adjustRightInd w:val="0"/>
              <w:spacing w:after="0" w:line="240" w:lineRule="auto"/>
              <w:ind w:left="0"/>
              <w:jc w:val="both"/>
              <w:rPr>
                <w:rFonts w:ascii="Times New Roman" w:hAnsi="Times New Roman"/>
                <w:sz w:val="24"/>
                <w:szCs w:val="24"/>
              </w:rPr>
            </w:pPr>
            <w:r w:rsidRPr="00F14D96">
              <w:rPr>
                <w:rFonts w:ascii="Times New Roman" w:hAnsi="Times New Roman"/>
                <w:sz w:val="24"/>
                <w:szCs w:val="24"/>
              </w:rPr>
              <w:t>Šīs anotācijas I sadaļas 2.punktā minētās problēmas noteikumu projekts atrisinās pilnībā.</w:t>
            </w:r>
          </w:p>
        </w:tc>
      </w:tr>
      <w:tr w:rsidR="00253DE1" w:rsidRPr="00765439" w:rsidTr="00E82B1E">
        <w:trPr>
          <w:jc w:val="center"/>
        </w:trPr>
        <w:tc>
          <w:tcPr>
            <w:tcW w:w="396" w:type="dxa"/>
          </w:tcPr>
          <w:p w:rsidR="00253DE1" w:rsidRPr="00765439" w:rsidRDefault="00253DE1" w:rsidP="004B4313">
            <w:pPr>
              <w:pStyle w:val="naislab"/>
              <w:spacing w:before="0" w:after="0"/>
              <w:jc w:val="center"/>
              <w:outlineLvl w:val="0"/>
              <w:rPr>
                <w:szCs w:val="24"/>
              </w:rPr>
            </w:pPr>
            <w:r w:rsidRPr="00765439">
              <w:rPr>
                <w:szCs w:val="24"/>
              </w:rPr>
              <w:lastRenderedPageBreak/>
              <w:t>5.</w:t>
            </w:r>
          </w:p>
        </w:tc>
        <w:tc>
          <w:tcPr>
            <w:tcW w:w="2795" w:type="dxa"/>
          </w:tcPr>
          <w:p w:rsidR="00253DE1" w:rsidRPr="00765439" w:rsidRDefault="00253DE1" w:rsidP="004B4313">
            <w:pPr>
              <w:pStyle w:val="naislab"/>
              <w:spacing w:before="0" w:after="0"/>
              <w:jc w:val="both"/>
              <w:outlineLvl w:val="0"/>
              <w:rPr>
                <w:szCs w:val="24"/>
              </w:rPr>
            </w:pPr>
            <w:r w:rsidRPr="00765439">
              <w:rPr>
                <w:szCs w:val="24"/>
              </w:rPr>
              <w:t>Projekta izstrādē iesaistītās institūcijas</w:t>
            </w:r>
          </w:p>
        </w:tc>
        <w:tc>
          <w:tcPr>
            <w:tcW w:w="5825" w:type="dxa"/>
          </w:tcPr>
          <w:p w:rsidR="00253DE1" w:rsidRPr="00765439" w:rsidRDefault="00253DE1" w:rsidP="004B4313">
            <w:pPr>
              <w:jc w:val="both"/>
            </w:pPr>
            <w:r>
              <w:t xml:space="preserve">Valsts meža dienests </w:t>
            </w:r>
          </w:p>
        </w:tc>
      </w:tr>
      <w:tr w:rsidR="00253DE1" w:rsidRPr="00765439" w:rsidTr="00E82B1E">
        <w:trPr>
          <w:jc w:val="center"/>
        </w:trPr>
        <w:tc>
          <w:tcPr>
            <w:tcW w:w="396" w:type="dxa"/>
          </w:tcPr>
          <w:p w:rsidR="00253DE1" w:rsidRPr="00765439" w:rsidRDefault="00253DE1" w:rsidP="004B4313">
            <w:pPr>
              <w:pStyle w:val="naislab"/>
              <w:spacing w:before="0" w:after="0"/>
              <w:jc w:val="center"/>
              <w:outlineLvl w:val="0"/>
              <w:rPr>
                <w:szCs w:val="24"/>
              </w:rPr>
            </w:pPr>
            <w:r w:rsidRPr="00765439">
              <w:rPr>
                <w:szCs w:val="24"/>
              </w:rPr>
              <w:t>6.</w:t>
            </w:r>
          </w:p>
        </w:tc>
        <w:tc>
          <w:tcPr>
            <w:tcW w:w="2795" w:type="dxa"/>
          </w:tcPr>
          <w:p w:rsidR="00253DE1" w:rsidRPr="00765439" w:rsidRDefault="00253DE1" w:rsidP="004B4313">
            <w:pPr>
              <w:pStyle w:val="naislab"/>
              <w:spacing w:before="0" w:after="0"/>
              <w:jc w:val="both"/>
              <w:outlineLvl w:val="0"/>
              <w:rPr>
                <w:szCs w:val="24"/>
              </w:rPr>
            </w:pPr>
            <w:r w:rsidRPr="00765439">
              <w:rPr>
                <w:szCs w:val="24"/>
              </w:rPr>
              <w:t>Iemesli, kādēļ netika nodrošināta sabiedrības līdzdalība</w:t>
            </w:r>
          </w:p>
        </w:tc>
        <w:tc>
          <w:tcPr>
            <w:tcW w:w="5825" w:type="dxa"/>
          </w:tcPr>
          <w:p w:rsidR="00253DE1" w:rsidRPr="00C60EFC" w:rsidRDefault="00253DE1" w:rsidP="004B4313">
            <w:pPr>
              <w:jc w:val="both"/>
            </w:pPr>
            <w:r>
              <w:t>Nav attiecināms.</w:t>
            </w:r>
          </w:p>
        </w:tc>
      </w:tr>
      <w:tr w:rsidR="00253DE1" w:rsidRPr="00765439" w:rsidTr="00E82B1E">
        <w:trPr>
          <w:jc w:val="center"/>
        </w:trPr>
        <w:tc>
          <w:tcPr>
            <w:tcW w:w="396" w:type="dxa"/>
          </w:tcPr>
          <w:p w:rsidR="00253DE1" w:rsidRPr="00765439" w:rsidRDefault="00253DE1" w:rsidP="004B4313">
            <w:pPr>
              <w:pStyle w:val="naislab"/>
              <w:spacing w:before="0" w:after="0"/>
              <w:jc w:val="center"/>
              <w:outlineLvl w:val="0"/>
              <w:rPr>
                <w:szCs w:val="24"/>
              </w:rPr>
            </w:pPr>
            <w:r w:rsidRPr="00765439">
              <w:rPr>
                <w:szCs w:val="24"/>
              </w:rPr>
              <w:t>7.</w:t>
            </w:r>
          </w:p>
        </w:tc>
        <w:tc>
          <w:tcPr>
            <w:tcW w:w="2795" w:type="dxa"/>
          </w:tcPr>
          <w:p w:rsidR="00253DE1" w:rsidRPr="00765439" w:rsidRDefault="00253DE1" w:rsidP="004B4313">
            <w:pPr>
              <w:pStyle w:val="naislab"/>
              <w:spacing w:before="0" w:after="0"/>
              <w:jc w:val="both"/>
              <w:outlineLvl w:val="0"/>
              <w:rPr>
                <w:szCs w:val="24"/>
              </w:rPr>
            </w:pPr>
            <w:r w:rsidRPr="00765439">
              <w:rPr>
                <w:szCs w:val="24"/>
              </w:rPr>
              <w:t>Cita informācija</w:t>
            </w:r>
          </w:p>
        </w:tc>
        <w:tc>
          <w:tcPr>
            <w:tcW w:w="5825" w:type="dxa"/>
          </w:tcPr>
          <w:p w:rsidR="00253DE1" w:rsidRPr="00765439" w:rsidRDefault="00253DE1" w:rsidP="004B4313">
            <w:pPr>
              <w:jc w:val="both"/>
            </w:pPr>
            <w:r w:rsidRPr="00765439">
              <w:t>Nav</w:t>
            </w:r>
          </w:p>
        </w:tc>
      </w:tr>
    </w:tbl>
    <w:p w:rsidR="00253DE1" w:rsidRDefault="00253DE1" w:rsidP="004C5C05">
      <w:pPr>
        <w:pStyle w:val="naisf"/>
        <w:spacing w:before="0" w:after="0"/>
        <w:ind w:firstLine="0"/>
      </w:pPr>
    </w:p>
    <w:p w:rsidR="00253DE1" w:rsidRPr="007C0F2C" w:rsidRDefault="00253DE1" w:rsidP="004C5C05">
      <w:pPr>
        <w:pStyle w:val="naisf"/>
        <w:spacing w:before="0" w:after="0"/>
        <w:ind w:firstLine="0"/>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3"/>
        <w:gridCol w:w="4061"/>
        <w:gridCol w:w="4657"/>
      </w:tblGrid>
      <w:tr w:rsidR="00253DE1" w:rsidRPr="007C0F2C" w:rsidTr="00F92933">
        <w:tc>
          <w:tcPr>
            <w:tcW w:w="5000" w:type="pct"/>
            <w:gridSpan w:val="3"/>
            <w:vAlign w:val="center"/>
          </w:tcPr>
          <w:p w:rsidR="00253DE1" w:rsidRPr="00EE2424" w:rsidRDefault="00253DE1" w:rsidP="004B4313">
            <w:pPr>
              <w:pStyle w:val="naisnod"/>
              <w:spacing w:before="0" w:after="0"/>
            </w:pPr>
            <w:r w:rsidRPr="00EE2424">
              <w:lastRenderedPageBreak/>
              <w:t>II. Tiesību akta projekta ietekme uz sabiedrību</w:t>
            </w:r>
          </w:p>
        </w:tc>
      </w:tr>
      <w:tr w:rsidR="00253DE1" w:rsidRPr="007C0F2C" w:rsidTr="00F92933">
        <w:trPr>
          <w:trHeight w:val="467"/>
        </w:trPr>
        <w:tc>
          <w:tcPr>
            <w:tcW w:w="200" w:type="pct"/>
          </w:tcPr>
          <w:p w:rsidR="00253DE1" w:rsidRPr="00EE2424" w:rsidRDefault="00253DE1" w:rsidP="004B4313">
            <w:pPr>
              <w:pStyle w:val="naiskr"/>
              <w:spacing w:before="0" w:after="0"/>
              <w:ind w:left="-355" w:firstLine="355"/>
            </w:pPr>
            <w:r w:rsidRPr="00EE2424">
              <w:t>1.</w:t>
            </w:r>
          </w:p>
        </w:tc>
        <w:tc>
          <w:tcPr>
            <w:tcW w:w="2236" w:type="pct"/>
          </w:tcPr>
          <w:p w:rsidR="00253DE1" w:rsidRPr="00EE2424" w:rsidRDefault="00253DE1" w:rsidP="004B4313">
            <w:pPr>
              <w:pStyle w:val="naiskr"/>
              <w:spacing w:before="0" w:after="0"/>
            </w:pPr>
            <w:r w:rsidRPr="00EE2424">
              <w:t xml:space="preserve">Sabiedrības </w:t>
            </w:r>
            <w:proofErr w:type="spellStart"/>
            <w:r w:rsidRPr="00EE2424">
              <w:t>mērķgrupa</w:t>
            </w:r>
            <w:proofErr w:type="spellEnd"/>
          </w:p>
        </w:tc>
        <w:tc>
          <w:tcPr>
            <w:tcW w:w="2564" w:type="pct"/>
          </w:tcPr>
          <w:p w:rsidR="00253DE1" w:rsidRPr="00F14D96" w:rsidRDefault="00253DE1" w:rsidP="00F92933">
            <w:pPr>
              <w:pStyle w:val="naiskr"/>
              <w:spacing w:before="0" w:beforeAutospacing="0" w:after="0" w:afterAutospacing="0"/>
              <w:ind w:left="81" w:right="76"/>
              <w:jc w:val="both"/>
              <w:rPr>
                <w:iCs/>
              </w:rPr>
            </w:pPr>
            <w:r w:rsidRPr="00EE2424">
              <w:rPr>
                <w:iCs/>
              </w:rPr>
              <w:t> </w:t>
            </w:r>
            <w:r w:rsidRPr="00F14D96">
              <w:rPr>
                <w:iCs/>
              </w:rPr>
              <w:t xml:space="preserve">Noteikumu projekts </w:t>
            </w:r>
            <w:r>
              <w:rPr>
                <w:iCs/>
              </w:rPr>
              <w:t>dod</w:t>
            </w:r>
            <w:r w:rsidRPr="00F14D96">
              <w:rPr>
                <w:iCs/>
              </w:rPr>
              <w:t xml:space="preserve"> iespēju privātai iniciatīvai</w:t>
            </w:r>
            <w:r>
              <w:rPr>
                <w:iCs/>
              </w:rPr>
              <w:t> –</w:t>
            </w:r>
            <w:r w:rsidRPr="00F14D96">
              <w:rPr>
                <w:iCs/>
              </w:rPr>
              <w:t xml:space="preserve"> nodarboties ar pētniecību savā meža īpašumā vai valdījumā esošajā mežā.</w:t>
            </w:r>
          </w:p>
          <w:p w:rsidR="00253DE1" w:rsidRPr="00F14D96" w:rsidRDefault="00253DE1" w:rsidP="00F92933">
            <w:pPr>
              <w:pStyle w:val="naiskr"/>
              <w:spacing w:before="0" w:beforeAutospacing="0" w:after="0" w:afterAutospacing="0"/>
              <w:ind w:left="81" w:right="76" w:hanging="57"/>
              <w:jc w:val="both"/>
              <w:rPr>
                <w:iCs/>
              </w:rPr>
            </w:pPr>
            <w:r w:rsidRPr="00F14D96">
              <w:rPr>
                <w:iCs/>
              </w:rPr>
              <w:t>Pētījumus valsts zinātniskās izpētes mežos veic Latvijas Valsts mežzinātnes institūta „Silava”, Latvijas Valsts koksnes ķīmijas institūta un Latvijas Lauksaimniecības universitātes Meža fakultātes zinātnieki un pētnieki (apmēram 50 cilvēku).</w:t>
            </w:r>
          </w:p>
          <w:p w:rsidR="00253DE1" w:rsidRPr="00F14D96" w:rsidRDefault="00253DE1" w:rsidP="00F92933">
            <w:pPr>
              <w:pStyle w:val="naiskr"/>
              <w:spacing w:before="0" w:beforeAutospacing="0" w:after="0" w:afterAutospacing="0"/>
              <w:ind w:left="81" w:right="76"/>
              <w:jc w:val="both"/>
            </w:pPr>
            <w:r w:rsidRPr="00F14D96">
              <w:rPr>
                <w:iCs/>
              </w:rPr>
              <w:t xml:space="preserve"> „</w:t>
            </w:r>
            <w:r w:rsidRPr="00F14D96">
              <w:t xml:space="preserve">Silava” ir vadošais mežzinātnes institūts Latvijā, tas veic meža ekosistēmu un to komponentu izpēti, </w:t>
            </w:r>
            <w:r>
              <w:t>kā arī izstrādā ieteikumus</w:t>
            </w:r>
            <w:r w:rsidRPr="00F14D96">
              <w:t xml:space="preserve"> nenoplicinošas meža apsaimniekošanas nodrošināšanai, meža resursu un produktu racionālai un efektīvai izmantošanai. </w:t>
            </w:r>
          </w:p>
          <w:p w:rsidR="00253DE1" w:rsidRPr="00F14D96" w:rsidRDefault="00253DE1" w:rsidP="00F92933">
            <w:pPr>
              <w:pStyle w:val="naiskr"/>
              <w:spacing w:before="0" w:beforeAutospacing="0" w:after="0" w:afterAutospacing="0"/>
              <w:ind w:left="81" w:right="76"/>
              <w:jc w:val="both"/>
            </w:pPr>
            <w:r w:rsidRPr="00F14D96">
              <w:t>Koksnes ķīmijas institūts veic fundamentālos pētījumus koksnes zinātnē, koksnes ķīmijā un citus, kā arī lietišķos pētījumus par produktiem, ko var iegūt no koksnes, biomasas</w:t>
            </w:r>
            <w:r>
              <w:t>,</w:t>
            </w:r>
            <w:r w:rsidRPr="00F14D96">
              <w:t xml:space="preserve"> un to iegūšanas tehnoloģijas.</w:t>
            </w:r>
          </w:p>
          <w:p w:rsidR="00253DE1" w:rsidRPr="00F14D96" w:rsidRDefault="00253DE1" w:rsidP="00F92933">
            <w:pPr>
              <w:pStyle w:val="naiskr"/>
              <w:spacing w:before="0" w:beforeAutospacing="0" w:after="0" w:afterAutospacing="0"/>
              <w:ind w:left="81" w:right="76"/>
              <w:jc w:val="both"/>
            </w:pPr>
            <w:r w:rsidRPr="00F14D96">
              <w:t xml:space="preserve">Meža fakultātes mācību spēki arī veic pētījumus mežsaimniecībā, kokapstrādē, veicina tālākizglītību. </w:t>
            </w:r>
          </w:p>
          <w:p w:rsidR="00253DE1" w:rsidRPr="00F14D96" w:rsidRDefault="00253DE1" w:rsidP="00F92933">
            <w:pPr>
              <w:pStyle w:val="naiskr"/>
              <w:spacing w:before="0" w:beforeAutospacing="0" w:after="0" w:afterAutospacing="0"/>
              <w:ind w:left="81" w:right="76"/>
              <w:jc w:val="both"/>
            </w:pPr>
            <w:r w:rsidRPr="00F14D96">
              <w:t>Par šo institūciju zinātnisko darbību liecina zinātniskās publikācijas, dalība dažādās konferencēs un starptautiskos projektos, organizētie semināri un kursi, izdotās grāmatas u.</w:t>
            </w:r>
            <w:r>
              <w:t>c.</w:t>
            </w:r>
            <w:r w:rsidRPr="00F14D96">
              <w:t xml:space="preserve"> </w:t>
            </w:r>
          </w:p>
          <w:p w:rsidR="00253DE1" w:rsidRPr="00F14D96" w:rsidRDefault="00253DE1" w:rsidP="00F92933">
            <w:pPr>
              <w:pStyle w:val="naiskr"/>
              <w:spacing w:before="0" w:beforeAutospacing="0" w:after="0" w:afterAutospacing="0"/>
              <w:ind w:left="81" w:right="76"/>
              <w:jc w:val="both"/>
              <w:rPr>
                <w:iCs/>
              </w:rPr>
            </w:pPr>
            <w:r w:rsidRPr="00F14D96">
              <w:rPr>
                <w:iCs/>
              </w:rPr>
              <w:t>Šīs zinātniskās institūcijas darbojas atbilstoši saviem nolikumiem un nodala finanšu plūsmas saimnieciskai darbībai, ja tāda ir, un darbībai, k</w:t>
            </w:r>
            <w:r>
              <w:rPr>
                <w:iCs/>
              </w:rPr>
              <w:t>urai</w:t>
            </w:r>
            <w:r w:rsidRPr="00F14D96">
              <w:rPr>
                <w:iCs/>
              </w:rPr>
              <w:t xml:space="preserve"> nav saimniecisk</w:t>
            </w:r>
            <w:r>
              <w:rPr>
                <w:iCs/>
              </w:rPr>
              <w:t>a</w:t>
            </w:r>
            <w:r w:rsidRPr="00F14D96">
              <w:rPr>
                <w:iCs/>
              </w:rPr>
              <w:t xml:space="preserve"> rakstur</w:t>
            </w:r>
            <w:r>
              <w:rPr>
                <w:iCs/>
              </w:rPr>
              <w:t>a</w:t>
            </w:r>
            <w:r w:rsidRPr="00F14D96">
              <w:rPr>
                <w:iCs/>
              </w:rPr>
              <w:t xml:space="preserve">. </w:t>
            </w:r>
          </w:p>
          <w:p w:rsidR="00253DE1" w:rsidRPr="00F14D96" w:rsidRDefault="00253DE1" w:rsidP="00F92933">
            <w:pPr>
              <w:pStyle w:val="naiskr"/>
              <w:spacing w:before="0" w:beforeAutospacing="0" w:after="0" w:afterAutospacing="0"/>
              <w:ind w:left="81" w:right="76"/>
              <w:jc w:val="both"/>
              <w:rPr>
                <w:iCs/>
              </w:rPr>
            </w:pPr>
            <w:r w:rsidRPr="00F14D96">
              <w:rPr>
                <w:iCs/>
              </w:rPr>
              <w:t>Valsts zinātniskās izpētes mežos izpētes objekti</w:t>
            </w:r>
            <w:r>
              <w:rPr>
                <w:iCs/>
              </w:rPr>
              <w:t>,</w:t>
            </w:r>
            <w:r w:rsidRPr="00F14D96">
              <w:rPr>
                <w:iCs/>
              </w:rPr>
              <w:t xml:space="preserve"> t</w:t>
            </w:r>
            <w:r>
              <w:rPr>
                <w:iCs/>
              </w:rPr>
              <w:t xml:space="preserve">ajā </w:t>
            </w:r>
            <w:r w:rsidRPr="00F14D96">
              <w:rPr>
                <w:iCs/>
              </w:rPr>
              <w:t>skaitā meža un vides monitoringa objekti, ļauj iegūt vairāk zināšanu un lielāku izpratni par meža ekosistēmas attīstību, bioloģisko daudzveidību, meža veselību un citiem aspektiem. Izpētes objekti tiek izmantoti izglītojoš</w:t>
            </w:r>
            <w:r>
              <w:rPr>
                <w:iCs/>
              </w:rPr>
              <w:t>iem</w:t>
            </w:r>
            <w:r w:rsidRPr="00F14D96">
              <w:rPr>
                <w:iCs/>
              </w:rPr>
              <w:t xml:space="preserve"> seminār</w:t>
            </w:r>
            <w:r>
              <w:rPr>
                <w:iCs/>
              </w:rPr>
              <w:t>iem</w:t>
            </w:r>
            <w:r w:rsidRPr="00F14D96">
              <w:rPr>
                <w:iCs/>
              </w:rPr>
              <w:t xml:space="preserve">, </w:t>
            </w:r>
            <w:r>
              <w:rPr>
                <w:iCs/>
              </w:rPr>
              <w:t xml:space="preserve">studentu </w:t>
            </w:r>
            <w:r w:rsidRPr="00F14D96">
              <w:rPr>
                <w:iCs/>
              </w:rPr>
              <w:t>apmācīb</w:t>
            </w:r>
            <w:r>
              <w:rPr>
                <w:iCs/>
              </w:rPr>
              <w:t>a</w:t>
            </w:r>
            <w:r w:rsidRPr="00F14D96">
              <w:rPr>
                <w:iCs/>
              </w:rPr>
              <w:t>i, meža nozarē strādājošiem</w:t>
            </w:r>
            <w:r>
              <w:rPr>
                <w:iCs/>
              </w:rPr>
              <w:t xml:space="preserve"> un citiem </w:t>
            </w:r>
            <w:r w:rsidRPr="00F14D96">
              <w:rPr>
                <w:iCs/>
              </w:rPr>
              <w:t>interesentiem. Valsts zinātniskās izpētes mežos veikto pētījumu rezultāti ir publiski pieejami. Tādēļ valsts zinātniskās izpētes mežos veiktie pētījumi nav uzskatāmi par pētījumiem ar saimniecisku raksturu. Turklāt</w:t>
            </w:r>
            <w:r>
              <w:rPr>
                <w:iCs/>
              </w:rPr>
              <w:t>,</w:t>
            </w:r>
            <w:r w:rsidRPr="00F14D96">
              <w:rPr>
                <w:iCs/>
              </w:rPr>
              <w:t xml:space="preserve"> </w:t>
            </w:r>
            <w:r>
              <w:rPr>
                <w:iCs/>
              </w:rPr>
              <w:t>tā</w:t>
            </w:r>
            <w:r w:rsidRPr="00F14D96">
              <w:rPr>
                <w:iCs/>
              </w:rPr>
              <w:t xml:space="preserve"> k</w:t>
            </w:r>
            <w:r>
              <w:rPr>
                <w:iCs/>
              </w:rPr>
              <w:t>ā</w:t>
            </w:r>
            <w:r w:rsidRPr="00F14D96">
              <w:rPr>
                <w:iCs/>
              </w:rPr>
              <w:t xml:space="preserve"> valsts zinātniskās izpētes meži tiek apsaimniekoti saskaņā ar plānu, par kuru atzinumu sniedz konsultatīvā padome, tiek </w:t>
            </w:r>
            <w:r>
              <w:rPr>
                <w:iCs/>
              </w:rPr>
              <w:lastRenderedPageBreak/>
              <w:t>novērsts</w:t>
            </w:r>
            <w:r w:rsidRPr="00F14D96">
              <w:rPr>
                <w:iCs/>
              </w:rPr>
              <w:t xml:space="preserve"> risks atbalstīt saimnieciska rakstura pētījumus.</w:t>
            </w:r>
          </w:p>
          <w:p w:rsidR="00253DE1" w:rsidRPr="002A017F" w:rsidRDefault="00253DE1" w:rsidP="00F92933">
            <w:pPr>
              <w:pStyle w:val="naiskr"/>
              <w:spacing w:before="0" w:beforeAutospacing="0" w:after="0" w:afterAutospacing="0"/>
              <w:ind w:left="81" w:right="76"/>
              <w:jc w:val="both"/>
              <w:rPr>
                <w:iCs/>
                <w:color w:val="666699"/>
              </w:rPr>
            </w:pPr>
          </w:p>
          <w:p w:rsidR="00253DE1" w:rsidRPr="00EE2424" w:rsidRDefault="00253DE1" w:rsidP="00F92933">
            <w:pPr>
              <w:pStyle w:val="naiskr"/>
              <w:spacing w:before="0" w:beforeAutospacing="0" w:after="0" w:afterAutospacing="0"/>
              <w:ind w:left="81" w:right="76"/>
            </w:pPr>
            <w:r>
              <w:rPr>
                <w:iCs/>
              </w:rPr>
              <w:t>Meža izglītības jomā zinātniskās izpētes mežus izmanto apmēram 300 studentu un 15 mācībspēku gadā no Latvijas Lauksaimniecības universitātes Meža fakultātes, kā arī Latvijas Universitātes Bioloģijas fakultātes un Ģeogrāfijas un Zemes dzīļu fakultātes.</w:t>
            </w:r>
          </w:p>
        </w:tc>
      </w:tr>
      <w:tr w:rsidR="00253DE1" w:rsidRPr="007C0F2C" w:rsidTr="00F92933">
        <w:trPr>
          <w:trHeight w:val="523"/>
        </w:trPr>
        <w:tc>
          <w:tcPr>
            <w:tcW w:w="200" w:type="pct"/>
          </w:tcPr>
          <w:p w:rsidR="00253DE1" w:rsidRPr="00EE2424" w:rsidRDefault="00253DE1" w:rsidP="004B4313">
            <w:pPr>
              <w:pStyle w:val="naiskr"/>
              <w:spacing w:before="0" w:after="0"/>
            </w:pPr>
            <w:r w:rsidRPr="00EE2424">
              <w:lastRenderedPageBreak/>
              <w:t>2.</w:t>
            </w:r>
          </w:p>
        </w:tc>
        <w:tc>
          <w:tcPr>
            <w:tcW w:w="2236" w:type="pct"/>
          </w:tcPr>
          <w:p w:rsidR="00253DE1" w:rsidRPr="00EE2424" w:rsidRDefault="00253DE1" w:rsidP="004B4313">
            <w:pPr>
              <w:pStyle w:val="naiskr"/>
              <w:spacing w:before="0" w:after="0"/>
            </w:pPr>
            <w:r w:rsidRPr="00EE2424">
              <w:t xml:space="preserve">Citas sabiedrības grupas (bez </w:t>
            </w:r>
            <w:proofErr w:type="spellStart"/>
            <w:r w:rsidRPr="00EE2424">
              <w:t>mērķgrupas</w:t>
            </w:r>
            <w:proofErr w:type="spellEnd"/>
            <w:r w:rsidRPr="00EE2424">
              <w:t>), kuras tiesiskais regulējums arī ietekmē vai varētu ietekmēt</w:t>
            </w:r>
          </w:p>
        </w:tc>
        <w:tc>
          <w:tcPr>
            <w:tcW w:w="2564" w:type="pct"/>
          </w:tcPr>
          <w:p w:rsidR="00253DE1" w:rsidRPr="00EE2424" w:rsidRDefault="00253DE1" w:rsidP="004B4313">
            <w:pPr>
              <w:pStyle w:val="naiskr"/>
              <w:spacing w:before="0" w:after="0"/>
            </w:pPr>
            <w:r>
              <w:t xml:space="preserve"> Nav</w:t>
            </w:r>
          </w:p>
        </w:tc>
      </w:tr>
      <w:tr w:rsidR="00253DE1" w:rsidRPr="007C0F2C" w:rsidTr="00F92933">
        <w:trPr>
          <w:trHeight w:val="220"/>
        </w:trPr>
        <w:tc>
          <w:tcPr>
            <w:tcW w:w="200" w:type="pct"/>
          </w:tcPr>
          <w:p w:rsidR="00253DE1" w:rsidRPr="00EE2424" w:rsidRDefault="00253DE1" w:rsidP="004B4313">
            <w:pPr>
              <w:pStyle w:val="naiskr"/>
              <w:spacing w:before="0" w:after="0"/>
            </w:pPr>
            <w:r w:rsidRPr="00EE2424">
              <w:t>3.</w:t>
            </w:r>
          </w:p>
        </w:tc>
        <w:tc>
          <w:tcPr>
            <w:tcW w:w="2236" w:type="pct"/>
          </w:tcPr>
          <w:p w:rsidR="00253DE1" w:rsidRPr="00EE2424" w:rsidRDefault="00253DE1" w:rsidP="004B4313">
            <w:pPr>
              <w:pStyle w:val="naiskr"/>
              <w:spacing w:before="0" w:after="0"/>
            </w:pPr>
            <w:r w:rsidRPr="00EE2424">
              <w:t>Tiesiskā regulējuma finansiālā ietekme</w:t>
            </w:r>
          </w:p>
        </w:tc>
        <w:tc>
          <w:tcPr>
            <w:tcW w:w="2564" w:type="pct"/>
          </w:tcPr>
          <w:p w:rsidR="00253DE1" w:rsidRPr="00EE2424" w:rsidRDefault="00253DE1" w:rsidP="004B4313">
            <w:pPr>
              <w:pStyle w:val="naiskr"/>
              <w:spacing w:before="0" w:after="0"/>
            </w:pPr>
            <w:bookmarkStart w:id="0" w:name="OLE_LINK1"/>
            <w:bookmarkStart w:id="1" w:name="OLE_LINK2"/>
            <w:r w:rsidRPr="00EE2424">
              <w:t>Nav</w:t>
            </w:r>
            <w:bookmarkEnd w:id="0"/>
            <w:bookmarkEnd w:id="1"/>
            <w:r>
              <w:t>.</w:t>
            </w:r>
          </w:p>
        </w:tc>
      </w:tr>
      <w:tr w:rsidR="00253DE1" w:rsidRPr="007C0F2C" w:rsidTr="00F92933">
        <w:trPr>
          <w:trHeight w:val="300"/>
        </w:trPr>
        <w:tc>
          <w:tcPr>
            <w:tcW w:w="200" w:type="pct"/>
          </w:tcPr>
          <w:p w:rsidR="00253DE1" w:rsidRPr="00EE2424" w:rsidRDefault="00253DE1" w:rsidP="004B4313">
            <w:pPr>
              <w:pStyle w:val="naiskr"/>
              <w:spacing w:before="0" w:after="0"/>
            </w:pPr>
            <w:r w:rsidRPr="00EE2424">
              <w:t>4.</w:t>
            </w:r>
          </w:p>
        </w:tc>
        <w:tc>
          <w:tcPr>
            <w:tcW w:w="2236" w:type="pct"/>
          </w:tcPr>
          <w:p w:rsidR="00253DE1" w:rsidRPr="00EE2424" w:rsidRDefault="00253DE1" w:rsidP="004B4313">
            <w:pPr>
              <w:pStyle w:val="naiskr"/>
              <w:spacing w:before="0" w:after="0"/>
            </w:pPr>
            <w:r w:rsidRPr="00EE2424">
              <w:t>Tiesiskā regulējuma nefinansiālā ietekme</w:t>
            </w:r>
          </w:p>
        </w:tc>
        <w:tc>
          <w:tcPr>
            <w:tcW w:w="2564" w:type="pct"/>
          </w:tcPr>
          <w:p w:rsidR="00253DE1" w:rsidRPr="00EE2424" w:rsidRDefault="00253DE1" w:rsidP="004B4313">
            <w:pPr>
              <w:pStyle w:val="naiskr"/>
              <w:spacing w:before="0" w:after="0"/>
            </w:pPr>
            <w:r>
              <w:t>Nav.</w:t>
            </w:r>
          </w:p>
        </w:tc>
      </w:tr>
      <w:tr w:rsidR="00253DE1" w:rsidRPr="007C0F2C" w:rsidTr="00F92933">
        <w:trPr>
          <w:trHeight w:val="338"/>
        </w:trPr>
        <w:tc>
          <w:tcPr>
            <w:tcW w:w="200" w:type="pct"/>
          </w:tcPr>
          <w:p w:rsidR="00253DE1" w:rsidRPr="00EE2424" w:rsidRDefault="00253DE1" w:rsidP="004B4313">
            <w:pPr>
              <w:pStyle w:val="naiskr"/>
              <w:spacing w:before="0" w:after="0"/>
            </w:pPr>
            <w:r w:rsidRPr="00EE2424">
              <w:t>5.</w:t>
            </w:r>
          </w:p>
        </w:tc>
        <w:tc>
          <w:tcPr>
            <w:tcW w:w="2236" w:type="pct"/>
          </w:tcPr>
          <w:p w:rsidR="00253DE1" w:rsidRPr="00EE2424" w:rsidRDefault="00253DE1" w:rsidP="004B4313">
            <w:pPr>
              <w:pStyle w:val="naiskr"/>
              <w:spacing w:before="0" w:after="0"/>
            </w:pPr>
            <w:r w:rsidRPr="00EE2424">
              <w:t>Administratīvās procedūras raksturojums</w:t>
            </w:r>
          </w:p>
        </w:tc>
        <w:tc>
          <w:tcPr>
            <w:tcW w:w="2564" w:type="pct"/>
          </w:tcPr>
          <w:p w:rsidR="00253DE1" w:rsidRPr="00EE2424" w:rsidRDefault="00253DE1" w:rsidP="004B4313">
            <w:pPr>
              <w:pStyle w:val="naiskr"/>
              <w:spacing w:before="0" w:after="0"/>
            </w:pPr>
            <w:r w:rsidRPr="00EE2424">
              <w:t>Nav</w:t>
            </w:r>
            <w:r>
              <w:t>.</w:t>
            </w:r>
          </w:p>
        </w:tc>
      </w:tr>
      <w:tr w:rsidR="00253DE1" w:rsidRPr="007C0F2C" w:rsidTr="00F92933">
        <w:trPr>
          <w:trHeight w:val="357"/>
        </w:trPr>
        <w:tc>
          <w:tcPr>
            <w:tcW w:w="200" w:type="pct"/>
          </w:tcPr>
          <w:p w:rsidR="00253DE1" w:rsidRPr="00EE2424" w:rsidRDefault="00253DE1" w:rsidP="004B4313">
            <w:pPr>
              <w:pStyle w:val="naiskr"/>
              <w:spacing w:before="0" w:after="0"/>
            </w:pPr>
            <w:r w:rsidRPr="00EE2424">
              <w:t>6.</w:t>
            </w:r>
          </w:p>
        </w:tc>
        <w:tc>
          <w:tcPr>
            <w:tcW w:w="2236" w:type="pct"/>
          </w:tcPr>
          <w:p w:rsidR="00253DE1" w:rsidRPr="00EE2424" w:rsidRDefault="00253DE1" w:rsidP="004B4313">
            <w:pPr>
              <w:pStyle w:val="naiskr"/>
              <w:spacing w:before="0" w:after="0"/>
            </w:pPr>
            <w:r w:rsidRPr="00EE2424">
              <w:t>Administratīvo izmaksu monetārs novērtējums</w:t>
            </w:r>
          </w:p>
        </w:tc>
        <w:tc>
          <w:tcPr>
            <w:tcW w:w="2564" w:type="pct"/>
          </w:tcPr>
          <w:p w:rsidR="00253DE1" w:rsidRPr="00EE2424" w:rsidRDefault="00253DE1" w:rsidP="004B4313">
            <w:pPr>
              <w:pStyle w:val="naiskr"/>
              <w:spacing w:before="0" w:after="0"/>
            </w:pPr>
            <w:r w:rsidRPr="00EE2424">
              <w:t>Nav</w:t>
            </w:r>
            <w:r>
              <w:t>.</w:t>
            </w:r>
          </w:p>
        </w:tc>
      </w:tr>
      <w:tr w:rsidR="00253DE1" w:rsidRPr="007C0F2C" w:rsidTr="00F92933">
        <w:tc>
          <w:tcPr>
            <w:tcW w:w="200" w:type="pct"/>
          </w:tcPr>
          <w:p w:rsidR="00253DE1" w:rsidRPr="00EE2424" w:rsidRDefault="00253DE1" w:rsidP="004B4313">
            <w:pPr>
              <w:pStyle w:val="naiskr"/>
              <w:spacing w:before="0" w:after="0"/>
            </w:pPr>
            <w:r w:rsidRPr="00EE2424">
              <w:t>7.</w:t>
            </w:r>
          </w:p>
        </w:tc>
        <w:tc>
          <w:tcPr>
            <w:tcW w:w="2236" w:type="pct"/>
          </w:tcPr>
          <w:p w:rsidR="00253DE1" w:rsidRPr="00EE2424" w:rsidRDefault="00253DE1" w:rsidP="004B4313">
            <w:pPr>
              <w:pStyle w:val="naiskr"/>
              <w:spacing w:before="0" w:after="0"/>
            </w:pPr>
            <w:r w:rsidRPr="00EE2424">
              <w:t>Cita informācija</w:t>
            </w:r>
          </w:p>
        </w:tc>
        <w:tc>
          <w:tcPr>
            <w:tcW w:w="2564" w:type="pct"/>
          </w:tcPr>
          <w:p w:rsidR="00253DE1" w:rsidRPr="00EE2424" w:rsidRDefault="00253DE1" w:rsidP="004B4313">
            <w:pPr>
              <w:pStyle w:val="naiskr"/>
              <w:spacing w:before="0" w:after="0"/>
            </w:pPr>
            <w:r w:rsidRPr="00EE2424">
              <w:t>Nav</w:t>
            </w:r>
            <w:r>
              <w:t>.</w:t>
            </w:r>
          </w:p>
        </w:tc>
      </w:tr>
    </w:tbl>
    <w:p w:rsidR="00253DE1" w:rsidRPr="00A04ECA" w:rsidRDefault="00253DE1" w:rsidP="004C5C05">
      <w:pPr>
        <w:pStyle w:val="naisf"/>
        <w:spacing w:before="0" w:after="0"/>
        <w:jc w:val="center"/>
        <w:rPr>
          <w:b/>
        </w:rPr>
      </w:pPr>
    </w:p>
    <w:p w:rsidR="00253DE1" w:rsidRDefault="00253DE1" w:rsidP="004C5C05">
      <w:pPr>
        <w:pStyle w:val="naisf"/>
        <w:spacing w:before="0" w:after="0"/>
        <w:ind w:firstLine="0"/>
        <w:rPr>
          <w:i/>
        </w:rPr>
      </w:pPr>
      <w:r w:rsidRPr="00A04ECA">
        <w:rPr>
          <w:i/>
        </w:rPr>
        <w:t>Anotācijas III</w:t>
      </w:r>
      <w:r>
        <w:rPr>
          <w:i/>
        </w:rPr>
        <w:t xml:space="preserve"> </w:t>
      </w:r>
      <w:r w:rsidRPr="00A04ECA">
        <w:rPr>
          <w:i/>
        </w:rPr>
        <w:t xml:space="preserve"> sadaļa – projekts šo jomu neskar.</w:t>
      </w:r>
    </w:p>
    <w:p w:rsidR="00253DE1" w:rsidRDefault="00253DE1" w:rsidP="004C5C05">
      <w:pPr>
        <w:pStyle w:val="naisf"/>
        <w:spacing w:before="0" w:after="0"/>
        <w:ind w:firstLine="0"/>
        <w:rPr>
          <w:i/>
        </w:rPr>
      </w:pPr>
    </w:p>
    <w:tbl>
      <w:tblPr>
        <w:tblW w:w="9254" w:type="dxa"/>
        <w:jc w:val="center"/>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130"/>
        <w:gridCol w:w="2605"/>
        <w:gridCol w:w="202"/>
        <w:gridCol w:w="1011"/>
        <w:gridCol w:w="4910"/>
      </w:tblGrid>
      <w:tr w:rsidR="00253DE1" w:rsidRPr="00A26012" w:rsidTr="00E82B1E">
        <w:trPr>
          <w:jc w:val="center"/>
        </w:trPr>
        <w:tc>
          <w:tcPr>
            <w:tcW w:w="9254" w:type="dxa"/>
            <w:gridSpan w:val="6"/>
          </w:tcPr>
          <w:p w:rsidR="00253DE1" w:rsidRPr="00A26012" w:rsidRDefault="00253DE1" w:rsidP="00C559E8">
            <w:pPr>
              <w:pStyle w:val="naiskr"/>
              <w:tabs>
                <w:tab w:val="left" w:pos="2628"/>
              </w:tabs>
              <w:spacing w:before="0" w:after="0"/>
              <w:jc w:val="both"/>
              <w:rPr>
                <w:b/>
                <w:iCs/>
              </w:rPr>
            </w:pPr>
            <w:r w:rsidRPr="00A26012">
              <w:rPr>
                <w:b/>
              </w:rPr>
              <w:t>IV. Tiesību akta projekta ietekme uz spēkā esošo tiesību normu sistēmu</w:t>
            </w:r>
          </w:p>
        </w:tc>
      </w:tr>
      <w:tr w:rsidR="00253DE1" w:rsidRPr="00A26012" w:rsidTr="00E82B1E">
        <w:trPr>
          <w:jc w:val="center"/>
        </w:trPr>
        <w:tc>
          <w:tcPr>
            <w:tcW w:w="526" w:type="dxa"/>
            <w:gridSpan w:val="2"/>
          </w:tcPr>
          <w:p w:rsidR="00253DE1" w:rsidRPr="00A26012" w:rsidRDefault="00253DE1" w:rsidP="00C559E8">
            <w:pPr>
              <w:pStyle w:val="naiskr"/>
              <w:tabs>
                <w:tab w:val="left" w:pos="2628"/>
              </w:tabs>
              <w:spacing w:before="0" w:after="0"/>
              <w:jc w:val="both"/>
              <w:rPr>
                <w:iCs/>
              </w:rPr>
            </w:pPr>
            <w:r w:rsidRPr="00A26012">
              <w:rPr>
                <w:iCs/>
              </w:rPr>
              <w:t>1.</w:t>
            </w:r>
          </w:p>
        </w:tc>
        <w:tc>
          <w:tcPr>
            <w:tcW w:w="3818" w:type="dxa"/>
            <w:gridSpan w:val="3"/>
          </w:tcPr>
          <w:p w:rsidR="00253DE1" w:rsidRPr="00A26012" w:rsidRDefault="00253DE1" w:rsidP="00C559E8">
            <w:pPr>
              <w:pStyle w:val="naiskr"/>
              <w:tabs>
                <w:tab w:val="left" w:pos="2628"/>
              </w:tabs>
              <w:spacing w:before="0" w:beforeAutospacing="0" w:after="0" w:afterAutospacing="0"/>
              <w:jc w:val="both"/>
              <w:rPr>
                <w:iCs/>
              </w:rPr>
            </w:pPr>
            <w:r w:rsidRPr="00A26012">
              <w:t>Grozījumi Ministru kabineta 2013.gada 12.februāra noteikumos Nr.88 „Meža inventarizācijas un Meža valsts reģistra informācijas aprites noteikumi”</w:t>
            </w:r>
          </w:p>
        </w:tc>
        <w:tc>
          <w:tcPr>
            <w:tcW w:w="4910" w:type="dxa"/>
          </w:tcPr>
          <w:p w:rsidR="00253DE1" w:rsidRPr="00A26012" w:rsidRDefault="00253DE1" w:rsidP="00C559E8">
            <w:pPr>
              <w:pStyle w:val="naiskr"/>
              <w:tabs>
                <w:tab w:val="left" w:pos="2628"/>
              </w:tabs>
              <w:spacing w:before="0" w:after="0"/>
              <w:jc w:val="both"/>
              <w:rPr>
                <w:iCs/>
              </w:rPr>
            </w:pPr>
            <w:r w:rsidRPr="00A26012">
              <w:rPr>
                <w:iCs/>
                <w:sz w:val="22"/>
                <w:szCs w:val="22"/>
              </w:rPr>
              <w:t>Grozījumi jāizdara noteikumu 26.4.2.apakšpunktā, lai precizētu Valsts meža reģistrā reģistrējamās pazīmes nosaukumu. Noteikumus grozīs Zemkopības ministrija līdz 2014.gada jūlijam.</w:t>
            </w:r>
          </w:p>
        </w:tc>
      </w:tr>
      <w:tr w:rsidR="00253DE1" w:rsidRPr="007C0F2C" w:rsidTr="00E82B1E">
        <w:trPr>
          <w:trHeight w:val="319"/>
          <w:jc w:val="center"/>
        </w:trPr>
        <w:tc>
          <w:tcPr>
            <w:tcW w:w="526" w:type="dxa"/>
            <w:gridSpan w:val="2"/>
          </w:tcPr>
          <w:p w:rsidR="00253DE1" w:rsidRPr="00A26012" w:rsidRDefault="00253DE1" w:rsidP="00C559E8">
            <w:pPr>
              <w:pStyle w:val="naiskr"/>
              <w:tabs>
                <w:tab w:val="left" w:pos="2628"/>
              </w:tabs>
              <w:spacing w:before="0" w:after="0"/>
              <w:jc w:val="both"/>
              <w:rPr>
                <w:iCs/>
              </w:rPr>
            </w:pPr>
            <w:r w:rsidRPr="00A26012">
              <w:rPr>
                <w:iCs/>
              </w:rPr>
              <w:t>2.</w:t>
            </w:r>
          </w:p>
        </w:tc>
        <w:tc>
          <w:tcPr>
            <w:tcW w:w="3818" w:type="dxa"/>
            <w:gridSpan w:val="3"/>
          </w:tcPr>
          <w:p w:rsidR="00253DE1" w:rsidRPr="00A26012" w:rsidRDefault="00253DE1" w:rsidP="00C559E8">
            <w:pPr>
              <w:pStyle w:val="naiskr"/>
              <w:tabs>
                <w:tab w:val="left" w:pos="2628"/>
              </w:tabs>
              <w:spacing w:before="0" w:after="0"/>
              <w:jc w:val="both"/>
              <w:rPr>
                <w:iCs/>
              </w:rPr>
            </w:pPr>
            <w:r w:rsidRPr="00A26012">
              <w:rPr>
                <w:sz w:val="22"/>
                <w:szCs w:val="22"/>
              </w:rPr>
              <w:t>Cita informācija</w:t>
            </w:r>
          </w:p>
        </w:tc>
        <w:tc>
          <w:tcPr>
            <w:tcW w:w="4910" w:type="dxa"/>
          </w:tcPr>
          <w:p w:rsidR="00253DE1" w:rsidRPr="00C559E8" w:rsidRDefault="00253DE1" w:rsidP="00C559E8">
            <w:pPr>
              <w:pStyle w:val="naiskr"/>
              <w:tabs>
                <w:tab w:val="left" w:pos="2628"/>
              </w:tabs>
              <w:spacing w:before="0" w:after="0"/>
              <w:jc w:val="both"/>
              <w:rPr>
                <w:iCs/>
              </w:rPr>
            </w:pPr>
            <w:r w:rsidRPr="00A26012">
              <w:rPr>
                <w:iCs/>
              </w:rPr>
              <w:t>Nav.</w:t>
            </w:r>
          </w:p>
        </w:tc>
      </w:tr>
      <w:tr w:rsidR="00253DE1" w:rsidRPr="007C0F2C" w:rsidTr="00E82B1E">
        <w:trPr>
          <w:jc w:val="center"/>
        </w:trPr>
        <w:tc>
          <w:tcPr>
            <w:tcW w:w="9254" w:type="dxa"/>
            <w:gridSpan w:val="6"/>
          </w:tcPr>
          <w:p w:rsidR="00253DE1" w:rsidRPr="007C0F2C" w:rsidRDefault="00253DE1" w:rsidP="00A32CFF">
            <w:pPr>
              <w:pStyle w:val="naisnod"/>
              <w:spacing w:before="0" w:after="0"/>
              <w:jc w:val="both"/>
            </w:pPr>
            <w:r w:rsidRPr="007C0F2C">
              <w:t>V. Tiesību akta projekta atbilstība Latvijas Republikas starptautiskajām saistībām</w:t>
            </w:r>
          </w:p>
        </w:tc>
      </w:tr>
      <w:tr w:rsidR="00253DE1" w:rsidRPr="007C0F2C" w:rsidTr="00E82B1E">
        <w:trPr>
          <w:jc w:val="center"/>
        </w:trPr>
        <w:tc>
          <w:tcPr>
            <w:tcW w:w="396" w:type="dxa"/>
          </w:tcPr>
          <w:p w:rsidR="00253DE1" w:rsidRPr="00A32CFF" w:rsidRDefault="00253DE1" w:rsidP="00A32CFF">
            <w:pPr>
              <w:pStyle w:val="naiskr"/>
              <w:tabs>
                <w:tab w:val="left" w:pos="2628"/>
              </w:tabs>
              <w:spacing w:before="0" w:after="0"/>
              <w:jc w:val="both"/>
              <w:rPr>
                <w:iCs/>
              </w:rPr>
            </w:pPr>
            <w:r w:rsidRPr="00A32CFF">
              <w:rPr>
                <w:iCs/>
              </w:rPr>
              <w:t>1.</w:t>
            </w:r>
          </w:p>
        </w:tc>
        <w:tc>
          <w:tcPr>
            <w:tcW w:w="2937" w:type="dxa"/>
            <w:gridSpan w:val="3"/>
          </w:tcPr>
          <w:p w:rsidR="00253DE1" w:rsidRPr="00A32CFF" w:rsidRDefault="00253DE1" w:rsidP="00A32CFF">
            <w:pPr>
              <w:pStyle w:val="naiskr"/>
              <w:tabs>
                <w:tab w:val="left" w:pos="2628"/>
              </w:tabs>
              <w:spacing w:before="0" w:after="0"/>
              <w:jc w:val="both"/>
              <w:rPr>
                <w:iCs/>
              </w:rPr>
            </w:pPr>
            <w:r w:rsidRPr="00A32CFF">
              <w:rPr>
                <w:sz w:val="22"/>
                <w:szCs w:val="22"/>
              </w:rPr>
              <w:t>Saistības pret Eiropas Savienību</w:t>
            </w:r>
          </w:p>
        </w:tc>
        <w:tc>
          <w:tcPr>
            <w:tcW w:w="5921" w:type="dxa"/>
            <w:gridSpan w:val="2"/>
          </w:tcPr>
          <w:p w:rsidR="00253DE1" w:rsidRPr="00A32CFF" w:rsidRDefault="00253DE1" w:rsidP="00A32CFF">
            <w:pPr>
              <w:pStyle w:val="naiskr"/>
              <w:tabs>
                <w:tab w:val="left" w:pos="2628"/>
              </w:tabs>
              <w:spacing w:before="0" w:after="0"/>
              <w:jc w:val="both"/>
              <w:rPr>
                <w:iCs/>
              </w:rPr>
            </w:pPr>
            <w:r w:rsidRPr="00A32CFF">
              <w:rPr>
                <w:iCs/>
              </w:rPr>
              <w:t>Nav attiecināms</w:t>
            </w:r>
          </w:p>
        </w:tc>
      </w:tr>
      <w:tr w:rsidR="00253DE1" w:rsidRPr="007C0F2C" w:rsidTr="00E82B1E">
        <w:trPr>
          <w:jc w:val="center"/>
        </w:trPr>
        <w:tc>
          <w:tcPr>
            <w:tcW w:w="396" w:type="dxa"/>
          </w:tcPr>
          <w:p w:rsidR="00253DE1" w:rsidRPr="00A32CFF" w:rsidRDefault="00253DE1" w:rsidP="00A32CFF">
            <w:pPr>
              <w:pStyle w:val="naiskr"/>
              <w:tabs>
                <w:tab w:val="left" w:pos="2628"/>
              </w:tabs>
              <w:spacing w:before="0" w:after="0"/>
              <w:jc w:val="both"/>
              <w:rPr>
                <w:iCs/>
              </w:rPr>
            </w:pPr>
            <w:r w:rsidRPr="00A32CFF">
              <w:rPr>
                <w:iCs/>
              </w:rPr>
              <w:t>2.</w:t>
            </w:r>
          </w:p>
        </w:tc>
        <w:tc>
          <w:tcPr>
            <w:tcW w:w="2937" w:type="dxa"/>
            <w:gridSpan w:val="3"/>
          </w:tcPr>
          <w:p w:rsidR="00253DE1" w:rsidRPr="00A32CFF" w:rsidRDefault="00253DE1" w:rsidP="00A32CFF">
            <w:pPr>
              <w:pStyle w:val="naiskr"/>
              <w:tabs>
                <w:tab w:val="left" w:pos="2628"/>
              </w:tabs>
              <w:spacing w:before="0" w:after="0"/>
              <w:jc w:val="both"/>
              <w:rPr>
                <w:iCs/>
              </w:rPr>
            </w:pPr>
            <w:r w:rsidRPr="00A32CFF">
              <w:rPr>
                <w:sz w:val="22"/>
                <w:szCs w:val="22"/>
              </w:rPr>
              <w:t>Citas starptautiskās saistības</w:t>
            </w:r>
          </w:p>
        </w:tc>
        <w:tc>
          <w:tcPr>
            <w:tcW w:w="5921" w:type="dxa"/>
            <w:gridSpan w:val="2"/>
          </w:tcPr>
          <w:p w:rsidR="00253DE1" w:rsidRPr="00A32CFF" w:rsidRDefault="00253DE1" w:rsidP="00A32CFF">
            <w:pPr>
              <w:pStyle w:val="naiskr"/>
              <w:tabs>
                <w:tab w:val="left" w:pos="2628"/>
              </w:tabs>
              <w:spacing w:before="0" w:after="0"/>
              <w:jc w:val="both"/>
              <w:rPr>
                <w:iCs/>
              </w:rPr>
            </w:pPr>
            <w:r w:rsidRPr="00A32CFF">
              <w:rPr>
                <w:iCs/>
              </w:rPr>
              <w:t>Nav attiecināms</w:t>
            </w:r>
          </w:p>
        </w:tc>
      </w:tr>
      <w:tr w:rsidR="00253DE1" w:rsidRPr="00A04ECA" w:rsidTr="00E82B1E">
        <w:trPr>
          <w:jc w:val="center"/>
        </w:trPr>
        <w:tc>
          <w:tcPr>
            <w:tcW w:w="396" w:type="dxa"/>
          </w:tcPr>
          <w:p w:rsidR="00253DE1" w:rsidRPr="00A32CFF" w:rsidRDefault="00253DE1" w:rsidP="00A32CFF">
            <w:pPr>
              <w:pStyle w:val="naiskr"/>
              <w:tabs>
                <w:tab w:val="left" w:pos="2628"/>
              </w:tabs>
              <w:spacing w:before="0" w:beforeAutospacing="0" w:after="0" w:afterAutospacing="0"/>
              <w:jc w:val="both"/>
              <w:rPr>
                <w:iCs/>
              </w:rPr>
            </w:pPr>
            <w:r w:rsidRPr="00A32CFF">
              <w:rPr>
                <w:iCs/>
              </w:rPr>
              <w:t>3.</w:t>
            </w:r>
          </w:p>
        </w:tc>
        <w:tc>
          <w:tcPr>
            <w:tcW w:w="2937" w:type="dxa"/>
            <w:gridSpan w:val="3"/>
          </w:tcPr>
          <w:p w:rsidR="00253DE1" w:rsidRPr="00A04ECA" w:rsidRDefault="00253DE1" w:rsidP="00A32CFF">
            <w:pPr>
              <w:pStyle w:val="naiskr"/>
              <w:tabs>
                <w:tab w:val="left" w:pos="2628"/>
              </w:tabs>
              <w:spacing w:before="0" w:beforeAutospacing="0" w:after="0" w:afterAutospacing="0"/>
              <w:jc w:val="both"/>
            </w:pPr>
            <w:r w:rsidRPr="00A04ECA">
              <w:t>Cita informācija</w:t>
            </w:r>
          </w:p>
        </w:tc>
        <w:tc>
          <w:tcPr>
            <w:tcW w:w="5921" w:type="dxa"/>
            <w:gridSpan w:val="2"/>
          </w:tcPr>
          <w:p w:rsidR="00253DE1" w:rsidRPr="00A32CFF" w:rsidRDefault="00253DE1" w:rsidP="00A32CFF">
            <w:pPr>
              <w:pStyle w:val="naiskr"/>
              <w:tabs>
                <w:tab w:val="left" w:pos="2628"/>
              </w:tabs>
              <w:spacing w:before="0" w:beforeAutospacing="0" w:after="0" w:afterAutospacing="0"/>
              <w:jc w:val="both"/>
              <w:rPr>
                <w:iCs/>
              </w:rPr>
            </w:pPr>
            <w:r w:rsidRPr="00A32CFF">
              <w:rPr>
                <w:iCs/>
              </w:rPr>
              <w:t xml:space="preserve">Zinātniskās institūcijas („Silava”, Koksnes ķīmijas institūts, LLU), kas veic pētījumus valsts zinātniskās izpētes mežos, atbilst </w:t>
            </w:r>
            <w:r w:rsidRPr="00F14D96">
              <w:t>Eiropas Komisijas 2006.gada 12.decembra nostādņu ,,Kopienas nostādnes par valsts atbalstu pētniecībai, attīstībai un inovācijai (Oficiālais Vēstnesis, 2006.gada 30.decembrī, C 323)</w:t>
            </w:r>
            <w:r>
              <w:t>”</w:t>
            </w:r>
            <w:r w:rsidRPr="00F14D96">
              <w:t xml:space="preserve"> 2.2.punkta </w:t>
            </w:r>
            <w:r>
              <w:t>„</w:t>
            </w:r>
            <w:r w:rsidRPr="00F14D96">
              <w:t>d</w:t>
            </w:r>
            <w:r>
              <w:t>”</w:t>
            </w:r>
            <w:r w:rsidRPr="00F14D96">
              <w:t xml:space="preserve"> apakšpunkt</w:t>
            </w:r>
            <w:r>
              <w:t>ā dotajai</w:t>
            </w:r>
            <w:r w:rsidRPr="00F14D96">
              <w:t xml:space="preserve"> pētniecības organizācijas definīcijai. Valsts zinātniskās izpētes mežos veiktie pētījumi atbilst šo nostādņu</w:t>
            </w:r>
            <w:r>
              <w:t xml:space="preserve"> </w:t>
            </w:r>
            <w:r w:rsidRPr="00F14D96">
              <w:t>3.1.1.punkta nosacījumiem par darbību, kas nav saimnieciska darbība, finansēšanu no valsts līdzekļiem.</w:t>
            </w:r>
          </w:p>
          <w:p w:rsidR="00253DE1" w:rsidRPr="00A32CFF" w:rsidRDefault="00253DE1" w:rsidP="00A32CFF">
            <w:pPr>
              <w:pStyle w:val="naiskr"/>
              <w:tabs>
                <w:tab w:val="left" w:pos="2628"/>
              </w:tabs>
              <w:spacing w:before="0" w:beforeAutospacing="0" w:after="0" w:afterAutospacing="0"/>
              <w:jc w:val="both"/>
              <w:rPr>
                <w:iCs/>
                <w:highlight w:val="lightGray"/>
              </w:rPr>
            </w:pPr>
          </w:p>
        </w:tc>
      </w:tr>
      <w:tr w:rsidR="00253DE1" w:rsidRPr="00EE2424" w:rsidTr="00E82B1E">
        <w:tblPrEx>
          <w:tblCellMar>
            <w:left w:w="0" w:type="dxa"/>
            <w:right w:w="0" w:type="dxa"/>
          </w:tblCellMar>
          <w:tblLook w:val="0000"/>
        </w:tblPrEx>
        <w:trPr>
          <w:jc w:val="center"/>
        </w:trPr>
        <w:tc>
          <w:tcPr>
            <w:tcW w:w="9254" w:type="dxa"/>
            <w:gridSpan w:val="6"/>
          </w:tcPr>
          <w:p w:rsidR="00253DE1" w:rsidRPr="00EE2424" w:rsidRDefault="00253DE1" w:rsidP="004B4313">
            <w:pPr>
              <w:pStyle w:val="naisnod"/>
              <w:spacing w:before="0" w:after="0"/>
              <w:ind w:left="57" w:right="57"/>
            </w:pPr>
            <w:r w:rsidRPr="00EE2424">
              <w:t>VI. Sabiedrības līdzdalība un šīs līdzdalības rezultāti</w:t>
            </w:r>
          </w:p>
        </w:tc>
      </w:tr>
      <w:tr w:rsidR="00253DE1" w:rsidRPr="00EE2424" w:rsidTr="00E82B1E">
        <w:tblPrEx>
          <w:tblCellMar>
            <w:left w:w="0" w:type="dxa"/>
            <w:right w:w="0" w:type="dxa"/>
          </w:tblCellMar>
          <w:tblLook w:val="0000"/>
        </w:tblPrEx>
        <w:trPr>
          <w:trHeight w:val="553"/>
          <w:jc w:val="center"/>
        </w:trPr>
        <w:tc>
          <w:tcPr>
            <w:tcW w:w="396" w:type="dxa"/>
          </w:tcPr>
          <w:p w:rsidR="00253DE1" w:rsidRPr="00EE2424" w:rsidRDefault="00253DE1" w:rsidP="004B4313">
            <w:pPr>
              <w:pStyle w:val="naiskr"/>
              <w:spacing w:before="0" w:after="0"/>
              <w:ind w:left="57" w:right="57"/>
              <w:rPr>
                <w:bCs/>
              </w:rPr>
            </w:pPr>
            <w:r w:rsidRPr="00EE2424">
              <w:rPr>
                <w:bCs/>
              </w:rPr>
              <w:t>1.</w:t>
            </w:r>
          </w:p>
        </w:tc>
        <w:tc>
          <w:tcPr>
            <w:tcW w:w="2735" w:type="dxa"/>
            <w:gridSpan w:val="2"/>
          </w:tcPr>
          <w:p w:rsidR="00253DE1" w:rsidRPr="00EE2424" w:rsidRDefault="00253DE1" w:rsidP="004B4313">
            <w:pPr>
              <w:pStyle w:val="naiskr"/>
              <w:tabs>
                <w:tab w:val="left" w:pos="170"/>
              </w:tabs>
              <w:spacing w:before="0" w:after="0"/>
              <w:ind w:left="57" w:right="57"/>
            </w:pPr>
            <w:r w:rsidRPr="00EE2424">
              <w:t>Sabiedrības informēšana par projekta izstrādes uzsākšanu</w:t>
            </w:r>
          </w:p>
        </w:tc>
        <w:tc>
          <w:tcPr>
            <w:tcW w:w="6123" w:type="dxa"/>
            <w:gridSpan w:val="3"/>
          </w:tcPr>
          <w:p w:rsidR="00253DE1" w:rsidRPr="00EE2424" w:rsidRDefault="00253DE1" w:rsidP="004B4313">
            <w:pPr>
              <w:pStyle w:val="naiskr"/>
              <w:spacing w:before="0" w:after="0"/>
              <w:ind w:left="57" w:right="57"/>
              <w:jc w:val="both"/>
            </w:pPr>
            <w:r w:rsidRPr="00EE2424">
              <w:rPr>
                <w:iCs/>
              </w:rPr>
              <w:t xml:space="preserve">Noteikumu projekts no </w:t>
            </w:r>
            <w:r>
              <w:rPr>
                <w:iCs/>
              </w:rPr>
              <w:t xml:space="preserve">2012.gada 29. novembra </w:t>
            </w:r>
            <w:r w:rsidRPr="00EB458B">
              <w:rPr>
                <w:iCs/>
              </w:rPr>
              <w:t xml:space="preserve">līdz </w:t>
            </w:r>
            <w:r>
              <w:rPr>
                <w:iCs/>
              </w:rPr>
              <w:t>6. </w:t>
            </w:r>
            <w:r w:rsidRPr="00EB458B">
              <w:rPr>
                <w:iCs/>
              </w:rPr>
              <w:t>decembrim</w:t>
            </w:r>
            <w:r>
              <w:rPr>
                <w:iCs/>
              </w:rPr>
              <w:t xml:space="preserve"> </w:t>
            </w:r>
            <w:r w:rsidRPr="00EE2424">
              <w:rPr>
                <w:iCs/>
              </w:rPr>
              <w:t>bija</w:t>
            </w:r>
            <w:r>
              <w:rPr>
                <w:iCs/>
              </w:rPr>
              <w:t xml:space="preserve"> ievietots</w:t>
            </w:r>
            <w:r w:rsidRPr="00EE2424">
              <w:rPr>
                <w:iCs/>
              </w:rPr>
              <w:t xml:space="preserve"> Zemkopības ministrijas </w:t>
            </w:r>
            <w:r>
              <w:rPr>
                <w:iCs/>
              </w:rPr>
              <w:t>tīmekļa vietnes</w:t>
            </w:r>
            <w:r w:rsidRPr="00EE2424">
              <w:rPr>
                <w:iCs/>
              </w:rPr>
              <w:t xml:space="preserve"> sadaļā „Sabiedrības viedoklis”</w:t>
            </w:r>
            <w:r>
              <w:rPr>
                <w:iCs/>
              </w:rPr>
              <w:t>.</w:t>
            </w:r>
          </w:p>
        </w:tc>
      </w:tr>
      <w:tr w:rsidR="00253DE1" w:rsidRPr="00EE2424" w:rsidTr="00E82B1E">
        <w:tblPrEx>
          <w:tblCellMar>
            <w:left w:w="0" w:type="dxa"/>
            <w:right w:w="0" w:type="dxa"/>
          </w:tblCellMar>
          <w:tblLook w:val="0000"/>
        </w:tblPrEx>
        <w:trPr>
          <w:trHeight w:val="339"/>
          <w:jc w:val="center"/>
        </w:trPr>
        <w:tc>
          <w:tcPr>
            <w:tcW w:w="396" w:type="dxa"/>
          </w:tcPr>
          <w:p w:rsidR="00253DE1" w:rsidRPr="00EE2424" w:rsidRDefault="00253DE1" w:rsidP="004B4313">
            <w:pPr>
              <w:pStyle w:val="naiskr"/>
              <w:spacing w:before="0" w:after="0"/>
              <w:ind w:left="57" w:right="57"/>
              <w:rPr>
                <w:bCs/>
              </w:rPr>
            </w:pPr>
            <w:r w:rsidRPr="00EE2424">
              <w:rPr>
                <w:bCs/>
              </w:rPr>
              <w:t>2.</w:t>
            </w:r>
          </w:p>
        </w:tc>
        <w:tc>
          <w:tcPr>
            <w:tcW w:w="2735" w:type="dxa"/>
            <w:gridSpan w:val="2"/>
          </w:tcPr>
          <w:p w:rsidR="00253DE1" w:rsidRPr="00EE2424" w:rsidRDefault="00253DE1" w:rsidP="004B4313">
            <w:pPr>
              <w:pStyle w:val="naiskr"/>
              <w:spacing w:before="0" w:after="0"/>
              <w:ind w:left="57" w:right="57"/>
            </w:pPr>
            <w:r w:rsidRPr="00EE2424">
              <w:t xml:space="preserve">Sabiedrības līdzdalība </w:t>
            </w:r>
            <w:r w:rsidRPr="00EE2424">
              <w:lastRenderedPageBreak/>
              <w:t xml:space="preserve">projekta izstrādē </w:t>
            </w:r>
          </w:p>
        </w:tc>
        <w:tc>
          <w:tcPr>
            <w:tcW w:w="6123" w:type="dxa"/>
            <w:gridSpan w:val="3"/>
          </w:tcPr>
          <w:p w:rsidR="00253DE1" w:rsidRPr="00EE2424" w:rsidRDefault="00253DE1" w:rsidP="004B4313">
            <w:pPr>
              <w:pStyle w:val="naiskr"/>
              <w:spacing w:before="0" w:after="0"/>
              <w:ind w:left="57" w:right="57"/>
              <w:jc w:val="both"/>
            </w:pPr>
            <w:r w:rsidRPr="00EE2424">
              <w:lastRenderedPageBreak/>
              <w:t>Nav</w:t>
            </w:r>
            <w:r>
              <w:t>.</w:t>
            </w:r>
          </w:p>
        </w:tc>
      </w:tr>
      <w:tr w:rsidR="00253DE1" w:rsidRPr="00EE2424" w:rsidTr="00E82B1E">
        <w:tblPrEx>
          <w:tblCellMar>
            <w:left w:w="0" w:type="dxa"/>
            <w:right w:w="0" w:type="dxa"/>
          </w:tblCellMar>
          <w:tblLook w:val="0000"/>
        </w:tblPrEx>
        <w:trPr>
          <w:trHeight w:val="375"/>
          <w:jc w:val="center"/>
        </w:trPr>
        <w:tc>
          <w:tcPr>
            <w:tcW w:w="396" w:type="dxa"/>
          </w:tcPr>
          <w:p w:rsidR="00253DE1" w:rsidRPr="00EE2424" w:rsidRDefault="00253DE1" w:rsidP="004B4313">
            <w:pPr>
              <w:pStyle w:val="naiskr"/>
              <w:spacing w:before="0" w:after="0"/>
              <w:ind w:left="57" w:right="57"/>
              <w:rPr>
                <w:bCs/>
              </w:rPr>
            </w:pPr>
            <w:r w:rsidRPr="00EE2424">
              <w:rPr>
                <w:bCs/>
              </w:rPr>
              <w:lastRenderedPageBreak/>
              <w:t>3.</w:t>
            </w:r>
          </w:p>
        </w:tc>
        <w:tc>
          <w:tcPr>
            <w:tcW w:w="2735" w:type="dxa"/>
            <w:gridSpan w:val="2"/>
          </w:tcPr>
          <w:p w:rsidR="00253DE1" w:rsidRPr="00EE2424" w:rsidRDefault="00253DE1" w:rsidP="004B4313">
            <w:pPr>
              <w:pStyle w:val="naiskr"/>
              <w:spacing w:before="0" w:after="0"/>
              <w:ind w:left="57" w:right="57"/>
            </w:pPr>
            <w:r w:rsidRPr="00EE2424">
              <w:t xml:space="preserve">Sabiedrības līdzdalības rezultāti </w:t>
            </w:r>
          </w:p>
        </w:tc>
        <w:tc>
          <w:tcPr>
            <w:tcW w:w="6123" w:type="dxa"/>
            <w:gridSpan w:val="3"/>
          </w:tcPr>
          <w:p w:rsidR="00253DE1" w:rsidRPr="00EE2424" w:rsidRDefault="00253DE1" w:rsidP="004B4313">
            <w:pPr>
              <w:pStyle w:val="naiskr"/>
              <w:spacing w:before="0" w:after="0"/>
              <w:ind w:left="57" w:right="57"/>
              <w:jc w:val="both"/>
            </w:pPr>
            <w:r>
              <w:t>Iebildumi un priekšlikumi nav saņemti.</w:t>
            </w:r>
          </w:p>
        </w:tc>
      </w:tr>
      <w:tr w:rsidR="00253DE1" w:rsidRPr="00EE2424" w:rsidTr="00E82B1E">
        <w:tblPrEx>
          <w:tblCellMar>
            <w:left w:w="0" w:type="dxa"/>
            <w:right w:w="0" w:type="dxa"/>
          </w:tblCellMar>
          <w:tblLook w:val="0000"/>
        </w:tblPrEx>
        <w:trPr>
          <w:trHeight w:val="397"/>
          <w:jc w:val="center"/>
        </w:trPr>
        <w:tc>
          <w:tcPr>
            <w:tcW w:w="396" w:type="dxa"/>
          </w:tcPr>
          <w:p w:rsidR="00253DE1" w:rsidRPr="00EE2424" w:rsidRDefault="00253DE1" w:rsidP="004B4313">
            <w:pPr>
              <w:pStyle w:val="naiskr"/>
              <w:spacing w:before="0" w:after="0"/>
              <w:ind w:left="57" w:right="57"/>
              <w:rPr>
                <w:bCs/>
              </w:rPr>
            </w:pPr>
            <w:r w:rsidRPr="00EE2424">
              <w:rPr>
                <w:bCs/>
              </w:rPr>
              <w:t>4.</w:t>
            </w:r>
          </w:p>
        </w:tc>
        <w:tc>
          <w:tcPr>
            <w:tcW w:w="2735" w:type="dxa"/>
            <w:gridSpan w:val="2"/>
          </w:tcPr>
          <w:p w:rsidR="00253DE1" w:rsidRPr="00EE2424" w:rsidRDefault="00253DE1" w:rsidP="004B4313">
            <w:pPr>
              <w:pStyle w:val="naiskr"/>
              <w:spacing w:before="0" w:after="0"/>
              <w:ind w:left="57" w:right="57"/>
            </w:pPr>
            <w:r w:rsidRPr="00EE2424">
              <w:t>Saeimas un ekspertu līdzdalība</w:t>
            </w:r>
          </w:p>
        </w:tc>
        <w:tc>
          <w:tcPr>
            <w:tcW w:w="6123" w:type="dxa"/>
            <w:gridSpan w:val="3"/>
          </w:tcPr>
          <w:p w:rsidR="00253DE1" w:rsidRPr="00EE2424" w:rsidRDefault="00253DE1" w:rsidP="004B4313">
            <w:pPr>
              <w:pStyle w:val="naiskr"/>
              <w:spacing w:before="0" w:after="0"/>
              <w:ind w:left="57" w:right="57"/>
              <w:jc w:val="both"/>
            </w:pPr>
            <w:r w:rsidRPr="00EE2424">
              <w:t>Nav</w:t>
            </w:r>
            <w:r>
              <w:t>.</w:t>
            </w:r>
          </w:p>
        </w:tc>
      </w:tr>
      <w:tr w:rsidR="00253DE1" w:rsidRPr="00EE2424" w:rsidTr="00E82B1E">
        <w:tblPrEx>
          <w:tblCellMar>
            <w:left w:w="0" w:type="dxa"/>
            <w:right w:w="0" w:type="dxa"/>
          </w:tblCellMar>
          <w:tblLook w:val="0000"/>
        </w:tblPrEx>
        <w:trPr>
          <w:trHeight w:val="317"/>
          <w:jc w:val="center"/>
        </w:trPr>
        <w:tc>
          <w:tcPr>
            <w:tcW w:w="396" w:type="dxa"/>
          </w:tcPr>
          <w:p w:rsidR="00253DE1" w:rsidRPr="00EE2424" w:rsidRDefault="00253DE1" w:rsidP="004B4313">
            <w:pPr>
              <w:pStyle w:val="naiskr"/>
              <w:spacing w:before="0" w:after="0"/>
              <w:ind w:left="57" w:right="57"/>
              <w:rPr>
                <w:bCs/>
              </w:rPr>
            </w:pPr>
            <w:r w:rsidRPr="00EE2424">
              <w:rPr>
                <w:bCs/>
              </w:rPr>
              <w:t>5.</w:t>
            </w:r>
          </w:p>
        </w:tc>
        <w:tc>
          <w:tcPr>
            <w:tcW w:w="2735" w:type="dxa"/>
            <w:gridSpan w:val="2"/>
          </w:tcPr>
          <w:p w:rsidR="00253DE1" w:rsidRPr="00EE2424" w:rsidRDefault="00253DE1" w:rsidP="004B4313">
            <w:pPr>
              <w:pStyle w:val="naiskr"/>
              <w:spacing w:before="0" w:after="0"/>
              <w:ind w:left="57" w:right="57"/>
            </w:pPr>
            <w:r w:rsidRPr="00EE2424">
              <w:t>Cita informācija</w:t>
            </w:r>
          </w:p>
        </w:tc>
        <w:tc>
          <w:tcPr>
            <w:tcW w:w="6123" w:type="dxa"/>
            <w:gridSpan w:val="3"/>
          </w:tcPr>
          <w:p w:rsidR="00253DE1" w:rsidRPr="00EE2424" w:rsidRDefault="00253DE1" w:rsidP="004B4313">
            <w:pPr>
              <w:pStyle w:val="naiskr"/>
              <w:spacing w:before="0" w:after="0"/>
              <w:ind w:left="57" w:right="57"/>
              <w:jc w:val="both"/>
            </w:pPr>
            <w:r w:rsidRPr="00EE2424">
              <w:t>Nav</w:t>
            </w:r>
            <w:r>
              <w:t>.</w:t>
            </w:r>
          </w:p>
        </w:tc>
      </w:tr>
      <w:tr w:rsidR="00253DE1" w:rsidRPr="00EE2424" w:rsidTr="00E82B1E">
        <w:tblPrEx>
          <w:tblCellMar>
            <w:left w:w="0" w:type="dxa"/>
            <w:right w:w="0" w:type="dxa"/>
          </w:tblCellMar>
          <w:tblLook w:val="0000"/>
        </w:tblPrEx>
        <w:trPr>
          <w:trHeight w:val="317"/>
          <w:jc w:val="center"/>
        </w:trPr>
        <w:tc>
          <w:tcPr>
            <w:tcW w:w="9254" w:type="dxa"/>
            <w:gridSpan w:val="6"/>
          </w:tcPr>
          <w:p w:rsidR="00253DE1" w:rsidRPr="000C661A" w:rsidRDefault="00253DE1" w:rsidP="000C661A">
            <w:pPr>
              <w:pStyle w:val="naiskr"/>
              <w:spacing w:before="0" w:after="0"/>
              <w:ind w:left="57" w:right="57"/>
              <w:jc w:val="center"/>
              <w:rPr>
                <w:b/>
              </w:rPr>
            </w:pPr>
            <w:r w:rsidRPr="000C661A">
              <w:rPr>
                <w:b/>
              </w:rPr>
              <w:t>VII. Tiesību akta projekta izpildes nodrošināšana un tās ietekme uz institūcijām</w:t>
            </w:r>
          </w:p>
        </w:tc>
      </w:tr>
      <w:tr w:rsidR="00253DE1" w:rsidRPr="00EE2424" w:rsidTr="00E82B1E">
        <w:tblPrEx>
          <w:tblCellMar>
            <w:left w:w="0" w:type="dxa"/>
            <w:right w:w="0" w:type="dxa"/>
          </w:tblCellMar>
          <w:tblLook w:val="0000"/>
        </w:tblPrEx>
        <w:trPr>
          <w:trHeight w:val="317"/>
          <w:jc w:val="center"/>
        </w:trPr>
        <w:tc>
          <w:tcPr>
            <w:tcW w:w="396" w:type="dxa"/>
          </w:tcPr>
          <w:p w:rsidR="00253DE1" w:rsidRPr="00EE2424" w:rsidRDefault="00253DE1" w:rsidP="004B4313">
            <w:pPr>
              <w:pStyle w:val="naiskr"/>
              <w:spacing w:before="0" w:after="0"/>
              <w:ind w:left="57" w:right="57"/>
              <w:rPr>
                <w:bCs/>
              </w:rPr>
            </w:pPr>
            <w:r>
              <w:rPr>
                <w:bCs/>
              </w:rPr>
              <w:t>1.</w:t>
            </w:r>
          </w:p>
        </w:tc>
        <w:tc>
          <w:tcPr>
            <w:tcW w:w="2735" w:type="dxa"/>
            <w:gridSpan w:val="2"/>
          </w:tcPr>
          <w:p w:rsidR="00253DE1" w:rsidRPr="00765439" w:rsidRDefault="00253DE1" w:rsidP="00CE3BAB">
            <w:pPr>
              <w:pStyle w:val="naisf"/>
              <w:spacing w:before="0" w:after="0"/>
              <w:ind w:firstLine="0"/>
              <w:jc w:val="left"/>
            </w:pPr>
            <w:r w:rsidRPr="00765439">
              <w:t xml:space="preserve">Projekta izpildē iesaistītās institūcijas </w:t>
            </w:r>
          </w:p>
        </w:tc>
        <w:tc>
          <w:tcPr>
            <w:tcW w:w="6123" w:type="dxa"/>
            <w:gridSpan w:val="3"/>
          </w:tcPr>
          <w:p w:rsidR="00253DE1" w:rsidRPr="00EE2424" w:rsidRDefault="00253DE1" w:rsidP="004B4313">
            <w:pPr>
              <w:pStyle w:val="naiskr"/>
              <w:spacing w:before="0" w:after="0"/>
              <w:ind w:left="57" w:right="57"/>
              <w:jc w:val="both"/>
            </w:pPr>
            <w:r>
              <w:rPr>
                <w:iCs/>
              </w:rPr>
              <w:t>Valsts meža dienests</w:t>
            </w:r>
          </w:p>
        </w:tc>
      </w:tr>
      <w:tr w:rsidR="00253DE1" w:rsidRPr="00EE2424" w:rsidTr="00E82B1E">
        <w:tblPrEx>
          <w:tblCellMar>
            <w:left w:w="0" w:type="dxa"/>
            <w:right w:w="0" w:type="dxa"/>
          </w:tblCellMar>
          <w:tblLook w:val="0000"/>
        </w:tblPrEx>
        <w:trPr>
          <w:trHeight w:val="317"/>
          <w:jc w:val="center"/>
        </w:trPr>
        <w:tc>
          <w:tcPr>
            <w:tcW w:w="396" w:type="dxa"/>
          </w:tcPr>
          <w:p w:rsidR="00253DE1" w:rsidRPr="00EE2424" w:rsidRDefault="00253DE1" w:rsidP="004B4313">
            <w:pPr>
              <w:pStyle w:val="naiskr"/>
              <w:spacing w:before="0" w:after="0"/>
              <w:ind w:left="57" w:right="57"/>
              <w:rPr>
                <w:bCs/>
              </w:rPr>
            </w:pPr>
            <w:r>
              <w:rPr>
                <w:bCs/>
              </w:rPr>
              <w:t>2.</w:t>
            </w:r>
          </w:p>
        </w:tc>
        <w:tc>
          <w:tcPr>
            <w:tcW w:w="2735" w:type="dxa"/>
            <w:gridSpan w:val="2"/>
          </w:tcPr>
          <w:p w:rsidR="00253DE1" w:rsidRPr="00765439" w:rsidRDefault="00253DE1" w:rsidP="00CE3BAB">
            <w:pPr>
              <w:pStyle w:val="naisf"/>
              <w:spacing w:before="0" w:after="0"/>
              <w:ind w:firstLine="0"/>
              <w:jc w:val="left"/>
            </w:pPr>
            <w:r w:rsidRPr="00765439">
              <w:t>Projekta izpildes ietekme uz pārvaldes funkcijām</w:t>
            </w:r>
          </w:p>
        </w:tc>
        <w:tc>
          <w:tcPr>
            <w:tcW w:w="6123" w:type="dxa"/>
            <w:gridSpan w:val="3"/>
          </w:tcPr>
          <w:p w:rsidR="00253DE1" w:rsidRDefault="00253DE1" w:rsidP="004B4313">
            <w:pPr>
              <w:pStyle w:val="naiskr"/>
              <w:spacing w:before="0" w:after="0"/>
              <w:ind w:left="57" w:right="57"/>
              <w:jc w:val="both"/>
              <w:rPr>
                <w:iCs/>
              </w:rPr>
            </w:pPr>
            <w:r w:rsidRPr="00A04ECA">
              <w:rPr>
                <w:iCs/>
              </w:rPr>
              <w:t>Noteikumu projekt</w:t>
            </w:r>
            <w:r>
              <w:rPr>
                <w:iCs/>
              </w:rPr>
              <w:t>s</w:t>
            </w:r>
            <w:r w:rsidRPr="00A04ECA">
              <w:rPr>
                <w:iCs/>
              </w:rPr>
              <w:t xml:space="preserve"> do</w:t>
            </w:r>
            <w:r>
              <w:rPr>
                <w:iCs/>
              </w:rPr>
              <w:t>s</w:t>
            </w:r>
            <w:r w:rsidRPr="00A04ECA">
              <w:rPr>
                <w:iCs/>
              </w:rPr>
              <w:t xml:space="preserve"> iespēju zinātniskām institūcijām veikt pētījumus mežā un precizē</w:t>
            </w:r>
            <w:bookmarkStart w:id="2" w:name="_GoBack"/>
            <w:bookmarkEnd w:id="2"/>
            <w:r w:rsidRPr="00A04ECA">
              <w:rPr>
                <w:iCs/>
              </w:rPr>
              <w:t xml:space="preserve"> Valsts meža dienesta uzdevumus, lai nodrošinātu efektīvu pārvaldes funkciju pildīšanu.</w:t>
            </w:r>
          </w:p>
        </w:tc>
      </w:tr>
      <w:tr w:rsidR="00253DE1" w:rsidRPr="00EE2424" w:rsidTr="00E82B1E">
        <w:tblPrEx>
          <w:tblCellMar>
            <w:left w:w="0" w:type="dxa"/>
            <w:right w:w="0" w:type="dxa"/>
          </w:tblCellMar>
          <w:tblLook w:val="0000"/>
        </w:tblPrEx>
        <w:trPr>
          <w:trHeight w:val="317"/>
          <w:jc w:val="center"/>
        </w:trPr>
        <w:tc>
          <w:tcPr>
            <w:tcW w:w="396" w:type="dxa"/>
          </w:tcPr>
          <w:p w:rsidR="00253DE1" w:rsidRPr="00EE2424" w:rsidRDefault="00253DE1" w:rsidP="004B4313">
            <w:pPr>
              <w:pStyle w:val="naiskr"/>
              <w:spacing w:before="0" w:after="0"/>
              <w:ind w:left="57" w:right="57"/>
              <w:rPr>
                <w:bCs/>
              </w:rPr>
            </w:pPr>
            <w:r>
              <w:rPr>
                <w:bCs/>
              </w:rPr>
              <w:t>3.</w:t>
            </w:r>
          </w:p>
        </w:tc>
        <w:tc>
          <w:tcPr>
            <w:tcW w:w="2735" w:type="dxa"/>
            <w:gridSpan w:val="2"/>
          </w:tcPr>
          <w:p w:rsidR="00253DE1" w:rsidRPr="00765439" w:rsidRDefault="00253DE1" w:rsidP="00762E4A">
            <w:pPr>
              <w:pStyle w:val="naisf"/>
              <w:spacing w:before="0" w:after="0"/>
              <w:ind w:firstLine="0"/>
              <w:jc w:val="left"/>
            </w:pPr>
            <w:r w:rsidRPr="00765439">
              <w:t>Projekta izpildes ietekme uz pārvaldes institucionālo struktūru.</w:t>
            </w:r>
          </w:p>
          <w:p w:rsidR="00253DE1" w:rsidRPr="00765439" w:rsidRDefault="00253DE1" w:rsidP="00762E4A">
            <w:pPr>
              <w:pStyle w:val="naisf"/>
              <w:spacing w:before="0" w:after="0"/>
              <w:ind w:firstLine="0"/>
              <w:jc w:val="left"/>
            </w:pPr>
            <w:r w:rsidRPr="00765439">
              <w:t>Jaunu institūciju izveide</w:t>
            </w:r>
          </w:p>
        </w:tc>
        <w:tc>
          <w:tcPr>
            <w:tcW w:w="6123" w:type="dxa"/>
            <w:gridSpan w:val="3"/>
          </w:tcPr>
          <w:p w:rsidR="00253DE1" w:rsidRPr="00825BFE" w:rsidRDefault="00253DE1" w:rsidP="00C67419">
            <w:pPr>
              <w:pStyle w:val="naisnod"/>
              <w:spacing w:before="0" w:after="0"/>
              <w:jc w:val="both"/>
              <w:rPr>
                <w:b w:val="0"/>
              </w:rPr>
            </w:pPr>
            <w:r w:rsidRPr="00825BFE">
              <w:rPr>
                <w:b w:val="0"/>
              </w:rPr>
              <w:t>Jaunas institūcijas netiek veidotas.</w:t>
            </w:r>
          </w:p>
        </w:tc>
      </w:tr>
      <w:tr w:rsidR="00253DE1" w:rsidRPr="00EE2424" w:rsidTr="00E82B1E">
        <w:tblPrEx>
          <w:tblCellMar>
            <w:left w:w="0" w:type="dxa"/>
            <w:right w:w="0" w:type="dxa"/>
          </w:tblCellMar>
          <w:tblLook w:val="0000"/>
        </w:tblPrEx>
        <w:trPr>
          <w:trHeight w:val="317"/>
          <w:jc w:val="center"/>
        </w:trPr>
        <w:tc>
          <w:tcPr>
            <w:tcW w:w="396" w:type="dxa"/>
          </w:tcPr>
          <w:p w:rsidR="00253DE1" w:rsidRPr="00EE2424" w:rsidRDefault="00253DE1" w:rsidP="004B4313">
            <w:pPr>
              <w:pStyle w:val="naiskr"/>
              <w:spacing w:before="0" w:after="0"/>
              <w:ind w:left="57" w:right="57"/>
              <w:rPr>
                <w:bCs/>
              </w:rPr>
            </w:pPr>
            <w:r>
              <w:rPr>
                <w:bCs/>
              </w:rPr>
              <w:t>4.</w:t>
            </w:r>
          </w:p>
        </w:tc>
        <w:tc>
          <w:tcPr>
            <w:tcW w:w="2735" w:type="dxa"/>
            <w:gridSpan w:val="2"/>
          </w:tcPr>
          <w:p w:rsidR="00253DE1" w:rsidRPr="00765439" w:rsidRDefault="00253DE1" w:rsidP="000C661A">
            <w:pPr>
              <w:pStyle w:val="naisf"/>
              <w:spacing w:before="0" w:after="0"/>
              <w:ind w:firstLine="0"/>
              <w:jc w:val="left"/>
            </w:pPr>
            <w:r w:rsidRPr="00765439">
              <w:t>Projekta izpildes ietekme uz pārvaldes institucionālo struktūru.</w:t>
            </w:r>
          </w:p>
          <w:p w:rsidR="00253DE1" w:rsidRPr="00765439" w:rsidRDefault="00253DE1" w:rsidP="000C661A">
            <w:pPr>
              <w:pStyle w:val="naisf"/>
              <w:spacing w:before="0" w:after="0"/>
              <w:ind w:firstLine="0"/>
              <w:jc w:val="left"/>
            </w:pPr>
            <w:r w:rsidRPr="00765439">
              <w:t>Esošu institūciju likvidācija</w:t>
            </w:r>
          </w:p>
        </w:tc>
        <w:tc>
          <w:tcPr>
            <w:tcW w:w="6123" w:type="dxa"/>
            <w:gridSpan w:val="3"/>
          </w:tcPr>
          <w:p w:rsidR="00253DE1" w:rsidRPr="00825BFE" w:rsidRDefault="00253DE1" w:rsidP="000C661A">
            <w:pPr>
              <w:jc w:val="both"/>
              <w:rPr>
                <w:color w:val="000000"/>
                <w:lang w:eastAsia="lv-LV"/>
              </w:rPr>
            </w:pPr>
            <w:r w:rsidRPr="00825BFE">
              <w:rPr>
                <w:color w:val="000000"/>
                <w:lang w:eastAsia="lv-LV"/>
              </w:rPr>
              <w:t>Esošu institūciju likvidācija netiek plānota.</w:t>
            </w:r>
          </w:p>
          <w:p w:rsidR="00253DE1" w:rsidRPr="00825BFE" w:rsidRDefault="00253DE1" w:rsidP="00C67419">
            <w:pPr>
              <w:pStyle w:val="naisnod"/>
              <w:spacing w:before="0" w:after="0"/>
              <w:jc w:val="both"/>
              <w:rPr>
                <w:b w:val="0"/>
              </w:rPr>
            </w:pPr>
          </w:p>
        </w:tc>
      </w:tr>
      <w:tr w:rsidR="00253DE1" w:rsidRPr="00EE2424" w:rsidTr="00E82B1E">
        <w:tblPrEx>
          <w:tblCellMar>
            <w:left w:w="0" w:type="dxa"/>
            <w:right w:w="0" w:type="dxa"/>
          </w:tblCellMar>
          <w:tblLook w:val="0000"/>
        </w:tblPrEx>
        <w:trPr>
          <w:trHeight w:val="317"/>
          <w:jc w:val="center"/>
        </w:trPr>
        <w:tc>
          <w:tcPr>
            <w:tcW w:w="396" w:type="dxa"/>
          </w:tcPr>
          <w:p w:rsidR="00253DE1" w:rsidRPr="00EE2424" w:rsidRDefault="00253DE1" w:rsidP="004B4313">
            <w:pPr>
              <w:pStyle w:val="naiskr"/>
              <w:spacing w:before="0" w:after="0"/>
              <w:ind w:left="57" w:right="57"/>
              <w:rPr>
                <w:bCs/>
              </w:rPr>
            </w:pPr>
            <w:r>
              <w:rPr>
                <w:bCs/>
              </w:rPr>
              <w:t>5.</w:t>
            </w:r>
          </w:p>
        </w:tc>
        <w:tc>
          <w:tcPr>
            <w:tcW w:w="2735" w:type="dxa"/>
            <w:gridSpan w:val="2"/>
          </w:tcPr>
          <w:p w:rsidR="00253DE1" w:rsidRPr="00765439" w:rsidRDefault="00253DE1" w:rsidP="000C661A">
            <w:pPr>
              <w:pStyle w:val="naisf"/>
              <w:spacing w:before="0" w:after="0"/>
              <w:ind w:firstLine="0"/>
              <w:jc w:val="left"/>
            </w:pPr>
            <w:r w:rsidRPr="00765439">
              <w:t>Projekta izpildes ietekme uz pārvaldes institucionālo struktūru.</w:t>
            </w:r>
          </w:p>
          <w:p w:rsidR="00253DE1" w:rsidRPr="00765439" w:rsidRDefault="00253DE1" w:rsidP="000C661A">
            <w:pPr>
              <w:pStyle w:val="naisf"/>
              <w:spacing w:before="0" w:after="0"/>
              <w:ind w:firstLine="0"/>
              <w:jc w:val="left"/>
            </w:pPr>
            <w:r w:rsidRPr="00765439">
              <w:t>Esošu institūciju reorganizācija</w:t>
            </w:r>
          </w:p>
        </w:tc>
        <w:tc>
          <w:tcPr>
            <w:tcW w:w="6123" w:type="dxa"/>
            <w:gridSpan w:val="3"/>
          </w:tcPr>
          <w:p w:rsidR="00253DE1" w:rsidRPr="00825BFE" w:rsidRDefault="00253DE1" w:rsidP="000C661A">
            <w:pPr>
              <w:jc w:val="both"/>
              <w:rPr>
                <w:color w:val="000000"/>
                <w:lang w:eastAsia="lv-LV"/>
              </w:rPr>
            </w:pPr>
            <w:r w:rsidRPr="00825BFE">
              <w:t>Esoš</w:t>
            </w:r>
            <w:r>
              <w:t>ā</w:t>
            </w:r>
            <w:r w:rsidRPr="00825BFE">
              <w:t>s institūcijas reorganizēt vai apvienot nav plānots.</w:t>
            </w:r>
          </w:p>
        </w:tc>
      </w:tr>
      <w:tr w:rsidR="00253DE1" w:rsidRPr="00EE2424" w:rsidTr="00E82B1E">
        <w:tblPrEx>
          <w:tblCellMar>
            <w:left w:w="0" w:type="dxa"/>
            <w:right w:w="0" w:type="dxa"/>
          </w:tblCellMar>
          <w:tblLook w:val="0000"/>
        </w:tblPrEx>
        <w:trPr>
          <w:trHeight w:val="317"/>
          <w:jc w:val="center"/>
        </w:trPr>
        <w:tc>
          <w:tcPr>
            <w:tcW w:w="396" w:type="dxa"/>
          </w:tcPr>
          <w:p w:rsidR="00253DE1" w:rsidRPr="00EE2424" w:rsidRDefault="00253DE1" w:rsidP="004B4313">
            <w:pPr>
              <w:pStyle w:val="naiskr"/>
              <w:spacing w:before="0" w:after="0"/>
              <w:ind w:left="57" w:right="57"/>
              <w:rPr>
                <w:bCs/>
              </w:rPr>
            </w:pPr>
            <w:r>
              <w:rPr>
                <w:bCs/>
              </w:rPr>
              <w:t>6.</w:t>
            </w:r>
          </w:p>
        </w:tc>
        <w:tc>
          <w:tcPr>
            <w:tcW w:w="2735" w:type="dxa"/>
            <w:gridSpan w:val="2"/>
          </w:tcPr>
          <w:p w:rsidR="00253DE1" w:rsidRPr="00765439" w:rsidRDefault="00253DE1" w:rsidP="000C661A">
            <w:pPr>
              <w:pStyle w:val="naisf"/>
              <w:spacing w:before="0" w:after="0"/>
              <w:ind w:firstLine="0"/>
              <w:jc w:val="left"/>
            </w:pPr>
            <w:r w:rsidRPr="00765439">
              <w:t>Cita informācija</w:t>
            </w:r>
          </w:p>
        </w:tc>
        <w:tc>
          <w:tcPr>
            <w:tcW w:w="6123" w:type="dxa"/>
            <w:gridSpan w:val="3"/>
          </w:tcPr>
          <w:p w:rsidR="00253DE1" w:rsidRPr="00825BFE" w:rsidRDefault="00253DE1" w:rsidP="000C661A">
            <w:pPr>
              <w:jc w:val="both"/>
            </w:pPr>
            <w:r w:rsidRPr="00765439">
              <w:t>Nav</w:t>
            </w:r>
            <w:r>
              <w:t>.</w:t>
            </w:r>
          </w:p>
        </w:tc>
      </w:tr>
    </w:tbl>
    <w:p w:rsidR="00253DE1" w:rsidRDefault="00253DE1" w:rsidP="004C5C05">
      <w:pPr>
        <w:pStyle w:val="ParastaisWeb"/>
        <w:spacing w:before="0" w:beforeAutospacing="0" w:after="0" w:afterAutospacing="0"/>
        <w:jc w:val="both"/>
        <w:rPr>
          <w:sz w:val="28"/>
          <w:szCs w:val="28"/>
        </w:rPr>
      </w:pPr>
    </w:p>
    <w:p w:rsidR="00253DE1" w:rsidRPr="00004AA5" w:rsidRDefault="00253DE1" w:rsidP="004C5C05">
      <w:pPr>
        <w:pStyle w:val="ParastaisWeb"/>
        <w:spacing w:before="0" w:beforeAutospacing="0" w:after="0" w:afterAutospacing="0"/>
        <w:jc w:val="both"/>
        <w:rPr>
          <w:sz w:val="28"/>
          <w:szCs w:val="28"/>
        </w:rPr>
      </w:pPr>
    </w:p>
    <w:p w:rsidR="00253DE1" w:rsidRPr="008D2B82" w:rsidRDefault="00253DE1" w:rsidP="004C5C05">
      <w:pPr>
        <w:pStyle w:val="Pamatteksts"/>
        <w:ind w:firstLine="720"/>
        <w:rPr>
          <w:szCs w:val="28"/>
        </w:rPr>
      </w:pPr>
      <w:r w:rsidRPr="008D2B82">
        <w:rPr>
          <w:szCs w:val="28"/>
        </w:rPr>
        <w:t>Zemkopības ministr</w:t>
      </w:r>
      <w:r>
        <w:rPr>
          <w:szCs w:val="28"/>
        </w:rPr>
        <w:t>e</w:t>
      </w:r>
      <w:r w:rsidRPr="008D2B82">
        <w:rPr>
          <w:szCs w:val="28"/>
        </w:rPr>
        <w:tab/>
      </w:r>
      <w:r w:rsidRPr="008D2B82">
        <w:rPr>
          <w:szCs w:val="28"/>
        </w:rPr>
        <w:tab/>
      </w:r>
      <w:r w:rsidRPr="008D2B82">
        <w:rPr>
          <w:szCs w:val="28"/>
        </w:rPr>
        <w:tab/>
      </w:r>
      <w:r w:rsidRPr="008D2B82">
        <w:rPr>
          <w:szCs w:val="28"/>
        </w:rPr>
        <w:tab/>
      </w:r>
      <w:r w:rsidRPr="008D2B82">
        <w:rPr>
          <w:szCs w:val="28"/>
        </w:rPr>
        <w:tab/>
      </w:r>
      <w:r w:rsidRPr="008D2B82">
        <w:rPr>
          <w:szCs w:val="28"/>
        </w:rPr>
        <w:tab/>
      </w:r>
      <w:r>
        <w:rPr>
          <w:szCs w:val="28"/>
        </w:rPr>
        <w:t>L.Straujuma</w:t>
      </w:r>
    </w:p>
    <w:p w:rsidR="00253DE1" w:rsidRDefault="00253DE1" w:rsidP="004C5C05">
      <w:pPr>
        <w:jc w:val="both"/>
        <w:rPr>
          <w:sz w:val="28"/>
          <w:szCs w:val="28"/>
        </w:rPr>
      </w:pPr>
    </w:p>
    <w:p w:rsidR="00253DE1" w:rsidRDefault="00253DE1" w:rsidP="004C5C05">
      <w:pPr>
        <w:jc w:val="both"/>
        <w:rPr>
          <w:sz w:val="28"/>
          <w:szCs w:val="28"/>
        </w:rPr>
      </w:pPr>
    </w:p>
    <w:p w:rsidR="00253DE1" w:rsidRDefault="00253DE1" w:rsidP="004C5C05">
      <w:pPr>
        <w:jc w:val="both"/>
        <w:rPr>
          <w:sz w:val="28"/>
          <w:szCs w:val="28"/>
        </w:rPr>
      </w:pPr>
    </w:p>
    <w:p w:rsidR="00E82B1E" w:rsidRDefault="00E82B1E" w:rsidP="004C5C05">
      <w:pPr>
        <w:jc w:val="both"/>
        <w:rPr>
          <w:sz w:val="28"/>
          <w:szCs w:val="28"/>
        </w:rPr>
      </w:pPr>
    </w:p>
    <w:p w:rsidR="00E82B1E" w:rsidRDefault="00E82B1E" w:rsidP="004C5C05">
      <w:pPr>
        <w:jc w:val="both"/>
        <w:rPr>
          <w:sz w:val="28"/>
          <w:szCs w:val="28"/>
        </w:rPr>
      </w:pPr>
    </w:p>
    <w:p w:rsidR="00E82B1E" w:rsidRDefault="00E82B1E" w:rsidP="004C5C05">
      <w:pPr>
        <w:jc w:val="both"/>
        <w:rPr>
          <w:sz w:val="28"/>
          <w:szCs w:val="28"/>
        </w:rPr>
      </w:pPr>
    </w:p>
    <w:p w:rsidR="00E82B1E" w:rsidRDefault="00E82B1E" w:rsidP="004C5C05">
      <w:pPr>
        <w:jc w:val="both"/>
        <w:rPr>
          <w:sz w:val="28"/>
          <w:szCs w:val="28"/>
        </w:rPr>
      </w:pPr>
    </w:p>
    <w:p w:rsidR="00E82B1E" w:rsidRDefault="00E82B1E" w:rsidP="004C5C05">
      <w:pPr>
        <w:jc w:val="both"/>
        <w:rPr>
          <w:sz w:val="28"/>
          <w:szCs w:val="28"/>
        </w:rPr>
      </w:pPr>
    </w:p>
    <w:p w:rsidR="00E82B1E" w:rsidRDefault="00E82B1E" w:rsidP="004C5C05">
      <w:pPr>
        <w:jc w:val="both"/>
        <w:rPr>
          <w:sz w:val="28"/>
          <w:szCs w:val="28"/>
        </w:rPr>
      </w:pPr>
    </w:p>
    <w:p w:rsidR="00E82B1E" w:rsidRDefault="00E82B1E" w:rsidP="004C5C05">
      <w:pPr>
        <w:jc w:val="both"/>
        <w:rPr>
          <w:sz w:val="28"/>
          <w:szCs w:val="28"/>
        </w:rPr>
      </w:pPr>
    </w:p>
    <w:p w:rsidR="00E82B1E" w:rsidRDefault="00E82B1E" w:rsidP="004C5C05">
      <w:pPr>
        <w:jc w:val="both"/>
        <w:rPr>
          <w:sz w:val="28"/>
          <w:szCs w:val="28"/>
        </w:rPr>
      </w:pPr>
    </w:p>
    <w:p w:rsidR="00253DE1" w:rsidRDefault="00253DE1" w:rsidP="004C5C05">
      <w:pPr>
        <w:jc w:val="both"/>
        <w:rPr>
          <w:sz w:val="28"/>
          <w:szCs w:val="28"/>
        </w:rPr>
      </w:pPr>
      <w:r>
        <w:rPr>
          <w:sz w:val="28"/>
          <w:szCs w:val="28"/>
        </w:rPr>
        <w:tab/>
      </w:r>
    </w:p>
    <w:p w:rsidR="00E82B1E" w:rsidRDefault="00E82B1E" w:rsidP="004C5C05">
      <w:pPr>
        <w:rPr>
          <w:sz w:val="20"/>
          <w:szCs w:val="20"/>
        </w:rPr>
      </w:pPr>
      <w:r>
        <w:rPr>
          <w:sz w:val="20"/>
          <w:szCs w:val="20"/>
        </w:rPr>
        <w:t>2013.07.26. 12:01</w:t>
      </w:r>
    </w:p>
    <w:p w:rsidR="00E82B1E" w:rsidRDefault="00E82B1E" w:rsidP="004C5C05">
      <w:pPr>
        <w:jc w:val="both"/>
        <w:rPr>
          <w:sz w:val="20"/>
          <w:szCs w:val="20"/>
          <w:lang w:val="pl-PL"/>
        </w:rPr>
      </w:pPr>
      <w:fldSimple w:instr=" NUMWORDS   \* MERGEFORMAT ">
        <w:r>
          <w:rPr>
            <w:noProof/>
            <w:sz w:val="20"/>
            <w:szCs w:val="20"/>
            <w:lang w:val="pl-PL"/>
          </w:rPr>
          <w:t>1544</w:t>
        </w:r>
      </w:fldSimple>
    </w:p>
    <w:p w:rsidR="00253DE1" w:rsidRPr="005871E7" w:rsidRDefault="00253DE1" w:rsidP="004C5C05">
      <w:pPr>
        <w:jc w:val="both"/>
        <w:rPr>
          <w:color w:val="000000"/>
          <w:sz w:val="20"/>
          <w:szCs w:val="20"/>
        </w:rPr>
      </w:pPr>
      <w:r w:rsidRPr="005871E7">
        <w:rPr>
          <w:color w:val="000000"/>
          <w:sz w:val="20"/>
          <w:szCs w:val="20"/>
        </w:rPr>
        <w:t>V.Freimane</w:t>
      </w:r>
    </w:p>
    <w:p w:rsidR="00253DE1" w:rsidRPr="00DF5284" w:rsidRDefault="00253DE1" w:rsidP="004C5C05">
      <w:pPr>
        <w:jc w:val="both"/>
        <w:rPr>
          <w:sz w:val="20"/>
          <w:szCs w:val="20"/>
        </w:rPr>
      </w:pPr>
      <w:r w:rsidRPr="005871E7">
        <w:rPr>
          <w:sz w:val="20"/>
          <w:szCs w:val="20"/>
        </w:rPr>
        <w:t>67027</w:t>
      </w:r>
      <w:r>
        <w:rPr>
          <w:sz w:val="20"/>
          <w:szCs w:val="20"/>
        </w:rPr>
        <w:t>2</w:t>
      </w:r>
      <w:r w:rsidRPr="005871E7">
        <w:rPr>
          <w:sz w:val="20"/>
          <w:szCs w:val="20"/>
        </w:rPr>
        <w:t>53, Vija.Freimane@zm.gov.lv</w:t>
      </w:r>
      <w:r w:rsidR="00845590">
        <w:rPr>
          <w:sz w:val="20"/>
          <w:szCs w:val="20"/>
          <w:lang w:val="pl-PL"/>
        </w:rPr>
        <w:fldChar w:fldCharType="begin"/>
      </w:r>
      <w:r>
        <w:rPr>
          <w:sz w:val="20"/>
          <w:szCs w:val="20"/>
          <w:lang w:val="pl-PL"/>
        </w:rPr>
        <w:instrText xml:space="preserve"> NUMWORDS  \# "0"  \* MERGEFORMAT </w:instrText>
      </w:r>
      <w:r w:rsidR="00845590">
        <w:rPr>
          <w:sz w:val="20"/>
          <w:szCs w:val="20"/>
          <w:lang w:val="pl-PL"/>
        </w:rPr>
        <w:fldChar w:fldCharType="end"/>
      </w:r>
    </w:p>
    <w:p w:rsidR="00253DE1" w:rsidRDefault="00253DE1"/>
    <w:sectPr w:rsidR="00253DE1" w:rsidSect="002B6BF7">
      <w:headerReference w:type="even" r:id="rId6"/>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B60" w:rsidRDefault="00AA0B60">
      <w:r>
        <w:separator/>
      </w:r>
    </w:p>
  </w:endnote>
  <w:endnote w:type="continuationSeparator" w:id="0">
    <w:p w:rsidR="00AA0B60" w:rsidRDefault="00AA0B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DE1" w:rsidRPr="00CF0D74" w:rsidRDefault="00253DE1" w:rsidP="005A5941">
    <w:pPr>
      <w:pStyle w:val="Kjene"/>
      <w:rPr>
        <w:sz w:val="20"/>
        <w:szCs w:val="20"/>
      </w:rPr>
    </w:pPr>
    <w:r w:rsidRPr="00CF0D74">
      <w:rPr>
        <w:sz w:val="20"/>
        <w:szCs w:val="20"/>
      </w:rPr>
      <w:t>ZMAnot_</w:t>
    </w:r>
    <w:r w:rsidR="00E82B1E">
      <w:rPr>
        <w:sz w:val="20"/>
        <w:szCs w:val="20"/>
      </w:rPr>
      <w:t>260713</w:t>
    </w:r>
    <w:r>
      <w:rPr>
        <w:sz w:val="20"/>
        <w:szCs w:val="20"/>
      </w:rPr>
      <w:t>_ZIM</w:t>
    </w:r>
    <w:r w:rsidRPr="00CF0D74">
      <w:rPr>
        <w:sz w:val="20"/>
        <w:szCs w:val="20"/>
      </w:rPr>
      <w:t>;</w:t>
    </w:r>
    <w:r>
      <w:rPr>
        <w:sz w:val="20"/>
        <w:szCs w:val="20"/>
      </w:rPr>
      <w:t xml:space="preserve"> Ministru kabineta noteikumu projekts „Zinātniskās izpētes mežu apsaimniekošanas un uzraudzības kārtība”              </w:t>
    </w:r>
  </w:p>
  <w:p w:rsidR="00253DE1" w:rsidRPr="005A5941" w:rsidRDefault="00253DE1" w:rsidP="005A5941">
    <w:pPr>
      <w:pStyle w:val="Kjene"/>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DE1" w:rsidRPr="00CF0D74" w:rsidRDefault="00253DE1" w:rsidP="007247A0">
    <w:pPr>
      <w:pStyle w:val="Kjene"/>
      <w:rPr>
        <w:sz w:val="20"/>
        <w:szCs w:val="20"/>
      </w:rPr>
    </w:pPr>
    <w:r w:rsidRPr="00CF0D74">
      <w:rPr>
        <w:sz w:val="20"/>
        <w:szCs w:val="20"/>
      </w:rPr>
      <w:t>ZMAnot_</w:t>
    </w:r>
    <w:r w:rsidR="00E82B1E">
      <w:rPr>
        <w:sz w:val="20"/>
        <w:szCs w:val="20"/>
      </w:rPr>
      <w:t>2607</w:t>
    </w:r>
    <w:r>
      <w:rPr>
        <w:sz w:val="20"/>
        <w:szCs w:val="20"/>
      </w:rPr>
      <w:t>13_ZIM</w:t>
    </w:r>
    <w:r w:rsidRPr="00CF0D74">
      <w:rPr>
        <w:sz w:val="20"/>
        <w:szCs w:val="20"/>
      </w:rPr>
      <w:t>;</w:t>
    </w:r>
    <w:r>
      <w:rPr>
        <w:sz w:val="20"/>
        <w:szCs w:val="20"/>
      </w:rPr>
      <w:t xml:space="preserve"> Ministru kabineta noteikumu projekts „Zinātniskās izpētes mežu apsaimniekošanas un uzraudzības kārtība”</w:t>
    </w:r>
  </w:p>
  <w:p w:rsidR="00253DE1" w:rsidRPr="00CF0D74" w:rsidRDefault="00253DE1" w:rsidP="00802915">
    <w:pPr>
      <w:pStyle w:val="Kjene"/>
      <w:rPr>
        <w:sz w:val="20"/>
        <w:szCs w:val="20"/>
      </w:rPr>
    </w:pPr>
  </w:p>
  <w:p w:rsidR="00253DE1" w:rsidRPr="00802915" w:rsidRDefault="00253DE1" w:rsidP="00802915">
    <w:pPr>
      <w:pStyle w:val="Kjene"/>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B60" w:rsidRDefault="00AA0B60">
      <w:r>
        <w:separator/>
      </w:r>
    </w:p>
  </w:footnote>
  <w:footnote w:type="continuationSeparator" w:id="0">
    <w:p w:rsidR="00AA0B60" w:rsidRDefault="00AA0B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DE1" w:rsidRDefault="00845590">
    <w:pPr>
      <w:pStyle w:val="Galvene"/>
      <w:framePr w:wrap="around" w:vAnchor="text" w:hAnchor="margin" w:xAlign="center" w:y="1"/>
      <w:rPr>
        <w:rStyle w:val="Lappusesnumurs"/>
      </w:rPr>
    </w:pPr>
    <w:r>
      <w:rPr>
        <w:rStyle w:val="Lappusesnumurs"/>
      </w:rPr>
      <w:fldChar w:fldCharType="begin"/>
    </w:r>
    <w:r w:rsidR="00253DE1">
      <w:rPr>
        <w:rStyle w:val="Lappusesnumurs"/>
      </w:rPr>
      <w:instrText xml:space="preserve">PAGE  </w:instrText>
    </w:r>
    <w:r>
      <w:rPr>
        <w:rStyle w:val="Lappusesnumurs"/>
      </w:rPr>
      <w:fldChar w:fldCharType="end"/>
    </w:r>
  </w:p>
  <w:p w:rsidR="00253DE1" w:rsidRDefault="00253DE1">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DE1" w:rsidRDefault="00845590">
    <w:pPr>
      <w:pStyle w:val="Galvene"/>
      <w:framePr w:wrap="around" w:vAnchor="text" w:hAnchor="margin" w:xAlign="center" w:y="1"/>
      <w:rPr>
        <w:rStyle w:val="Lappusesnumurs"/>
      </w:rPr>
    </w:pPr>
    <w:r>
      <w:rPr>
        <w:rStyle w:val="Lappusesnumurs"/>
      </w:rPr>
      <w:fldChar w:fldCharType="begin"/>
    </w:r>
    <w:r w:rsidR="00253DE1">
      <w:rPr>
        <w:rStyle w:val="Lappusesnumurs"/>
      </w:rPr>
      <w:instrText xml:space="preserve">PAGE  </w:instrText>
    </w:r>
    <w:r>
      <w:rPr>
        <w:rStyle w:val="Lappusesnumurs"/>
      </w:rPr>
      <w:fldChar w:fldCharType="separate"/>
    </w:r>
    <w:r w:rsidR="00E82B1E">
      <w:rPr>
        <w:rStyle w:val="Lappusesnumurs"/>
        <w:noProof/>
      </w:rPr>
      <w:t>6</w:t>
    </w:r>
    <w:r>
      <w:rPr>
        <w:rStyle w:val="Lappusesnumurs"/>
      </w:rPr>
      <w:fldChar w:fldCharType="end"/>
    </w:r>
  </w:p>
  <w:p w:rsidR="00253DE1" w:rsidRDefault="00253DE1">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5C05"/>
    <w:rsid w:val="00004AA5"/>
    <w:rsid w:val="00045AD2"/>
    <w:rsid w:val="00060ECB"/>
    <w:rsid w:val="00080539"/>
    <w:rsid w:val="0008636C"/>
    <w:rsid w:val="00097D41"/>
    <w:rsid w:val="000C661A"/>
    <w:rsid w:val="000F2857"/>
    <w:rsid w:val="00174E89"/>
    <w:rsid w:val="0018505A"/>
    <w:rsid w:val="002158A6"/>
    <w:rsid w:val="0023513C"/>
    <w:rsid w:val="00253DE1"/>
    <w:rsid w:val="00273579"/>
    <w:rsid w:val="002A017F"/>
    <w:rsid w:val="002B6BF7"/>
    <w:rsid w:val="002C7240"/>
    <w:rsid w:val="00314595"/>
    <w:rsid w:val="00316CE1"/>
    <w:rsid w:val="00342EB4"/>
    <w:rsid w:val="0035685A"/>
    <w:rsid w:val="00380F19"/>
    <w:rsid w:val="00391A92"/>
    <w:rsid w:val="003B5F03"/>
    <w:rsid w:val="003E4436"/>
    <w:rsid w:val="004141A8"/>
    <w:rsid w:val="004251AB"/>
    <w:rsid w:val="004510FE"/>
    <w:rsid w:val="004B4313"/>
    <w:rsid w:val="004C5C05"/>
    <w:rsid w:val="00543081"/>
    <w:rsid w:val="0056569F"/>
    <w:rsid w:val="005871E7"/>
    <w:rsid w:val="005A5941"/>
    <w:rsid w:val="005C5CEA"/>
    <w:rsid w:val="005D0145"/>
    <w:rsid w:val="005F5E45"/>
    <w:rsid w:val="006201A2"/>
    <w:rsid w:val="00662757"/>
    <w:rsid w:val="00697E5E"/>
    <w:rsid w:val="006C24D4"/>
    <w:rsid w:val="006E0B2C"/>
    <w:rsid w:val="007247A0"/>
    <w:rsid w:val="007466F8"/>
    <w:rsid w:val="0075203E"/>
    <w:rsid w:val="00762E4A"/>
    <w:rsid w:val="00765439"/>
    <w:rsid w:val="007862D2"/>
    <w:rsid w:val="007C0F2C"/>
    <w:rsid w:val="00802915"/>
    <w:rsid w:val="00817A6A"/>
    <w:rsid w:val="00825BFE"/>
    <w:rsid w:val="00827804"/>
    <w:rsid w:val="00845590"/>
    <w:rsid w:val="00883ED5"/>
    <w:rsid w:val="008A7F19"/>
    <w:rsid w:val="008B30E3"/>
    <w:rsid w:val="008D2B82"/>
    <w:rsid w:val="008E78EA"/>
    <w:rsid w:val="0092221B"/>
    <w:rsid w:val="00966FBE"/>
    <w:rsid w:val="00984C7D"/>
    <w:rsid w:val="009E514F"/>
    <w:rsid w:val="009F7FC9"/>
    <w:rsid w:val="00A04ECA"/>
    <w:rsid w:val="00A10F67"/>
    <w:rsid w:val="00A1409C"/>
    <w:rsid w:val="00A26012"/>
    <w:rsid w:val="00A32CFF"/>
    <w:rsid w:val="00A37600"/>
    <w:rsid w:val="00A4362D"/>
    <w:rsid w:val="00A505E0"/>
    <w:rsid w:val="00AA08EE"/>
    <w:rsid w:val="00AA0B60"/>
    <w:rsid w:val="00AB4429"/>
    <w:rsid w:val="00AF4634"/>
    <w:rsid w:val="00B56366"/>
    <w:rsid w:val="00BF1F4F"/>
    <w:rsid w:val="00C0406B"/>
    <w:rsid w:val="00C559E8"/>
    <w:rsid w:val="00C60EFC"/>
    <w:rsid w:val="00C67419"/>
    <w:rsid w:val="00C73268"/>
    <w:rsid w:val="00C8548A"/>
    <w:rsid w:val="00CD1200"/>
    <w:rsid w:val="00CE3BAB"/>
    <w:rsid w:val="00CF0D74"/>
    <w:rsid w:val="00CF4C19"/>
    <w:rsid w:val="00D16382"/>
    <w:rsid w:val="00D4065C"/>
    <w:rsid w:val="00D546F0"/>
    <w:rsid w:val="00D60C9A"/>
    <w:rsid w:val="00D71932"/>
    <w:rsid w:val="00DF5284"/>
    <w:rsid w:val="00E507BD"/>
    <w:rsid w:val="00E62725"/>
    <w:rsid w:val="00E77DA5"/>
    <w:rsid w:val="00E82B1E"/>
    <w:rsid w:val="00EB1510"/>
    <w:rsid w:val="00EB458B"/>
    <w:rsid w:val="00ED36DB"/>
    <w:rsid w:val="00EE2424"/>
    <w:rsid w:val="00F14D96"/>
    <w:rsid w:val="00F2253B"/>
    <w:rsid w:val="00F30607"/>
    <w:rsid w:val="00F92933"/>
    <w:rsid w:val="00FB70C0"/>
    <w:rsid w:val="00FD2130"/>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C5C05"/>
    <w:rPr>
      <w:rFonts w:ascii="Times New Roman" w:eastAsia="Times New Roman" w:hAnsi="Times New Roman"/>
      <w:sz w:val="24"/>
      <w:szCs w:val="24"/>
      <w:lang w:eastAsia="en-US"/>
    </w:rPr>
  </w:style>
  <w:style w:type="paragraph" w:styleId="Virsraksts3">
    <w:name w:val="heading 3"/>
    <w:basedOn w:val="Parastais"/>
    <w:next w:val="Parastais"/>
    <w:link w:val="Virsraksts3Rakstz"/>
    <w:uiPriority w:val="99"/>
    <w:qFormat/>
    <w:rsid w:val="004C5C05"/>
    <w:pPr>
      <w:keepNext/>
      <w:spacing w:before="240" w:after="60"/>
      <w:outlineLvl w:val="2"/>
    </w:pPr>
    <w:rPr>
      <w:rFonts w:ascii="Arial" w:hAnsi="Arial" w:cs="Arial"/>
      <w:b/>
      <w:bCs/>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9"/>
    <w:locked/>
    <w:rsid w:val="004C5C05"/>
    <w:rPr>
      <w:rFonts w:ascii="Arial" w:hAnsi="Arial" w:cs="Arial"/>
      <w:b/>
      <w:bCs/>
      <w:sz w:val="26"/>
      <w:szCs w:val="26"/>
      <w:lang w:eastAsia="lv-LV"/>
    </w:rPr>
  </w:style>
  <w:style w:type="paragraph" w:styleId="ParastaisWeb">
    <w:name w:val="Normal (Web)"/>
    <w:basedOn w:val="Parastais"/>
    <w:uiPriority w:val="99"/>
    <w:rsid w:val="004C5C05"/>
    <w:pPr>
      <w:spacing w:before="100" w:beforeAutospacing="1" w:after="100" w:afterAutospacing="1"/>
    </w:pPr>
    <w:rPr>
      <w:lang w:eastAsia="lv-LV"/>
    </w:rPr>
  </w:style>
  <w:style w:type="paragraph" w:customStyle="1" w:styleId="naisf">
    <w:name w:val="naisf"/>
    <w:basedOn w:val="Parastais"/>
    <w:uiPriority w:val="99"/>
    <w:rsid w:val="004C5C05"/>
    <w:pPr>
      <w:spacing w:before="75" w:after="75"/>
      <w:ind w:firstLine="375"/>
      <w:jc w:val="both"/>
    </w:pPr>
    <w:rPr>
      <w:lang w:eastAsia="lv-LV"/>
    </w:rPr>
  </w:style>
  <w:style w:type="paragraph" w:styleId="Galvene">
    <w:name w:val="header"/>
    <w:basedOn w:val="Parastais"/>
    <w:link w:val="GalveneRakstz"/>
    <w:uiPriority w:val="99"/>
    <w:rsid w:val="004C5C05"/>
    <w:pPr>
      <w:tabs>
        <w:tab w:val="center" w:pos="4153"/>
        <w:tab w:val="right" w:pos="8306"/>
      </w:tabs>
    </w:pPr>
  </w:style>
  <w:style w:type="character" w:customStyle="1" w:styleId="GalveneRakstz">
    <w:name w:val="Galvene Rakstz."/>
    <w:basedOn w:val="Noklusjumarindkopasfonts"/>
    <w:link w:val="Galvene"/>
    <w:uiPriority w:val="99"/>
    <w:locked/>
    <w:rsid w:val="004C5C05"/>
    <w:rPr>
      <w:rFonts w:ascii="Times New Roman" w:hAnsi="Times New Roman" w:cs="Times New Roman"/>
      <w:sz w:val="24"/>
      <w:szCs w:val="24"/>
    </w:rPr>
  </w:style>
  <w:style w:type="paragraph" w:styleId="Kjene">
    <w:name w:val="footer"/>
    <w:basedOn w:val="Parastais"/>
    <w:link w:val="KjeneRakstz"/>
    <w:uiPriority w:val="99"/>
    <w:rsid w:val="004C5C05"/>
    <w:pPr>
      <w:tabs>
        <w:tab w:val="center" w:pos="4153"/>
        <w:tab w:val="right" w:pos="8306"/>
      </w:tabs>
    </w:pPr>
  </w:style>
  <w:style w:type="character" w:customStyle="1" w:styleId="KjeneRakstz">
    <w:name w:val="Kājene Rakstz."/>
    <w:basedOn w:val="Noklusjumarindkopasfonts"/>
    <w:link w:val="Kjene"/>
    <w:uiPriority w:val="99"/>
    <w:locked/>
    <w:rsid w:val="004C5C05"/>
    <w:rPr>
      <w:rFonts w:ascii="Times New Roman" w:hAnsi="Times New Roman" w:cs="Times New Roman"/>
      <w:sz w:val="24"/>
      <w:szCs w:val="24"/>
    </w:rPr>
  </w:style>
  <w:style w:type="character" w:styleId="Lappusesnumurs">
    <w:name w:val="page number"/>
    <w:basedOn w:val="Noklusjumarindkopasfonts"/>
    <w:uiPriority w:val="99"/>
    <w:rsid w:val="004C5C05"/>
    <w:rPr>
      <w:rFonts w:cs="Times New Roman"/>
    </w:rPr>
  </w:style>
  <w:style w:type="paragraph" w:styleId="Pamatteksts">
    <w:name w:val="Body Text"/>
    <w:basedOn w:val="Parastais"/>
    <w:link w:val="PamattekstsRakstz"/>
    <w:uiPriority w:val="99"/>
    <w:rsid w:val="004C5C05"/>
    <w:pPr>
      <w:jc w:val="both"/>
    </w:pPr>
    <w:rPr>
      <w:sz w:val="28"/>
    </w:rPr>
  </w:style>
  <w:style w:type="character" w:customStyle="1" w:styleId="PamattekstsRakstz">
    <w:name w:val="Pamatteksts Rakstz."/>
    <w:basedOn w:val="Noklusjumarindkopasfonts"/>
    <w:link w:val="Pamatteksts"/>
    <w:uiPriority w:val="99"/>
    <w:locked/>
    <w:rsid w:val="004C5C05"/>
    <w:rPr>
      <w:rFonts w:ascii="Times New Roman" w:hAnsi="Times New Roman" w:cs="Times New Roman"/>
      <w:sz w:val="24"/>
      <w:szCs w:val="24"/>
    </w:rPr>
  </w:style>
  <w:style w:type="paragraph" w:customStyle="1" w:styleId="naiskr">
    <w:name w:val="naiskr"/>
    <w:basedOn w:val="Parastais"/>
    <w:uiPriority w:val="99"/>
    <w:rsid w:val="004C5C05"/>
    <w:pPr>
      <w:spacing w:before="100" w:beforeAutospacing="1" w:after="100" w:afterAutospacing="1"/>
    </w:pPr>
    <w:rPr>
      <w:lang w:eastAsia="lv-LV"/>
    </w:rPr>
  </w:style>
  <w:style w:type="paragraph" w:customStyle="1" w:styleId="naislab">
    <w:name w:val="naislab"/>
    <w:basedOn w:val="Parastais"/>
    <w:uiPriority w:val="99"/>
    <w:rsid w:val="004C5C05"/>
    <w:pPr>
      <w:spacing w:before="100" w:beforeAutospacing="1" w:after="100" w:afterAutospacing="1"/>
      <w:jc w:val="right"/>
    </w:pPr>
    <w:rPr>
      <w:szCs w:val="20"/>
    </w:rPr>
  </w:style>
  <w:style w:type="paragraph" w:customStyle="1" w:styleId="naisnod">
    <w:name w:val="naisnod"/>
    <w:basedOn w:val="Parastais"/>
    <w:uiPriority w:val="99"/>
    <w:rsid w:val="004C5C05"/>
    <w:pPr>
      <w:spacing w:before="150" w:after="150"/>
      <w:jc w:val="center"/>
    </w:pPr>
    <w:rPr>
      <w:b/>
      <w:bCs/>
      <w:lang w:eastAsia="lv-LV"/>
    </w:rPr>
  </w:style>
  <w:style w:type="paragraph" w:styleId="Sarakstarindkopa">
    <w:name w:val="List Paragraph"/>
    <w:basedOn w:val="Parastais"/>
    <w:uiPriority w:val="99"/>
    <w:qFormat/>
    <w:rsid w:val="004C5C05"/>
    <w:pPr>
      <w:spacing w:after="200" w:line="276" w:lineRule="auto"/>
      <w:ind w:left="720"/>
      <w:contextualSpacing/>
    </w:pPr>
    <w:rPr>
      <w:rFonts w:ascii="Calibri" w:eastAsia="Calibri" w:hAnsi="Calibri"/>
      <w:sz w:val="22"/>
      <w:szCs w:val="22"/>
    </w:rPr>
  </w:style>
  <w:style w:type="table" w:styleId="Reatabula">
    <w:name w:val="Table Grid"/>
    <w:basedOn w:val="Parastatabula"/>
    <w:uiPriority w:val="99"/>
    <w:rsid w:val="004C5C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ais"/>
    <w:link w:val="BalontekstsRakstz"/>
    <w:uiPriority w:val="99"/>
    <w:semiHidden/>
    <w:rsid w:val="00984C7D"/>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984C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6</Pages>
  <Words>1565</Words>
  <Characters>11144</Characters>
  <Application>Microsoft Office Word</Application>
  <DocSecurity>0</DocSecurity>
  <Lines>371</Lines>
  <Paragraphs>147</Paragraphs>
  <ScaleCrop>false</ScaleCrop>
  <Company/>
  <LinksUpToDate>false</LinksUpToDate>
  <CharactersWithSpaces>12562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„Zinātniskās izpētes mežu apsaimniekošanas un uzraudzības kārtība” sākotnējās ietekmes novērtējuma ziņojums (anotācija)</dc:title>
  <dc:subject/>
  <dc:creator>Peteris.Kuksins</dc:creator>
  <cp:keywords/>
  <dc:description/>
  <cp:lastModifiedBy>Renārs Žagars</cp:lastModifiedBy>
  <cp:revision>28</cp:revision>
  <cp:lastPrinted>2013-07-23T13:32:00Z</cp:lastPrinted>
  <dcterms:created xsi:type="dcterms:W3CDTF">2013-05-09T11:42:00Z</dcterms:created>
  <dcterms:modified xsi:type="dcterms:W3CDTF">2013-07-26T09:02:00Z</dcterms:modified>
</cp:coreProperties>
</file>