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8" w:rsidRPr="00A02A4B" w:rsidRDefault="00D05448" w:rsidP="00341BEC">
      <w:pPr>
        <w:pStyle w:val="Parasts1"/>
        <w:tabs>
          <w:tab w:val="left" w:pos="42"/>
        </w:tabs>
        <w:jc w:val="center"/>
        <w:rPr>
          <w:b/>
          <w:sz w:val="28"/>
          <w:szCs w:val="28"/>
        </w:rPr>
      </w:pPr>
      <w:bookmarkStart w:id="0" w:name="_GoBack"/>
      <w:bookmarkStart w:id="1" w:name="OLE_LINK1"/>
      <w:bookmarkStart w:id="2" w:name="OLE_LINK2"/>
      <w:bookmarkEnd w:id="0"/>
      <w:r w:rsidRPr="00A02A4B">
        <w:rPr>
          <w:b/>
          <w:sz w:val="28"/>
          <w:szCs w:val="28"/>
        </w:rPr>
        <w:t>Ministru kabineta noteikumu projekt</w:t>
      </w:r>
      <w:r w:rsidR="00B45C8D">
        <w:rPr>
          <w:b/>
          <w:sz w:val="28"/>
          <w:szCs w:val="28"/>
        </w:rPr>
        <w:t>a</w:t>
      </w:r>
      <w:r w:rsidRPr="00A02A4B">
        <w:rPr>
          <w:b/>
          <w:sz w:val="28"/>
          <w:szCs w:val="28"/>
        </w:rPr>
        <w:t xml:space="preserve"> </w:t>
      </w:r>
      <w:r w:rsidR="00DE4BA6">
        <w:rPr>
          <w:b/>
          <w:sz w:val="28"/>
          <w:szCs w:val="28"/>
        </w:rPr>
        <w:t>„</w:t>
      </w:r>
      <w:r w:rsidR="000813B4">
        <w:rPr>
          <w:b/>
          <w:sz w:val="28"/>
          <w:szCs w:val="28"/>
        </w:rPr>
        <w:t>Grozījum</w:t>
      </w:r>
      <w:r w:rsidR="002C242E">
        <w:rPr>
          <w:b/>
          <w:sz w:val="28"/>
          <w:szCs w:val="28"/>
        </w:rPr>
        <w:t>i</w:t>
      </w:r>
      <w:r w:rsidR="000813B4">
        <w:rPr>
          <w:b/>
          <w:sz w:val="28"/>
          <w:szCs w:val="28"/>
        </w:rPr>
        <w:t xml:space="preserve"> Ministru kabineta 2012.gada 13.novembra noteikumos Nr.775 „</w:t>
      </w:r>
      <w:r w:rsidR="000813B4">
        <w:rPr>
          <w:b/>
          <w:bCs/>
          <w:color w:val="000000"/>
          <w:sz w:val="28"/>
          <w:szCs w:val="28"/>
        </w:rPr>
        <w:t>Kārtība, kādā piešķir valsts un Eiropas Savienības atbalstu investīciju veicināšanai lauksaimniecībā un investīcijām materiālās bāzes pilnveidošanai””</w:t>
      </w:r>
      <w:r w:rsidRPr="00A02A4B">
        <w:rPr>
          <w:b/>
          <w:sz w:val="28"/>
          <w:szCs w:val="28"/>
        </w:rPr>
        <w:t xml:space="preserve"> </w:t>
      </w:r>
      <w:r w:rsidRPr="002F45CF">
        <w:rPr>
          <w:b/>
          <w:sz w:val="28"/>
          <w:szCs w:val="28"/>
        </w:rPr>
        <w:t>sākotnējās ietekmes novērtējuma</w:t>
      </w:r>
      <w:r w:rsidRPr="00A02A4B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02A4B">
          <w:rPr>
            <w:b/>
            <w:bCs/>
            <w:sz w:val="28"/>
            <w:szCs w:val="28"/>
          </w:rPr>
          <w:t>ziņojums</w:t>
        </w:r>
      </w:smartTag>
      <w:r w:rsidRPr="00A02A4B">
        <w:rPr>
          <w:b/>
          <w:sz w:val="28"/>
          <w:szCs w:val="28"/>
        </w:rPr>
        <w:t xml:space="preserve"> (anotācija)</w:t>
      </w:r>
      <w:bookmarkEnd w:id="1"/>
      <w:bookmarkEnd w:id="2"/>
    </w:p>
    <w:p w:rsidR="00D05448" w:rsidRPr="00D25E38" w:rsidRDefault="00D05448" w:rsidP="00341BEC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D25E38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8784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A0"/>
      </w:tblPr>
      <w:tblGrid>
        <w:gridCol w:w="484"/>
        <w:gridCol w:w="2350"/>
        <w:gridCol w:w="5950"/>
      </w:tblGrid>
      <w:tr w:rsidR="00D05448" w:rsidRPr="00B232A4" w:rsidTr="00246BB5">
        <w:trPr>
          <w:tblCellSpacing w:w="0" w:type="dxa"/>
          <w:jc w:val="center"/>
        </w:trPr>
        <w:tc>
          <w:tcPr>
            <w:tcW w:w="8784" w:type="dxa"/>
            <w:gridSpan w:val="3"/>
            <w:shd w:val="clear" w:color="auto" w:fill="FFFFFF"/>
            <w:vAlign w:val="center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 I. Tiesību akta projekta izstrādes nepieciešamība</w:t>
            </w:r>
          </w:p>
        </w:tc>
      </w:tr>
      <w:tr w:rsidR="00D05448" w:rsidRPr="00B232A4" w:rsidTr="00EC51CA">
        <w:trPr>
          <w:trHeight w:val="630"/>
          <w:tblCellSpacing w:w="0" w:type="dxa"/>
          <w:jc w:val="center"/>
        </w:trPr>
        <w:tc>
          <w:tcPr>
            <w:tcW w:w="484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350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5950" w:type="dxa"/>
            <w:shd w:val="clear" w:color="auto" w:fill="FFFFFF"/>
          </w:tcPr>
          <w:p w:rsidR="00D05448" w:rsidRPr="000813B4" w:rsidRDefault="00155970" w:rsidP="002C2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813B4">
              <w:rPr>
                <w:rFonts w:ascii="Times New Roman" w:hAnsi="Times New Roman"/>
                <w:sz w:val="24"/>
              </w:rPr>
              <w:t>Ministru kabineta noteikumu projekts „</w:t>
            </w:r>
            <w:r w:rsidR="000813B4" w:rsidRPr="000813B4">
              <w:rPr>
                <w:rFonts w:ascii="Times New Roman" w:hAnsi="Times New Roman"/>
                <w:sz w:val="24"/>
              </w:rPr>
              <w:t>Grozījum</w:t>
            </w:r>
            <w:r w:rsidR="002C242E">
              <w:rPr>
                <w:rFonts w:ascii="Times New Roman" w:hAnsi="Times New Roman"/>
                <w:sz w:val="24"/>
              </w:rPr>
              <w:t>i</w:t>
            </w:r>
            <w:r w:rsidR="000813B4" w:rsidRPr="000813B4">
              <w:rPr>
                <w:rFonts w:ascii="Times New Roman" w:hAnsi="Times New Roman"/>
                <w:sz w:val="24"/>
              </w:rPr>
              <w:t xml:space="preserve"> Ministru kabineta 2012.gada 13.novembra noteikumos Nr.775 „Kārtība, kādā piešķir valsts un Eiropas Savienības atbalstu investīciju veicināšanai lauksaimniecībā un investīcijām materiālās bāzes pilnveidošanai”</w:t>
            </w:r>
            <w:r w:rsidRPr="000813B4">
              <w:rPr>
                <w:rFonts w:ascii="Times New Roman" w:hAnsi="Times New Roman"/>
                <w:sz w:val="24"/>
              </w:rPr>
              <w:t xml:space="preserve">” (turpmāk – noteikumu projekts) ir sagatavots, pamatojoties uz Lauksaimniecības un lauku attīstības likuma 5.panta </w:t>
            </w:r>
            <w:r w:rsidR="002F45CF" w:rsidRPr="000813B4">
              <w:rPr>
                <w:rFonts w:ascii="Times New Roman" w:hAnsi="Times New Roman"/>
                <w:sz w:val="24"/>
              </w:rPr>
              <w:t>ceturto daļu.</w:t>
            </w:r>
            <w:r w:rsidR="00D05448" w:rsidRPr="000813B4">
              <w:rPr>
                <w:rFonts w:ascii="Times New Roman" w:hAnsi="Times New Roman"/>
                <w:sz w:val="24"/>
              </w:rPr>
              <w:t xml:space="preserve"> V</w:t>
            </w:r>
            <w:r w:rsidR="00D05448" w:rsidRPr="00BE4809">
              <w:rPr>
                <w:rFonts w:ascii="Times New Roman" w:hAnsi="Times New Roman"/>
                <w:sz w:val="24"/>
              </w:rPr>
              <w:t>alsts atbalsta pasākumi noteikti, pamatojoties uz „Latvijas lauku attīstības valsts stratēģijas plānu 2007.–2013.gadam” – attīstības plānošanas dokumentu, kas nosaka lauksaimniecības attīstības mērķus un attīstības virzienus, kā arī to sasniegšanas veidu.</w:t>
            </w:r>
          </w:p>
        </w:tc>
      </w:tr>
      <w:tr w:rsidR="00D05448" w:rsidRPr="00B232A4" w:rsidTr="00EC51CA">
        <w:trPr>
          <w:trHeight w:val="472"/>
          <w:tblCellSpacing w:w="0" w:type="dxa"/>
          <w:jc w:val="center"/>
        </w:trPr>
        <w:tc>
          <w:tcPr>
            <w:tcW w:w="484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350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Pašreizējā situācija un problēmas</w:t>
            </w:r>
          </w:p>
        </w:tc>
        <w:tc>
          <w:tcPr>
            <w:tcW w:w="5950" w:type="dxa"/>
            <w:shd w:val="clear" w:color="auto" w:fill="FFFFFF"/>
          </w:tcPr>
          <w:p w:rsidR="00D05448" w:rsidRDefault="00155970" w:rsidP="00FB2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4809">
              <w:rPr>
                <w:rFonts w:ascii="Times New Roman" w:hAnsi="Times New Roman"/>
                <w:sz w:val="24"/>
              </w:rPr>
              <w:t xml:space="preserve">Sagatavotais noteikumu projekts attiecas uz dabas resursu, lauksaimnieciskās ražošanas un pārstrādes politikas jomu. Spēkā esošais tiesiskais regulējums </w:t>
            </w:r>
            <w:r w:rsidR="000813B4">
              <w:rPr>
                <w:rFonts w:ascii="Times New Roman" w:hAnsi="Times New Roman"/>
                <w:sz w:val="24"/>
              </w:rPr>
              <w:t xml:space="preserve">nosaka </w:t>
            </w:r>
            <w:r w:rsidR="002C242E">
              <w:rPr>
                <w:rFonts w:ascii="Times New Roman" w:hAnsi="Times New Roman"/>
                <w:sz w:val="24"/>
              </w:rPr>
              <w:t>atbalstu</w:t>
            </w:r>
            <w:r w:rsidR="00FB2240">
              <w:rPr>
                <w:rFonts w:ascii="Times New Roman" w:hAnsi="Times New Roman"/>
                <w:sz w:val="24"/>
              </w:rPr>
              <w:t xml:space="preserve"> atbilstošām</w:t>
            </w:r>
            <w:r w:rsidR="002C242E">
              <w:rPr>
                <w:rFonts w:ascii="Times New Roman" w:hAnsi="Times New Roman"/>
                <w:sz w:val="24"/>
              </w:rPr>
              <w:t xml:space="preserve"> </w:t>
            </w:r>
            <w:r w:rsidR="000813B4">
              <w:rPr>
                <w:rFonts w:ascii="Times New Roman" w:hAnsi="Times New Roman"/>
                <w:sz w:val="24"/>
              </w:rPr>
              <w:t xml:space="preserve">lauksaimniecības pakalpojumu kooperatīvajām sabiedrībām </w:t>
            </w:r>
            <w:r w:rsidR="002C242E">
              <w:rPr>
                <w:rFonts w:ascii="Times New Roman" w:hAnsi="Times New Roman"/>
                <w:sz w:val="24"/>
              </w:rPr>
              <w:t>īstermiņa</w:t>
            </w:r>
            <w:r w:rsidR="000813B4">
              <w:rPr>
                <w:rFonts w:ascii="Times New Roman" w:hAnsi="Times New Roman"/>
                <w:sz w:val="24"/>
              </w:rPr>
              <w:t xml:space="preserve"> aizdevumiem un faktoringa kredītprocentu daļējai dzēšanai par laikposmu no 2012.gada 1.maija līdz 30.septembrim</w:t>
            </w:r>
            <w:r w:rsidR="00FB2240">
              <w:rPr>
                <w:rFonts w:ascii="Times New Roman" w:hAnsi="Times New Roman"/>
                <w:sz w:val="24"/>
              </w:rPr>
              <w:t xml:space="preserve">. Spēkā esošajos normatīvajos aktos par valsts atbalstu lauksaimniecībai ir noteikts atbalsta saņemšanas periods no iepriekšējā gada 1.marta līdz kārtējā gada 1.martam. Lai nodrošinātu </w:t>
            </w:r>
            <w:r w:rsidR="008464F2">
              <w:rPr>
                <w:rFonts w:ascii="Times New Roman" w:hAnsi="Times New Roman"/>
                <w:sz w:val="24"/>
              </w:rPr>
              <w:t xml:space="preserve">tā </w:t>
            </w:r>
            <w:r w:rsidR="00FB2240">
              <w:rPr>
                <w:rFonts w:ascii="Times New Roman" w:hAnsi="Times New Roman"/>
                <w:sz w:val="24"/>
              </w:rPr>
              <w:t>perioda nepārtrauktību, par kuru aprēķina atbalstu</w:t>
            </w:r>
            <w:r w:rsidR="008464F2">
              <w:rPr>
                <w:rFonts w:ascii="Times New Roman" w:hAnsi="Times New Roman"/>
                <w:sz w:val="24"/>
              </w:rPr>
              <w:t>,</w:t>
            </w:r>
            <w:r w:rsidR="00FB2240">
              <w:rPr>
                <w:rFonts w:ascii="Times New Roman" w:hAnsi="Times New Roman"/>
                <w:sz w:val="24"/>
              </w:rPr>
              <w:t xml:space="preserve"> ir </w:t>
            </w:r>
            <w:r w:rsidR="008464F2">
              <w:rPr>
                <w:rFonts w:ascii="Times New Roman" w:hAnsi="Times New Roman"/>
                <w:sz w:val="24"/>
              </w:rPr>
              <w:t>jā</w:t>
            </w:r>
            <w:r w:rsidR="00FB2240">
              <w:rPr>
                <w:rFonts w:ascii="Times New Roman" w:hAnsi="Times New Roman"/>
                <w:sz w:val="24"/>
              </w:rPr>
              <w:t>izdar</w:t>
            </w:r>
            <w:r w:rsidR="008464F2">
              <w:rPr>
                <w:rFonts w:ascii="Times New Roman" w:hAnsi="Times New Roman"/>
                <w:sz w:val="24"/>
              </w:rPr>
              <w:t>a</w:t>
            </w:r>
            <w:r w:rsidR="00FB2240">
              <w:rPr>
                <w:rFonts w:ascii="Times New Roman" w:hAnsi="Times New Roman"/>
                <w:sz w:val="24"/>
              </w:rPr>
              <w:t xml:space="preserve"> grozījum</w:t>
            </w:r>
            <w:r w:rsidR="008464F2">
              <w:rPr>
                <w:rFonts w:ascii="Times New Roman" w:hAnsi="Times New Roman"/>
                <w:sz w:val="24"/>
              </w:rPr>
              <w:t>i</w:t>
            </w:r>
            <w:r w:rsidR="00FB2240">
              <w:rPr>
                <w:rFonts w:ascii="Times New Roman" w:hAnsi="Times New Roman"/>
                <w:sz w:val="24"/>
              </w:rPr>
              <w:t xml:space="preserve"> spēkā esošajos Ministru kabineta noteikumos.</w:t>
            </w:r>
          </w:p>
          <w:p w:rsidR="00FB2240" w:rsidRPr="00FB2240" w:rsidRDefault="00FB2240" w:rsidP="00FB2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Atbalstam atbilstošās lauksaimniecības pakalpojumu kooperatīvu sabiedrības piesakās līdz 2012.gada 30.novembrim, savukārt Lauku atbalsta dienests mēneša laikā veic aprēķinus un izmaksā aprēķināto atbalsta </w:t>
            </w:r>
            <w:r w:rsidR="008464F2">
              <w:rPr>
                <w:rFonts w:ascii="Times New Roman" w:hAnsi="Times New Roman"/>
                <w:sz w:val="24"/>
              </w:rPr>
              <w:t>summu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05448" w:rsidRPr="00B232A4" w:rsidTr="00EC51CA">
        <w:trPr>
          <w:trHeight w:val="650"/>
          <w:tblCellSpacing w:w="0" w:type="dxa"/>
          <w:jc w:val="center"/>
        </w:trPr>
        <w:tc>
          <w:tcPr>
            <w:tcW w:w="484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350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Saistītie politikas ietekmes novērtējumi un pētījumi</w:t>
            </w:r>
          </w:p>
        </w:tc>
        <w:tc>
          <w:tcPr>
            <w:tcW w:w="5950" w:type="dxa"/>
            <w:shd w:val="clear" w:color="auto" w:fill="FFFFFF"/>
          </w:tcPr>
          <w:p w:rsidR="00D05448" w:rsidRPr="00D25E38" w:rsidRDefault="00D05448" w:rsidP="002E16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05448" w:rsidRPr="00B232A4" w:rsidTr="00EC51CA">
        <w:trPr>
          <w:trHeight w:val="384"/>
          <w:tblCellSpacing w:w="0" w:type="dxa"/>
          <w:jc w:val="center"/>
        </w:trPr>
        <w:tc>
          <w:tcPr>
            <w:tcW w:w="484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2350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5950" w:type="dxa"/>
            <w:shd w:val="clear" w:color="auto" w:fill="FFFFFF"/>
          </w:tcPr>
          <w:p w:rsidR="007E797C" w:rsidRDefault="000813B4" w:rsidP="002C242E">
            <w:pPr>
              <w:pStyle w:val="naisnod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Grozījum</w:t>
            </w:r>
            <w:r w:rsidR="002C242E">
              <w:rPr>
                <w:bCs/>
              </w:rPr>
              <w:t>i</w:t>
            </w:r>
            <w:r>
              <w:rPr>
                <w:bCs/>
              </w:rPr>
              <w:t xml:space="preserve"> paredz labot tehniski pieļautu kļūdu, izstrādājot šo noteikumu projektu. </w:t>
            </w:r>
          </w:p>
          <w:p w:rsidR="00FB2240" w:rsidRDefault="00FB2240" w:rsidP="002C242E">
            <w:pPr>
              <w:pStyle w:val="naisnod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Noteikumu projekta 1.punktā ir noteikts atbalsta saņemšanas laikposms no 2012.gada 1.marta līdz 30.septembrim. Minētais precizējums nodrošinās atbalsta saņemšanas nepārtrauktību.</w:t>
            </w:r>
          </w:p>
          <w:p w:rsidR="00FB2240" w:rsidRPr="00A071DA" w:rsidRDefault="00FB2240" w:rsidP="002C242E">
            <w:pPr>
              <w:pStyle w:val="naisnod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Noteikumu projekta 2.punktā ir papildināta tiesību norma ar atsauci uz 25.punktu.</w:t>
            </w:r>
          </w:p>
        </w:tc>
      </w:tr>
      <w:tr w:rsidR="00D05448" w:rsidRPr="00B232A4" w:rsidTr="00EC51CA">
        <w:trPr>
          <w:trHeight w:val="476"/>
          <w:tblCellSpacing w:w="0" w:type="dxa"/>
          <w:jc w:val="center"/>
        </w:trPr>
        <w:tc>
          <w:tcPr>
            <w:tcW w:w="484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2350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5950" w:type="dxa"/>
            <w:shd w:val="clear" w:color="auto" w:fill="FFFFFF"/>
          </w:tcPr>
          <w:p w:rsidR="00D05448" w:rsidRPr="00D25E38" w:rsidRDefault="002D302A" w:rsidP="002E163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ministrija un</w:t>
            </w:r>
            <w:r w:rsidR="00D0544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Lauku atbalsta dienest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</w:p>
        </w:tc>
      </w:tr>
      <w:tr w:rsidR="00D05448" w:rsidRPr="00B232A4" w:rsidTr="00EC51CA">
        <w:trPr>
          <w:trHeight w:val="875"/>
          <w:tblCellSpacing w:w="0" w:type="dxa"/>
          <w:jc w:val="center"/>
        </w:trPr>
        <w:tc>
          <w:tcPr>
            <w:tcW w:w="484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 6.</w:t>
            </w:r>
          </w:p>
        </w:tc>
        <w:tc>
          <w:tcPr>
            <w:tcW w:w="2350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5950" w:type="dxa"/>
            <w:shd w:val="clear" w:color="auto" w:fill="FFFFFF"/>
          </w:tcPr>
          <w:p w:rsidR="00D05448" w:rsidRPr="00D25E38" w:rsidRDefault="00D05448" w:rsidP="002744F0">
            <w:pPr>
              <w:spacing w:before="100" w:beforeAutospacing="1" w:after="100" w:afterAutospacing="1" w:line="240" w:lineRule="auto"/>
              <w:ind w:firstLine="12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05448" w:rsidRPr="00B232A4" w:rsidTr="00EC51CA">
        <w:trPr>
          <w:tblCellSpacing w:w="0" w:type="dxa"/>
          <w:jc w:val="center"/>
        </w:trPr>
        <w:tc>
          <w:tcPr>
            <w:tcW w:w="484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2350" w:type="dxa"/>
            <w:shd w:val="clear" w:color="auto" w:fill="FFFFFF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950" w:type="dxa"/>
            <w:shd w:val="clear" w:color="auto" w:fill="FFFFFF"/>
          </w:tcPr>
          <w:p w:rsidR="00D05448" w:rsidRPr="002D302A" w:rsidRDefault="004F0B5A" w:rsidP="002F45CF">
            <w:pPr>
              <w:spacing w:after="0" w:line="240" w:lineRule="auto"/>
              <w:jc w:val="both"/>
              <w:rPr>
                <w:rFonts w:ascii="Tahoma" w:hAnsi="Tahoma" w:cs="Tahoma"/>
                <w:color w:val="4B4B4B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D05448" w:rsidRPr="00D25E38" w:rsidRDefault="00D05448" w:rsidP="00940A95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D25E38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9"/>
        <w:gridCol w:w="4174"/>
        <w:gridCol w:w="4253"/>
      </w:tblGrid>
      <w:tr w:rsidR="00D05448" w:rsidRPr="00B232A4" w:rsidTr="00C1199B">
        <w:trPr>
          <w:tblCellSpacing w:w="0" w:type="dxa"/>
        </w:trPr>
        <w:tc>
          <w:tcPr>
            <w:tcW w:w="8946" w:type="dxa"/>
            <w:gridSpan w:val="3"/>
            <w:vAlign w:val="center"/>
          </w:tcPr>
          <w:p w:rsidR="00D05448" w:rsidRPr="00C1199B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C1199B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 II. Tiesību akta projekta ietekme uz sabiedrību</w:t>
            </w:r>
          </w:p>
        </w:tc>
      </w:tr>
      <w:tr w:rsidR="00D05448" w:rsidRPr="00B232A4" w:rsidTr="00C1199B">
        <w:trPr>
          <w:trHeight w:val="467"/>
          <w:tblCellSpacing w:w="0" w:type="dxa"/>
        </w:trPr>
        <w:tc>
          <w:tcPr>
            <w:tcW w:w="519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174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Sabiedrības </w:t>
            </w:r>
            <w:proofErr w:type="spellStart"/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mērķgrupa</w:t>
            </w:r>
            <w:proofErr w:type="spellEnd"/>
          </w:p>
        </w:tc>
        <w:tc>
          <w:tcPr>
            <w:tcW w:w="4253" w:type="dxa"/>
          </w:tcPr>
          <w:p w:rsidR="00D05448" w:rsidRPr="002744F0" w:rsidRDefault="000813B4" w:rsidP="007B107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</w:rPr>
              <w:t>Lauksaimniecības pakalpojumu kooperatīvās sabiedrības</w:t>
            </w:r>
          </w:p>
        </w:tc>
      </w:tr>
      <w:tr w:rsidR="00D05448" w:rsidRPr="00B232A4" w:rsidTr="00C1199B">
        <w:trPr>
          <w:trHeight w:val="523"/>
          <w:tblCellSpacing w:w="0" w:type="dxa"/>
        </w:trPr>
        <w:tc>
          <w:tcPr>
            <w:tcW w:w="519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174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 Citas sabiedrības grupas (bez </w:t>
            </w:r>
            <w:proofErr w:type="spellStart"/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), kuras tiesiskais regulējums arī ietekmē vai varētu ietekmēt</w:t>
            </w:r>
          </w:p>
        </w:tc>
        <w:tc>
          <w:tcPr>
            <w:tcW w:w="4253" w:type="dxa"/>
          </w:tcPr>
          <w:p w:rsidR="00A30A9B" w:rsidRDefault="000813B4" w:rsidP="000813B4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05448" w:rsidRPr="00B232A4" w:rsidTr="00C1199B">
        <w:trPr>
          <w:trHeight w:val="517"/>
          <w:tblCellSpacing w:w="0" w:type="dxa"/>
        </w:trPr>
        <w:tc>
          <w:tcPr>
            <w:tcW w:w="519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4174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Tiesiskā regulējuma finansiālā ietekme</w:t>
            </w:r>
          </w:p>
        </w:tc>
        <w:tc>
          <w:tcPr>
            <w:tcW w:w="4253" w:type="dxa"/>
          </w:tcPr>
          <w:p w:rsidR="00D05448" w:rsidRPr="00D25E38" w:rsidRDefault="00D05448" w:rsidP="00815F63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05448" w:rsidRPr="00B232A4" w:rsidTr="00EC51CA">
        <w:trPr>
          <w:trHeight w:val="316"/>
          <w:tblCellSpacing w:w="0" w:type="dxa"/>
        </w:trPr>
        <w:tc>
          <w:tcPr>
            <w:tcW w:w="519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4174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Tiesiskā regulējuma nefinansiālā ietekme</w:t>
            </w:r>
          </w:p>
        </w:tc>
        <w:tc>
          <w:tcPr>
            <w:tcW w:w="4253" w:type="dxa"/>
          </w:tcPr>
          <w:p w:rsidR="00D05448" w:rsidRPr="00D25E38" w:rsidRDefault="00D05448" w:rsidP="00815F63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05448" w:rsidRPr="00B232A4" w:rsidTr="00C1199B">
        <w:trPr>
          <w:trHeight w:val="531"/>
          <w:tblCellSpacing w:w="0" w:type="dxa"/>
        </w:trPr>
        <w:tc>
          <w:tcPr>
            <w:tcW w:w="519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4174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Administratīvās procedūras raksturojums</w:t>
            </w:r>
          </w:p>
        </w:tc>
        <w:tc>
          <w:tcPr>
            <w:tcW w:w="4253" w:type="dxa"/>
          </w:tcPr>
          <w:p w:rsidR="00D05448" w:rsidRPr="00815F63" w:rsidRDefault="00D05448" w:rsidP="002F45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232A4">
              <w:rPr>
                <w:rFonts w:ascii="Times New Roman" w:hAnsi="Times New Roman"/>
                <w:sz w:val="24"/>
                <w:szCs w:val="24"/>
              </w:rPr>
              <w:t>Valsts atbalsta piešķiršanas un izmaksas kārtību administrē un uzrauga Lauku atbalsta dienests.</w:t>
            </w:r>
          </w:p>
        </w:tc>
      </w:tr>
      <w:tr w:rsidR="00D05448" w:rsidRPr="00B232A4" w:rsidTr="00C1199B">
        <w:trPr>
          <w:trHeight w:val="357"/>
          <w:tblCellSpacing w:w="0" w:type="dxa"/>
        </w:trPr>
        <w:tc>
          <w:tcPr>
            <w:tcW w:w="519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4174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Administratīvo izmaksu monetārs novērtējums</w:t>
            </w:r>
          </w:p>
        </w:tc>
        <w:tc>
          <w:tcPr>
            <w:tcW w:w="4253" w:type="dxa"/>
          </w:tcPr>
          <w:p w:rsidR="00D05448" w:rsidRPr="00D25E38" w:rsidRDefault="00D05448" w:rsidP="00815F63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05448" w:rsidRPr="00B232A4" w:rsidTr="00C1199B">
        <w:trPr>
          <w:tblCellSpacing w:w="0" w:type="dxa"/>
        </w:trPr>
        <w:tc>
          <w:tcPr>
            <w:tcW w:w="519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4174" w:type="dxa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4253" w:type="dxa"/>
          </w:tcPr>
          <w:p w:rsidR="00D05448" w:rsidRPr="00D25E38" w:rsidRDefault="00D05448" w:rsidP="00815F63">
            <w:pPr>
              <w:spacing w:before="100" w:beforeAutospacing="1" w:after="100" w:afterAutospacing="1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Nav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0847AF" w:rsidRDefault="00D05448" w:rsidP="000847AF">
      <w:pPr>
        <w:pStyle w:val="naiskr"/>
        <w:spacing w:before="0" w:after="0"/>
        <w:rPr>
          <w:i/>
        </w:rPr>
      </w:pPr>
      <w:r w:rsidRPr="00D25E38">
        <w:t> </w:t>
      </w:r>
      <w:r w:rsidR="000847AF">
        <w:rPr>
          <w:i/>
        </w:rPr>
        <w:t xml:space="preserve"> III, </w:t>
      </w:r>
      <w:r w:rsidR="000847AF" w:rsidRPr="00CF1981">
        <w:rPr>
          <w:i/>
        </w:rPr>
        <w:t>IV</w:t>
      </w:r>
      <w:r w:rsidR="001A321B">
        <w:rPr>
          <w:i/>
        </w:rPr>
        <w:t>,</w:t>
      </w:r>
      <w:r w:rsidR="001A321B" w:rsidRPr="00CF1981">
        <w:rPr>
          <w:i/>
        </w:rPr>
        <w:t>V</w:t>
      </w:r>
      <w:r w:rsidR="001A321B">
        <w:rPr>
          <w:i/>
        </w:rPr>
        <w:t xml:space="preserve"> </w:t>
      </w:r>
      <w:r w:rsidR="000847AF">
        <w:rPr>
          <w:i/>
        </w:rPr>
        <w:t>un</w:t>
      </w:r>
      <w:r w:rsidR="000847AF" w:rsidRPr="00CF1981">
        <w:rPr>
          <w:i/>
        </w:rPr>
        <w:t xml:space="preserve"> </w:t>
      </w:r>
      <w:r w:rsidR="001A321B" w:rsidRPr="00CF1981">
        <w:rPr>
          <w:i/>
        </w:rPr>
        <w:t>V</w:t>
      </w:r>
      <w:r w:rsidR="001A321B">
        <w:rPr>
          <w:i/>
        </w:rPr>
        <w:t>I</w:t>
      </w:r>
      <w:r w:rsidR="001A321B" w:rsidRPr="00CF1981">
        <w:rPr>
          <w:i/>
        </w:rPr>
        <w:t xml:space="preserve"> </w:t>
      </w:r>
      <w:r w:rsidR="000847AF" w:rsidRPr="00CF1981">
        <w:rPr>
          <w:i/>
        </w:rPr>
        <w:t>sadaļa – projekts šo jomu neskar.</w:t>
      </w:r>
    </w:p>
    <w:p w:rsidR="00D05448" w:rsidRPr="00D25E38" w:rsidRDefault="00D05448" w:rsidP="00171074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D25E38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9072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2"/>
        <w:gridCol w:w="3497"/>
        <w:gridCol w:w="5103"/>
      </w:tblGrid>
      <w:tr w:rsidR="00D05448" w:rsidRPr="00B232A4" w:rsidTr="00DE4BA6">
        <w:trPr>
          <w:tblCellSpacing w:w="0" w:type="dxa"/>
        </w:trPr>
        <w:tc>
          <w:tcPr>
            <w:tcW w:w="9072" w:type="dxa"/>
            <w:gridSpan w:val="3"/>
          </w:tcPr>
          <w:p w:rsidR="00D05448" w:rsidRPr="00D25E38" w:rsidRDefault="00D05448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 VII. Tiesību akta projekta izpildes nodrošināšana un tās ietekme uz institūcijām</w:t>
            </w:r>
          </w:p>
        </w:tc>
      </w:tr>
      <w:tr w:rsidR="000E1C40" w:rsidRPr="00B232A4" w:rsidTr="00DE4BA6">
        <w:trPr>
          <w:trHeight w:val="427"/>
          <w:tblCellSpacing w:w="0" w:type="dxa"/>
        </w:trPr>
        <w:tc>
          <w:tcPr>
            <w:tcW w:w="472" w:type="dxa"/>
          </w:tcPr>
          <w:p w:rsidR="000E1C40" w:rsidRPr="00D25E38" w:rsidRDefault="000E1C40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497" w:type="dxa"/>
          </w:tcPr>
          <w:p w:rsidR="000E1C40" w:rsidRPr="00D25E38" w:rsidRDefault="000E1C40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Projekta izpildē iesaistītās institūcijas</w:t>
            </w:r>
          </w:p>
        </w:tc>
        <w:tc>
          <w:tcPr>
            <w:tcW w:w="5103" w:type="dxa"/>
          </w:tcPr>
          <w:p w:rsidR="000E1C40" w:rsidRPr="00E24A36" w:rsidRDefault="000E1C40" w:rsidP="003B33B7">
            <w:pPr>
              <w:pStyle w:val="naisnod"/>
              <w:spacing w:before="0" w:after="0"/>
              <w:ind w:left="57" w:right="57" w:firstLine="413"/>
              <w:jc w:val="both"/>
            </w:pPr>
            <w:r w:rsidRPr="00E24A36">
              <w:rPr>
                <w:iCs/>
              </w:rPr>
              <w:t>Noteikumu projekta izpildi nodrošinās Zemkopības ministrija un Lauku atbalsta dienests.</w:t>
            </w:r>
          </w:p>
        </w:tc>
      </w:tr>
      <w:tr w:rsidR="000E1C40" w:rsidRPr="00B232A4" w:rsidTr="00DE4BA6">
        <w:trPr>
          <w:trHeight w:val="463"/>
          <w:tblCellSpacing w:w="0" w:type="dxa"/>
        </w:trPr>
        <w:tc>
          <w:tcPr>
            <w:tcW w:w="472" w:type="dxa"/>
          </w:tcPr>
          <w:p w:rsidR="000E1C40" w:rsidRPr="00D25E38" w:rsidRDefault="000E1C40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497" w:type="dxa"/>
          </w:tcPr>
          <w:p w:rsidR="000E1C40" w:rsidRPr="00D25E38" w:rsidRDefault="000E1C40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Projekta izpildes ietekme uz pārvaldes funkcijām</w:t>
            </w:r>
          </w:p>
        </w:tc>
        <w:tc>
          <w:tcPr>
            <w:tcW w:w="5103" w:type="dxa"/>
          </w:tcPr>
          <w:p w:rsidR="000E1C40" w:rsidRPr="00E24A36" w:rsidRDefault="000E1C40" w:rsidP="003B33B7">
            <w:pPr>
              <w:pStyle w:val="naisnod"/>
              <w:spacing w:before="0" w:after="0"/>
              <w:ind w:left="57" w:right="57" w:firstLine="413"/>
              <w:jc w:val="both"/>
            </w:pPr>
            <w:r w:rsidRPr="00E24A36">
              <w:t>Projekts šo jomu neskar.</w:t>
            </w:r>
          </w:p>
        </w:tc>
      </w:tr>
      <w:tr w:rsidR="000E1C40" w:rsidRPr="00B232A4" w:rsidTr="00DE4BA6">
        <w:trPr>
          <w:trHeight w:val="725"/>
          <w:tblCellSpacing w:w="0" w:type="dxa"/>
        </w:trPr>
        <w:tc>
          <w:tcPr>
            <w:tcW w:w="472" w:type="dxa"/>
          </w:tcPr>
          <w:p w:rsidR="000E1C40" w:rsidRPr="00D25E38" w:rsidRDefault="000E1C40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3497" w:type="dxa"/>
          </w:tcPr>
          <w:p w:rsidR="000E1C40" w:rsidRPr="00D25E38" w:rsidRDefault="000E1C40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Projekta izpildes ietekme uz pārvaldes institucionālo struktūru.</w:t>
            </w:r>
          </w:p>
          <w:p w:rsidR="000E1C40" w:rsidRPr="00D25E38" w:rsidRDefault="000E1C40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Jaunu institūciju izveide</w:t>
            </w:r>
          </w:p>
        </w:tc>
        <w:tc>
          <w:tcPr>
            <w:tcW w:w="5103" w:type="dxa"/>
          </w:tcPr>
          <w:p w:rsidR="000E1C40" w:rsidRPr="00E24A36" w:rsidRDefault="000E1C40" w:rsidP="003B33B7">
            <w:pPr>
              <w:pStyle w:val="naisnod"/>
              <w:spacing w:before="0" w:after="0"/>
              <w:ind w:left="57" w:right="57" w:firstLine="413"/>
              <w:jc w:val="both"/>
            </w:pPr>
            <w:r w:rsidRPr="00E24A36">
              <w:t>Projekts šo jomu neskar.</w:t>
            </w:r>
          </w:p>
        </w:tc>
      </w:tr>
      <w:tr w:rsidR="000E1C40" w:rsidRPr="00B232A4" w:rsidTr="00DE4BA6">
        <w:trPr>
          <w:trHeight w:val="780"/>
          <w:tblCellSpacing w:w="0" w:type="dxa"/>
        </w:trPr>
        <w:tc>
          <w:tcPr>
            <w:tcW w:w="472" w:type="dxa"/>
          </w:tcPr>
          <w:p w:rsidR="000E1C40" w:rsidRPr="00D25E38" w:rsidRDefault="000E1C40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3497" w:type="dxa"/>
          </w:tcPr>
          <w:p w:rsidR="000E1C40" w:rsidRPr="00D25E38" w:rsidRDefault="000E1C40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Projekta izpildes ietekme uz pārvaldes institucionālo struktūru.</w:t>
            </w:r>
          </w:p>
          <w:p w:rsidR="000E1C40" w:rsidRPr="00D25E38" w:rsidRDefault="000E1C40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Esošu institūciju likvidācija</w:t>
            </w:r>
          </w:p>
        </w:tc>
        <w:tc>
          <w:tcPr>
            <w:tcW w:w="5103" w:type="dxa"/>
          </w:tcPr>
          <w:p w:rsidR="000E1C40" w:rsidRPr="00E24A36" w:rsidRDefault="000E1C40" w:rsidP="003B33B7">
            <w:pPr>
              <w:pStyle w:val="naisnod"/>
              <w:spacing w:before="0" w:beforeAutospacing="0" w:after="0" w:afterAutospacing="0"/>
              <w:ind w:firstLine="413"/>
              <w:jc w:val="both"/>
            </w:pPr>
            <w:r w:rsidRPr="00E24A36">
              <w:t>Projekts šo jomu neskar.</w:t>
            </w:r>
          </w:p>
        </w:tc>
      </w:tr>
      <w:tr w:rsidR="000E1C40" w:rsidRPr="00B232A4" w:rsidTr="00DE4BA6">
        <w:trPr>
          <w:trHeight w:val="703"/>
          <w:tblCellSpacing w:w="0" w:type="dxa"/>
        </w:trPr>
        <w:tc>
          <w:tcPr>
            <w:tcW w:w="472" w:type="dxa"/>
          </w:tcPr>
          <w:p w:rsidR="000E1C40" w:rsidRPr="00D25E38" w:rsidRDefault="000E1C40" w:rsidP="00D25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3497" w:type="dxa"/>
          </w:tcPr>
          <w:p w:rsidR="000E1C40" w:rsidRPr="00D25E38" w:rsidRDefault="000E1C40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Projekta izpildes ietekme uz pārvaldes institucionālo struktūru.</w:t>
            </w:r>
          </w:p>
          <w:p w:rsidR="000E1C40" w:rsidRPr="00D25E38" w:rsidRDefault="000E1C40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Esošu institūciju reorganizācija</w:t>
            </w:r>
          </w:p>
        </w:tc>
        <w:tc>
          <w:tcPr>
            <w:tcW w:w="5103" w:type="dxa"/>
          </w:tcPr>
          <w:p w:rsidR="000E1C40" w:rsidRPr="00E24A36" w:rsidRDefault="000E1C40" w:rsidP="003B33B7">
            <w:pPr>
              <w:pStyle w:val="naisnod"/>
              <w:spacing w:before="0" w:beforeAutospacing="0" w:after="0" w:afterAutospacing="0"/>
              <w:ind w:firstLine="413"/>
              <w:jc w:val="both"/>
            </w:pPr>
            <w:r w:rsidRPr="00E24A36">
              <w:t>Projekts šo jomu neskar.</w:t>
            </w:r>
          </w:p>
        </w:tc>
      </w:tr>
      <w:tr w:rsidR="00D05448" w:rsidRPr="00B232A4" w:rsidTr="00EC51CA">
        <w:trPr>
          <w:trHeight w:val="225"/>
          <w:tblCellSpacing w:w="0" w:type="dxa"/>
        </w:trPr>
        <w:tc>
          <w:tcPr>
            <w:tcW w:w="472" w:type="dxa"/>
          </w:tcPr>
          <w:p w:rsidR="00D05448" w:rsidRPr="00D25E38" w:rsidRDefault="00D05448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3497" w:type="dxa"/>
          </w:tcPr>
          <w:p w:rsidR="00D05448" w:rsidRPr="00D25E38" w:rsidRDefault="00D05448" w:rsidP="00171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25E38">
              <w:rPr>
                <w:rFonts w:ascii="Times New Roman" w:hAnsi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103" w:type="dxa"/>
          </w:tcPr>
          <w:p w:rsidR="00D05448" w:rsidRPr="00D67627" w:rsidRDefault="00D05448" w:rsidP="002217DF">
            <w:pPr>
              <w:pStyle w:val="naiskr"/>
              <w:spacing w:before="0" w:beforeAutospacing="0" w:after="0" w:afterAutospacing="0"/>
            </w:pPr>
            <w:r w:rsidRPr="00D67627">
              <w:t>Nav.</w:t>
            </w:r>
          </w:p>
        </w:tc>
      </w:tr>
    </w:tbl>
    <w:p w:rsidR="006B1A69" w:rsidRDefault="006B1A69" w:rsidP="000D6F1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7D3B2C" w:rsidRDefault="007D3B2C" w:rsidP="000D6F10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D05448" w:rsidRPr="000D6F10" w:rsidRDefault="00D05448" w:rsidP="000D6F10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0D6F10">
        <w:rPr>
          <w:rFonts w:ascii="Times New Roman" w:hAnsi="Times New Roman"/>
          <w:sz w:val="28"/>
          <w:szCs w:val="28"/>
        </w:rPr>
        <w:t>Zemkopības ministr</w:t>
      </w:r>
      <w:r w:rsidR="00E159FE">
        <w:rPr>
          <w:rFonts w:ascii="Times New Roman" w:hAnsi="Times New Roman"/>
          <w:sz w:val="28"/>
          <w:szCs w:val="28"/>
        </w:rPr>
        <w:t>e</w:t>
      </w:r>
      <w:r w:rsidRPr="000D6F10">
        <w:rPr>
          <w:rFonts w:ascii="Times New Roman" w:hAnsi="Times New Roman"/>
          <w:sz w:val="28"/>
          <w:szCs w:val="28"/>
        </w:rPr>
        <w:tab/>
      </w:r>
      <w:r w:rsidRPr="000D6F10">
        <w:rPr>
          <w:rFonts w:ascii="Times New Roman" w:hAnsi="Times New Roman"/>
          <w:sz w:val="28"/>
          <w:szCs w:val="28"/>
        </w:rPr>
        <w:tab/>
      </w:r>
      <w:r w:rsidRPr="000D6F10">
        <w:rPr>
          <w:rFonts w:ascii="Times New Roman" w:hAnsi="Times New Roman"/>
          <w:sz w:val="28"/>
          <w:szCs w:val="28"/>
        </w:rPr>
        <w:tab/>
      </w:r>
      <w:r w:rsidR="002217DF">
        <w:rPr>
          <w:rFonts w:ascii="Times New Roman" w:hAnsi="Times New Roman"/>
          <w:sz w:val="28"/>
          <w:szCs w:val="28"/>
        </w:rPr>
        <w:tab/>
      </w:r>
      <w:r w:rsidR="002217DF">
        <w:rPr>
          <w:rFonts w:ascii="Times New Roman" w:hAnsi="Times New Roman"/>
          <w:sz w:val="28"/>
          <w:szCs w:val="28"/>
        </w:rPr>
        <w:tab/>
      </w:r>
      <w:r w:rsidRPr="000D6F10">
        <w:rPr>
          <w:rFonts w:ascii="Times New Roman" w:hAnsi="Times New Roman"/>
          <w:sz w:val="28"/>
          <w:szCs w:val="28"/>
        </w:rPr>
        <w:tab/>
      </w:r>
      <w:r w:rsidR="00E159FE">
        <w:rPr>
          <w:rFonts w:ascii="Times New Roman" w:hAnsi="Times New Roman"/>
          <w:sz w:val="28"/>
          <w:szCs w:val="28"/>
        </w:rPr>
        <w:t>L.Straujuma</w:t>
      </w:r>
    </w:p>
    <w:p w:rsidR="007D3B2C" w:rsidRPr="00B32DF9" w:rsidRDefault="007D3B2C" w:rsidP="000D6F10">
      <w:pPr>
        <w:spacing w:after="0"/>
        <w:rPr>
          <w:rFonts w:ascii="Times New Roman" w:hAnsi="Times New Roman"/>
          <w:sz w:val="20"/>
          <w:szCs w:val="20"/>
        </w:rPr>
      </w:pPr>
    </w:p>
    <w:p w:rsidR="00341BEC" w:rsidRDefault="00341BEC" w:rsidP="000D6F1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2012.12.04. 15:25</w:t>
      </w:r>
    </w:p>
    <w:p w:rsidR="00341BEC" w:rsidRDefault="00341BEC" w:rsidP="000D6F10">
      <w:pPr>
        <w:spacing w:after="0"/>
        <w:rPr>
          <w:rFonts w:ascii="Times New Roman" w:hAnsi="Times New Roman"/>
          <w:sz w:val="20"/>
          <w:szCs w:val="20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</w:rPr>
          <w:t>481</w:t>
        </w:r>
      </w:fldSimple>
    </w:p>
    <w:p w:rsidR="00D05448" w:rsidRPr="002C242E" w:rsidRDefault="007108AD" w:rsidP="000D6F1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2C242E">
        <w:rPr>
          <w:rFonts w:ascii="Times New Roman" w:hAnsi="Times New Roman"/>
          <w:sz w:val="20"/>
          <w:szCs w:val="20"/>
        </w:rPr>
        <w:t>L.Voiče</w:t>
      </w:r>
      <w:proofErr w:type="spellEnd"/>
    </w:p>
    <w:p w:rsidR="00D05448" w:rsidRPr="002C242E" w:rsidRDefault="007108AD" w:rsidP="00925E8B">
      <w:pPr>
        <w:pStyle w:val="Galvene"/>
        <w:tabs>
          <w:tab w:val="clear" w:pos="4153"/>
          <w:tab w:val="clear" w:pos="8306"/>
        </w:tabs>
        <w:rPr>
          <w:sz w:val="20"/>
          <w:szCs w:val="20"/>
        </w:rPr>
      </w:pPr>
      <w:r w:rsidRPr="002C242E">
        <w:rPr>
          <w:sz w:val="20"/>
          <w:szCs w:val="20"/>
        </w:rPr>
        <w:t>67027121, Linda.Voice</w:t>
      </w:r>
      <w:r w:rsidR="00D05448" w:rsidRPr="002C242E">
        <w:rPr>
          <w:sz w:val="20"/>
          <w:szCs w:val="20"/>
        </w:rPr>
        <w:t>@zm.gov.lv</w:t>
      </w:r>
    </w:p>
    <w:sectPr w:rsidR="00D05448" w:rsidRPr="002C242E" w:rsidSect="00341BE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A3" w:rsidRDefault="007936A3" w:rsidP="000D6F10">
      <w:pPr>
        <w:spacing w:after="0" w:line="240" w:lineRule="auto"/>
      </w:pPr>
      <w:r>
        <w:separator/>
      </w:r>
    </w:p>
  </w:endnote>
  <w:endnote w:type="continuationSeparator" w:id="0">
    <w:p w:rsidR="007936A3" w:rsidRDefault="007936A3" w:rsidP="000D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2E" w:rsidRPr="000D6F10" w:rsidRDefault="002C242E" w:rsidP="002C242E">
    <w:pPr>
      <w:pStyle w:val="Kjene"/>
      <w:rPr>
        <w:rFonts w:ascii="Times New Roman" w:hAnsi="Times New Roman"/>
      </w:rPr>
    </w:pPr>
    <w:r w:rsidRPr="000D6F10">
      <w:rPr>
        <w:rFonts w:ascii="Times New Roman" w:hAnsi="Times New Roman"/>
      </w:rPr>
      <w:t>ZMA</w:t>
    </w:r>
    <w:r>
      <w:rPr>
        <w:rFonts w:ascii="Times New Roman" w:hAnsi="Times New Roman"/>
      </w:rPr>
      <w:t>n</w:t>
    </w:r>
    <w:r w:rsidRPr="000D6F10">
      <w:rPr>
        <w:rFonts w:ascii="Times New Roman" w:hAnsi="Times New Roman"/>
      </w:rPr>
      <w:t>ot_</w:t>
    </w:r>
    <w:r>
      <w:rPr>
        <w:rFonts w:ascii="Times New Roman" w:hAnsi="Times New Roman"/>
      </w:rPr>
      <w:t>2711</w:t>
    </w:r>
    <w:r w:rsidRPr="00B46980">
      <w:rPr>
        <w:rFonts w:ascii="Times New Roman" w:hAnsi="Times New Roman"/>
      </w:rPr>
      <w:t>12</w:t>
    </w:r>
    <w:r>
      <w:rPr>
        <w:rFonts w:ascii="Times New Roman" w:hAnsi="Times New Roman"/>
      </w:rPr>
      <w:t xml:space="preserve">; </w:t>
    </w:r>
    <w:r w:rsidRPr="002C242E">
      <w:rPr>
        <w:rFonts w:ascii="Times New Roman" w:hAnsi="Times New Roman"/>
      </w:rPr>
      <w:t>Ministru kabineta noteikumu projekts „Grozījumi Ministru kabineta 2012.gada 13.novembra noteikumos Nr.775 „Kārtība, kādā piešķir valsts un Eiropas Savienības atbalstu investīciju veicināšanai lauksaimniecībā un investīcijām materiālās bāzes pilnveidošanai””</w:t>
    </w:r>
    <w:r>
      <w:rPr>
        <w:rFonts w:ascii="Times New Roman" w:hAnsi="Times New Roman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3E" w:rsidRPr="000D6F10" w:rsidRDefault="002F773E" w:rsidP="002217DF">
    <w:pPr>
      <w:pStyle w:val="Kjene"/>
      <w:rPr>
        <w:rFonts w:ascii="Times New Roman" w:hAnsi="Times New Roman"/>
      </w:rPr>
    </w:pPr>
    <w:r w:rsidRPr="000D6F10">
      <w:rPr>
        <w:rFonts w:ascii="Times New Roman" w:hAnsi="Times New Roman"/>
      </w:rPr>
      <w:t>ZMA</w:t>
    </w:r>
    <w:r>
      <w:rPr>
        <w:rFonts w:ascii="Times New Roman" w:hAnsi="Times New Roman"/>
      </w:rPr>
      <w:t>n</w:t>
    </w:r>
    <w:r w:rsidRPr="000D6F10">
      <w:rPr>
        <w:rFonts w:ascii="Times New Roman" w:hAnsi="Times New Roman"/>
      </w:rPr>
      <w:t>ot_</w:t>
    </w:r>
    <w:r w:rsidR="002C242E">
      <w:rPr>
        <w:rFonts w:ascii="Times New Roman" w:hAnsi="Times New Roman"/>
      </w:rPr>
      <w:t>27</w:t>
    </w:r>
    <w:r>
      <w:rPr>
        <w:rFonts w:ascii="Times New Roman" w:hAnsi="Times New Roman"/>
      </w:rPr>
      <w:t>11</w:t>
    </w:r>
    <w:r w:rsidRPr="00B46980">
      <w:rPr>
        <w:rFonts w:ascii="Times New Roman" w:hAnsi="Times New Roman"/>
      </w:rPr>
      <w:t>12</w:t>
    </w:r>
    <w:r>
      <w:rPr>
        <w:rFonts w:ascii="Times New Roman" w:hAnsi="Times New Roman"/>
      </w:rPr>
      <w:t xml:space="preserve">; </w:t>
    </w:r>
    <w:r w:rsidR="002C242E" w:rsidRPr="002C242E">
      <w:rPr>
        <w:rFonts w:ascii="Times New Roman" w:hAnsi="Times New Roman"/>
      </w:rPr>
      <w:t>Ministru kabineta noteikumu projekts „Grozījumi Ministru kabineta 2012.gada 13.novembra noteikumos Nr.775 „Kārtība, kādā piešķir valsts un Eiropas Savienības atbalstu investīciju veicināšanai lauksaimniecībā un investīcijām materiālās bāzes pilnveidošanai””</w:t>
    </w:r>
    <w:r>
      <w:rPr>
        <w:rFonts w:ascii="Times New Roman" w:hAnsi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A3" w:rsidRDefault="007936A3" w:rsidP="000D6F10">
      <w:pPr>
        <w:spacing w:after="0" w:line="240" w:lineRule="auto"/>
      </w:pPr>
      <w:r>
        <w:separator/>
      </w:r>
    </w:p>
  </w:footnote>
  <w:footnote w:type="continuationSeparator" w:id="0">
    <w:p w:rsidR="007936A3" w:rsidRDefault="007936A3" w:rsidP="000D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73E" w:rsidRDefault="00AB096F">
    <w:pPr>
      <w:pStyle w:val="Galvene"/>
      <w:jc w:val="center"/>
    </w:pPr>
    <w:r>
      <w:fldChar w:fldCharType="begin"/>
    </w:r>
    <w:r w:rsidR="002F773E">
      <w:instrText xml:space="preserve"> PAGE   \* MERGEFORMAT </w:instrText>
    </w:r>
    <w:r>
      <w:fldChar w:fldCharType="separate"/>
    </w:r>
    <w:r w:rsidR="00341BEC">
      <w:rPr>
        <w:noProof/>
      </w:rPr>
      <w:t>2</w:t>
    </w:r>
    <w:r>
      <w:rPr>
        <w:noProof/>
      </w:rPr>
      <w:fldChar w:fldCharType="end"/>
    </w:r>
  </w:p>
  <w:p w:rsidR="002F773E" w:rsidRDefault="002F773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7E5F"/>
    <w:multiLevelType w:val="hybridMultilevel"/>
    <w:tmpl w:val="A532EF7A"/>
    <w:lvl w:ilvl="0" w:tplc="951CCF1A">
      <w:start w:val="3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4DD07CC0"/>
    <w:multiLevelType w:val="hybridMultilevel"/>
    <w:tmpl w:val="564C2A42"/>
    <w:lvl w:ilvl="0" w:tplc="5CCC75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4C2CB6"/>
    <w:multiLevelType w:val="hybridMultilevel"/>
    <w:tmpl w:val="4D645F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4559"/>
    <w:multiLevelType w:val="hybridMultilevel"/>
    <w:tmpl w:val="DD22E52E"/>
    <w:lvl w:ilvl="0" w:tplc="769800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D37E3"/>
    <w:multiLevelType w:val="hybridMultilevel"/>
    <w:tmpl w:val="D42AE344"/>
    <w:lvl w:ilvl="0" w:tplc="0D06184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E38"/>
    <w:rsid w:val="0002194E"/>
    <w:rsid w:val="00030E56"/>
    <w:rsid w:val="000748C0"/>
    <w:rsid w:val="000813B4"/>
    <w:rsid w:val="000847AF"/>
    <w:rsid w:val="00084BF1"/>
    <w:rsid w:val="00091D8A"/>
    <w:rsid w:val="00091FEA"/>
    <w:rsid w:val="00096C32"/>
    <w:rsid w:val="000A010B"/>
    <w:rsid w:val="000B494B"/>
    <w:rsid w:val="000C4A47"/>
    <w:rsid w:val="000C54EC"/>
    <w:rsid w:val="000C6429"/>
    <w:rsid w:val="000D6F10"/>
    <w:rsid w:val="000E1C40"/>
    <w:rsid w:val="000E2990"/>
    <w:rsid w:val="000F693C"/>
    <w:rsid w:val="00102227"/>
    <w:rsid w:val="0010413A"/>
    <w:rsid w:val="001069B2"/>
    <w:rsid w:val="00114F71"/>
    <w:rsid w:val="00116002"/>
    <w:rsid w:val="001205FA"/>
    <w:rsid w:val="0012274B"/>
    <w:rsid w:val="00127926"/>
    <w:rsid w:val="00152210"/>
    <w:rsid w:val="00155970"/>
    <w:rsid w:val="00171074"/>
    <w:rsid w:val="00175072"/>
    <w:rsid w:val="00190EC7"/>
    <w:rsid w:val="001A11B1"/>
    <w:rsid w:val="001A321B"/>
    <w:rsid w:val="001A696C"/>
    <w:rsid w:val="001D4C0F"/>
    <w:rsid w:val="001E592D"/>
    <w:rsid w:val="00203AD0"/>
    <w:rsid w:val="0020745B"/>
    <w:rsid w:val="0021269C"/>
    <w:rsid w:val="00212CC3"/>
    <w:rsid w:val="00215577"/>
    <w:rsid w:val="00216D0D"/>
    <w:rsid w:val="00220A48"/>
    <w:rsid w:val="002217DF"/>
    <w:rsid w:val="00230D39"/>
    <w:rsid w:val="00246BB5"/>
    <w:rsid w:val="00251B0C"/>
    <w:rsid w:val="002629B4"/>
    <w:rsid w:val="00272BBB"/>
    <w:rsid w:val="002744F0"/>
    <w:rsid w:val="002855A3"/>
    <w:rsid w:val="0028773B"/>
    <w:rsid w:val="002A23E8"/>
    <w:rsid w:val="002B0805"/>
    <w:rsid w:val="002B1BC2"/>
    <w:rsid w:val="002C242E"/>
    <w:rsid w:val="002C27C8"/>
    <w:rsid w:val="002C3F5A"/>
    <w:rsid w:val="002D302A"/>
    <w:rsid w:val="002D768D"/>
    <w:rsid w:val="002E1633"/>
    <w:rsid w:val="002E7500"/>
    <w:rsid w:val="002E7E19"/>
    <w:rsid w:val="002F0F00"/>
    <w:rsid w:val="002F45CF"/>
    <w:rsid w:val="002F45E9"/>
    <w:rsid w:val="002F686A"/>
    <w:rsid w:val="002F773E"/>
    <w:rsid w:val="00310BE0"/>
    <w:rsid w:val="00316466"/>
    <w:rsid w:val="00323975"/>
    <w:rsid w:val="00336E76"/>
    <w:rsid w:val="00341BEC"/>
    <w:rsid w:val="00351238"/>
    <w:rsid w:val="00354B2D"/>
    <w:rsid w:val="003575DD"/>
    <w:rsid w:val="00365CE3"/>
    <w:rsid w:val="003909C0"/>
    <w:rsid w:val="003A086F"/>
    <w:rsid w:val="003A1E94"/>
    <w:rsid w:val="003A4BAB"/>
    <w:rsid w:val="003B33B7"/>
    <w:rsid w:val="003B3F4F"/>
    <w:rsid w:val="003B6079"/>
    <w:rsid w:val="003B74AB"/>
    <w:rsid w:val="003D284A"/>
    <w:rsid w:val="003E4683"/>
    <w:rsid w:val="003E5D82"/>
    <w:rsid w:val="003F0D45"/>
    <w:rsid w:val="0040434F"/>
    <w:rsid w:val="00413A83"/>
    <w:rsid w:val="0041578D"/>
    <w:rsid w:val="004264CD"/>
    <w:rsid w:val="00435D3C"/>
    <w:rsid w:val="00437E4A"/>
    <w:rsid w:val="004409AA"/>
    <w:rsid w:val="00462228"/>
    <w:rsid w:val="00467810"/>
    <w:rsid w:val="00477669"/>
    <w:rsid w:val="0048403F"/>
    <w:rsid w:val="0048636A"/>
    <w:rsid w:val="0049736E"/>
    <w:rsid w:val="004A0BDF"/>
    <w:rsid w:val="004A6FE8"/>
    <w:rsid w:val="004B07EA"/>
    <w:rsid w:val="004D6E18"/>
    <w:rsid w:val="004E17FF"/>
    <w:rsid w:val="004E38B3"/>
    <w:rsid w:val="004F0B5A"/>
    <w:rsid w:val="004F1D37"/>
    <w:rsid w:val="00502978"/>
    <w:rsid w:val="0050577E"/>
    <w:rsid w:val="00515677"/>
    <w:rsid w:val="005221C0"/>
    <w:rsid w:val="00522F94"/>
    <w:rsid w:val="00523298"/>
    <w:rsid w:val="005270E4"/>
    <w:rsid w:val="00533B4D"/>
    <w:rsid w:val="0053550A"/>
    <w:rsid w:val="00545652"/>
    <w:rsid w:val="005554F8"/>
    <w:rsid w:val="005560FA"/>
    <w:rsid w:val="00565963"/>
    <w:rsid w:val="00567186"/>
    <w:rsid w:val="00581B0D"/>
    <w:rsid w:val="0058384B"/>
    <w:rsid w:val="005907EC"/>
    <w:rsid w:val="005B7F8A"/>
    <w:rsid w:val="005C4A1D"/>
    <w:rsid w:val="005C6719"/>
    <w:rsid w:val="005E5293"/>
    <w:rsid w:val="005E603A"/>
    <w:rsid w:val="005E6639"/>
    <w:rsid w:val="005E7DA8"/>
    <w:rsid w:val="005F4330"/>
    <w:rsid w:val="00600CD4"/>
    <w:rsid w:val="0061075B"/>
    <w:rsid w:val="00635C74"/>
    <w:rsid w:val="0065787F"/>
    <w:rsid w:val="00673B0D"/>
    <w:rsid w:val="00674B8F"/>
    <w:rsid w:val="006833CA"/>
    <w:rsid w:val="00691224"/>
    <w:rsid w:val="006918D8"/>
    <w:rsid w:val="006A0964"/>
    <w:rsid w:val="006A180A"/>
    <w:rsid w:val="006A53F8"/>
    <w:rsid w:val="006B172E"/>
    <w:rsid w:val="006B1A69"/>
    <w:rsid w:val="006B79A8"/>
    <w:rsid w:val="006C629A"/>
    <w:rsid w:val="006D296B"/>
    <w:rsid w:val="006E3FF4"/>
    <w:rsid w:val="006E63FC"/>
    <w:rsid w:val="006E66AE"/>
    <w:rsid w:val="006F246B"/>
    <w:rsid w:val="006F40AB"/>
    <w:rsid w:val="00704084"/>
    <w:rsid w:val="00705DE5"/>
    <w:rsid w:val="007108AD"/>
    <w:rsid w:val="0071281F"/>
    <w:rsid w:val="00713414"/>
    <w:rsid w:val="00776F85"/>
    <w:rsid w:val="0078377A"/>
    <w:rsid w:val="00783EEA"/>
    <w:rsid w:val="007862F4"/>
    <w:rsid w:val="00790C83"/>
    <w:rsid w:val="007936A3"/>
    <w:rsid w:val="007A42EF"/>
    <w:rsid w:val="007B107B"/>
    <w:rsid w:val="007D3B2C"/>
    <w:rsid w:val="007E2AF6"/>
    <w:rsid w:val="007E7967"/>
    <w:rsid w:val="007E797C"/>
    <w:rsid w:val="007F4174"/>
    <w:rsid w:val="0081091E"/>
    <w:rsid w:val="00815F63"/>
    <w:rsid w:val="008258F8"/>
    <w:rsid w:val="00844D64"/>
    <w:rsid w:val="00844D7F"/>
    <w:rsid w:val="008464F2"/>
    <w:rsid w:val="00851920"/>
    <w:rsid w:val="00854192"/>
    <w:rsid w:val="00864302"/>
    <w:rsid w:val="008648ED"/>
    <w:rsid w:val="008776F6"/>
    <w:rsid w:val="00880B88"/>
    <w:rsid w:val="00890C56"/>
    <w:rsid w:val="008F30F8"/>
    <w:rsid w:val="00910906"/>
    <w:rsid w:val="00913C8E"/>
    <w:rsid w:val="00916A7A"/>
    <w:rsid w:val="00925D26"/>
    <w:rsid w:val="00925E8B"/>
    <w:rsid w:val="0093399B"/>
    <w:rsid w:val="00940A95"/>
    <w:rsid w:val="009446E2"/>
    <w:rsid w:val="0098072E"/>
    <w:rsid w:val="00987227"/>
    <w:rsid w:val="0099264F"/>
    <w:rsid w:val="00992F66"/>
    <w:rsid w:val="009957BB"/>
    <w:rsid w:val="00996F3A"/>
    <w:rsid w:val="0099723A"/>
    <w:rsid w:val="009A0765"/>
    <w:rsid w:val="009A19F8"/>
    <w:rsid w:val="009A2CFF"/>
    <w:rsid w:val="009C2290"/>
    <w:rsid w:val="009D28FE"/>
    <w:rsid w:val="009E42DA"/>
    <w:rsid w:val="009E43C2"/>
    <w:rsid w:val="009E487B"/>
    <w:rsid w:val="009E69BC"/>
    <w:rsid w:val="009E6F7D"/>
    <w:rsid w:val="009F5C63"/>
    <w:rsid w:val="009F5CA2"/>
    <w:rsid w:val="00A02A4B"/>
    <w:rsid w:val="00A071DA"/>
    <w:rsid w:val="00A1104D"/>
    <w:rsid w:val="00A30A9B"/>
    <w:rsid w:val="00A50C8A"/>
    <w:rsid w:val="00A57037"/>
    <w:rsid w:val="00A6674F"/>
    <w:rsid w:val="00A92D1D"/>
    <w:rsid w:val="00AB096F"/>
    <w:rsid w:val="00AB0A0C"/>
    <w:rsid w:val="00AB4827"/>
    <w:rsid w:val="00AC23AE"/>
    <w:rsid w:val="00AC30E6"/>
    <w:rsid w:val="00AC4A36"/>
    <w:rsid w:val="00AD0063"/>
    <w:rsid w:val="00AD221F"/>
    <w:rsid w:val="00AD52EB"/>
    <w:rsid w:val="00AE77F1"/>
    <w:rsid w:val="00AE7A22"/>
    <w:rsid w:val="00AF227B"/>
    <w:rsid w:val="00B03BC2"/>
    <w:rsid w:val="00B10DBA"/>
    <w:rsid w:val="00B20DCE"/>
    <w:rsid w:val="00B232A4"/>
    <w:rsid w:val="00B32DF9"/>
    <w:rsid w:val="00B45C8D"/>
    <w:rsid w:val="00B46980"/>
    <w:rsid w:val="00B47897"/>
    <w:rsid w:val="00B51F43"/>
    <w:rsid w:val="00B60166"/>
    <w:rsid w:val="00B60FC5"/>
    <w:rsid w:val="00B621D1"/>
    <w:rsid w:val="00B65050"/>
    <w:rsid w:val="00B7472E"/>
    <w:rsid w:val="00B80AE0"/>
    <w:rsid w:val="00B84DD2"/>
    <w:rsid w:val="00B92C9B"/>
    <w:rsid w:val="00B93385"/>
    <w:rsid w:val="00B94CE1"/>
    <w:rsid w:val="00B97C52"/>
    <w:rsid w:val="00BA37B9"/>
    <w:rsid w:val="00BC10D2"/>
    <w:rsid w:val="00BC6686"/>
    <w:rsid w:val="00BE2051"/>
    <w:rsid w:val="00BE4809"/>
    <w:rsid w:val="00BF11B6"/>
    <w:rsid w:val="00BF45E4"/>
    <w:rsid w:val="00C02605"/>
    <w:rsid w:val="00C051F7"/>
    <w:rsid w:val="00C11985"/>
    <w:rsid w:val="00C1199B"/>
    <w:rsid w:val="00C234C8"/>
    <w:rsid w:val="00C4248B"/>
    <w:rsid w:val="00C503D3"/>
    <w:rsid w:val="00C5717D"/>
    <w:rsid w:val="00C70F1F"/>
    <w:rsid w:val="00C74FCC"/>
    <w:rsid w:val="00C769AC"/>
    <w:rsid w:val="00CA19EF"/>
    <w:rsid w:val="00CD38DF"/>
    <w:rsid w:val="00CF0EA1"/>
    <w:rsid w:val="00CF2CF8"/>
    <w:rsid w:val="00CF3766"/>
    <w:rsid w:val="00CF5E8F"/>
    <w:rsid w:val="00D007D4"/>
    <w:rsid w:val="00D05448"/>
    <w:rsid w:val="00D06870"/>
    <w:rsid w:val="00D2573D"/>
    <w:rsid w:val="00D25E38"/>
    <w:rsid w:val="00D30F1D"/>
    <w:rsid w:val="00D31790"/>
    <w:rsid w:val="00D3305D"/>
    <w:rsid w:val="00D3434A"/>
    <w:rsid w:val="00D379DE"/>
    <w:rsid w:val="00D4065C"/>
    <w:rsid w:val="00D40914"/>
    <w:rsid w:val="00D431AD"/>
    <w:rsid w:val="00D45354"/>
    <w:rsid w:val="00D50B3C"/>
    <w:rsid w:val="00D5133C"/>
    <w:rsid w:val="00D64466"/>
    <w:rsid w:val="00D67627"/>
    <w:rsid w:val="00D83223"/>
    <w:rsid w:val="00D83926"/>
    <w:rsid w:val="00D84E47"/>
    <w:rsid w:val="00DA261C"/>
    <w:rsid w:val="00DA36BA"/>
    <w:rsid w:val="00DA52DC"/>
    <w:rsid w:val="00DB550A"/>
    <w:rsid w:val="00DC5223"/>
    <w:rsid w:val="00DD599D"/>
    <w:rsid w:val="00DE04C6"/>
    <w:rsid w:val="00DE2665"/>
    <w:rsid w:val="00DE37D5"/>
    <w:rsid w:val="00DE4BA6"/>
    <w:rsid w:val="00DE5CEF"/>
    <w:rsid w:val="00E06C8B"/>
    <w:rsid w:val="00E14524"/>
    <w:rsid w:val="00E159FE"/>
    <w:rsid w:val="00E15D63"/>
    <w:rsid w:val="00E23B65"/>
    <w:rsid w:val="00E45D40"/>
    <w:rsid w:val="00E509AD"/>
    <w:rsid w:val="00E559AE"/>
    <w:rsid w:val="00E564BB"/>
    <w:rsid w:val="00E66B53"/>
    <w:rsid w:val="00E757D4"/>
    <w:rsid w:val="00E82DC2"/>
    <w:rsid w:val="00E83EEF"/>
    <w:rsid w:val="00E8439D"/>
    <w:rsid w:val="00EC03EA"/>
    <w:rsid w:val="00EC3669"/>
    <w:rsid w:val="00EC51CA"/>
    <w:rsid w:val="00EF21F0"/>
    <w:rsid w:val="00EF630C"/>
    <w:rsid w:val="00EF6537"/>
    <w:rsid w:val="00F0533F"/>
    <w:rsid w:val="00F05789"/>
    <w:rsid w:val="00F0618D"/>
    <w:rsid w:val="00F10C2F"/>
    <w:rsid w:val="00F21AE1"/>
    <w:rsid w:val="00F25EB8"/>
    <w:rsid w:val="00F32F7C"/>
    <w:rsid w:val="00F34878"/>
    <w:rsid w:val="00F34B14"/>
    <w:rsid w:val="00F36FCB"/>
    <w:rsid w:val="00F40865"/>
    <w:rsid w:val="00F50AB1"/>
    <w:rsid w:val="00F64A17"/>
    <w:rsid w:val="00F65B62"/>
    <w:rsid w:val="00F74B70"/>
    <w:rsid w:val="00F74C86"/>
    <w:rsid w:val="00F821D2"/>
    <w:rsid w:val="00FA0B91"/>
    <w:rsid w:val="00FB12C1"/>
    <w:rsid w:val="00FB2240"/>
    <w:rsid w:val="00FD6C0B"/>
    <w:rsid w:val="00FE702D"/>
    <w:rsid w:val="00FF5291"/>
    <w:rsid w:val="00F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069B2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ai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ai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ais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ai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815F63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locked/>
    <w:rsid w:val="000D6F10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/>
    </w:rPr>
  </w:style>
  <w:style w:type="character" w:customStyle="1" w:styleId="KjeneRakstz">
    <w:name w:val="Kājene Rakstz."/>
    <w:link w:val="Kjene"/>
    <w:uiPriority w:val="99"/>
    <w:locked/>
    <w:rsid w:val="000D6F10"/>
    <w:rPr>
      <w:rFonts w:cs="Times New Roman"/>
    </w:rPr>
  </w:style>
  <w:style w:type="paragraph" w:styleId="Balonteksts">
    <w:name w:val="Balloon Text"/>
    <w:basedOn w:val="Parastais"/>
    <w:link w:val="BalontekstsRakstz"/>
    <w:uiPriority w:val="99"/>
    <w:semiHidden/>
    <w:rsid w:val="000D6F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tekstsRakstz">
    <w:name w:val="Balonteksts Rakstz."/>
    <w:link w:val="Balonteksts"/>
    <w:uiPriority w:val="99"/>
    <w:semiHidden/>
    <w:locked/>
    <w:rsid w:val="000D6F10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semiHidden/>
    <w:unhideWhenUsed/>
    <w:rsid w:val="00B10DBA"/>
    <w:rPr>
      <w:color w:val="0000FF"/>
      <w:u w:val="single"/>
    </w:rPr>
  </w:style>
  <w:style w:type="paragraph" w:styleId="Pamattekstaatkpe2">
    <w:name w:val="Body Text Indent 2"/>
    <w:basedOn w:val="Parastais"/>
    <w:rsid w:val="00B45C8D"/>
    <w:pPr>
      <w:spacing w:after="0" w:line="240" w:lineRule="auto"/>
      <w:ind w:firstLine="435"/>
      <w:jc w:val="both"/>
    </w:pPr>
    <w:rPr>
      <w:rFonts w:ascii="Times New Roman" w:eastAsia="Times New Roman" w:hAnsi="Times New Roman"/>
      <w:sz w:val="24"/>
      <w:szCs w:val="20"/>
    </w:rPr>
  </w:style>
  <w:style w:type="character" w:styleId="Komentraatsauce">
    <w:name w:val="annotation reference"/>
    <w:semiHidden/>
    <w:rsid w:val="00523298"/>
    <w:rPr>
      <w:sz w:val="16"/>
      <w:szCs w:val="16"/>
    </w:rPr>
  </w:style>
  <w:style w:type="paragraph" w:styleId="Komentrateksts">
    <w:name w:val="annotation text"/>
    <w:basedOn w:val="Parastais"/>
    <w:semiHidden/>
    <w:rsid w:val="0052329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23298"/>
    <w:rPr>
      <w:b/>
      <w:bCs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0813B4"/>
    <w:pPr>
      <w:spacing w:after="120"/>
      <w:ind w:left="283"/>
    </w:pPr>
    <w:rPr>
      <w:lang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0813B4"/>
    <w:rPr>
      <w:sz w:val="22"/>
      <w:szCs w:val="22"/>
      <w:lang w:eastAsia="en-US"/>
    </w:rPr>
  </w:style>
  <w:style w:type="paragraph" w:customStyle="1" w:styleId="Parasts1">
    <w:name w:val="Parasts1"/>
    <w:qFormat/>
    <w:rsid w:val="000813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2A0A-E318-42E2-B183-4F02B71F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496</Words>
  <Characters>3681</Characters>
  <Application>Microsoft Office Word</Application>
  <DocSecurity>0</DocSecurity>
  <Lines>141</Lines>
  <Paragraphs>87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projekts"Kārtība, kādā piešķir valsts un Eiropas Savienības atbalstu investīciju veicināšanai lauksaimniecībā un investīcijām materiālās bāzes pilnveidošanai” sākotnējās ietekmes novērtējuma ziņojums (anotācija)</vt:lpstr>
    </vt:vector>
  </TitlesOfParts>
  <Company>Zemkopības Ministrija</Company>
  <LinksUpToDate>false</LinksUpToDate>
  <CharactersWithSpaces>4090</CharactersWithSpaces>
  <SharedDoc>false</SharedDoc>
  <HLinks>
    <vt:vector size="48" baseType="variant"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projekts"Kārtība, kādā piešķir valsts un Eiropas Savienības atbalstu investīciju veicināšanai lauksaimniecībā un investīcijām materiālās bāzes pilnveidošanai” sākotnējās ietekmes novērtējuma ziņojums (anotācija)</dc:title>
  <dc:subject>Anotācija</dc:subject>
  <dc:creator>Ritvars Zapereckis</dc:creator>
  <dc:description>E-pasts: Ritvars.Zapereckis@zm.gov.lv; Tālr.: 67027301; Fakss: 67878722</dc:description>
  <cp:lastModifiedBy>Renārs Žagars</cp:lastModifiedBy>
  <cp:revision>40</cp:revision>
  <cp:lastPrinted>2012-11-27T09:57:00Z</cp:lastPrinted>
  <dcterms:created xsi:type="dcterms:W3CDTF">2012-10-30T20:40:00Z</dcterms:created>
  <dcterms:modified xsi:type="dcterms:W3CDTF">2012-12-04T13:25:00Z</dcterms:modified>
</cp:coreProperties>
</file>