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81" w:rsidRPr="003D2A75" w:rsidRDefault="00320B81" w:rsidP="00883366">
      <w:pPr>
        <w:jc w:val="center"/>
        <w:rPr>
          <w:b/>
          <w:sz w:val="28"/>
        </w:rPr>
      </w:pPr>
      <w:bookmarkStart w:id="0" w:name="_GoBack"/>
      <w:bookmarkEnd w:id="0"/>
      <w:r w:rsidRPr="003D2A75">
        <w:rPr>
          <w:b/>
          <w:sz w:val="28"/>
        </w:rPr>
        <w:t xml:space="preserve">Ministru kabineta noteikumu projekta </w:t>
      </w:r>
    </w:p>
    <w:p w:rsidR="00320B81" w:rsidRPr="003D2A75" w:rsidRDefault="00320B81" w:rsidP="00883366">
      <w:pPr>
        <w:jc w:val="center"/>
        <w:rPr>
          <w:b/>
          <w:sz w:val="28"/>
        </w:rPr>
      </w:pPr>
      <w:bookmarkStart w:id="1" w:name="OLE_LINK5"/>
      <w:bookmarkStart w:id="2" w:name="OLE_LINK6"/>
      <w:r w:rsidRPr="003D2A75">
        <w:rPr>
          <w:rStyle w:val="Izteiksmgs"/>
          <w:color w:val="000000"/>
          <w:sz w:val="28"/>
        </w:rPr>
        <w:t>„</w:t>
      </w:r>
      <w:r w:rsidR="005A5B54" w:rsidRPr="005A5B54">
        <w:rPr>
          <w:b/>
          <w:bCs/>
          <w:color w:val="000000"/>
          <w:sz w:val="28"/>
        </w:rPr>
        <w:t>Grozījumi Ministru kabineta 2008.gada 1.aprīļa noteikumos Nr.237 „Lauksaimniecības un pārstrādāto lauksaimniecības produktu Eiropas Savienības ārējās tirdzniecības režīma administrēšanas kārtība”</w:t>
      </w:r>
      <w:r w:rsidRPr="003D2A75">
        <w:rPr>
          <w:b/>
          <w:sz w:val="28"/>
        </w:rPr>
        <w:t>” sākotnējās ietekmes novērtējuma ziņojums (anotācija)</w:t>
      </w:r>
      <w:bookmarkEnd w:id="1"/>
      <w:bookmarkEnd w:id="2"/>
    </w:p>
    <w:p w:rsidR="008C0C16" w:rsidRDefault="008C0C16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p w:rsidR="00B30E58" w:rsidRDefault="00B30E58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659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544"/>
        <w:gridCol w:w="5633"/>
      </w:tblGrid>
      <w:tr w:rsidR="008C0C16" w:rsidRPr="003D2A75" w:rsidTr="003A2827">
        <w:trPr>
          <w:jc w:val="center"/>
        </w:trPr>
        <w:tc>
          <w:tcPr>
            <w:tcW w:w="9659" w:type="dxa"/>
            <w:gridSpan w:val="3"/>
          </w:tcPr>
          <w:p w:rsidR="008C0C16" w:rsidRPr="003D2A75" w:rsidRDefault="008C0C16" w:rsidP="003074D4">
            <w:pPr>
              <w:pStyle w:val="naislab"/>
              <w:spacing w:before="0" w:after="0"/>
              <w:jc w:val="center"/>
              <w:outlineLvl w:val="0"/>
              <w:rPr>
                <w:b/>
                <w:szCs w:val="28"/>
              </w:rPr>
            </w:pPr>
            <w:r w:rsidRPr="003D2A75">
              <w:rPr>
                <w:b/>
                <w:szCs w:val="28"/>
              </w:rPr>
              <w:t>I. Tiesību akta projekta izstrādes nepieciešamība</w:t>
            </w:r>
          </w:p>
        </w:tc>
      </w:tr>
      <w:tr w:rsidR="008C0C16" w:rsidRPr="003D2A75" w:rsidTr="003A2827">
        <w:trPr>
          <w:jc w:val="center"/>
        </w:trPr>
        <w:tc>
          <w:tcPr>
            <w:tcW w:w="482" w:type="dxa"/>
          </w:tcPr>
          <w:p w:rsidR="008C0C16" w:rsidRPr="003D2A75" w:rsidRDefault="008C0C16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8C0C16" w:rsidRPr="003D2A75" w:rsidRDefault="008C0C16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Pamatojums</w:t>
            </w:r>
          </w:p>
        </w:tc>
        <w:tc>
          <w:tcPr>
            <w:tcW w:w="5633" w:type="dxa"/>
          </w:tcPr>
          <w:p w:rsidR="008C0C16" w:rsidRDefault="009F581B" w:rsidP="003074D4">
            <w:pPr>
              <w:pStyle w:val="naislab"/>
              <w:spacing w:before="0" w:after="0"/>
              <w:jc w:val="both"/>
              <w:outlineLvl w:val="0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 w:rsidR="00E301C3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ieviešanas kārtības likuma 30.panta pirmā daļa</w:t>
            </w:r>
            <w:r w:rsidR="000C3CC1">
              <w:rPr>
                <w:sz w:val="23"/>
                <w:szCs w:val="23"/>
              </w:rPr>
              <w:t xml:space="preserve"> un</w:t>
            </w:r>
            <w:r>
              <w:rPr>
                <w:sz w:val="23"/>
                <w:szCs w:val="23"/>
              </w:rPr>
              <w:t xml:space="preserve"> Ministru kabineta</w:t>
            </w:r>
            <w:r w:rsidR="005A5B54">
              <w:rPr>
                <w:sz w:val="23"/>
                <w:szCs w:val="23"/>
              </w:rPr>
              <w:t xml:space="preserve"> (turpmāk – MK)</w:t>
            </w:r>
            <w:r>
              <w:rPr>
                <w:sz w:val="23"/>
                <w:szCs w:val="23"/>
              </w:rPr>
              <w:t xml:space="preserve"> 2012.gada 27.jūnija rīkojuma Nr.282 „Par „Koncepciju par normatīvo aktu sakārtošanu saistībā ar eiro ieviešanu Latvijā”” 7.1.apakšpunkts.</w:t>
            </w:r>
          </w:p>
          <w:p w:rsidR="005A5B54" w:rsidRPr="003D2A75" w:rsidRDefault="005A5B54" w:rsidP="004D6E5F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>
              <w:rPr>
                <w:sz w:val="23"/>
                <w:szCs w:val="23"/>
              </w:rPr>
              <w:t>MK</w:t>
            </w:r>
            <w:r w:rsidRPr="005A5B54">
              <w:rPr>
                <w:sz w:val="23"/>
                <w:szCs w:val="23"/>
              </w:rPr>
              <w:t xml:space="preserve"> 2012.gada 18.decembra </w:t>
            </w:r>
            <w:r w:rsidR="004D6E5F">
              <w:rPr>
                <w:sz w:val="23"/>
                <w:szCs w:val="23"/>
              </w:rPr>
              <w:t>noteikumi</w:t>
            </w:r>
            <w:r w:rsidR="004D6E5F" w:rsidRPr="005A5B54">
              <w:rPr>
                <w:sz w:val="23"/>
                <w:szCs w:val="23"/>
              </w:rPr>
              <w:t xml:space="preserve"> </w:t>
            </w:r>
            <w:r w:rsidRPr="005A5B54">
              <w:rPr>
                <w:sz w:val="23"/>
                <w:szCs w:val="23"/>
              </w:rPr>
              <w:t>Nr.878 "Lauksaimniecības datu centra nolikums"</w:t>
            </w:r>
          </w:p>
        </w:tc>
      </w:tr>
      <w:tr w:rsidR="001470A9" w:rsidRPr="003D2A75" w:rsidTr="003A2827">
        <w:trPr>
          <w:jc w:val="center"/>
        </w:trPr>
        <w:tc>
          <w:tcPr>
            <w:tcW w:w="482" w:type="dxa"/>
          </w:tcPr>
          <w:p w:rsidR="001470A9" w:rsidRPr="003D2A75" w:rsidRDefault="001470A9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9F581B" w:rsidRPr="00EE3DD2" w:rsidRDefault="009F581B" w:rsidP="009F581B">
            <w:pPr>
              <w:pStyle w:val="naiskr"/>
              <w:spacing w:before="0" w:after="0"/>
              <w:ind w:hanging="10"/>
            </w:pPr>
            <w:r w:rsidRPr="00EE3DD2">
              <w:t>Pašreizējā situācija un problēmas</w:t>
            </w:r>
          </w:p>
          <w:p w:rsidR="001470A9" w:rsidRPr="003D2A75" w:rsidRDefault="009F581B" w:rsidP="009F581B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E3DD2">
              <w:t>raksturojums</w:t>
            </w:r>
          </w:p>
        </w:tc>
        <w:tc>
          <w:tcPr>
            <w:tcW w:w="5633" w:type="dxa"/>
          </w:tcPr>
          <w:p w:rsidR="00E26949" w:rsidRDefault="00E26949" w:rsidP="00E26949">
            <w:pPr>
              <w:pStyle w:val="Default"/>
              <w:jc w:val="both"/>
              <w:rPr>
                <w:sz w:val="23"/>
                <w:szCs w:val="23"/>
              </w:rPr>
            </w:pPr>
            <w:r w:rsidRPr="00E26949">
              <w:rPr>
                <w:sz w:val="23"/>
                <w:szCs w:val="23"/>
              </w:rPr>
              <w:t xml:space="preserve">Tā kā no 2014.gada 1.janvāra Latvijā plānots ieviest </w:t>
            </w:r>
            <w:proofErr w:type="spellStart"/>
            <w:r w:rsidRPr="00E26949">
              <w:rPr>
                <w:i/>
                <w:iCs/>
                <w:sz w:val="23"/>
                <w:szCs w:val="23"/>
              </w:rPr>
              <w:t>euro</w:t>
            </w:r>
            <w:proofErr w:type="spellEnd"/>
            <w:r w:rsidRPr="00E26949">
              <w:rPr>
                <w:sz w:val="23"/>
                <w:szCs w:val="23"/>
              </w:rPr>
              <w:t xml:space="preserve">, ir jāizdara grozījumi </w:t>
            </w:r>
            <w:r w:rsidRPr="00E26949">
              <w:rPr>
                <w:bCs/>
                <w:sz w:val="23"/>
                <w:szCs w:val="23"/>
              </w:rPr>
              <w:t>Ministru kabineta 2008.gada 1.aprīļa noteikumos Nr.237 „Lauksaimniecības un pārstrādāto lauksaimniecības produktu Eiropas Savienības ārējās tirdzniecības režīma administrēšanas kārtība”, lai</w:t>
            </w:r>
            <w:r w:rsidR="00ED02E9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26949">
              <w:rPr>
                <w:i/>
                <w:sz w:val="23"/>
                <w:szCs w:val="23"/>
              </w:rPr>
              <w:t>euro</w:t>
            </w:r>
            <w:proofErr w:type="spellEnd"/>
            <w:r w:rsidRPr="00E26949">
              <w:rPr>
                <w:sz w:val="23"/>
                <w:szCs w:val="23"/>
              </w:rPr>
              <w:t xml:space="preserve"> vairs netiktu pārrēķināti latos.</w:t>
            </w:r>
          </w:p>
          <w:p w:rsidR="00E26949" w:rsidRDefault="00E26949" w:rsidP="004D6E5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Pamatojoties uz </w:t>
            </w:r>
            <w:r w:rsidRPr="00E26949">
              <w:rPr>
                <w:sz w:val="23"/>
                <w:szCs w:val="23"/>
              </w:rPr>
              <w:t xml:space="preserve">MK 2012.gada 18.decembra </w:t>
            </w:r>
            <w:r w:rsidR="004D6E5F" w:rsidRPr="004D6E5F">
              <w:rPr>
                <w:sz w:val="23"/>
                <w:szCs w:val="23"/>
              </w:rPr>
              <w:t>no</w:t>
            </w:r>
            <w:r w:rsidR="004D6E5F">
              <w:rPr>
                <w:sz w:val="23"/>
                <w:szCs w:val="23"/>
              </w:rPr>
              <w:t>teikumiem</w:t>
            </w:r>
            <w:r w:rsidR="004D6E5F" w:rsidRPr="00E26949">
              <w:rPr>
                <w:sz w:val="23"/>
                <w:szCs w:val="23"/>
              </w:rPr>
              <w:t xml:space="preserve">  </w:t>
            </w:r>
            <w:r w:rsidRPr="00E26949">
              <w:rPr>
                <w:sz w:val="23"/>
                <w:szCs w:val="23"/>
              </w:rPr>
              <w:t>Nr.878 "Lauksaimniecības datu centra nolikums"</w:t>
            </w:r>
            <w:r w:rsidR="00ED02E9">
              <w:rPr>
                <w:sz w:val="23"/>
                <w:szCs w:val="23"/>
              </w:rPr>
              <w:t>,</w:t>
            </w:r>
            <w:r w:rsidRPr="00E26949">
              <w:rPr>
                <w:sz w:val="23"/>
                <w:szCs w:val="23"/>
              </w:rPr>
              <w:t xml:space="preserve"> ir mainīts Lauksaimniecības datu centra statuss</w:t>
            </w:r>
            <w:r w:rsidR="000C3CC1">
              <w:rPr>
                <w:sz w:val="23"/>
                <w:szCs w:val="23"/>
              </w:rPr>
              <w:t>, tāpēc</w:t>
            </w:r>
            <w:r w:rsidR="00ED02E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ir jāizdara tehniski grozījumi institūcijas nosaukumā.</w:t>
            </w:r>
          </w:p>
          <w:p w:rsidR="008B2087" w:rsidRPr="002A7E22" w:rsidRDefault="008B2087" w:rsidP="004D6E5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8B2087">
              <w:rPr>
                <w:sz w:val="23"/>
                <w:szCs w:val="23"/>
              </w:rPr>
              <w:t xml:space="preserve">aži Eiropas Savienības normatīvie akti, kas minēti noteikumos, ir zaudējuši spēku, </w:t>
            </w:r>
            <w:r>
              <w:rPr>
                <w:sz w:val="23"/>
                <w:szCs w:val="23"/>
              </w:rPr>
              <w:t xml:space="preserve">un </w:t>
            </w:r>
            <w:r w:rsidRPr="008B2087">
              <w:rPr>
                <w:sz w:val="23"/>
                <w:szCs w:val="23"/>
              </w:rPr>
              <w:t xml:space="preserve">atsauces uz attiecīgajiem normatīvajiem aktiem ir atbilstoši </w:t>
            </w:r>
            <w:r>
              <w:rPr>
                <w:sz w:val="23"/>
                <w:szCs w:val="23"/>
              </w:rPr>
              <w:t>jā</w:t>
            </w:r>
            <w:r w:rsidRPr="008B2087">
              <w:rPr>
                <w:sz w:val="23"/>
                <w:szCs w:val="23"/>
              </w:rPr>
              <w:t>preciz</w:t>
            </w:r>
            <w:r>
              <w:rPr>
                <w:sz w:val="23"/>
                <w:szCs w:val="23"/>
              </w:rPr>
              <w:t>ē</w:t>
            </w:r>
            <w:r w:rsidRPr="008B2087">
              <w:rPr>
                <w:sz w:val="23"/>
                <w:szCs w:val="23"/>
              </w:rPr>
              <w:t>.</w:t>
            </w:r>
          </w:p>
        </w:tc>
      </w:tr>
      <w:tr w:rsidR="001470A9" w:rsidRPr="003D2A75" w:rsidTr="003A2827">
        <w:trPr>
          <w:jc w:val="center"/>
        </w:trPr>
        <w:tc>
          <w:tcPr>
            <w:tcW w:w="482" w:type="dxa"/>
          </w:tcPr>
          <w:p w:rsidR="001470A9" w:rsidRPr="003D2A75" w:rsidRDefault="001470A9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1470A9" w:rsidRPr="003D2A75" w:rsidRDefault="001470A9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Saistītie politikas ietekmes novērtējumi un pētījumi</w:t>
            </w:r>
          </w:p>
        </w:tc>
        <w:tc>
          <w:tcPr>
            <w:tcW w:w="5633" w:type="dxa"/>
          </w:tcPr>
          <w:p w:rsidR="001470A9" w:rsidRPr="003D2A75" w:rsidRDefault="002D65A0" w:rsidP="003074D4">
            <w:pPr>
              <w:jc w:val="both"/>
              <w:rPr>
                <w:szCs w:val="28"/>
              </w:rPr>
            </w:pPr>
            <w:r w:rsidRPr="003D2A75">
              <w:rPr>
                <w:iCs/>
                <w:szCs w:val="28"/>
              </w:rPr>
              <w:t>Projekts šo jomu neskar</w:t>
            </w:r>
            <w:r w:rsidR="00500665" w:rsidRPr="003D2A75">
              <w:rPr>
                <w:iCs/>
                <w:szCs w:val="28"/>
              </w:rPr>
              <w:t>.</w:t>
            </w:r>
          </w:p>
        </w:tc>
      </w:tr>
      <w:tr w:rsidR="00E26949" w:rsidRPr="003D2A75" w:rsidTr="003A2827">
        <w:trPr>
          <w:jc w:val="center"/>
        </w:trPr>
        <w:tc>
          <w:tcPr>
            <w:tcW w:w="482" w:type="dxa"/>
          </w:tcPr>
          <w:p w:rsidR="00E26949" w:rsidRPr="003D2A75" w:rsidRDefault="00E26949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E26949" w:rsidRPr="003D2A75" w:rsidRDefault="00E26949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Tiesiskā regulējuma mērķis un būtība</w:t>
            </w:r>
          </w:p>
        </w:tc>
        <w:tc>
          <w:tcPr>
            <w:tcW w:w="5633" w:type="dxa"/>
          </w:tcPr>
          <w:p w:rsidR="00E26949" w:rsidRDefault="00E26949" w:rsidP="00322DE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E26949">
              <w:rPr>
                <w:bCs/>
                <w:sz w:val="23"/>
                <w:szCs w:val="23"/>
              </w:rPr>
              <w:t>Šī projekta mērķis ir pielāgot</w:t>
            </w:r>
            <w:r w:rsidR="0064746A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</w:rPr>
              <w:t xml:space="preserve">MK </w:t>
            </w:r>
            <w:r w:rsidR="0064746A">
              <w:rPr>
                <w:bCs/>
              </w:rPr>
              <w:t>2008.gada 1.aprīļa noteikumu</w:t>
            </w:r>
            <w:r w:rsidRPr="005A5B54">
              <w:rPr>
                <w:bCs/>
              </w:rPr>
              <w:t>s Nr.237 „Lauksaimniecības un pārstrādāto lauksaimniecības produktu Eiropas Savienības ārējās tirdzniecības režīma administrēšanas kārtība”</w:t>
            </w:r>
            <w:r w:rsidR="00C517B9">
              <w:rPr>
                <w:bCs/>
              </w:rPr>
              <w:t xml:space="preserve"> </w:t>
            </w:r>
            <w:proofErr w:type="spellStart"/>
            <w:r w:rsidRPr="00E26949">
              <w:rPr>
                <w:i/>
                <w:iCs/>
                <w:sz w:val="23"/>
                <w:szCs w:val="23"/>
              </w:rPr>
              <w:t>euro</w:t>
            </w:r>
            <w:proofErr w:type="spellEnd"/>
            <w:r w:rsidR="0064746A">
              <w:rPr>
                <w:i/>
                <w:iCs/>
                <w:sz w:val="23"/>
                <w:szCs w:val="23"/>
              </w:rPr>
              <w:t xml:space="preserve"> </w:t>
            </w:r>
            <w:r w:rsidRPr="00E26949">
              <w:rPr>
                <w:sz w:val="23"/>
                <w:szCs w:val="23"/>
              </w:rPr>
              <w:t>ieviešanai</w:t>
            </w:r>
            <w:r w:rsidRPr="00E26949">
              <w:rPr>
                <w:iCs/>
                <w:sz w:val="23"/>
                <w:szCs w:val="23"/>
              </w:rPr>
              <w:t>.</w:t>
            </w:r>
          </w:p>
          <w:p w:rsidR="00E26949" w:rsidRDefault="00E26949" w:rsidP="00322DE3">
            <w:pPr>
              <w:pStyle w:val="Default"/>
              <w:jc w:val="both"/>
              <w:rPr>
                <w:sz w:val="23"/>
                <w:szCs w:val="23"/>
              </w:rPr>
            </w:pPr>
            <w:r w:rsidRPr="00E26949">
              <w:rPr>
                <w:iCs/>
                <w:sz w:val="23"/>
                <w:szCs w:val="23"/>
              </w:rPr>
              <w:t xml:space="preserve">Šis projekts paredz, ka no </w:t>
            </w:r>
            <w:proofErr w:type="spellStart"/>
            <w:r w:rsidRPr="00E26949">
              <w:rPr>
                <w:i/>
                <w:iCs/>
                <w:sz w:val="23"/>
                <w:szCs w:val="23"/>
              </w:rPr>
              <w:t>euro</w:t>
            </w:r>
            <w:proofErr w:type="spellEnd"/>
            <w:r w:rsidRPr="00E26949">
              <w:rPr>
                <w:iCs/>
                <w:sz w:val="23"/>
                <w:szCs w:val="23"/>
              </w:rPr>
              <w:t xml:space="preserve"> ieviešanas dienas aprēķini iespējami tikai </w:t>
            </w:r>
            <w:proofErr w:type="spellStart"/>
            <w:r w:rsidRPr="00E26949">
              <w:rPr>
                <w:i/>
                <w:iCs/>
                <w:sz w:val="23"/>
                <w:szCs w:val="23"/>
              </w:rPr>
              <w:t>euro</w:t>
            </w:r>
            <w:proofErr w:type="spellEnd"/>
            <w:r w:rsidRPr="00E26949">
              <w:rPr>
                <w:iCs/>
                <w:sz w:val="23"/>
                <w:szCs w:val="23"/>
              </w:rPr>
              <w:t>, tāpēc tekstā tiek svītrot</w:t>
            </w:r>
            <w:r>
              <w:rPr>
                <w:iCs/>
                <w:sz w:val="23"/>
                <w:szCs w:val="23"/>
              </w:rPr>
              <w:t>i skaitļi un</w:t>
            </w:r>
            <w:r w:rsidRPr="00E26949">
              <w:rPr>
                <w:iCs/>
                <w:sz w:val="23"/>
                <w:szCs w:val="23"/>
              </w:rPr>
              <w:t xml:space="preserve"> vārd</w:t>
            </w:r>
            <w:r>
              <w:rPr>
                <w:iCs/>
                <w:sz w:val="23"/>
                <w:szCs w:val="23"/>
              </w:rPr>
              <w:t>i</w:t>
            </w:r>
            <w:r w:rsidRPr="00E26949">
              <w:rPr>
                <w:iCs/>
                <w:sz w:val="23"/>
                <w:szCs w:val="23"/>
              </w:rPr>
              <w:t xml:space="preserve"> „ekvivalentu, kas pārrēķināts latos saskaņā ar Komisijas Regulu Nr. 1913/2006”</w:t>
            </w:r>
            <w:r>
              <w:rPr>
                <w:iCs/>
                <w:sz w:val="23"/>
                <w:szCs w:val="23"/>
              </w:rPr>
              <w:t>.</w:t>
            </w:r>
          </w:p>
          <w:p w:rsidR="00E26949" w:rsidRDefault="000C3CC1" w:rsidP="00322D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Tā kā</w:t>
            </w:r>
            <w:r w:rsidR="00E26949">
              <w:rPr>
                <w:sz w:val="23"/>
                <w:szCs w:val="23"/>
              </w:rPr>
              <w:t xml:space="preserve"> ar </w:t>
            </w:r>
            <w:r w:rsidR="00E26949" w:rsidRPr="005A5B54">
              <w:rPr>
                <w:sz w:val="23"/>
                <w:szCs w:val="23"/>
              </w:rPr>
              <w:t xml:space="preserve">MK 2012.gada 18.decembra </w:t>
            </w:r>
            <w:r w:rsidR="004D6E5F">
              <w:rPr>
                <w:sz w:val="23"/>
                <w:szCs w:val="23"/>
              </w:rPr>
              <w:t>noteikumiem</w:t>
            </w:r>
            <w:r w:rsidR="004D6E5F" w:rsidRPr="005A5B54">
              <w:rPr>
                <w:sz w:val="23"/>
                <w:szCs w:val="23"/>
              </w:rPr>
              <w:t xml:space="preserve"> </w:t>
            </w:r>
            <w:r w:rsidR="00E26949" w:rsidRPr="005A5B54">
              <w:rPr>
                <w:sz w:val="23"/>
                <w:szCs w:val="23"/>
              </w:rPr>
              <w:t>Nr.878 "Lauksaimniecības datu centra nolikums" ir mainīts Lauksaimniecības datu centra statuss</w:t>
            </w:r>
            <w:r w:rsidR="00C517B9">
              <w:rPr>
                <w:sz w:val="23"/>
                <w:szCs w:val="23"/>
              </w:rPr>
              <w:t>,</w:t>
            </w:r>
            <w:r w:rsidR="00E26949">
              <w:rPr>
                <w:sz w:val="23"/>
                <w:szCs w:val="23"/>
              </w:rPr>
              <w:t xml:space="preserve"> ir lietderīgi projektā </w:t>
            </w:r>
            <w:r>
              <w:rPr>
                <w:sz w:val="23"/>
                <w:szCs w:val="23"/>
              </w:rPr>
              <w:t>izdarīt</w:t>
            </w:r>
            <w:r w:rsidR="00E26949">
              <w:rPr>
                <w:sz w:val="23"/>
                <w:szCs w:val="23"/>
              </w:rPr>
              <w:t xml:space="preserve"> tehniskos grozījumus un a</w:t>
            </w:r>
            <w:r>
              <w:rPr>
                <w:sz w:val="23"/>
                <w:szCs w:val="23"/>
              </w:rPr>
              <w:t>izstāt</w:t>
            </w:r>
            <w:r w:rsidR="00E26949">
              <w:rPr>
                <w:sz w:val="23"/>
                <w:szCs w:val="23"/>
              </w:rPr>
              <w:t xml:space="preserve"> </w:t>
            </w:r>
            <w:r w:rsidR="00B14887">
              <w:rPr>
                <w:sz w:val="23"/>
                <w:szCs w:val="23"/>
              </w:rPr>
              <w:t xml:space="preserve">vārdus </w:t>
            </w:r>
            <w:r w:rsidR="00E26949">
              <w:rPr>
                <w:sz w:val="23"/>
                <w:szCs w:val="23"/>
              </w:rPr>
              <w:t>„valsts aģentūra „Lauksaimniecības datu centrs”</w:t>
            </w:r>
            <w:r w:rsidR="00B14887">
              <w:rPr>
                <w:sz w:val="23"/>
                <w:szCs w:val="23"/>
              </w:rPr>
              <w:t>”</w:t>
            </w:r>
            <w:r w:rsidR="00E26949">
              <w:rPr>
                <w:sz w:val="23"/>
                <w:szCs w:val="23"/>
              </w:rPr>
              <w:t xml:space="preserve"> ar </w:t>
            </w:r>
            <w:r w:rsidR="00B14887">
              <w:rPr>
                <w:sz w:val="23"/>
                <w:szCs w:val="23"/>
              </w:rPr>
              <w:t xml:space="preserve">vārdiem </w:t>
            </w:r>
            <w:r w:rsidR="00E26949">
              <w:rPr>
                <w:sz w:val="23"/>
                <w:szCs w:val="23"/>
              </w:rPr>
              <w:t>„Lauksaimniecības datu centrs” attiecīgaj</w:t>
            </w:r>
            <w:r>
              <w:rPr>
                <w:sz w:val="23"/>
                <w:szCs w:val="23"/>
              </w:rPr>
              <w:t>ā</w:t>
            </w:r>
            <w:r w:rsidR="00E26949">
              <w:rPr>
                <w:sz w:val="23"/>
                <w:szCs w:val="23"/>
              </w:rPr>
              <w:t xml:space="preserve"> locījum</w:t>
            </w:r>
            <w:r>
              <w:rPr>
                <w:sz w:val="23"/>
                <w:szCs w:val="23"/>
              </w:rPr>
              <w:t>ā</w:t>
            </w:r>
            <w:r w:rsidR="00E26949" w:rsidRPr="00210349">
              <w:rPr>
                <w:sz w:val="23"/>
                <w:szCs w:val="23"/>
              </w:rPr>
              <w:t>.</w:t>
            </w:r>
          </w:p>
          <w:p w:rsidR="008B2087" w:rsidRDefault="008B2087" w:rsidP="00322DE3">
            <w:pPr>
              <w:pStyle w:val="Default"/>
              <w:jc w:val="both"/>
              <w:rPr>
                <w:sz w:val="23"/>
                <w:szCs w:val="23"/>
              </w:rPr>
            </w:pPr>
            <w:r w:rsidRPr="008B2087">
              <w:rPr>
                <w:sz w:val="23"/>
                <w:szCs w:val="23"/>
              </w:rPr>
              <w:t>Tā kā daži Eiropas Savienības normatīvie akti, kas minēti noteikumos, ir zaudējuši spēku, atsauces uz attiecīgajiem normatīvajiem aktiem ir atbilstoši precizētas.</w:t>
            </w:r>
          </w:p>
          <w:p w:rsidR="00E26949" w:rsidRPr="002A7E22" w:rsidRDefault="00E26949" w:rsidP="00322DE3">
            <w:pPr>
              <w:pStyle w:val="Default"/>
              <w:jc w:val="both"/>
              <w:rPr>
                <w:sz w:val="23"/>
                <w:szCs w:val="23"/>
              </w:rPr>
            </w:pPr>
            <w:r w:rsidRPr="00E26949">
              <w:rPr>
                <w:sz w:val="23"/>
                <w:szCs w:val="23"/>
              </w:rPr>
              <w:t xml:space="preserve">Grozītās tiesību normas nav personām nelabvēlīgākas par </w:t>
            </w:r>
            <w:r w:rsidRPr="00E26949">
              <w:rPr>
                <w:sz w:val="23"/>
                <w:szCs w:val="23"/>
              </w:rPr>
              <w:lastRenderedPageBreak/>
              <w:t>sākotnējo tiesību normu un nerada vērā ņemamu negatīvu ietekmi uz valsts budžetu.</w:t>
            </w:r>
          </w:p>
        </w:tc>
      </w:tr>
      <w:tr w:rsidR="00E26949" w:rsidRPr="003D2A75" w:rsidTr="003A2827">
        <w:trPr>
          <w:jc w:val="center"/>
        </w:trPr>
        <w:tc>
          <w:tcPr>
            <w:tcW w:w="482" w:type="dxa"/>
          </w:tcPr>
          <w:p w:rsidR="00E26949" w:rsidRPr="003D2A75" w:rsidRDefault="00E26949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E26949" w:rsidRPr="003D2A75" w:rsidRDefault="00E26949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Projekta izstrādē iesaistītās institūcijas</w:t>
            </w:r>
          </w:p>
        </w:tc>
        <w:tc>
          <w:tcPr>
            <w:tcW w:w="5633" w:type="dxa"/>
          </w:tcPr>
          <w:p w:rsidR="00E26949" w:rsidRPr="008919DA" w:rsidRDefault="00E26949" w:rsidP="005A5B54">
            <w:pPr>
              <w:pStyle w:val="naiskr"/>
              <w:spacing w:before="0" w:after="0"/>
              <w:rPr>
                <w:iCs/>
              </w:rPr>
            </w:pPr>
            <w:r>
              <w:rPr>
                <w:iCs/>
              </w:rPr>
              <w:t>Projekts šo jomu neskar.</w:t>
            </w:r>
          </w:p>
        </w:tc>
      </w:tr>
      <w:tr w:rsidR="00E26949" w:rsidRPr="003D2A75" w:rsidTr="003A2827">
        <w:trPr>
          <w:jc w:val="center"/>
        </w:trPr>
        <w:tc>
          <w:tcPr>
            <w:tcW w:w="482" w:type="dxa"/>
          </w:tcPr>
          <w:p w:rsidR="00E26949" w:rsidRPr="003D2A75" w:rsidRDefault="00E26949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6.</w:t>
            </w:r>
          </w:p>
        </w:tc>
        <w:tc>
          <w:tcPr>
            <w:tcW w:w="3544" w:type="dxa"/>
          </w:tcPr>
          <w:p w:rsidR="00E26949" w:rsidRPr="003D2A75" w:rsidRDefault="00E26949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Iemesli, kādēļ netika nodrošināta sabiedrības līdzdalība</w:t>
            </w:r>
          </w:p>
        </w:tc>
        <w:tc>
          <w:tcPr>
            <w:tcW w:w="5633" w:type="dxa"/>
          </w:tcPr>
          <w:p w:rsidR="00E26949" w:rsidRPr="003D2A75" w:rsidRDefault="00E26949" w:rsidP="003074D4">
            <w:pPr>
              <w:jc w:val="both"/>
              <w:rPr>
                <w:szCs w:val="28"/>
              </w:rPr>
            </w:pPr>
            <w:r>
              <w:rPr>
                <w:sz w:val="23"/>
                <w:szCs w:val="23"/>
              </w:rPr>
              <w:t>Sabiedrības līdzdalība projekta izstrādē netika nodrošināta, jo projekts nemaina pastāvošo tiesisko regulējumu pēc būtības.</w:t>
            </w:r>
          </w:p>
        </w:tc>
      </w:tr>
      <w:tr w:rsidR="00E26949" w:rsidRPr="003D2A75" w:rsidTr="003A2827">
        <w:trPr>
          <w:jc w:val="center"/>
        </w:trPr>
        <w:tc>
          <w:tcPr>
            <w:tcW w:w="482" w:type="dxa"/>
          </w:tcPr>
          <w:p w:rsidR="00E26949" w:rsidRPr="003D2A75" w:rsidRDefault="00E26949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E26949" w:rsidRPr="003D2A75" w:rsidRDefault="00E26949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Cita informācija</w:t>
            </w:r>
          </w:p>
        </w:tc>
        <w:tc>
          <w:tcPr>
            <w:tcW w:w="5633" w:type="dxa"/>
          </w:tcPr>
          <w:p w:rsidR="00E26949" w:rsidRPr="003B4E5D" w:rsidRDefault="00E12E41" w:rsidP="003B4E5D">
            <w:pPr>
              <w:pStyle w:val="naiskr"/>
              <w:spacing w:before="0" w:after="0"/>
              <w:jc w:val="both"/>
            </w:pPr>
            <w:r>
              <w:t>Nav.</w:t>
            </w:r>
          </w:p>
        </w:tc>
      </w:tr>
    </w:tbl>
    <w:p w:rsidR="00F77C35" w:rsidRDefault="00F77C35" w:rsidP="00F77C35">
      <w:pPr>
        <w:pStyle w:val="naisf"/>
        <w:spacing w:before="0" w:after="0"/>
        <w:ind w:firstLine="0"/>
      </w:pPr>
    </w:p>
    <w:p w:rsidR="00D10F81" w:rsidRDefault="003B4E5D" w:rsidP="00F77C35">
      <w:pPr>
        <w:pStyle w:val="naisf"/>
        <w:spacing w:before="0" w:after="0"/>
        <w:ind w:firstLine="0"/>
      </w:pPr>
      <w:r>
        <w:t xml:space="preserve">Anotācijas II </w:t>
      </w:r>
      <w:r w:rsidR="00F77C35">
        <w:t xml:space="preserve">– IV </w:t>
      </w:r>
      <w:r>
        <w:t>sadaļa – projekts š</w:t>
      </w:r>
      <w:r w:rsidR="00F77C35">
        <w:t>īs</w:t>
      </w:r>
      <w:r>
        <w:t xml:space="preserve"> jom</w:t>
      </w:r>
      <w:r w:rsidR="00F77C35">
        <w:t>as</w:t>
      </w:r>
      <w:r>
        <w:t xml:space="preserve"> neskar.</w:t>
      </w:r>
    </w:p>
    <w:p w:rsidR="00F77C35" w:rsidRDefault="00F77C35" w:rsidP="00F77C35">
      <w:pPr>
        <w:pStyle w:val="naisf"/>
        <w:spacing w:before="0" w:after="0"/>
        <w:ind w:firstLine="0"/>
      </w:pPr>
    </w:p>
    <w:tbl>
      <w:tblPr>
        <w:tblW w:w="9600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50"/>
        <w:gridCol w:w="1085"/>
        <w:gridCol w:w="415"/>
        <w:gridCol w:w="1500"/>
        <w:gridCol w:w="750"/>
        <w:gridCol w:w="2652"/>
      </w:tblGrid>
      <w:tr w:rsidR="008B2087" w:rsidRPr="008B2087" w:rsidTr="003A2827">
        <w:trPr>
          <w:jc w:val="center"/>
        </w:trPr>
        <w:tc>
          <w:tcPr>
            <w:tcW w:w="9600" w:type="dxa"/>
            <w:gridSpan w:val="7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rPr>
                <w:b/>
                <w:bCs/>
              </w:rPr>
              <w:t>V. Kādām Latvijas starptautiskajām saistībām atbilst normatīvais akts</w:t>
            </w:r>
          </w:p>
        </w:tc>
      </w:tr>
      <w:tr w:rsidR="008B2087" w:rsidRPr="008B2087" w:rsidTr="003A2827">
        <w:trPr>
          <w:jc w:val="center"/>
        </w:trPr>
        <w:tc>
          <w:tcPr>
            <w:tcW w:w="4283" w:type="dxa"/>
            <w:gridSpan w:val="3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1. Saistības pret Eiropas Savienību</w:t>
            </w:r>
          </w:p>
        </w:tc>
        <w:tc>
          <w:tcPr>
            <w:tcW w:w="5317" w:type="dxa"/>
            <w:gridSpan w:val="4"/>
          </w:tcPr>
          <w:p w:rsidR="00F77C35" w:rsidRDefault="00F77C35" w:rsidP="008B2087">
            <w:pPr>
              <w:spacing w:before="100" w:beforeAutospacing="1" w:after="100" w:afterAutospacing="1"/>
              <w:rPr>
                <w:iCs/>
              </w:rPr>
            </w:pPr>
            <w:r w:rsidRPr="00F77C35">
              <w:rPr>
                <w:iCs/>
              </w:rPr>
              <w:t xml:space="preserve">Komisijas 2012.gada 28. marta Īstenošanas regula (ES) Nr. 282/2012, ar ko nosaka kopējus sīki izstrādātus noteikumus garantijas ķīlu sistēmas piemērošanai lauksaimniecības produktiem (turpmāk – Komisijas </w:t>
            </w:r>
            <w:r w:rsidR="00CF38D6">
              <w:rPr>
                <w:iCs/>
              </w:rPr>
              <w:t>R</w:t>
            </w:r>
            <w:r w:rsidRPr="00F77C35">
              <w:rPr>
                <w:iCs/>
              </w:rPr>
              <w:t>egula Nr. 282/2012)</w:t>
            </w:r>
          </w:p>
          <w:p w:rsidR="008B2087" w:rsidRDefault="008B2087" w:rsidP="008B2087">
            <w:pPr>
              <w:spacing w:before="100" w:beforeAutospacing="1" w:after="100" w:afterAutospacing="1"/>
              <w:rPr>
                <w:iCs/>
              </w:rPr>
            </w:pPr>
            <w:r w:rsidRPr="008B2087">
              <w:rPr>
                <w:iCs/>
              </w:rPr>
              <w:t xml:space="preserve">Komisijas 2010. gada 29. jūnija Regula (ES) Nr. 578/2010, ar ko īsteno Padomes Regulu (EK) Nr. 1216/2009 attiecībā uz eksporta kompensāciju piešķiršanu un kritērijiem šādu kompensāciju apjoma noteikšanai dažiem lauksaimniecības produktiem, kurus eksportē tādu preču veidā, kas nav ietvertas Līguma I pielikumā (turpmāk – Komisijas </w:t>
            </w:r>
            <w:r w:rsidR="00CF38D6">
              <w:rPr>
                <w:iCs/>
              </w:rPr>
              <w:t>R</w:t>
            </w:r>
            <w:r w:rsidRPr="008B2087">
              <w:rPr>
                <w:iCs/>
              </w:rPr>
              <w:t>egula Nr. 578/2010)</w:t>
            </w:r>
            <w:r w:rsidR="00E12E41">
              <w:rPr>
                <w:iCs/>
              </w:rPr>
              <w:t>;</w:t>
            </w:r>
          </w:p>
          <w:p w:rsidR="00E12E41" w:rsidRPr="008B2087" w:rsidRDefault="00E12E41" w:rsidP="00E12E41">
            <w:pPr>
              <w:spacing w:before="100" w:beforeAutospacing="1" w:after="100" w:afterAutospacing="1"/>
            </w:pPr>
            <w:r w:rsidRPr="00E12E41">
              <w:rPr>
                <w:iCs/>
              </w:rPr>
              <w:t xml:space="preserve">Komisijas 2009.gada 7.jūlija Regula (EK) Nr.612/2009, ar kuru nosaka kopējus sīki izstrādātus noteikumus eksporta kompensāciju sistēmas piemērošanai lauksaimniecības produktiem (pārstrādāta versija) (turpmāk – </w:t>
            </w:r>
            <w:r>
              <w:rPr>
                <w:iCs/>
              </w:rPr>
              <w:t xml:space="preserve">Komisijas </w:t>
            </w:r>
            <w:r w:rsidR="00CF38D6">
              <w:rPr>
                <w:iCs/>
              </w:rPr>
              <w:t>R</w:t>
            </w:r>
            <w:r w:rsidRPr="00E12E41">
              <w:rPr>
                <w:iCs/>
              </w:rPr>
              <w:t>egula (EK) Nr. 612/2009)</w:t>
            </w:r>
            <w:r w:rsidR="00F77C35">
              <w:rPr>
                <w:iCs/>
              </w:rPr>
              <w:t>.</w:t>
            </w:r>
          </w:p>
        </w:tc>
      </w:tr>
      <w:tr w:rsidR="008B2087" w:rsidRPr="008B2087" w:rsidTr="003A2827">
        <w:trPr>
          <w:jc w:val="center"/>
        </w:trPr>
        <w:tc>
          <w:tcPr>
            <w:tcW w:w="4283" w:type="dxa"/>
            <w:gridSpan w:val="3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2. Citas starptautiskās saistības</w:t>
            </w:r>
          </w:p>
        </w:tc>
        <w:tc>
          <w:tcPr>
            <w:tcW w:w="5317" w:type="dxa"/>
            <w:gridSpan w:val="4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Nav attiecināms.</w:t>
            </w:r>
          </w:p>
        </w:tc>
      </w:tr>
      <w:tr w:rsidR="008B2087" w:rsidRPr="008B2087" w:rsidTr="003A2827">
        <w:trPr>
          <w:jc w:val="center"/>
        </w:trPr>
        <w:tc>
          <w:tcPr>
            <w:tcW w:w="4283" w:type="dxa"/>
            <w:gridSpan w:val="3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3. Cita informācija</w:t>
            </w:r>
          </w:p>
        </w:tc>
        <w:tc>
          <w:tcPr>
            <w:tcW w:w="5317" w:type="dxa"/>
            <w:gridSpan w:val="4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Nav attiecināms.</w:t>
            </w:r>
          </w:p>
        </w:tc>
      </w:tr>
      <w:tr w:rsidR="008B2087" w:rsidRPr="008B2087" w:rsidTr="003A2827">
        <w:trPr>
          <w:jc w:val="center"/>
        </w:trPr>
        <w:tc>
          <w:tcPr>
            <w:tcW w:w="9600" w:type="dxa"/>
            <w:gridSpan w:val="7"/>
          </w:tcPr>
          <w:p w:rsidR="008B2087" w:rsidRPr="008B2087" w:rsidRDefault="008B2087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rPr>
                <w:b/>
              </w:rPr>
              <w:t xml:space="preserve">1.tabula </w:t>
            </w:r>
          </w:p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rPr>
                <w:b/>
              </w:rPr>
              <w:t>Tiesību akta projekta atbilstība ES tiesību aktiem</w:t>
            </w:r>
          </w:p>
        </w:tc>
      </w:tr>
      <w:tr w:rsidR="008B2087" w:rsidRPr="008B2087" w:rsidTr="003A2827">
        <w:trPr>
          <w:jc w:val="center"/>
        </w:trPr>
        <w:tc>
          <w:tcPr>
            <w:tcW w:w="4283" w:type="dxa"/>
            <w:gridSpan w:val="3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Attiecīgo Eiropas Savienības tiesību aktu datums, numurs un nosaukums</w:t>
            </w:r>
          </w:p>
        </w:tc>
        <w:tc>
          <w:tcPr>
            <w:tcW w:w="5317" w:type="dxa"/>
            <w:gridSpan w:val="4"/>
          </w:tcPr>
          <w:p w:rsidR="008B2087" w:rsidRDefault="008B2087" w:rsidP="008B2087">
            <w:pPr>
              <w:spacing w:before="100" w:beforeAutospacing="1" w:after="100" w:afterAutospacing="1"/>
              <w:rPr>
                <w:iCs/>
              </w:rPr>
            </w:pPr>
            <w:r w:rsidRPr="008B2087">
              <w:rPr>
                <w:iCs/>
              </w:rPr>
              <w:t xml:space="preserve">Komisijas </w:t>
            </w:r>
            <w:r w:rsidR="00CF38D6">
              <w:rPr>
                <w:iCs/>
              </w:rPr>
              <w:t>R</w:t>
            </w:r>
            <w:r w:rsidRPr="008B2087">
              <w:rPr>
                <w:iCs/>
              </w:rPr>
              <w:t>egula Nr. 578/2010</w:t>
            </w:r>
            <w:r w:rsidR="00E12E41">
              <w:rPr>
                <w:iCs/>
              </w:rPr>
              <w:t>;</w:t>
            </w:r>
          </w:p>
          <w:p w:rsidR="00E12E41" w:rsidRPr="008B2087" w:rsidRDefault="00E12E41" w:rsidP="008B2087">
            <w:pPr>
              <w:spacing w:before="100" w:beforeAutospacing="1" w:after="100" w:afterAutospacing="1"/>
            </w:pPr>
            <w:r w:rsidRPr="00E12E41">
              <w:rPr>
                <w:iCs/>
              </w:rPr>
              <w:t xml:space="preserve">Komisijas </w:t>
            </w:r>
            <w:r w:rsidR="00CF38D6">
              <w:rPr>
                <w:iCs/>
              </w:rPr>
              <w:t>R</w:t>
            </w:r>
            <w:r w:rsidRPr="00E12E41">
              <w:rPr>
                <w:iCs/>
              </w:rPr>
              <w:t>egula (EK) Nr. 612/2009</w:t>
            </w:r>
            <w:r w:rsidR="00F77C35">
              <w:rPr>
                <w:iCs/>
              </w:rPr>
              <w:t>.</w:t>
            </w:r>
          </w:p>
        </w:tc>
      </w:tr>
      <w:tr w:rsidR="008B2087" w:rsidRPr="008B2087" w:rsidTr="003A2827">
        <w:trPr>
          <w:jc w:val="center"/>
        </w:trPr>
        <w:tc>
          <w:tcPr>
            <w:tcW w:w="9600" w:type="dxa"/>
            <w:gridSpan w:val="7"/>
          </w:tcPr>
          <w:p w:rsidR="008B2087" w:rsidRPr="008B2087" w:rsidRDefault="008B2087" w:rsidP="008B2087">
            <w:pPr>
              <w:spacing w:before="100" w:beforeAutospacing="1" w:after="100" w:afterAutospacing="1"/>
            </w:pPr>
          </w:p>
        </w:tc>
      </w:tr>
      <w:tr w:rsidR="008B2087" w:rsidRPr="008B2087" w:rsidTr="003A2827">
        <w:trPr>
          <w:jc w:val="center"/>
        </w:trPr>
        <w:tc>
          <w:tcPr>
            <w:tcW w:w="2448" w:type="dxa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A</w:t>
            </w:r>
          </w:p>
        </w:tc>
        <w:tc>
          <w:tcPr>
            <w:tcW w:w="2250" w:type="dxa"/>
            <w:gridSpan w:val="3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B</w:t>
            </w:r>
          </w:p>
        </w:tc>
        <w:tc>
          <w:tcPr>
            <w:tcW w:w="2250" w:type="dxa"/>
            <w:gridSpan w:val="2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C</w:t>
            </w:r>
          </w:p>
        </w:tc>
        <w:tc>
          <w:tcPr>
            <w:tcW w:w="2652" w:type="dxa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D</w:t>
            </w:r>
          </w:p>
        </w:tc>
      </w:tr>
      <w:tr w:rsidR="008B2087" w:rsidRPr="008B2087" w:rsidTr="003A2827">
        <w:trPr>
          <w:jc w:val="center"/>
        </w:trPr>
        <w:tc>
          <w:tcPr>
            <w:tcW w:w="2448" w:type="dxa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Attiecīgā ES tiesību akta panta numurs (uzskaitot katru tiesību akta vienību-pantu, daļu, punktu, apakšpunktu)</w:t>
            </w:r>
          </w:p>
        </w:tc>
        <w:tc>
          <w:tcPr>
            <w:tcW w:w="2250" w:type="dxa"/>
            <w:gridSpan w:val="3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Projekta vienība, kas pārņem vai ievieš katru šī tabulas A ailē minēto ES tiesību akta vienību</w:t>
            </w:r>
          </w:p>
        </w:tc>
        <w:tc>
          <w:tcPr>
            <w:tcW w:w="2250" w:type="dxa"/>
            <w:gridSpan w:val="2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Informācija par to, vai šīs tabulas A ailē minētās ES tiesību akta vienības tiek pārņemtas vai ieviestas pilnībā vai daļēji. 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Norāda institūciju, kas ir atbildīga par šo saistību izpildi pilnībā</w:t>
            </w:r>
          </w:p>
        </w:tc>
        <w:tc>
          <w:tcPr>
            <w:tcW w:w="2652" w:type="dxa"/>
          </w:tcPr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Informācija par to, vai šīs tabulas B ailē minētās projekta vienības paredz stingrākas prasības nekā šīs tabulas A ailē minētās ES tiesību akta vienības. Ja projekts satur stingrākas prasības nekā attiecīgais ES tiesību akts,- norāda pamatojumu un samērīgumu.</w:t>
            </w:r>
          </w:p>
          <w:p w:rsidR="008B2087" w:rsidRPr="008B2087" w:rsidRDefault="008B2087" w:rsidP="008B2087">
            <w:pPr>
              <w:spacing w:before="100" w:beforeAutospacing="1" w:after="100" w:afterAutospacing="1"/>
            </w:pPr>
            <w:r w:rsidRPr="008B2087">
              <w:t>Norāda iespējamās alternatīvas (t.sk. alternatīvas, kas neparedz tiesiskā regulējuma izstrādi)- kādos gadījumos būtu iespējams izvairīties no stingrāku prasību noteikšanas, nekā paredzēts attiecīgajos ES tiesību aktos</w:t>
            </w:r>
          </w:p>
        </w:tc>
      </w:tr>
      <w:tr w:rsidR="00F77C35" w:rsidRPr="008B2087" w:rsidTr="003A2827">
        <w:trPr>
          <w:trHeight w:val="41"/>
          <w:jc w:val="center"/>
        </w:trPr>
        <w:tc>
          <w:tcPr>
            <w:tcW w:w="2448" w:type="dxa"/>
          </w:tcPr>
          <w:p w:rsidR="00F77C35" w:rsidRPr="008B2087" w:rsidRDefault="00F77C35" w:rsidP="00642916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</w:t>
            </w:r>
            <w:r w:rsidRPr="008B2087">
              <w:t xml:space="preserve"> </w:t>
            </w:r>
            <w:r>
              <w:t>28</w:t>
            </w:r>
            <w:r w:rsidRPr="008B2087">
              <w:t>.pant</w:t>
            </w:r>
            <w:r w:rsidR="00642916">
              <w:t>a 2.punkts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6A4DDE">
            <w:pPr>
              <w:spacing w:before="100" w:beforeAutospacing="1" w:after="100" w:afterAutospacing="1"/>
            </w:pPr>
            <w:r w:rsidRPr="008B2087">
              <w:t>Noteikumu projekta 1</w:t>
            </w:r>
            <w:r>
              <w:t>.</w:t>
            </w:r>
            <w:r w:rsidR="006A4DDE">
              <w:t>4</w:t>
            </w:r>
            <w:r w:rsidRPr="008B2087">
              <w:t>.</w:t>
            </w:r>
            <w:r w:rsidR="00CF38D6">
              <w:t>apakš</w:t>
            </w:r>
            <w:r w:rsidRPr="008B2087">
              <w:t>punkts (</w:t>
            </w:r>
            <w:r>
              <w:t>8</w:t>
            </w:r>
            <w:r w:rsidRPr="008B2087">
              <w:t>. punkts)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7324B2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7324B2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trHeight w:val="41"/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</w:t>
            </w:r>
            <w:r w:rsidRPr="008B2087">
              <w:t xml:space="preserve"> </w:t>
            </w:r>
            <w:r>
              <w:t>1</w:t>
            </w:r>
            <w:r w:rsidRPr="008B2087">
              <w:t xml:space="preserve">.panta </w:t>
            </w:r>
            <w:r>
              <w:t>1</w:t>
            </w:r>
            <w:r w:rsidRPr="008B2087">
              <w:t>.punkt</w:t>
            </w:r>
            <w:r>
              <w:t>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Noteikumu projekta 1</w:t>
            </w:r>
            <w:r>
              <w:t>.5</w:t>
            </w:r>
            <w:r w:rsidRPr="008B2087">
              <w:t>.</w:t>
            </w:r>
            <w:r w:rsidR="00CF38D6">
              <w:t>apakš</w:t>
            </w:r>
            <w:r w:rsidRPr="008B2087">
              <w:t>punkts (</w:t>
            </w:r>
            <w:r>
              <w:t>82</w:t>
            </w:r>
            <w:r w:rsidRPr="008B2087">
              <w:t>. punkts)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trHeight w:val="28"/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</w:t>
            </w:r>
            <w:r w:rsidRPr="008B2087">
              <w:t xml:space="preserve"> </w:t>
            </w:r>
            <w:r>
              <w:t>45</w:t>
            </w:r>
            <w:r w:rsidRPr="008B2087">
              <w:t xml:space="preserve">.panta </w:t>
            </w:r>
            <w:r>
              <w:t>1</w:t>
            </w:r>
            <w:r w:rsidRPr="008B2087">
              <w:t>.punkt</w:t>
            </w:r>
            <w:r>
              <w:t>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 xml:space="preserve">Noteikumu projekta </w:t>
            </w:r>
            <w:r>
              <w:t>1.5</w:t>
            </w:r>
            <w:r w:rsidRPr="008B2087">
              <w:t>.</w:t>
            </w:r>
            <w:r w:rsidR="00CF38D6">
              <w:t>apakš</w:t>
            </w:r>
            <w:r w:rsidRPr="008B2087">
              <w:t>punkts (</w:t>
            </w:r>
            <w:r>
              <w:t>82</w:t>
            </w:r>
            <w:r w:rsidRPr="008B2087">
              <w:t>.</w:t>
            </w:r>
            <w:r>
              <w:t>2</w:t>
            </w:r>
            <w:r w:rsidRPr="008B2087">
              <w:t>.apakšpunkts)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trHeight w:val="28"/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</w:t>
            </w:r>
            <w:r>
              <w:rPr>
                <w:iCs/>
              </w:rPr>
              <w:t xml:space="preserve"> </w:t>
            </w:r>
            <w:r>
              <w:t>47</w:t>
            </w:r>
            <w:r w:rsidRPr="008B2087">
              <w:t>.pant</w:t>
            </w:r>
            <w:r>
              <w:t>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 xml:space="preserve">Noteikumu projekta </w:t>
            </w:r>
            <w:r>
              <w:t>1.6</w:t>
            </w:r>
            <w:r w:rsidRPr="008B2087">
              <w:t>.</w:t>
            </w:r>
            <w:r w:rsidR="00CF38D6">
              <w:t>apakš</w:t>
            </w:r>
            <w:r w:rsidRPr="008B2087">
              <w:t>punkts (9</w:t>
            </w:r>
            <w:r>
              <w:t>0</w:t>
            </w:r>
            <w:r w:rsidRPr="008B2087">
              <w:t>.punkts)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trHeight w:val="28"/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</w:t>
            </w:r>
            <w:r>
              <w:rPr>
                <w:iCs/>
              </w:rPr>
              <w:t xml:space="preserve"> </w:t>
            </w:r>
            <w:r w:rsidRPr="008B2087">
              <w:t>5</w:t>
            </w:r>
            <w:r>
              <w:t>0</w:t>
            </w:r>
            <w:r w:rsidRPr="008B2087">
              <w:t xml:space="preserve">.panta </w:t>
            </w:r>
            <w:r>
              <w:t>2</w:t>
            </w:r>
            <w:r w:rsidRPr="008B2087">
              <w:t>.punkta „a” apakšpunkts un Regulas Nr.612/2009 17.pants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 xml:space="preserve">Noteikumu projekta </w:t>
            </w:r>
            <w:r>
              <w:t>1.7</w:t>
            </w:r>
            <w:r w:rsidRPr="008B2087">
              <w:t>.</w:t>
            </w:r>
            <w:r w:rsidR="00CF38D6">
              <w:t>apakš</w:t>
            </w:r>
            <w:r w:rsidRPr="008B2087">
              <w:t>punkts (</w:t>
            </w:r>
            <w:r>
              <w:t>93</w:t>
            </w:r>
            <w:r w:rsidRPr="008B2087">
              <w:t>.punkts)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trHeight w:val="28"/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</w:t>
            </w:r>
            <w:r>
              <w:rPr>
                <w:iCs/>
              </w:rPr>
              <w:t xml:space="preserve"> </w:t>
            </w:r>
            <w:r w:rsidRPr="008B2087">
              <w:t>5</w:t>
            </w:r>
            <w:r>
              <w:t>0</w:t>
            </w:r>
            <w:r w:rsidRPr="008B2087">
              <w:t>.panta 3.punkt</w:t>
            </w:r>
            <w:r>
              <w:t>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Noteikumu projekta 1</w:t>
            </w:r>
            <w:r>
              <w:t>.7</w:t>
            </w:r>
            <w:r w:rsidRPr="008B2087">
              <w:t>.</w:t>
            </w:r>
            <w:r w:rsidR="00CF38D6">
              <w:t>apakš</w:t>
            </w:r>
            <w:r w:rsidRPr="008B2087">
              <w:t>punkts (</w:t>
            </w:r>
            <w:r>
              <w:t>9</w:t>
            </w:r>
            <w:r w:rsidRPr="008B2087">
              <w:t>4.punkts)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trHeight w:val="28"/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 </w:t>
            </w:r>
            <w:r w:rsidRPr="008B2087">
              <w:t>50.panta 2.punkta „</w:t>
            </w:r>
            <w:r>
              <w:t>b</w:t>
            </w:r>
            <w:r w:rsidRPr="008B2087">
              <w:t>” apakšpunkts un Regulas Nr.612/2009 17.pants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 xml:space="preserve">Noteikumu projekta </w:t>
            </w:r>
            <w:r>
              <w:t>1.7</w:t>
            </w:r>
            <w:r w:rsidRPr="008B2087">
              <w:t>.</w:t>
            </w:r>
            <w:r w:rsidR="00CF38D6">
              <w:t>apakš</w:t>
            </w:r>
            <w:r w:rsidRPr="008B2087">
              <w:t>punkts (</w:t>
            </w:r>
            <w:r>
              <w:t>9</w:t>
            </w:r>
            <w:r w:rsidRPr="008B2087">
              <w:t>5.punkts)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trHeight w:val="28"/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Regulas Nr.</w:t>
            </w:r>
            <w:r w:rsidRPr="008B2087">
              <w:rPr>
                <w:iCs/>
              </w:rPr>
              <w:t xml:space="preserve"> 578/2010</w:t>
            </w:r>
            <w:r>
              <w:rPr>
                <w:iCs/>
              </w:rPr>
              <w:t xml:space="preserve"> </w:t>
            </w:r>
            <w:r w:rsidRPr="008B2087">
              <w:t>5</w:t>
            </w:r>
            <w:r>
              <w:t>0</w:t>
            </w:r>
            <w:r w:rsidRPr="008B2087">
              <w:t>.panta 3.</w:t>
            </w:r>
            <w:r>
              <w:t xml:space="preserve"> un 4.</w:t>
            </w:r>
            <w:r w:rsidRPr="008B2087">
              <w:t>punkt</w:t>
            </w:r>
            <w:r>
              <w:t>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Noteikumu projekta 1</w:t>
            </w:r>
            <w:r>
              <w:t>.8</w:t>
            </w:r>
            <w:r w:rsidRPr="008B2087">
              <w:t>.</w:t>
            </w:r>
            <w:r w:rsidR="00CF38D6">
              <w:t>apakš</w:t>
            </w:r>
            <w:r w:rsidRPr="008B2087">
              <w:t>punkts (</w:t>
            </w:r>
            <w:r>
              <w:t>97</w:t>
            </w:r>
            <w:r w:rsidRPr="008B2087">
              <w:t xml:space="preserve">.punkts)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Ieviests pilnībā.</w:t>
            </w:r>
          </w:p>
        </w:tc>
        <w:tc>
          <w:tcPr>
            <w:tcW w:w="2652" w:type="dxa"/>
            <w:shd w:val="clear" w:color="auto" w:fill="auto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noteiktas stingrākas prasības.</w:t>
            </w:r>
          </w:p>
        </w:tc>
      </w:tr>
      <w:tr w:rsidR="00F77C35" w:rsidRPr="008B2087" w:rsidTr="003A2827">
        <w:trPr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  <w:tc>
          <w:tcPr>
            <w:tcW w:w="2250" w:type="dxa"/>
            <w:gridSpan w:val="3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  <w:tc>
          <w:tcPr>
            <w:tcW w:w="2250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  <w:tc>
          <w:tcPr>
            <w:tcW w:w="2652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</w:tr>
      <w:tr w:rsidR="00F77C35" w:rsidRPr="008B2087" w:rsidTr="003A2827">
        <w:trPr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Kā ir izmantota ES tiesību aktā paredzētā rīcības brīvība dalībvalstij pārņemt vai ieviest noteiktas ES tiesību akta normas.</w:t>
            </w:r>
          </w:p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Kādēļ?</w:t>
            </w:r>
          </w:p>
        </w:tc>
        <w:tc>
          <w:tcPr>
            <w:tcW w:w="7152" w:type="dxa"/>
            <w:gridSpan w:val="6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attiecināms.</w:t>
            </w:r>
          </w:p>
        </w:tc>
      </w:tr>
      <w:tr w:rsidR="00F77C35" w:rsidRPr="008B2087" w:rsidTr="003A2827">
        <w:trPr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152" w:type="dxa"/>
            <w:gridSpan w:val="6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attiecināms.</w:t>
            </w:r>
          </w:p>
        </w:tc>
      </w:tr>
      <w:tr w:rsidR="00F77C35" w:rsidRPr="008B2087" w:rsidTr="003A2827">
        <w:trPr>
          <w:jc w:val="center"/>
        </w:trPr>
        <w:tc>
          <w:tcPr>
            <w:tcW w:w="2448" w:type="dxa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Cita informācija</w:t>
            </w:r>
          </w:p>
        </w:tc>
        <w:tc>
          <w:tcPr>
            <w:tcW w:w="7152" w:type="dxa"/>
            <w:gridSpan w:val="6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</w:t>
            </w:r>
          </w:p>
        </w:tc>
      </w:tr>
      <w:tr w:rsidR="00F77C35" w:rsidRPr="008B2087" w:rsidTr="003A2827">
        <w:trPr>
          <w:jc w:val="center"/>
        </w:trPr>
        <w:tc>
          <w:tcPr>
            <w:tcW w:w="9600" w:type="dxa"/>
            <w:gridSpan w:val="7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</w:tr>
      <w:tr w:rsidR="00F77C35" w:rsidRPr="008B2087" w:rsidTr="003A2827">
        <w:trPr>
          <w:jc w:val="center"/>
        </w:trPr>
        <w:tc>
          <w:tcPr>
            <w:tcW w:w="9600" w:type="dxa"/>
            <w:gridSpan w:val="7"/>
          </w:tcPr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rPr>
                <w:b/>
              </w:rPr>
              <w:t>2.tabula</w:t>
            </w:r>
          </w:p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</w:p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rPr>
                <w:b/>
              </w:rPr>
              <w:t>Ar tiesību akta projektu uzņemtās saistības, kas izriet no starptautiskajiem tiesību aktiem vai starptautiskas institūcijas vai organizācijas dokumentiem</w:t>
            </w:r>
          </w:p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</w:p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rPr>
                <w:b/>
              </w:rPr>
              <w:t>Pasākumi šo saistību izpildei</w:t>
            </w:r>
          </w:p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</w:tr>
      <w:tr w:rsidR="00F77C35" w:rsidRPr="008B2087" w:rsidTr="003A2827">
        <w:trPr>
          <w:jc w:val="center"/>
        </w:trPr>
        <w:tc>
          <w:tcPr>
            <w:tcW w:w="4698" w:type="dxa"/>
            <w:gridSpan w:val="4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Attiecīga starptautiskā tiesību akta vai starptautiskas institūcijas vai organizācijas dokumentā (turpmāk – starptautiskais dokuments) datums, numurs un nosaukums</w:t>
            </w:r>
          </w:p>
        </w:tc>
        <w:tc>
          <w:tcPr>
            <w:tcW w:w="4902" w:type="dxa"/>
            <w:gridSpan w:val="3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attiecināms.</w:t>
            </w:r>
          </w:p>
        </w:tc>
      </w:tr>
      <w:tr w:rsidR="00F77C35" w:rsidRPr="008B2087" w:rsidTr="003A2827">
        <w:trPr>
          <w:jc w:val="center"/>
        </w:trPr>
        <w:tc>
          <w:tcPr>
            <w:tcW w:w="9600" w:type="dxa"/>
            <w:gridSpan w:val="7"/>
          </w:tcPr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77C35" w:rsidRPr="008B2087" w:rsidTr="003A2827">
        <w:trPr>
          <w:jc w:val="center"/>
        </w:trPr>
        <w:tc>
          <w:tcPr>
            <w:tcW w:w="3198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rPr>
                <w:b/>
              </w:rPr>
              <w:t>A</w:t>
            </w:r>
          </w:p>
        </w:tc>
        <w:tc>
          <w:tcPr>
            <w:tcW w:w="3000" w:type="dxa"/>
            <w:gridSpan w:val="3"/>
          </w:tcPr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rPr>
                <w:b/>
              </w:rPr>
              <w:t>B</w:t>
            </w:r>
          </w:p>
        </w:tc>
        <w:tc>
          <w:tcPr>
            <w:tcW w:w="3402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rPr>
                <w:b/>
              </w:rPr>
              <w:t>C</w:t>
            </w:r>
          </w:p>
        </w:tc>
      </w:tr>
      <w:tr w:rsidR="00F77C35" w:rsidRPr="008B2087" w:rsidTr="003A2827">
        <w:trPr>
          <w:jc w:val="center"/>
        </w:trPr>
        <w:tc>
          <w:tcPr>
            <w:tcW w:w="3198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Starptautiskās saistības (pēc būtības), kas izriet no norādītā starptautiskā dokumenta.</w:t>
            </w:r>
          </w:p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t>Konkrēti veicamie pasākumi vai uzdevumi, kas nepieciešami šo starptautisko saistību izpildei</w:t>
            </w:r>
          </w:p>
        </w:tc>
        <w:tc>
          <w:tcPr>
            <w:tcW w:w="3000" w:type="dxa"/>
            <w:gridSpan w:val="3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Ja pasākumi vai uzdevumi, ar ko tiks izpildītas starptautiskās saistības, tiek noteikti projektā, norāda attiecīgo projekta vienību.</w:t>
            </w:r>
          </w:p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t>Vai arī norāda dokumentu, kurā sniegts izvērsts skaidrojums, kādā veidā tiks nodrošināta starptautisko saistību izpilde</w:t>
            </w:r>
          </w:p>
        </w:tc>
        <w:tc>
          <w:tcPr>
            <w:tcW w:w="3402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Informācija par to, vai starptautiskās saistības, kas minētas šis tabulas A ailē, tiek izpildītas pilnībā vai daļēji.</w:t>
            </w:r>
          </w:p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t>Norāda institūciju, kas ir atbildīga par šo saistību izpildi pilnībā</w:t>
            </w:r>
          </w:p>
        </w:tc>
      </w:tr>
      <w:tr w:rsidR="00F77C35" w:rsidRPr="008B2087" w:rsidTr="003A2827">
        <w:trPr>
          <w:jc w:val="center"/>
        </w:trPr>
        <w:tc>
          <w:tcPr>
            <w:tcW w:w="3198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attiecināms.</w:t>
            </w:r>
          </w:p>
        </w:tc>
        <w:tc>
          <w:tcPr>
            <w:tcW w:w="3000" w:type="dxa"/>
            <w:gridSpan w:val="3"/>
          </w:tcPr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t>Nav attiecināms.</w:t>
            </w:r>
          </w:p>
        </w:tc>
        <w:tc>
          <w:tcPr>
            <w:tcW w:w="3402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  <w:rPr>
                <w:b/>
              </w:rPr>
            </w:pPr>
            <w:r w:rsidRPr="008B2087">
              <w:t>Nav attiecināms.</w:t>
            </w:r>
          </w:p>
        </w:tc>
      </w:tr>
      <w:tr w:rsidR="00F77C35" w:rsidRPr="008B2087" w:rsidTr="003A2827">
        <w:trPr>
          <w:jc w:val="center"/>
        </w:trPr>
        <w:tc>
          <w:tcPr>
            <w:tcW w:w="3198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  <w:tc>
          <w:tcPr>
            <w:tcW w:w="3000" w:type="dxa"/>
            <w:gridSpan w:val="3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  <w:tc>
          <w:tcPr>
            <w:tcW w:w="3402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</w:p>
        </w:tc>
      </w:tr>
      <w:tr w:rsidR="00F77C35" w:rsidRPr="008B2087" w:rsidTr="003A2827">
        <w:trPr>
          <w:jc w:val="center"/>
        </w:trPr>
        <w:tc>
          <w:tcPr>
            <w:tcW w:w="3198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Vai starptautiskajā dokumentā paredzētās saistības nav pretrunā ar jau esošajām Latvijas Republikas starptautiskajām saistībām</w:t>
            </w:r>
          </w:p>
        </w:tc>
        <w:tc>
          <w:tcPr>
            <w:tcW w:w="6402" w:type="dxa"/>
            <w:gridSpan w:val="5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 attiecināms.</w:t>
            </w:r>
          </w:p>
        </w:tc>
      </w:tr>
      <w:tr w:rsidR="00F77C35" w:rsidRPr="008B2087" w:rsidTr="003A2827">
        <w:trPr>
          <w:jc w:val="center"/>
        </w:trPr>
        <w:tc>
          <w:tcPr>
            <w:tcW w:w="3198" w:type="dxa"/>
            <w:gridSpan w:val="2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Cita informācija</w:t>
            </w:r>
          </w:p>
        </w:tc>
        <w:tc>
          <w:tcPr>
            <w:tcW w:w="6402" w:type="dxa"/>
            <w:gridSpan w:val="5"/>
          </w:tcPr>
          <w:p w:rsidR="00F77C35" w:rsidRPr="008B2087" w:rsidRDefault="00F77C35" w:rsidP="008B2087">
            <w:pPr>
              <w:spacing w:before="100" w:beforeAutospacing="1" w:after="100" w:afterAutospacing="1"/>
            </w:pPr>
            <w:r w:rsidRPr="008B2087">
              <w:t>Nav</w:t>
            </w:r>
          </w:p>
        </w:tc>
      </w:tr>
    </w:tbl>
    <w:p w:rsidR="00FE5186" w:rsidRPr="003A2827" w:rsidRDefault="008B2087" w:rsidP="003A2827">
      <w:pPr>
        <w:spacing w:before="100" w:beforeAutospacing="1" w:after="100" w:afterAutospacing="1"/>
      </w:pPr>
      <w:r>
        <w:t xml:space="preserve">Anotācijas </w:t>
      </w:r>
      <w:r w:rsidRPr="008B2087">
        <w:t>V</w:t>
      </w:r>
      <w:r>
        <w:t>I</w:t>
      </w:r>
      <w:r w:rsidRPr="008B2087">
        <w:t>–VII sadaļa – projekts šīs jomas neskar.</w:t>
      </w:r>
    </w:p>
    <w:p w:rsidR="00FE5186" w:rsidRPr="003D2A75" w:rsidRDefault="00FE5186" w:rsidP="008C0C16">
      <w:pPr>
        <w:ind w:firstLine="709"/>
        <w:jc w:val="both"/>
        <w:rPr>
          <w:sz w:val="28"/>
          <w:szCs w:val="28"/>
        </w:rPr>
      </w:pPr>
    </w:p>
    <w:p w:rsidR="00AA11FE" w:rsidRPr="00D10F81" w:rsidRDefault="003A2827" w:rsidP="003A2827">
      <w:pPr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F81">
        <w:rPr>
          <w:sz w:val="28"/>
          <w:szCs w:val="28"/>
        </w:rPr>
        <w:tab/>
      </w:r>
      <w:r w:rsidR="00D10F81">
        <w:rPr>
          <w:sz w:val="28"/>
          <w:szCs w:val="28"/>
        </w:rPr>
        <w:tab/>
        <w:t xml:space="preserve"> L.Straujuma</w:t>
      </w:r>
    </w:p>
    <w:p w:rsidR="001C2C1B" w:rsidRPr="003D2A75" w:rsidRDefault="001C2C1B" w:rsidP="00F77C35">
      <w:pPr>
        <w:jc w:val="both"/>
        <w:rPr>
          <w:sz w:val="28"/>
          <w:szCs w:val="28"/>
        </w:rPr>
      </w:pPr>
    </w:p>
    <w:p w:rsidR="001C2C1B" w:rsidRDefault="001C2C1B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Default="003A2827" w:rsidP="008B2087">
      <w:pPr>
        <w:jc w:val="both"/>
        <w:rPr>
          <w:sz w:val="28"/>
          <w:szCs w:val="28"/>
        </w:rPr>
      </w:pPr>
    </w:p>
    <w:p w:rsidR="003A2827" w:rsidRPr="003D2A75" w:rsidRDefault="003A2827" w:rsidP="008B2087">
      <w:pPr>
        <w:jc w:val="both"/>
        <w:rPr>
          <w:sz w:val="28"/>
          <w:szCs w:val="28"/>
        </w:rPr>
      </w:pPr>
    </w:p>
    <w:p w:rsidR="00323A4C" w:rsidRDefault="00323A4C" w:rsidP="008C0C16">
      <w:pPr>
        <w:rPr>
          <w:sz w:val="20"/>
          <w:szCs w:val="20"/>
        </w:rPr>
      </w:pPr>
      <w:r>
        <w:rPr>
          <w:sz w:val="20"/>
          <w:szCs w:val="20"/>
        </w:rPr>
        <w:t>2013.08.09. 12:43</w:t>
      </w:r>
    </w:p>
    <w:p w:rsidR="00323A4C" w:rsidRPr="00323A4C" w:rsidRDefault="00323A4C" w:rsidP="008C0C16">
      <w:pPr>
        <w:rPr>
          <w:sz w:val="20"/>
          <w:szCs w:val="20"/>
        </w:rPr>
      </w:pPr>
      <w:fldSimple w:instr=" NUMWORDS   \* MERGEFORMAT ">
        <w:r w:rsidRPr="00323A4C">
          <w:rPr>
            <w:noProof/>
            <w:sz w:val="20"/>
            <w:szCs w:val="20"/>
          </w:rPr>
          <w:t>1038</w:t>
        </w:r>
      </w:fldSimple>
    </w:p>
    <w:p w:rsidR="008C0C16" w:rsidRPr="003A2827" w:rsidRDefault="005A5B54" w:rsidP="008C0C16">
      <w:pPr>
        <w:rPr>
          <w:sz w:val="20"/>
          <w:szCs w:val="20"/>
          <w:lang w:val="pl-PL"/>
        </w:rPr>
      </w:pPr>
      <w:r w:rsidRPr="003A2827">
        <w:rPr>
          <w:sz w:val="20"/>
          <w:szCs w:val="20"/>
          <w:lang w:val="pl-PL"/>
        </w:rPr>
        <w:t>K.Lūks</w:t>
      </w:r>
    </w:p>
    <w:p w:rsidR="000A15B9" w:rsidRPr="003A2827" w:rsidRDefault="008C0C16">
      <w:pPr>
        <w:rPr>
          <w:sz w:val="20"/>
          <w:szCs w:val="20"/>
        </w:rPr>
      </w:pPr>
      <w:r w:rsidRPr="003A2827">
        <w:rPr>
          <w:sz w:val="20"/>
          <w:szCs w:val="20"/>
          <w:lang w:val="pl-PL"/>
        </w:rPr>
        <w:t>67027</w:t>
      </w:r>
      <w:r w:rsidR="00D10F81" w:rsidRPr="003A2827">
        <w:rPr>
          <w:sz w:val="20"/>
          <w:szCs w:val="20"/>
          <w:lang w:val="pl-PL"/>
        </w:rPr>
        <w:t>325</w:t>
      </w:r>
      <w:r w:rsidRPr="003A2827">
        <w:rPr>
          <w:sz w:val="20"/>
          <w:szCs w:val="20"/>
          <w:lang w:val="pl-PL"/>
        </w:rPr>
        <w:t xml:space="preserve">, </w:t>
      </w:r>
      <w:r w:rsidR="005A5B54" w:rsidRPr="003A2827">
        <w:rPr>
          <w:sz w:val="20"/>
          <w:szCs w:val="20"/>
          <w:lang w:val="pl-PL"/>
        </w:rPr>
        <w:t>karlis.luks</w:t>
      </w:r>
      <w:r w:rsidRPr="003A2827">
        <w:rPr>
          <w:sz w:val="20"/>
          <w:szCs w:val="20"/>
          <w:lang w:val="pl-PL"/>
        </w:rPr>
        <w:t>@zm.gov.lv</w:t>
      </w:r>
    </w:p>
    <w:sectPr w:rsidR="000A15B9" w:rsidRPr="003A2827" w:rsidSect="009F581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0D" w:rsidRDefault="00B7630D">
      <w:r>
        <w:separator/>
      </w:r>
    </w:p>
  </w:endnote>
  <w:endnote w:type="continuationSeparator" w:id="0">
    <w:p w:rsidR="00B7630D" w:rsidRDefault="00B7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A0" w:rsidRPr="005A5B54" w:rsidRDefault="005A5B54" w:rsidP="005A5B54">
    <w:pPr>
      <w:pStyle w:val="Kjene"/>
      <w:rPr>
        <w:sz w:val="20"/>
        <w:szCs w:val="20"/>
      </w:rPr>
    </w:pPr>
    <w:r w:rsidRPr="005A5B54">
      <w:rPr>
        <w:sz w:val="20"/>
        <w:szCs w:val="20"/>
      </w:rPr>
      <w:t>Z</w:t>
    </w:r>
    <w:r w:rsidR="003A2827">
      <w:rPr>
        <w:sz w:val="20"/>
        <w:szCs w:val="20"/>
      </w:rPr>
      <w:t>MAnot_31</w:t>
    </w:r>
    <w:r w:rsidR="00E26949">
      <w:rPr>
        <w:sz w:val="20"/>
        <w:szCs w:val="20"/>
      </w:rPr>
      <w:t>0713_Nr237euro</w:t>
    </w:r>
    <w:r w:rsidRPr="005A5B54">
      <w:rPr>
        <w:sz w:val="20"/>
        <w:szCs w:val="20"/>
      </w:rPr>
      <w:t xml:space="preserve">; </w:t>
    </w:r>
    <w:r w:rsidRPr="005A5B54">
      <w:rPr>
        <w:bCs/>
        <w:sz w:val="20"/>
        <w:szCs w:val="20"/>
      </w:rPr>
      <w:t>Grozījumi Ministru kabineta 2008.gada 1.aprīļa noteikumos Nr.237 „Lauksaimniecības un pārstrādāto lauksaimniecības produktu Eiropas Savienības ārējās tirdzniecības režīma administrēšanas kārtība”</w:t>
    </w:r>
    <w:r w:rsidRPr="005A5B54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A0" w:rsidRPr="00BA72C7" w:rsidRDefault="000E3CA0" w:rsidP="007C780E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ZMAnot_</w:t>
    </w:r>
    <w:r w:rsidR="003A2827">
      <w:rPr>
        <w:sz w:val="20"/>
        <w:szCs w:val="20"/>
      </w:rPr>
      <w:t>31</w:t>
    </w:r>
    <w:r w:rsidR="00D10F81">
      <w:rPr>
        <w:sz w:val="20"/>
        <w:szCs w:val="20"/>
      </w:rPr>
      <w:t>0713</w:t>
    </w:r>
    <w:r w:rsidR="00E26949">
      <w:rPr>
        <w:sz w:val="20"/>
        <w:szCs w:val="20"/>
      </w:rPr>
      <w:t>_Nr237euro</w:t>
    </w:r>
    <w:r w:rsidRPr="00BA72C7">
      <w:rPr>
        <w:sz w:val="20"/>
        <w:szCs w:val="20"/>
      </w:rPr>
      <w:t xml:space="preserve">; </w:t>
    </w:r>
    <w:r w:rsidR="005A5B54" w:rsidRPr="005A5B54">
      <w:rPr>
        <w:bCs/>
        <w:sz w:val="20"/>
        <w:szCs w:val="20"/>
      </w:rPr>
      <w:t>Grozījumi Ministru kabineta 2008.gada 1.aprīļa noteikumos Nr.237 „Lauksaimniecības un pārstrādāto lauksaimniecības produktu Eiropas Savienības ārējās tirdzniecības režīma administrēšanas kārtība”</w:t>
    </w:r>
    <w:r w:rsidR="005A5B54" w:rsidRPr="005A5B54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0D" w:rsidRDefault="00B7630D">
      <w:r>
        <w:separator/>
      </w:r>
    </w:p>
  </w:footnote>
  <w:footnote w:type="continuationSeparator" w:id="0">
    <w:p w:rsidR="00B7630D" w:rsidRDefault="00B7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A0" w:rsidRDefault="00EB75FD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E3CA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E3CA0" w:rsidRDefault="000E3CA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A0" w:rsidRDefault="00EB75FD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E3CA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23A4C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0E3CA0" w:rsidRDefault="000E3CA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0C16"/>
    <w:rsid w:val="00010FA0"/>
    <w:rsid w:val="00014A71"/>
    <w:rsid w:val="00016FE9"/>
    <w:rsid w:val="0001767D"/>
    <w:rsid w:val="00025839"/>
    <w:rsid w:val="00027155"/>
    <w:rsid w:val="00030CD8"/>
    <w:rsid w:val="00034AFC"/>
    <w:rsid w:val="00037689"/>
    <w:rsid w:val="00042708"/>
    <w:rsid w:val="00043429"/>
    <w:rsid w:val="000446F4"/>
    <w:rsid w:val="00045B35"/>
    <w:rsid w:val="000519D5"/>
    <w:rsid w:val="000519F8"/>
    <w:rsid w:val="00056C3A"/>
    <w:rsid w:val="000660A3"/>
    <w:rsid w:val="00072A53"/>
    <w:rsid w:val="0008145B"/>
    <w:rsid w:val="00084907"/>
    <w:rsid w:val="00095FDB"/>
    <w:rsid w:val="000A04B8"/>
    <w:rsid w:val="000A098D"/>
    <w:rsid w:val="000A15B9"/>
    <w:rsid w:val="000A196D"/>
    <w:rsid w:val="000A7B2A"/>
    <w:rsid w:val="000B087F"/>
    <w:rsid w:val="000B2FD4"/>
    <w:rsid w:val="000B3A65"/>
    <w:rsid w:val="000B7F0F"/>
    <w:rsid w:val="000C0189"/>
    <w:rsid w:val="000C0AA9"/>
    <w:rsid w:val="000C18B3"/>
    <w:rsid w:val="000C3CC1"/>
    <w:rsid w:val="000D0B1C"/>
    <w:rsid w:val="000D3276"/>
    <w:rsid w:val="000D33D4"/>
    <w:rsid w:val="000E33C1"/>
    <w:rsid w:val="000E3537"/>
    <w:rsid w:val="000E3CA0"/>
    <w:rsid w:val="000F5137"/>
    <w:rsid w:val="000F5507"/>
    <w:rsid w:val="000F6538"/>
    <w:rsid w:val="00103FFB"/>
    <w:rsid w:val="00104C3E"/>
    <w:rsid w:val="00107B33"/>
    <w:rsid w:val="00114B2C"/>
    <w:rsid w:val="00114F7D"/>
    <w:rsid w:val="001229E8"/>
    <w:rsid w:val="00123974"/>
    <w:rsid w:val="00127335"/>
    <w:rsid w:val="00133C28"/>
    <w:rsid w:val="00135F38"/>
    <w:rsid w:val="00137300"/>
    <w:rsid w:val="00140D52"/>
    <w:rsid w:val="00144F5A"/>
    <w:rsid w:val="001460FE"/>
    <w:rsid w:val="001470A9"/>
    <w:rsid w:val="001474B5"/>
    <w:rsid w:val="00155C68"/>
    <w:rsid w:val="00161F09"/>
    <w:rsid w:val="00164C5E"/>
    <w:rsid w:val="001666D7"/>
    <w:rsid w:val="00166D35"/>
    <w:rsid w:val="0017558F"/>
    <w:rsid w:val="00180F0F"/>
    <w:rsid w:val="001819AA"/>
    <w:rsid w:val="00181F7B"/>
    <w:rsid w:val="001931C3"/>
    <w:rsid w:val="001A1034"/>
    <w:rsid w:val="001A13EF"/>
    <w:rsid w:val="001A2EEA"/>
    <w:rsid w:val="001A4906"/>
    <w:rsid w:val="001A4F3E"/>
    <w:rsid w:val="001A50DB"/>
    <w:rsid w:val="001B29CD"/>
    <w:rsid w:val="001C2C1B"/>
    <w:rsid w:val="001C4050"/>
    <w:rsid w:val="001C66D2"/>
    <w:rsid w:val="001D7A69"/>
    <w:rsid w:val="001E1037"/>
    <w:rsid w:val="001E1B85"/>
    <w:rsid w:val="001E7F5F"/>
    <w:rsid w:val="001F15B1"/>
    <w:rsid w:val="001F6507"/>
    <w:rsid w:val="002022A6"/>
    <w:rsid w:val="00205D9B"/>
    <w:rsid w:val="00236AC7"/>
    <w:rsid w:val="0024753B"/>
    <w:rsid w:val="002507B1"/>
    <w:rsid w:val="0025239A"/>
    <w:rsid w:val="00253916"/>
    <w:rsid w:val="00256448"/>
    <w:rsid w:val="002611F3"/>
    <w:rsid w:val="00270201"/>
    <w:rsid w:val="00271C7E"/>
    <w:rsid w:val="002733F6"/>
    <w:rsid w:val="00283528"/>
    <w:rsid w:val="00285453"/>
    <w:rsid w:val="002905E5"/>
    <w:rsid w:val="00295A5E"/>
    <w:rsid w:val="00295CE1"/>
    <w:rsid w:val="002A2085"/>
    <w:rsid w:val="002A4C35"/>
    <w:rsid w:val="002A5CC7"/>
    <w:rsid w:val="002A7E22"/>
    <w:rsid w:val="002B307C"/>
    <w:rsid w:val="002B41BE"/>
    <w:rsid w:val="002B6EF4"/>
    <w:rsid w:val="002C1509"/>
    <w:rsid w:val="002C3F17"/>
    <w:rsid w:val="002C665B"/>
    <w:rsid w:val="002C6959"/>
    <w:rsid w:val="002C6F2D"/>
    <w:rsid w:val="002D0AA6"/>
    <w:rsid w:val="002D65A0"/>
    <w:rsid w:val="002D75C7"/>
    <w:rsid w:val="002F0505"/>
    <w:rsid w:val="002F2AED"/>
    <w:rsid w:val="00304426"/>
    <w:rsid w:val="003044D6"/>
    <w:rsid w:val="003074D4"/>
    <w:rsid w:val="00310CAB"/>
    <w:rsid w:val="003124CF"/>
    <w:rsid w:val="00314A13"/>
    <w:rsid w:val="00320B81"/>
    <w:rsid w:val="00323A4C"/>
    <w:rsid w:val="00331595"/>
    <w:rsid w:val="00335C3E"/>
    <w:rsid w:val="00337272"/>
    <w:rsid w:val="0036017C"/>
    <w:rsid w:val="0036125C"/>
    <w:rsid w:val="00361FF0"/>
    <w:rsid w:val="0037023F"/>
    <w:rsid w:val="003721BD"/>
    <w:rsid w:val="00387C11"/>
    <w:rsid w:val="00390099"/>
    <w:rsid w:val="00390AAF"/>
    <w:rsid w:val="003919D1"/>
    <w:rsid w:val="00396A57"/>
    <w:rsid w:val="0039746B"/>
    <w:rsid w:val="003A0C41"/>
    <w:rsid w:val="003A1ED1"/>
    <w:rsid w:val="003A2827"/>
    <w:rsid w:val="003B2410"/>
    <w:rsid w:val="003B4E5D"/>
    <w:rsid w:val="003B7AF6"/>
    <w:rsid w:val="003C4E23"/>
    <w:rsid w:val="003C5026"/>
    <w:rsid w:val="003D0C1B"/>
    <w:rsid w:val="003D2A75"/>
    <w:rsid w:val="003D58C1"/>
    <w:rsid w:val="003E1E55"/>
    <w:rsid w:val="003F2AF7"/>
    <w:rsid w:val="003F670A"/>
    <w:rsid w:val="00403568"/>
    <w:rsid w:val="004048D4"/>
    <w:rsid w:val="004070A0"/>
    <w:rsid w:val="00407F6D"/>
    <w:rsid w:val="00412D00"/>
    <w:rsid w:val="0041683B"/>
    <w:rsid w:val="00417F67"/>
    <w:rsid w:val="00421523"/>
    <w:rsid w:val="004275BF"/>
    <w:rsid w:val="0043515E"/>
    <w:rsid w:val="00436830"/>
    <w:rsid w:val="00440346"/>
    <w:rsid w:val="00442D4B"/>
    <w:rsid w:val="00450691"/>
    <w:rsid w:val="00451538"/>
    <w:rsid w:val="00453F67"/>
    <w:rsid w:val="00456507"/>
    <w:rsid w:val="00456557"/>
    <w:rsid w:val="00460076"/>
    <w:rsid w:val="00465D68"/>
    <w:rsid w:val="00467368"/>
    <w:rsid w:val="0047394D"/>
    <w:rsid w:val="004744D4"/>
    <w:rsid w:val="00475F24"/>
    <w:rsid w:val="004874E4"/>
    <w:rsid w:val="00487F47"/>
    <w:rsid w:val="00494034"/>
    <w:rsid w:val="00495348"/>
    <w:rsid w:val="00496362"/>
    <w:rsid w:val="004A488C"/>
    <w:rsid w:val="004A6A68"/>
    <w:rsid w:val="004B57FE"/>
    <w:rsid w:val="004B7CB7"/>
    <w:rsid w:val="004C17F6"/>
    <w:rsid w:val="004D1AA3"/>
    <w:rsid w:val="004D5FE4"/>
    <w:rsid w:val="004D6E5F"/>
    <w:rsid w:val="004E137A"/>
    <w:rsid w:val="004E1D98"/>
    <w:rsid w:val="004E5FFD"/>
    <w:rsid w:val="004E6473"/>
    <w:rsid w:val="004F7053"/>
    <w:rsid w:val="004F74F4"/>
    <w:rsid w:val="00500665"/>
    <w:rsid w:val="005148E2"/>
    <w:rsid w:val="00517942"/>
    <w:rsid w:val="005231A8"/>
    <w:rsid w:val="00524027"/>
    <w:rsid w:val="005335E0"/>
    <w:rsid w:val="005345EE"/>
    <w:rsid w:val="005356CB"/>
    <w:rsid w:val="005378AD"/>
    <w:rsid w:val="00553CE3"/>
    <w:rsid w:val="0056361B"/>
    <w:rsid w:val="005703DC"/>
    <w:rsid w:val="00576043"/>
    <w:rsid w:val="005800FD"/>
    <w:rsid w:val="00580340"/>
    <w:rsid w:val="00581028"/>
    <w:rsid w:val="0059177B"/>
    <w:rsid w:val="00597025"/>
    <w:rsid w:val="005A1702"/>
    <w:rsid w:val="005A1D94"/>
    <w:rsid w:val="005A5B54"/>
    <w:rsid w:val="005B5373"/>
    <w:rsid w:val="005C5BF8"/>
    <w:rsid w:val="005C6B09"/>
    <w:rsid w:val="005D1B38"/>
    <w:rsid w:val="005E2016"/>
    <w:rsid w:val="005E3BEF"/>
    <w:rsid w:val="005E6EF5"/>
    <w:rsid w:val="006063EC"/>
    <w:rsid w:val="006068D6"/>
    <w:rsid w:val="00613CDF"/>
    <w:rsid w:val="00620A1D"/>
    <w:rsid w:val="006221E0"/>
    <w:rsid w:val="00622434"/>
    <w:rsid w:val="00622F92"/>
    <w:rsid w:val="00627DEC"/>
    <w:rsid w:val="00634330"/>
    <w:rsid w:val="006413E5"/>
    <w:rsid w:val="00642916"/>
    <w:rsid w:val="00646022"/>
    <w:rsid w:val="006460FB"/>
    <w:rsid w:val="0064746A"/>
    <w:rsid w:val="00652A56"/>
    <w:rsid w:val="00652AAE"/>
    <w:rsid w:val="00657DE4"/>
    <w:rsid w:val="00666F3A"/>
    <w:rsid w:val="00667E8E"/>
    <w:rsid w:val="00683447"/>
    <w:rsid w:val="00695F6E"/>
    <w:rsid w:val="006A45CB"/>
    <w:rsid w:val="006A4DDE"/>
    <w:rsid w:val="006A5BDB"/>
    <w:rsid w:val="006A79F4"/>
    <w:rsid w:val="006B0273"/>
    <w:rsid w:val="006B1236"/>
    <w:rsid w:val="006C5E24"/>
    <w:rsid w:val="006C6881"/>
    <w:rsid w:val="006D5016"/>
    <w:rsid w:val="006D5948"/>
    <w:rsid w:val="006D689A"/>
    <w:rsid w:val="006E1BCE"/>
    <w:rsid w:val="006E22EA"/>
    <w:rsid w:val="006E59A5"/>
    <w:rsid w:val="00713950"/>
    <w:rsid w:val="00713A57"/>
    <w:rsid w:val="0071453A"/>
    <w:rsid w:val="00716F1B"/>
    <w:rsid w:val="00717C64"/>
    <w:rsid w:val="0072299D"/>
    <w:rsid w:val="00726803"/>
    <w:rsid w:val="00741C6E"/>
    <w:rsid w:val="0075081A"/>
    <w:rsid w:val="007560F0"/>
    <w:rsid w:val="00761007"/>
    <w:rsid w:val="00761140"/>
    <w:rsid w:val="00761F27"/>
    <w:rsid w:val="00767FF4"/>
    <w:rsid w:val="007805C4"/>
    <w:rsid w:val="00781603"/>
    <w:rsid w:val="0078254B"/>
    <w:rsid w:val="00785552"/>
    <w:rsid w:val="00786D2F"/>
    <w:rsid w:val="007C0125"/>
    <w:rsid w:val="007C16F0"/>
    <w:rsid w:val="007C5D3A"/>
    <w:rsid w:val="007C780E"/>
    <w:rsid w:val="007D00DC"/>
    <w:rsid w:val="007E6CE8"/>
    <w:rsid w:val="007F1974"/>
    <w:rsid w:val="00802D59"/>
    <w:rsid w:val="00805D3D"/>
    <w:rsid w:val="0080789D"/>
    <w:rsid w:val="008235DC"/>
    <w:rsid w:val="00823631"/>
    <w:rsid w:val="008312B2"/>
    <w:rsid w:val="008344C7"/>
    <w:rsid w:val="00843F98"/>
    <w:rsid w:val="00846552"/>
    <w:rsid w:val="00846889"/>
    <w:rsid w:val="00851630"/>
    <w:rsid w:val="00851CD7"/>
    <w:rsid w:val="00853718"/>
    <w:rsid w:val="0085418B"/>
    <w:rsid w:val="00860515"/>
    <w:rsid w:val="00860997"/>
    <w:rsid w:val="00873ED1"/>
    <w:rsid w:val="00880116"/>
    <w:rsid w:val="00882F0E"/>
    <w:rsid w:val="00883366"/>
    <w:rsid w:val="008866D9"/>
    <w:rsid w:val="008919DA"/>
    <w:rsid w:val="00892830"/>
    <w:rsid w:val="00892E83"/>
    <w:rsid w:val="008A13F9"/>
    <w:rsid w:val="008A17E9"/>
    <w:rsid w:val="008A5346"/>
    <w:rsid w:val="008A60AF"/>
    <w:rsid w:val="008B1611"/>
    <w:rsid w:val="008B2087"/>
    <w:rsid w:val="008C0C16"/>
    <w:rsid w:val="008C5C61"/>
    <w:rsid w:val="008C76C7"/>
    <w:rsid w:val="008D212C"/>
    <w:rsid w:val="008D361B"/>
    <w:rsid w:val="008D39F1"/>
    <w:rsid w:val="008E5655"/>
    <w:rsid w:val="008E614B"/>
    <w:rsid w:val="008F63FC"/>
    <w:rsid w:val="008F68BA"/>
    <w:rsid w:val="00901254"/>
    <w:rsid w:val="0091439C"/>
    <w:rsid w:val="00923CC5"/>
    <w:rsid w:val="00924CAC"/>
    <w:rsid w:val="00926AD2"/>
    <w:rsid w:val="0093061F"/>
    <w:rsid w:val="009319AD"/>
    <w:rsid w:val="00943D22"/>
    <w:rsid w:val="00951466"/>
    <w:rsid w:val="0096043B"/>
    <w:rsid w:val="00965858"/>
    <w:rsid w:val="009775F5"/>
    <w:rsid w:val="00981DF3"/>
    <w:rsid w:val="00985EF4"/>
    <w:rsid w:val="00986160"/>
    <w:rsid w:val="0099042A"/>
    <w:rsid w:val="00990D29"/>
    <w:rsid w:val="0099589A"/>
    <w:rsid w:val="0099678E"/>
    <w:rsid w:val="009A032E"/>
    <w:rsid w:val="009A6E61"/>
    <w:rsid w:val="009B2B08"/>
    <w:rsid w:val="009B5E5D"/>
    <w:rsid w:val="009C34A1"/>
    <w:rsid w:val="009C3867"/>
    <w:rsid w:val="009C669E"/>
    <w:rsid w:val="009C7559"/>
    <w:rsid w:val="009D2B3A"/>
    <w:rsid w:val="009D3C49"/>
    <w:rsid w:val="009D4438"/>
    <w:rsid w:val="009E0860"/>
    <w:rsid w:val="009E594A"/>
    <w:rsid w:val="009E59BD"/>
    <w:rsid w:val="009E71BC"/>
    <w:rsid w:val="009F3273"/>
    <w:rsid w:val="009F5469"/>
    <w:rsid w:val="009F581B"/>
    <w:rsid w:val="009F5888"/>
    <w:rsid w:val="00A00081"/>
    <w:rsid w:val="00A04C5B"/>
    <w:rsid w:val="00A052EE"/>
    <w:rsid w:val="00A06C70"/>
    <w:rsid w:val="00A119F3"/>
    <w:rsid w:val="00A122E9"/>
    <w:rsid w:val="00A127FA"/>
    <w:rsid w:val="00A13B4C"/>
    <w:rsid w:val="00A22291"/>
    <w:rsid w:val="00A3288E"/>
    <w:rsid w:val="00A333E9"/>
    <w:rsid w:val="00A34177"/>
    <w:rsid w:val="00A347CC"/>
    <w:rsid w:val="00A3588E"/>
    <w:rsid w:val="00A36404"/>
    <w:rsid w:val="00A40A3D"/>
    <w:rsid w:val="00A42911"/>
    <w:rsid w:val="00A43B8C"/>
    <w:rsid w:val="00A45924"/>
    <w:rsid w:val="00A5411F"/>
    <w:rsid w:val="00A547FA"/>
    <w:rsid w:val="00A615CE"/>
    <w:rsid w:val="00A648D1"/>
    <w:rsid w:val="00A73998"/>
    <w:rsid w:val="00A74C2C"/>
    <w:rsid w:val="00A75F02"/>
    <w:rsid w:val="00A77E01"/>
    <w:rsid w:val="00A80CF4"/>
    <w:rsid w:val="00A81451"/>
    <w:rsid w:val="00A8424F"/>
    <w:rsid w:val="00A85B00"/>
    <w:rsid w:val="00A91700"/>
    <w:rsid w:val="00A93596"/>
    <w:rsid w:val="00A9622E"/>
    <w:rsid w:val="00AA11FE"/>
    <w:rsid w:val="00AA1BC4"/>
    <w:rsid w:val="00AA5CF3"/>
    <w:rsid w:val="00AB05C0"/>
    <w:rsid w:val="00AB6D9C"/>
    <w:rsid w:val="00AC2D4C"/>
    <w:rsid w:val="00AC3120"/>
    <w:rsid w:val="00AC4CB9"/>
    <w:rsid w:val="00AC524E"/>
    <w:rsid w:val="00AD3E25"/>
    <w:rsid w:val="00AE215A"/>
    <w:rsid w:val="00AE4AF1"/>
    <w:rsid w:val="00AE61F3"/>
    <w:rsid w:val="00AE79B5"/>
    <w:rsid w:val="00AF10A9"/>
    <w:rsid w:val="00AF1641"/>
    <w:rsid w:val="00AF2384"/>
    <w:rsid w:val="00AF2EDA"/>
    <w:rsid w:val="00AF490B"/>
    <w:rsid w:val="00AF6584"/>
    <w:rsid w:val="00AF710B"/>
    <w:rsid w:val="00B0097B"/>
    <w:rsid w:val="00B013B1"/>
    <w:rsid w:val="00B05C81"/>
    <w:rsid w:val="00B06B15"/>
    <w:rsid w:val="00B07244"/>
    <w:rsid w:val="00B14840"/>
    <w:rsid w:val="00B14887"/>
    <w:rsid w:val="00B16E08"/>
    <w:rsid w:val="00B23056"/>
    <w:rsid w:val="00B302CC"/>
    <w:rsid w:val="00B30E58"/>
    <w:rsid w:val="00B32C5A"/>
    <w:rsid w:val="00B336A0"/>
    <w:rsid w:val="00B363C6"/>
    <w:rsid w:val="00B413B2"/>
    <w:rsid w:val="00B46048"/>
    <w:rsid w:val="00B50098"/>
    <w:rsid w:val="00B54CB6"/>
    <w:rsid w:val="00B56A22"/>
    <w:rsid w:val="00B654DA"/>
    <w:rsid w:val="00B7630D"/>
    <w:rsid w:val="00B812D0"/>
    <w:rsid w:val="00B851CF"/>
    <w:rsid w:val="00B90886"/>
    <w:rsid w:val="00BA172E"/>
    <w:rsid w:val="00BA1C6F"/>
    <w:rsid w:val="00BA254E"/>
    <w:rsid w:val="00BA4095"/>
    <w:rsid w:val="00BB274E"/>
    <w:rsid w:val="00BB45C2"/>
    <w:rsid w:val="00BB5122"/>
    <w:rsid w:val="00BB62FF"/>
    <w:rsid w:val="00BC0AFD"/>
    <w:rsid w:val="00BC3833"/>
    <w:rsid w:val="00BD05E9"/>
    <w:rsid w:val="00BD1BE3"/>
    <w:rsid w:val="00BD5C63"/>
    <w:rsid w:val="00BD7317"/>
    <w:rsid w:val="00BE7677"/>
    <w:rsid w:val="00BF0F0C"/>
    <w:rsid w:val="00BF2BDF"/>
    <w:rsid w:val="00C0575B"/>
    <w:rsid w:val="00C11B6F"/>
    <w:rsid w:val="00C1440E"/>
    <w:rsid w:val="00C14451"/>
    <w:rsid w:val="00C14BB5"/>
    <w:rsid w:val="00C25FCB"/>
    <w:rsid w:val="00C30ED1"/>
    <w:rsid w:val="00C332B9"/>
    <w:rsid w:val="00C334DD"/>
    <w:rsid w:val="00C34D9D"/>
    <w:rsid w:val="00C4371E"/>
    <w:rsid w:val="00C457C0"/>
    <w:rsid w:val="00C45B27"/>
    <w:rsid w:val="00C503C9"/>
    <w:rsid w:val="00C513D6"/>
    <w:rsid w:val="00C517B9"/>
    <w:rsid w:val="00C55938"/>
    <w:rsid w:val="00C57290"/>
    <w:rsid w:val="00C57B92"/>
    <w:rsid w:val="00C73605"/>
    <w:rsid w:val="00C7391E"/>
    <w:rsid w:val="00C769D1"/>
    <w:rsid w:val="00C94003"/>
    <w:rsid w:val="00C96B84"/>
    <w:rsid w:val="00CA1FDE"/>
    <w:rsid w:val="00CB0E45"/>
    <w:rsid w:val="00CC33D0"/>
    <w:rsid w:val="00CC3CD0"/>
    <w:rsid w:val="00CC646C"/>
    <w:rsid w:val="00CE131F"/>
    <w:rsid w:val="00CE2C53"/>
    <w:rsid w:val="00CE3401"/>
    <w:rsid w:val="00CE490E"/>
    <w:rsid w:val="00CE4E48"/>
    <w:rsid w:val="00CE5AC0"/>
    <w:rsid w:val="00CF38D6"/>
    <w:rsid w:val="00D05BB6"/>
    <w:rsid w:val="00D06BC6"/>
    <w:rsid w:val="00D10F81"/>
    <w:rsid w:val="00D14608"/>
    <w:rsid w:val="00D14CD2"/>
    <w:rsid w:val="00D3003E"/>
    <w:rsid w:val="00D30C3D"/>
    <w:rsid w:val="00D30E03"/>
    <w:rsid w:val="00D3543A"/>
    <w:rsid w:val="00D372BC"/>
    <w:rsid w:val="00D378F7"/>
    <w:rsid w:val="00D57D80"/>
    <w:rsid w:val="00D7213E"/>
    <w:rsid w:val="00D76D21"/>
    <w:rsid w:val="00D82308"/>
    <w:rsid w:val="00D83D66"/>
    <w:rsid w:val="00D96541"/>
    <w:rsid w:val="00DB0231"/>
    <w:rsid w:val="00DB2BBD"/>
    <w:rsid w:val="00DC0987"/>
    <w:rsid w:val="00DC444E"/>
    <w:rsid w:val="00DC7E49"/>
    <w:rsid w:val="00DD53A4"/>
    <w:rsid w:val="00DE3841"/>
    <w:rsid w:val="00DE3A5E"/>
    <w:rsid w:val="00DF0CBF"/>
    <w:rsid w:val="00DF25E9"/>
    <w:rsid w:val="00DF287E"/>
    <w:rsid w:val="00DF5FD0"/>
    <w:rsid w:val="00DF63B7"/>
    <w:rsid w:val="00DF7B24"/>
    <w:rsid w:val="00E077E7"/>
    <w:rsid w:val="00E113AE"/>
    <w:rsid w:val="00E12349"/>
    <w:rsid w:val="00E12E41"/>
    <w:rsid w:val="00E14CBC"/>
    <w:rsid w:val="00E16C64"/>
    <w:rsid w:val="00E21D90"/>
    <w:rsid w:val="00E22CCA"/>
    <w:rsid w:val="00E2623E"/>
    <w:rsid w:val="00E26949"/>
    <w:rsid w:val="00E301C3"/>
    <w:rsid w:val="00E45788"/>
    <w:rsid w:val="00E51E59"/>
    <w:rsid w:val="00E523EF"/>
    <w:rsid w:val="00E54352"/>
    <w:rsid w:val="00E54990"/>
    <w:rsid w:val="00E62B66"/>
    <w:rsid w:val="00E63A66"/>
    <w:rsid w:val="00E65D72"/>
    <w:rsid w:val="00E72AB4"/>
    <w:rsid w:val="00E8100B"/>
    <w:rsid w:val="00E86D9D"/>
    <w:rsid w:val="00E86DD3"/>
    <w:rsid w:val="00EA3820"/>
    <w:rsid w:val="00EA411D"/>
    <w:rsid w:val="00EA7106"/>
    <w:rsid w:val="00EA7443"/>
    <w:rsid w:val="00EB29A4"/>
    <w:rsid w:val="00EB3145"/>
    <w:rsid w:val="00EB75FD"/>
    <w:rsid w:val="00EC67D8"/>
    <w:rsid w:val="00ED02E9"/>
    <w:rsid w:val="00ED1A25"/>
    <w:rsid w:val="00ED34EA"/>
    <w:rsid w:val="00ED3569"/>
    <w:rsid w:val="00ED6F68"/>
    <w:rsid w:val="00EE0347"/>
    <w:rsid w:val="00EE4C62"/>
    <w:rsid w:val="00F007B7"/>
    <w:rsid w:val="00F10AA0"/>
    <w:rsid w:val="00F12BD7"/>
    <w:rsid w:val="00F13363"/>
    <w:rsid w:val="00F151BD"/>
    <w:rsid w:val="00F21CE6"/>
    <w:rsid w:val="00F22413"/>
    <w:rsid w:val="00F2412C"/>
    <w:rsid w:val="00F333B8"/>
    <w:rsid w:val="00F336F7"/>
    <w:rsid w:val="00F47520"/>
    <w:rsid w:val="00F47A43"/>
    <w:rsid w:val="00F576D8"/>
    <w:rsid w:val="00F61CD9"/>
    <w:rsid w:val="00F659F8"/>
    <w:rsid w:val="00F75305"/>
    <w:rsid w:val="00F77C35"/>
    <w:rsid w:val="00F83B89"/>
    <w:rsid w:val="00F83FBD"/>
    <w:rsid w:val="00F86A98"/>
    <w:rsid w:val="00F92C7C"/>
    <w:rsid w:val="00F9711D"/>
    <w:rsid w:val="00FA2BD7"/>
    <w:rsid w:val="00FC4233"/>
    <w:rsid w:val="00FE1E56"/>
    <w:rsid w:val="00FE283B"/>
    <w:rsid w:val="00FE484B"/>
    <w:rsid w:val="00FE5186"/>
    <w:rsid w:val="00FE78FA"/>
    <w:rsid w:val="00FF0CF3"/>
    <w:rsid w:val="00FF369F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8C0C16"/>
    <w:pPr>
      <w:spacing w:before="75" w:after="75"/>
      <w:jc w:val="right"/>
    </w:pPr>
  </w:style>
  <w:style w:type="table" w:styleId="Reatabula">
    <w:name w:val="Table Grid"/>
    <w:basedOn w:val="Parastatabula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rsid w:val="008C0C16"/>
    <w:pPr>
      <w:spacing w:before="75" w:after="75"/>
    </w:pPr>
  </w:style>
  <w:style w:type="paragraph" w:customStyle="1" w:styleId="naispant">
    <w:name w:val="naispant"/>
    <w:basedOn w:val="Parastais"/>
    <w:rsid w:val="008C0C16"/>
    <w:pPr>
      <w:spacing w:before="100" w:beforeAutospacing="1" w:after="100" w:afterAutospacing="1"/>
    </w:pPr>
  </w:style>
  <w:style w:type="paragraph" w:styleId="Galvene">
    <w:name w:val="header"/>
    <w:basedOn w:val="Parastais"/>
    <w:rsid w:val="008C0C1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0C16"/>
  </w:style>
  <w:style w:type="paragraph" w:customStyle="1" w:styleId="naisnod">
    <w:name w:val="naisnod"/>
    <w:basedOn w:val="Parastais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ais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22"/>
    <w:qFormat/>
    <w:rsid w:val="008C0C16"/>
    <w:rPr>
      <w:b/>
      <w:bCs/>
    </w:rPr>
  </w:style>
  <w:style w:type="paragraph" w:styleId="Kjene">
    <w:name w:val="footer"/>
    <w:basedOn w:val="Parastais"/>
    <w:rsid w:val="008C0C16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Parastais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ais"/>
    <w:semiHidden/>
    <w:rsid w:val="00851630"/>
    <w:rPr>
      <w:rFonts w:ascii="Tahoma" w:hAnsi="Tahoma" w:cs="Tahoma"/>
      <w:sz w:val="16"/>
      <w:szCs w:val="16"/>
    </w:rPr>
  </w:style>
  <w:style w:type="paragraph" w:customStyle="1" w:styleId="RakstzRakstzCharChar">
    <w:name w:val="Rakstz. Rakstz. Char Char"/>
    <w:basedOn w:val="Parastais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aisWeb">
    <w:name w:val="Normal (Web)"/>
    <w:basedOn w:val="Parastais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E62B66"/>
    <w:rPr>
      <w:color w:val="0000FF"/>
      <w:u w:val="single"/>
    </w:rPr>
  </w:style>
  <w:style w:type="character" w:styleId="Komentraatsauce">
    <w:name w:val="annotation reference"/>
    <w:rsid w:val="00E62B66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62B66"/>
  </w:style>
  <w:style w:type="paragraph" w:styleId="Komentratma">
    <w:name w:val="annotation subject"/>
    <w:basedOn w:val="Komentrateksts"/>
    <w:next w:val="Komentrateksts"/>
    <w:link w:val="KomentratmaRakstz"/>
    <w:rsid w:val="00E62B66"/>
    <w:rPr>
      <w:b/>
      <w:bCs/>
    </w:rPr>
  </w:style>
  <w:style w:type="character" w:customStyle="1" w:styleId="KomentratmaRakstz">
    <w:name w:val="Komentāra tēma Rakstz."/>
    <w:link w:val="Komentratma"/>
    <w:rsid w:val="00E62B66"/>
    <w:rPr>
      <w:b/>
      <w:bCs/>
    </w:rPr>
  </w:style>
  <w:style w:type="paragraph" w:styleId="Sarakstarindkopa">
    <w:name w:val="List Paragraph"/>
    <w:basedOn w:val="Parastais"/>
    <w:uiPriority w:val="34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ais"/>
    <w:link w:val="VrestekstsRakstz"/>
    <w:unhideWhenUsed/>
    <w:rsid w:val="003B4E5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rsid w:val="003B4E5D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3B4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8C0C16"/>
    <w:pPr>
      <w:spacing w:before="75" w:after="75"/>
      <w:jc w:val="right"/>
    </w:pPr>
  </w:style>
  <w:style w:type="table" w:styleId="Reatabula">
    <w:name w:val="Table Grid"/>
    <w:basedOn w:val="Parastatabula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s"/>
    <w:rsid w:val="008C0C16"/>
    <w:pPr>
      <w:spacing w:before="75" w:after="75"/>
    </w:pPr>
  </w:style>
  <w:style w:type="paragraph" w:customStyle="1" w:styleId="naispant">
    <w:name w:val="naispant"/>
    <w:basedOn w:val="Parasts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rsid w:val="008C0C1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0C16"/>
  </w:style>
  <w:style w:type="paragraph" w:customStyle="1" w:styleId="naisnod">
    <w:name w:val="naisnod"/>
    <w:basedOn w:val="Parasts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22"/>
    <w:qFormat/>
    <w:rsid w:val="008C0C16"/>
    <w:rPr>
      <w:b/>
      <w:bCs/>
    </w:rPr>
  </w:style>
  <w:style w:type="paragraph" w:styleId="Kjene">
    <w:name w:val="footer"/>
    <w:basedOn w:val="Parasts"/>
    <w:rsid w:val="008C0C16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Parasts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semiHidden/>
    <w:rsid w:val="00851630"/>
    <w:rPr>
      <w:rFonts w:ascii="Tahoma" w:hAnsi="Tahoma" w:cs="Tahoma"/>
      <w:sz w:val="16"/>
      <w:szCs w:val="16"/>
    </w:rPr>
  </w:style>
  <w:style w:type="paragraph" w:customStyle="1" w:styleId="RakstzRakstzCharChar">
    <w:name w:val="Rakstz. Rakstz. Char Char"/>
    <w:basedOn w:val="Parasts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E62B66"/>
    <w:rPr>
      <w:color w:val="0000FF"/>
      <w:u w:val="single"/>
    </w:rPr>
  </w:style>
  <w:style w:type="character" w:styleId="Komentraatsauce">
    <w:name w:val="annotation reference"/>
    <w:rsid w:val="00E62B6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62B66"/>
  </w:style>
  <w:style w:type="paragraph" w:styleId="Komentratma">
    <w:name w:val="annotation subject"/>
    <w:basedOn w:val="Komentrateksts"/>
    <w:next w:val="Komentrateksts"/>
    <w:link w:val="KomentratmaRakstz"/>
    <w:rsid w:val="00E62B66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E62B66"/>
    <w:rPr>
      <w:b/>
      <w:bCs/>
    </w:rPr>
  </w:style>
  <w:style w:type="paragraph" w:styleId="Sarakstarindkopa">
    <w:name w:val="List Paragraph"/>
    <w:basedOn w:val="Parasts"/>
    <w:uiPriority w:val="34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nhideWhenUsed/>
    <w:rsid w:val="003B4E5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rsid w:val="003B4E5D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3B4E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7FA2-0790-4925-B4C3-C0EF2434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1055</Words>
  <Characters>7454</Characters>
  <Application>Microsoft Office Word</Application>
  <DocSecurity>0</DocSecurity>
  <Lines>372</Lines>
  <Paragraphs>141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>Ministru kabineta noteikumu projekta „Kārtība, kādā piešķir, administrē un uzrauga valsts un Eiropas Savienības atbalstu augļu un dārzeņu piegādāšanai skolēniem vispārējās izglītības iestādēs” sākotnējās ietekmes novērtējuma ziņojums (ano</vt:lpstr>
      <vt:lpstr/>
      <vt:lpstr/>
    </vt:vector>
  </TitlesOfParts>
  <Company>ZM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„Kārtība, kādā piešķir, administrē un uzrauga valsts un Eiropas Savienības atbalstu augļu un dārzeņu piegādāšanai skolēniem vispārējās izglītības iestādēs” sākotnējās ietekmes novērtējuma ziņojums (ano</dc:title>
  <dc:subject>Anotācija</dc:subject>
  <dc:creator>Janis.Krainis</dc:creator>
  <cp:lastModifiedBy>Renārs Žagars</cp:lastModifiedBy>
  <cp:revision>8</cp:revision>
  <cp:lastPrinted>2012-04-27T09:58:00Z</cp:lastPrinted>
  <dcterms:created xsi:type="dcterms:W3CDTF">2013-06-06T12:08:00Z</dcterms:created>
  <dcterms:modified xsi:type="dcterms:W3CDTF">2013-08-09T09:44:00Z</dcterms:modified>
</cp:coreProperties>
</file>