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0EB1D" w14:textId="77777777" w:rsidR="0034753A" w:rsidRDefault="0034753A" w:rsidP="0034753A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Konkursa nolikuma </w:t>
      </w:r>
    </w:p>
    <w:p w14:paraId="62F86996" w14:textId="77777777" w:rsidR="0034753A" w:rsidRDefault="0034753A" w:rsidP="0034753A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003529">
        <w:rPr>
          <w:sz w:val="28"/>
          <w:szCs w:val="28"/>
        </w:rPr>
        <w:t xml:space="preserve">par jūras teritoriju izmantošanas tiesību piešķiršanu </w:t>
      </w:r>
    </w:p>
    <w:p w14:paraId="6EF78637" w14:textId="77777777" w:rsidR="0034753A" w:rsidRDefault="0034753A" w:rsidP="0034753A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003529">
        <w:rPr>
          <w:sz w:val="28"/>
          <w:szCs w:val="28"/>
        </w:rPr>
        <w:t xml:space="preserve">akvakultūras darbībai nepieciešamo iekārtu ierīkošanai </w:t>
      </w:r>
    </w:p>
    <w:p w14:paraId="28E4ED4F" w14:textId="77777777" w:rsidR="0034753A" w:rsidRDefault="0034753A" w:rsidP="0034753A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003529">
        <w:rPr>
          <w:sz w:val="28"/>
          <w:szCs w:val="28"/>
        </w:rPr>
        <w:t>un ekspluatācijai Latvijas Republikas teritoriālajā jūrā</w:t>
      </w:r>
      <w:r>
        <w:rPr>
          <w:sz w:val="28"/>
          <w:szCs w:val="28"/>
        </w:rPr>
        <w:t xml:space="preserve"> </w:t>
      </w:r>
    </w:p>
    <w:p w14:paraId="64AFE7C4" w14:textId="77777777" w:rsidR="000C0EEE" w:rsidRPr="004D6ECB" w:rsidRDefault="0043551B" w:rsidP="000C0EEE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0C0EEE" w:rsidRPr="004D6ECB">
        <w:rPr>
          <w:sz w:val="28"/>
          <w:szCs w:val="28"/>
        </w:rPr>
        <w:t>.pielikums</w:t>
      </w:r>
    </w:p>
    <w:p w14:paraId="64AFE7C5" w14:textId="77777777" w:rsidR="000C0EEE" w:rsidRPr="004D6ECB" w:rsidRDefault="000C0EEE" w:rsidP="000C0EE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64AFE7C6" w14:textId="77777777" w:rsidR="000C0EEE" w:rsidRPr="007B47EC" w:rsidRDefault="000C0EEE" w:rsidP="000C0EEE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r w:rsidRPr="007B47EC">
        <w:rPr>
          <w:b/>
          <w:sz w:val="28"/>
          <w:szCs w:val="28"/>
        </w:rPr>
        <w:t>Pretendentu vērtēšanas kritēriji</w:t>
      </w:r>
    </w:p>
    <w:p w14:paraId="64AFE7C7" w14:textId="77777777" w:rsidR="000C0EEE" w:rsidRPr="004D6ECB" w:rsidRDefault="000C0EEE" w:rsidP="000C0EE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4677"/>
        <w:gridCol w:w="1276"/>
      </w:tblGrid>
      <w:tr w:rsidR="000C0EEE" w:rsidRPr="004D6ECB" w14:paraId="64AFE7CC" w14:textId="77777777" w:rsidTr="00945896">
        <w:tc>
          <w:tcPr>
            <w:tcW w:w="675" w:type="dxa"/>
            <w:vAlign w:val="center"/>
          </w:tcPr>
          <w:p w14:paraId="09C6968F" w14:textId="77777777" w:rsidR="00945896" w:rsidRDefault="000C0EEE" w:rsidP="00465B54">
            <w:pPr>
              <w:pStyle w:val="naisf"/>
              <w:spacing w:before="0" w:beforeAutospacing="0" w:after="0" w:afterAutospacing="0"/>
              <w:jc w:val="center"/>
            </w:pPr>
            <w:r w:rsidRPr="00E74296">
              <w:t>Nr.</w:t>
            </w:r>
          </w:p>
          <w:p w14:paraId="64AFE7C8" w14:textId="228AAAF7" w:rsidR="000C0EEE" w:rsidRPr="00E74296" w:rsidRDefault="000C0EEE" w:rsidP="00465B54">
            <w:pPr>
              <w:pStyle w:val="naisf"/>
              <w:spacing w:before="0" w:beforeAutospacing="0" w:after="0" w:afterAutospacing="0"/>
              <w:jc w:val="center"/>
            </w:pPr>
            <w:r w:rsidRPr="00E74296">
              <w:t>p.k.</w:t>
            </w:r>
          </w:p>
        </w:tc>
        <w:tc>
          <w:tcPr>
            <w:tcW w:w="2694" w:type="dxa"/>
            <w:vAlign w:val="center"/>
          </w:tcPr>
          <w:p w14:paraId="64AFE7C9" w14:textId="77777777" w:rsidR="000C0EEE" w:rsidRPr="00E74296" w:rsidRDefault="000C0EEE" w:rsidP="00465B54">
            <w:pPr>
              <w:pStyle w:val="naisf"/>
              <w:spacing w:before="0" w:beforeAutospacing="0" w:after="0" w:afterAutospacing="0"/>
              <w:jc w:val="center"/>
            </w:pPr>
            <w:r w:rsidRPr="00E74296">
              <w:t>Kritēriju grupa</w:t>
            </w:r>
          </w:p>
        </w:tc>
        <w:tc>
          <w:tcPr>
            <w:tcW w:w="4677" w:type="dxa"/>
            <w:vAlign w:val="center"/>
          </w:tcPr>
          <w:p w14:paraId="64AFE7CA" w14:textId="77777777" w:rsidR="000C0EEE" w:rsidRPr="00E74296" w:rsidRDefault="000C0EEE" w:rsidP="00465B54">
            <w:pPr>
              <w:pStyle w:val="naisf"/>
              <w:spacing w:before="0" w:beforeAutospacing="0" w:after="0" w:afterAutospacing="0"/>
              <w:jc w:val="center"/>
            </w:pPr>
            <w:r w:rsidRPr="00E74296">
              <w:t>Kritērijs</w:t>
            </w:r>
          </w:p>
        </w:tc>
        <w:tc>
          <w:tcPr>
            <w:tcW w:w="1276" w:type="dxa"/>
            <w:vAlign w:val="center"/>
          </w:tcPr>
          <w:p w14:paraId="64AFE7CB" w14:textId="77777777" w:rsidR="000C0EEE" w:rsidRPr="00E74296" w:rsidRDefault="000C0EEE" w:rsidP="00465B54">
            <w:pPr>
              <w:pStyle w:val="naisf"/>
              <w:spacing w:before="0" w:beforeAutospacing="0" w:after="0" w:afterAutospacing="0"/>
              <w:jc w:val="center"/>
            </w:pPr>
            <w:r w:rsidRPr="00E74296">
              <w:t>Punktu skaits</w:t>
            </w:r>
          </w:p>
        </w:tc>
      </w:tr>
      <w:tr w:rsidR="000C0EEE" w:rsidRPr="004D6ECB" w14:paraId="64AFE7D1" w14:textId="77777777" w:rsidTr="00945896">
        <w:tc>
          <w:tcPr>
            <w:tcW w:w="675" w:type="dxa"/>
            <w:vMerge w:val="restart"/>
          </w:tcPr>
          <w:p w14:paraId="64AFE7CD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  <w:r w:rsidRPr="00E74296">
              <w:t>1.</w:t>
            </w:r>
          </w:p>
        </w:tc>
        <w:tc>
          <w:tcPr>
            <w:tcW w:w="2694" w:type="dxa"/>
            <w:vMerge w:val="restart"/>
          </w:tcPr>
          <w:p w14:paraId="64AFE7CE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Pieredze saldūdens un jūras akvakultūras audzētavu izveidē un ekspluatācijā</w:t>
            </w:r>
          </w:p>
        </w:tc>
        <w:tc>
          <w:tcPr>
            <w:tcW w:w="4677" w:type="dxa"/>
          </w:tcPr>
          <w:p w14:paraId="64AFE7CF" w14:textId="34FB7AE2" w:rsidR="000C0EEE" w:rsidRPr="00E74296" w:rsidRDefault="000C0EEE" w:rsidP="00E74296">
            <w:pPr>
              <w:pStyle w:val="naisf"/>
              <w:spacing w:before="0" w:beforeAutospacing="0" w:after="0" w:afterAutospacing="0"/>
            </w:pPr>
            <w:r w:rsidRPr="00E74296">
              <w:t>Pieredze jūras akvakultūr</w:t>
            </w:r>
            <w:r w:rsidR="00E74296">
              <w:t xml:space="preserve">as </w:t>
            </w:r>
            <w:r w:rsidR="00E74296" w:rsidRPr="00E74296">
              <w:t>audzētavu izveidē</w:t>
            </w:r>
            <w:r w:rsidRPr="00E74296">
              <w:t xml:space="preserve"> vairāk nekā 5 gadi</w:t>
            </w:r>
          </w:p>
        </w:tc>
        <w:tc>
          <w:tcPr>
            <w:tcW w:w="1276" w:type="dxa"/>
          </w:tcPr>
          <w:p w14:paraId="64AFE7D0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10</w:t>
            </w:r>
          </w:p>
        </w:tc>
      </w:tr>
      <w:tr w:rsidR="000C0EEE" w:rsidRPr="004D6ECB" w14:paraId="64AFE7D6" w14:textId="77777777" w:rsidTr="00945896">
        <w:tc>
          <w:tcPr>
            <w:tcW w:w="675" w:type="dxa"/>
            <w:vMerge/>
          </w:tcPr>
          <w:p w14:paraId="64AFE7D2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7D3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</w:p>
        </w:tc>
        <w:tc>
          <w:tcPr>
            <w:tcW w:w="4677" w:type="dxa"/>
          </w:tcPr>
          <w:p w14:paraId="64AFE7D4" w14:textId="4790EF56" w:rsidR="000C0EEE" w:rsidRPr="00E74296" w:rsidRDefault="000C0EEE" w:rsidP="00945896">
            <w:pPr>
              <w:pStyle w:val="naisf"/>
              <w:spacing w:before="0" w:beforeAutospacing="0" w:after="0" w:afterAutospacing="0"/>
            </w:pPr>
            <w:r w:rsidRPr="00E74296">
              <w:t>Pieredze jūras akvakultūr</w:t>
            </w:r>
            <w:r w:rsidR="00945896">
              <w:t>as</w:t>
            </w:r>
            <w:r w:rsidR="00945896" w:rsidRPr="00E74296">
              <w:t xml:space="preserve"> audzētavu izveidē</w:t>
            </w:r>
            <w:r w:rsidRPr="00E74296">
              <w:t xml:space="preserve"> līdz 5 gadiem</w:t>
            </w:r>
          </w:p>
        </w:tc>
        <w:tc>
          <w:tcPr>
            <w:tcW w:w="1276" w:type="dxa"/>
          </w:tcPr>
          <w:p w14:paraId="64AFE7D5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8</w:t>
            </w:r>
          </w:p>
        </w:tc>
      </w:tr>
      <w:tr w:rsidR="000C0EEE" w:rsidRPr="004D6ECB" w14:paraId="64AFE7DB" w14:textId="77777777" w:rsidTr="00945896">
        <w:tc>
          <w:tcPr>
            <w:tcW w:w="675" w:type="dxa"/>
            <w:vMerge/>
          </w:tcPr>
          <w:p w14:paraId="64AFE7D7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7D8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</w:p>
        </w:tc>
        <w:tc>
          <w:tcPr>
            <w:tcW w:w="4677" w:type="dxa"/>
          </w:tcPr>
          <w:p w14:paraId="64AFE7D9" w14:textId="6B063B58" w:rsidR="000C0EEE" w:rsidRPr="00E74296" w:rsidRDefault="000C0EEE" w:rsidP="00945896">
            <w:pPr>
              <w:pStyle w:val="naisf"/>
              <w:spacing w:before="0" w:beforeAutospacing="0" w:after="0" w:afterAutospacing="0"/>
            </w:pPr>
            <w:r w:rsidRPr="00E74296">
              <w:t>Pieredze tikai saldūdens akvakultūr</w:t>
            </w:r>
            <w:r w:rsidR="00945896">
              <w:t>as</w:t>
            </w:r>
            <w:r w:rsidR="00945896" w:rsidRPr="00E74296">
              <w:t xml:space="preserve"> audzētavu izveidē</w:t>
            </w:r>
            <w:r w:rsidRPr="00E74296">
              <w:t xml:space="preserve"> vairāk nekā 5 gadi</w:t>
            </w:r>
          </w:p>
        </w:tc>
        <w:tc>
          <w:tcPr>
            <w:tcW w:w="1276" w:type="dxa"/>
          </w:tcPr>
          <w:p w14:paraId="64AFE7DA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5</w:t>
            </w:r>
          </w:p>
        </w:tc>
      </w:tr>
      <w:tr w:rsidR="000C0EEE" w:rsidRPr="004D6ECB" w14:paraId="64AFE7E0" w14:textId="77777777" w:rsidTr="00945896">
        <w:tc>
          <w:tcPr>
            <w:tcW w:w="675" w:type="dxa"/>
            <w:vMerge/>
          </w:tcPr>
          <w:p w14:paraId="64AFE7DC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7DD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</w:p>
        </w:tc>
        <w:tc>
          <w:tcPr>
            <w:tcW w:w="4677" w:type="dxa"/>
          </w:tcPr>
          <w:p w14:paraId="64AFE7DE" w14:textId="1EDBEF1B" w:rsidR="000C0EEE" w:rsidRPr="00E74296" w:rsidRDefault="000C0EEE" w:rsidP="00945896">
            <w:pPr>
              <w:pStyle w:val="naisf"/>
              <w:spacing w:before="0" w:beforeAutospacing="0" w:after="0" w:afterAutospacing="0"/>
            </w:pPr>
            <w:r w:rsidRPr="00E74296">
              <w:t>Pieredze tikai saldūdens akvakultūr</w:t>
            </w:r>
            <w:r w:rsidR="00945896">
              <w:t>as</w:t>
            </w:r>
            <w:r w:rsidR="00945896" w:rsidRPr="00E74296">
              <w:t xml:space="preserve"> audzētavu izveidē</w:t>
            </w:r>
            <w:r w:rsidRPr="00E74296">
              <w:t xml:space="preserve"> līdz 5 gadiem</w:t>
            </w:r>
          </w:p>
        </w:tc>
        <w:tc>
          <w:tcPr>
            <w:tcW w:w="1276" w:type="dxa"/>
          </w:tcPr>
          <w:p w14:paraId="64AFE7DF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3</w:t>
            </w:r>
          </w:p>
        </w:tc>
      </w:tr>
      <w:tr w:rsidR="000C0EEE" w:rsidRPr="004D6ECB" w14:paraId="64AFE7E5" w14:textId="77777777" w:rsidTr="00945896">
        <w:tc>
          <w:tcPr>
            <w:tcW w:w="675" w:type="dxa"/>
            <w:vMerge/>
          </w:tcPr>
          <w:p w14:paraId="64AFE7E1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7E2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</w:p>
        </w:tc>
        <w:tc>
          <w:tcPr>
            <w:tcW w:w="4677" w:type="dxa"/>
          </w:tcPr>
          <w:p w14:paraId="64AFE7E3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 xml:space="preserve">Nav </w:t>
            </w:r>
          </w:p>
        </w:tc>
        <w:tc>
          <w:tcPr>
            <w:tcW w:w="1276" w:type="dxa"/>
          </w:tcPr>
          <w:p w14:paraId="64AFE7E4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0</w:t>
            </w:r>
          </w:p>
        </w:tc>
      </w:tr>
      <w:tr w:rsidR="000C0EEE" w:rsidRPr="004D6ECB" w14:paraId="64AFE7EA" w14:textId="77777777" w:rsidTr="00945896">
        <w:tc>
          <w:tcPr>
            <w:tcW w:w="675" w:type="dxa"/>
            <w:vMerge w:val="restart"/>
          </w:tcPr>
          <w:p w14:paraId="64AFE7E6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  <w:r w:rsidRPr="00E74296">
              <w:t>2.</w:t>
            </w:r>
          </w:p>
        </w:tc>
        <w:tc>
          <w:tcPr>
            <w:tcW w:w="2694" w:type="dxa"/>
            <w:vMerge w:val="restart"/>
          </w:tcPr>
          <w:p w14:paraId="64AFE7E7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Videi draudzīgu tehnoloģiju izmantošana</w:t>
            </w:r>
          </w:p>
        </w:tc>
        <w:tc>
          <w:tcPr>
            <w:tcW w:w="4677" w:type="dxa"/>
          </w:tcPr>
          <w:p w14:paraId="64AFE7E8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Tiks izmantot</w:t>
            </w:r>
            <w:r w:rsidR="00365813" w:rsidRPr="00E74296">
              <w:t>a</w:t>
            </w:r>
            <w:r w:rsidRPr="00E74296">
              <w:t>s videi draudzīgas tehnoloģijas</w:t>
            </w:r>
          </w:p>
        </w:tc>
        <w:tc>
          <w:tcPr>
            <w:tcW w:w="1276" w:type="dxa"/>
          </w:tcPr>
          <w:p w14:paraId="64AFE7E9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10</w:t>
            </w:r>
          </w:p>
        </w:tc>
      </w:tr>
      <w:tr w:rsidR="000C0EEE" w:rsidRPr="004D6ECB" w14:paraId="64AFE7EF" w14:textId="77777777" w:rsidTr="00945896">
        <w:tc>
          <w:tcPr>
            <w:tcW w:w="675" w:type="dxa"/>
            <w:vMerge/>
          </w:tcPr>
          <w:p w14:paraId="64AFE7EB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7EC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</w:p>
        </w:tc>
        <w:tc>
          <w:tcPr>
            <w:tcW w:w="4677" w:type="dxa"/>
          </w:tcPr>
          <w:p w14:paraId="64AFE7ED" w14:textId="14C36EDC" w:rsidR="000C0EEE" w:rsidRPr="00E74296" w:rsidRDefault="000C0EEE" w:rsidP="00945896">
            <w:pPr>
              <w:pStyle w:val="naisf"/>
              <w:spacing w:before="0" w:beforeAutospacing="0" w:after="0" w:afterAutospacing="0"/>
            </w:pPr>
            <w:r w:rsidRPr="00E74296">
              <w:t xml:space="preserve">Tiks izmantotas videi </w:t>
            </w:r>
            <w:r w:rsidR="00945896" w:rsidRPr="00E74296">
              <w:t xml:space="preserve">daļēji </w:t>
            </w:r>
            <w:r w:rsidRPr="00E74296">
              <w:t>draudzīgas tehnoloģijas</w:t>
            </w:r>
          </w:p>
        </w:tc>
        <w:tc>
          <w:tcPr>
            <w:tcW w:w="1276" w:type="dxa"/>
          </w:tcPr>
          <w:p w14:paraId="64AFE7EE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5</w:t>
            </w:r>
          </w:p>
        </w:tc>
      </w:tr>
      <w:tr w:rsidR="000C0EEE" w:rsidRPr="004D6ECB" w14:paraId="64AFE7F4" w14:textId="77777777" w:rsidTr="00945896">
        <w:tc>
          <w:tcPr>
            <w:tcW w:w="675" w:type="dxa"/>
            <w:vMerge/>
          </w:tcPr>
          <w:p w14:paraId="64AFE7F0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7F1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</w:p>
        </w:tc>
        <w:tc>
          <w:tcPr>
            <w:tcW w:w="4677" w:type="dxa"/>
          </w:tcPr>
          <w:p w14:paraId="64AFE7F2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Netiks izmantotas videi draudzīgas tehnoloģijas</w:t>
            </w:r>
          </w:p>
        </w:tc>
        <w:tc>
          <w:tcPr>
            <w:tcW w:w="1276" w:type="dxa"/>
          </w:tcPr>
          <w:p w14:paraId="64AFE7F3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0</w:t>
            </w:r>
          </w:p>
        </w:tc>
      </w:tr>
      <w:tr w:rsidR="000C0EEE" w:rsidRPr="004D6ECB" w14:paraId="64AFE7F9" w14:textId="77777777" w:rsidTr="00945896">
        <w:tc>
          <w:tcPr>
            <w:tcW w:w="675" w:type="dxa"/>
            <w:vMerge w:val="restart"/>
          </w:tcPr>
          <w:p w14:paraId="64AFE7F5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  <w:r w:rsidRPr="00E74296">
              <w:t>3.</w:t>
            </w:r>
          </w:p>
        </w:tc>
        <w:tc>
          <w:tcPr>
            <w:tcW w:w="2694" w:type="dxa"/>
            <w:vMerge w:val="restart"/>
          </w:tcPr>
          <w:p w14:paraId="64AFE7F6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Veterināro prasību nodrošināšana</w:t>
            </w:r>
          </w:p>
        </w:tc>
        <w:tc>
          <w:tcPr>
            <w:tcW w:w="4677" w:type="dxa"/>
          </w:tcPr>
          <w:p w14:paraId="64AFE7F7" w14:textId="4F9132EE" w:rsidR="000C0EEE" w:rsidRPr="00E74296" w:rsidRDefault="000C0EEE" w:rsidP="00945896">
            <w:pPr>
              <w:pStyle w:val="naisf"/>
              <w:spacing w:before="0" w:beforeAutospacing="0" w:after="0" w:afterAutospacing="0"/>
            </w:pPr>
            <w:r w:rsidRPr="00E74296">
              <w:t>Plānotas papildu darbības akvakultūras dzīvnieku slimību profilakse</w:t>
            </w:r>
            <w:r w:rsidR="00945896">
              <w:t>i un</w:t>
            </w:r>
            <w:r w:rsidRPr="00E74296">
              <w:t xml:space="preserve"> monitoringa</w:t>
            </w:r>
            <w:r w:rsidR="00945896">
              <w:t>m</w:t>
            </w:r>
            <w:r w:rsidRPr="00E74296">
              <w:t xml:space="preserve"> </w:t>
            </w:r>
          </w:p>
        </w:tc>
        <w:tc>
          <w:tcPr>
            <w:tcW w:w="1276" w:type="dxa"/>
          </w:tcPr>
          <w:p w14:paraId="64AFE7F8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5</w:t>
            </w:r>
          </w:p>
        </w:tc>
      </w:tr>
      <w:tr w:rsidR="000C0EEE" w:rsidRPr="004D6ECB" w14:paraId="64AFE7FE" w14:textId="77777777" w:rsidTr="00945896">
        <w:tc>
          <w:tcPr>
            <w:tcW w:w="675" w:type="dxa"/>
            <w:vMerge/>
          </w:tcPr>
          <w:p w14:paraId="64AFE7FA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7FB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</w:p>
        </w:tc>
        <w:tc>
          <w:tcPr>
            <w:tcW w:w="4677" w:type="dxa"/>
          </w:tcPr>
          <w:p w14:paraId="64AFE7FC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Nodrošinātas minimālās prasības</w:t>
            </w:r>
          </w:p>
        </w:tc>
        <w:tc>
          <w:tcPr>
            <w:tcW w:w="1276" w:type="dxa"/>
          </w:tcPr>
          <w:p w14:paraId="64AFE7FD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0</w:t>
            </w:r>
          </w:p>
        </w:tc>
      </w:tr>
      <w:tr w:rsidR="000C0EEE" w:rsidRPr="004D6ECB" w14:paraId="64AFE803" w14:textId="77777777" w:rsidTr="00945896">
        <w:tc>
          <w:tcPr>
            <w:tcW w:w="675" w:type="dxa"/>
            <w:vMerge w:val="restart"/>
          </w:tcPr>
          <w:p w14:paraId="64AFE7FF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  <w:r w:rsidRPr="00E74296">
              <w:t>4.</w:t>
            </w:r>
          </w:p>
        </w:tc>
        <w:tc>
          <w:tcPr>
            <w:tcW w:w="2694" w:type="dxa"/>
            <w:vMerge w:val="restart"/>
          </w:tcPr>
          <w:p w14:paraId="64AFE800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Audzējamās sugas</w:t>
            </w:r>
          </w:p>
        </w:tc>
        <w:tc>
          <w:tcPr>
            <w:tcW w:w="4677" w:type="dxa"/>
          </w:tcPr>
          <w:p w14:paraId="64AFE801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Vietējas izcelsmes sugas</w:t>
            </w:r>
          </w:p>
        </w:tc>
        <w:tc>
          <w:tcPr>
            <w:tcW w:w="1276" w:type="dxa"/>
          </w:tcPr>
          <w:p w14:paraId="64AFE802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10</w:t>
            </w:r>
          </w:p>
        </w:tc>
      </w:tr>
      <w:tr w:rsidR="000C0EEE" w:rsidRPr="004D6ECB" w14:paraId="64AFE808" w14:textId="77777777" w:rsidTr="00945896">
        <w:tc>
          <w:tcPr>
            <w:tcW w:w="675" w:type="dxa"/>
            <w:vMerge/>
          </w:tcPr>
          <w:p w14:paraId="64AFE804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805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</w:p>
        </w:tc>
        <w:tc>
          <w:tcPr>
            <w:tcW w:w="4677" w:type="dxa"/>
          </w:tcPr>
          <w:p w14:paraId="64AFE806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Svešzemju sugas</w:t>
            </w:r>
          </w:p>
        </w:tc>
        <w:tc>
          <w:tcPr>
            <w:tcW w:w="1276" w:type="dxa"/>
          </w:tcPr>
          <w:p w14:paraId="64AFE807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5</w:t>
            </w:r>
          </w:p>
        </w:tc>
      </w:tr>
      <w:tr w:rsidR="000C0EEE" w:rsidRPr="004D6ECB" w14:paraId="64AFE80D" w14:textId="77777777" w:rsidTr="00945896">
        <w:tc>
          <w:tcPr>
            <w:tcW w:w="675" w:type="dxa"/>
            <w:vMerge/>
          </w:tcPr>
          <w:p w14:paraId="64AFE809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80A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</w:p>
        </w:tc>
        <w:tc>
          <w:tcPr>
            <w:tcW w:w="4677" w:type="dxa"/>
          </w:tcPr>
          <w:p w14:paraId="64AFE80B" w14:textId="27B93777" w:rsidR="000C0EEE" w:rsidRPr="00E74296" w:rsidRDefault="000C0EEE" w:rsidP="00945896">
            <w:pPr>
              <w:pStyle w:val="naisf"/>
              <w:spacing w:before="0" w:beforeAutospacing="0" w:after="0" w:afterAutospacing="0"/>
            </w:pPr>
            <w:r w:rsidRPr="00E74296">
              <w:t>Ģenētiski modificētas</w:t>
            </w:r>
            <w:r w:rsidR="00945896">
              <w:t xml:space="preserve"> un</w:t>
            </w:r>
            <w:r w:rsidRPr="00E74296">
              <w:t xml:space="preserve"> </w:t>
            </w:r>
            <w:proofErr w:type="spellStart"/>
            <w:r w:rsidRPr="00E74296">
              <w:t>triploīdās</w:t>
            </w:r>
            <w:proofErr w:type="spellEnd"/>
            <w:r w:rsidRPr="00E74296">
              <w:t xml:space="preserve"> sugas</w:t>
            </w:r>
          </w:p>
        </w:tc>
        <w:tc>
          <w:tcPr>
            <w:tcW w:w="1276" w:type="dxa"/>
          </w:tcPr>
          <w:p w14:paraId="64AFE80C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0</w:t>
            </w:r>
          </w:p>
        </w:tc>
      </w:tr>
      <w:tr w:rsidR="000C0EEE" w:rsidRPr="004D6ECB" w14:paraId="64AFE812" w14:textId="77777777" w:rsidTr="00945896">
        <w:tc>
          <w:tcPr>
            <w:tcW w:w="675" w:type="dxa"/>
            <w:vMerge w:val="restart"/>
          </w:tcPr>
          <w:p w14:paraId="64AFE80E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  <w:r w:rsidRPr="00E74296">
              <w:t>5.</w:t>
            </w:r>
          </w:p>
        </w:tc>
        <w:tc>
          <w:tcPr>
            <w:tcW w:w="2694" w:type="dxa"/>
            <w:vMerge w:val="restart"/>
          </w:tcPr>
          <w:p w14:paraId="64AFE80F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Kuģošanas drošības nodrošināšana</w:t>
            </w:r>
          </w:p>
        </w:tc>
        <w:tc>
          <w:tcPr>
            <w:tcW w:w="4677" w:type="dxa"/>
          </w:tcPr>
          <w:p w14:paraId="64AFE810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Plānoti pasākumi papildus obligāti noteiktajiem</w:t>
            </w:r>
          </w:p>
        </w:tc>
        <w:tc>
          <w:tcPr>
            <w:tcW w:w="1276" w:type="dxa"/>
          </w:tcPr>
          <w:p w14:paraId="64AFE811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5</w:t>
            </w:r>
          </w:p>
        </w:tc>
      </w:tr>
      <w:tr w:rsidR="000C0EEE" w:rsidRPr="004D6ECB" w14:paraId="64AFE817" w14:textId="77777777" w:rsidTr="00945896">
        <w:tc>
          <w:tcPr>
            <w:tcW w:w="675" w:type="dxa"/>
            <w:vMerge/>
          </w:tcPr>
          <w:p w14:paraId="64AFE813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814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</w:p>
        </w:tc>
        <w:tc>
          <w:tcPr>
            <w:tcW w:w="4677" w:type="dxa"/>
          </w:tcPr>
          <w:p w14:paraId="64AFE815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Nodrošinātas minimālās prasības</w:t>
            </w:r>
          </w:p>
        </w:tc>
        <w:tc>
          <w:tcPr>
            <w:tcW w:w="1276" w:type="dxa"/>
          </w:tcPr>
          <w:p w14:paraId="64AFE816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0</w:t>
            </w:r>
          </w:p>
        </w:tc>
      </w:tr>
      <w:tr w:rsidR="000C0EEE" w:rsidRPr="004D6ECB" w14:paraId="64AFE81C" w14:textId="77777777" w:rsidTr="00945896">
        <w:tc>
          <w:tcPr>
            <w:tcW w:w="675" w:type="dxa"/>
            <w:vMerge w:val="restart"/>
          </w:tcPr>
          <w:p w14:paraId="64AFE818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  <w:r w:rsidRPr="00E74296">
              <w:t>6.</w:t>
            </w:r>
          </w:p>
        </w:tc>
        <w:tc>
          <w:tcPr>
            <w:tcW w:w="2694" w:type="dxa"/>
            <w:vMerge w:val="restart"/>
          </w:tcPr>
          <w:p w14:paraId="64AFE819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Cilvēku drošība jūrā</w:t>
            </w:r>
          </w:p>
        </w:tc>
        <w:tc>
          <w:tcPr>
            <w:tcW w:w="4677" w:type="dxa"/>
          </w:tcPr>
          <w:p w14:paraId="64AFE81A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Plānoti pasākumi papildus obligāti noteiktajiem</w:t>
            </w:r>
          </w:p>
        </w:tc>
        <w:tc>
          <w:tcPr>
            <w:tcW w:w="1276" w:type="dxa"/>
          </w:tcPr>
          <w:p w14:paraId="64AFE81B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5</w:t>
            </w:r>
          </w:p>
        </w:tc>
      </w:tr>
      <w:tr w:rsidR="000C0EEE" w:rsidRPr="004D6ECB" w14:paraId="64AFE821" w14:textId="77777777" w:rsidTr="00945896">
        <w:tc>
          <w:tcPr>
            <w:tcW w:w="675" w:type="dxa"/>
            <w:vMerge/>
          </w:tcPr>
          <w:p w14:paraId="64AFE81D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81E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</w:p>
        </w:tc>
        <w:tc>
          <w:tcPr>
            <w:tcW w:w="4677" w:type="dxa"/>
          </w:tcPr>
          <w:p w14:paraId="64AFE81F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Nodrošinātas minimālās prasības</w:t>
            </w:r>
          </w:p>
        </w:tc>
        <w:tc>
          <w:tcPr>
            <w:tcW w:w="1276" w:type="dxa"/>
          </w:tcPr>
          <w:p w14:paraId="64AFE820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0</w:t>
            </w:r>
          </w:p>
        </w:tc>
      </w:tr>
      <w:tr w:rsidR="000C0EEE" w:rsidRPr="004D6ECB" w14:paraId="64AFE826" w14:textId="77777777" w:rsidTr="00945896">
        <w:tc>
          <w:tcPr>
            <w:tcW w:w="675" w:type="dxa"/>
            <w:vMerge w:val="restart"/>
          </w:tcPr>
          <w:p w14:paraId="64AFE822" w14:textId="77777777" w:rsidR="000C0EEE" w:rsidRPr="00E74296" w:rsidRDefault="000C0EEE" w:rsidP="005540B4">
            <w:pPr>
              <w:pStyle w:val="naisf"/>
              <w:keepNext/>
              <w:keepLines/>
              <w:spacing w:before="0" w:beforeAutospacing="0" w:after="0" w:afterAutospacing="0"/>
              <w:jc w:val="both"/>
            </w:pPr>
            <w:r w:rsidRPr="00E74296">
              <w:t>7.</w:t>
            </w:r>
          </w:p>
        </w:tc>
        <w:tc>
          <w:tcPr>
            <w:tcW w:w="2694" w:type="dxa"/>
            <w:vMerge w:val="restart"/>
          </w:tcPr>
          <w:p w14:paraId="64AFE823" w14:textId="77777777" w:rsidR="000C0EEE" w:rsidRPr="00E74296" w:rsidRDefault="000C0EEE" w:rsidP="0034753A">
            <w:pPr>
              <w:pStyle w:val="naisf"/>
              <w:keepNext/>
              <w:keepLines/>
              <w:spacing w:before="0" w:beforeAutospacing="0" w:after="0" w:afterAutospacing="0"/>
            </w:pPr>
            <w:r w:rsidRPr="00E74296">
              <w:t xml:space="preserve">Ekonomiskais ieguvums izaudzētās produkcijas izteiksmē no viena atļaujas laukuma jūrā </w:t>
            </w:r>
          </w:p>
        </w:tc>
        <w:tc>
          <w:tcPr>
            <w:tcW w:w="4677" w:type="dxa"/>
          </w:tcPr>
          <w:p w14:paraId="64AFE824" w14:textId="77777777" w:rsidR="000C0EEE" w:rsidRPr="00E74296" w:rsidRDefault="000C0EEE" w:rsidP="0034753A">
            <w:pPr>
              <w:pStyle w:val="naisf"/>
              <w:keepNext/>
              <w:keepLines/>
              <w:spacing w:before="0" w:beforeAutospacing="0" w:after="0" w:afterAutospacing="0"/>
            </w:pPr>
            <w:r w:rsidRPr="00E74296">
              <w:t>Produkcijas apjoms virs 4 tūkst. t gadā</w:t>
            </w:r>
          </w:p>
        </w:tc>
        <w:tc>
          <w:tcPr>
            <w:tcW w:w="1276" w:type="dxa"/>
          </w:tcPr>
          <w:p w14:paraId="64AFE825" w14:textId="77777777" w:rsidR="000C0EEE" w:rsidRPr="00E74296" w:rsidRDefault="000C0EEE" w:rsidP="005540B4">
            <w:pPr>
              <w:pStyle w:val="naisf"/>
              <w:keepNext/>
              <w:keepLines/>
              <w:spacing w:before="0" w:beforeAutospacing="0" w:after="0" w:afterAutospacing="0"/>
              <w:jc w:val="center"/>
            </w:pPr>
            <w:r w:rsidRPr="00E74296">
              <w:t>10</w:t>
            </w:r>
          </w:p>
        </w:tc>
      </w:tr>
      <w:tr w:rsidR="000C0EEE" w:rsidRPr="004D6ECB" w14:paraId="64AFE82B" w14:textId="77777777" w:rsidTr="00945896">
        <w:tc>
          <w:tcPr>
            <w:tcW w:w="675" w:type="dxa"/>
            <w:vMerge/>
          </w:tcPr>
          <w:p w14:paraId="64AFE827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828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</w:p>
        </w:tc>
        <w:tc>
          <w:tcPr>
            <w:tcW w:w="4677" w:type="dxa"/>
          </w:tcPr>
          <w:p w14:paraId="64AFE829" w14:textId="21991BA7" w:rsidR="000C0EEE" w:rsidRPr="00E74296" w:rsidRDefault="00945896" w:rsidP="0034753A">
            <w:pPr>
              <w:pStyle w:val="naisf"/>
              <w:keepNext/>
              <w:spacing w:before="0" w:beforeAutospacing="0" w:after="0" w:afterAutospacing="0"/>
            </w:pPr>
            <w:r>
              <w:t>Produkcijas apjoms 2–</w:t>
            </w:r>
            <w:r w:rsidR="000C0EEE" w:rsidRPr="00E74296">
              <w:t>4 tūkst. t gadā</w:t>
            </w:r>
          </w:p>
        </w:tc>
        <w:tc>
          <w:tcPr>
            <w:tcW w:w="1276" w:type="dxa"/>
          </w:tcPr>
          <w:p w14:paraId="64AFE82A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5</w:t>
            </w:r>
          </w:p>
        </w:tc>
      </w:tr>
      <w:tr w:rsidR="000C0EEE" w:rsidRPr="004D6ECB" w14:paraId="64AFE830" w14:textId="77777777" w:rsidTr="00945896">
        <w:tc>
          <w:tcPr>
            <w:tcW w:w="675" w:type="dxa"/>
            <w:vMerge/>
          </w:tcPr>
          <w:p w14:paraId="64AFE82C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82D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</w:p>
        </w:tc>
        <w:tc>
          <w:tcPr>
            <w:tcW w:w="4677" w:type="dxa"/>
          </w:tcPr>
          <w:p w14:paraId="64AFE82E" w14:textId="40B573DD" w:rsidR="000C0EEE" w:rsidRPr="00E74296" w:rsidRDefault="000C0EEE" w:rsidP="009E159C">
            <w:pPr>
              <w:pStyle w:val="naisf"/>
              <w:spacing w:before="0" w:beforeAutospacing="0" w:after="0" w:afterAutospacing="0"/>
            </w:pPr>
            <w:r w:rsidRPr="00E74296">
              <w:t xml:space="preserve">Produkcijas apjoms </w:t>
            </w:r>
            <w:r w:rsidR="009E159C">
              <w:t>mazāk par</w:t>
            </w:r>
            <w:r w:rsidRPr="00E74296">
              <w:t xml:space="preserve"> 2 tūkst. t gadā</w:t>
            </w:r>
          </w:p>
        </w:tc>
        <w:tc>
          <w:tcPr>
            <w:tcW w:w="1276" w:type="dxa"/>
          </w:tcPr>
          <w:p w14:paraId="64AFE82F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0</w:t>
            </w:r>
          </w:p>
        </w:tc>
      </w:tr>
      <w:tr w:rsidR="000C0EEE" w:rsidRPr="004D6ECB" w14:paraId="64AFE835" w14:textId="77777777" w:rsidTr="00945896">
        <w:tc>
          <w:tcPr>
            <w:tcW w:w="675" w:type="dxa"/>
            <w:vMerge w:val="restart"/>
          </w:tcPr>
          <w:p w14:paraId="64AFE831" w14:textId="77777777" w:rsidR="000C0EEE" w:rsidRPr="00E74296" w:rsidRDefault="000C0EEE" w:rsidP="005540B4">
            <w:pPr>
              <w:pStyle w:val="naisf"/>
              <w:keepNext/>
              <w:spacing w:before="0" w:beforeAutospacing="0" w:after="0" w:afterAutospacing="0"/>
              <w:jc w:val="both"/>
            </w:pPr>
            <w:r w:rsidRPr="00E74296">
              <w:t>8.</w:t>
            </w:r>
          </w:p>
        </w:tc>
        <w:tc>
          <w:tcPr>
            <w:tcW w:w="2694" w:type="dxa"/>
            <w:vMerge w:val="restart"/>
          </w:tcPr>
          <w:p w14:paraId="64AFE832" w14:textId="77777777" w:rsidR="000C0EEE" w:rsidRPr="00E74296" w:rsidRDefault="000C0EEE" w:rsidP="0034753A">
            <w:pPr>
              <w:pStyle w:val="naisf"/>
              <w:keepNext/>
              <w:spacing w:before="0" w:beforeAutospacing="0" w:after="0" w:afterAutospacing="0"/>
            </w:pPr>
            <w:r w:rsidRPr="00E74296">
              <w:t>Sociāli ekonomiskais ieguvums no viena atļaujas laukuma jūrā</w:t>
            </w:r>
          </w:p>
        </w:tc>
        <w:tc>
          <w:tcPr>
            <w:tcW w:w="4677" w:type="dxa"/>
          </w:tcPr>
          <w:p w14:paraId="64AFE833" w14:textId="397D0AE0" w:rsidR="000C0EEE" w:rsidRPr="00E74296" w:rsidRDefault="00A92188" w:rsidP="0034753A">
            <w:pPr>
              <w:pStyle w:val="naisf"/>
              <w:keepNext/>
              <w:spacing w:before="0" w:beforeAutospacing="0" w:after="0" w:afterAutospacing="0"/>
            </w:pPr>
            <w:r w:rsidRPr="00E74296">
              <w:t>V</w:t>
            </w:r>
            <w:r>
              <w:t>airāk par</w:t>
            </w:r>
            <w:r w:rsidRPr="00E74296">
              <w:t xml:space="preserve"> </w:t>
            </w:r>
            <w:r w:rsidR="000C0EEE" w:rsidRPr="00E74296">
              <w:t>8 pilna laika slodzēm</w:t>
            </w:r>
          </w:p>
        </w:tc>
        <w:tc>
          <w:tcPr>
            <w:tcW w:w="1276" w:type="dxa"/>
          </w:tcPr>
          <w:p w14:paraId="64AFE834" w14:textId="77777777" w:rsidR="000C0EEE" w:rsidRPr="00E74296" w:rsidRDefault="000C0EEE" w:rsidP="005540B4">
            <w:pPr>
              <w:pStyle w:val="naisf"/>
              <w:keepNext/>
              <w:spacing w:before="0" w:beforeAutospacing="0" w:after="0" w:afterAutospacing="0"/>
              <w:jc w:val="center"/>
            </w:pPr>
            <w:r w:rsidRPr="00E74296">
              <w:t>10</w:t>
            </w:r>
          </w:p>
        </w:tc>
      </w:tr>
      <w:tr w:rsidR="000C0EEE" w:rsidRPr="004D6ECB" w14:paraId="64AFE83A" w14:textId="77777777" w:rsidTr="00945896">
        <w:tc>
          <w:tcPr>
            <w:tcW w:w="675" w:type="dxa"/>
            <w:vMerge/>
          </w:tcPr>
          <w:p w14:paraId="64AFE836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837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</w:p>
        </w:tc>
        <w:tc>
          <w:tcPr>
            <w:tcW w:w="4677" w:type="dxa"/>
          </w:tcPr>
          <w:p w14:paraId="64AFE838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No 4 līdz 7 pilna laika slodzēm</w:t>
            </w:r>
          </w:p>
        </w:tc>
        <w:tc>
          <w:tcPr>
            <w:tcW w:w="1276" w:type="dxa"/>
          </w:tcPr>
          <w:p w14:paraId="64AFE839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5</w:t>
            </w:r>
          </w:p>
        </w:tc>
      </w:tr>
      <w:tr w:rsidR="000C0EEE" w:rsidRPr="004D6ECB" w14:paraId="64AFE83F" w14:textId="77777777" w:rsidTr="00945896">
        <w:tc>
          <w:tcPr>
            <w:tcW w:w="675" w:type="dxa"/>
            <w:vMerge/>
          </w:tcPr>
          <w:p w14:paraId="64AFE83B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83C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</w:p>
        </w:tc>
        <w:tc>
          <w:tcPr>
            <w:tcW w:w="4677" w:type="dxa"/>
          </w:tcPr>
          <w:p w14:paraId="64AFE83D" w14:textId="77777777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>Līdz 3 pilna laika slodzēm</w:t>
            </w:r>
          </w:p>
        </w:tc>
        <w:tc>
          <w:tcPr>
            <w:tcW w:w="1276" w:type="dxa"/>
          </w:tcPr>
          <w:p w14:paraId="64AFE83E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0</w:t>
            </w:r>
          </w:p>
        </w:tc>
      </w:tr>
    </w:tbl>
    <w:p w14:paraId="3CCD965B" w14:textId="7286E082" w:rsidR="00945896" w:rsidRDefault="00945896"/>
    <w:p w14:paraId="3B5FD882" w14:textId="77777777" w:rsidR="00945896" w:rsidRDefault="00945896">
      <w:r>
        <w:br w:type="page"/>
      </w:r>
    </w:p>
    <w:p w14:paraId="4E2EBFF4" w14:textId="77777777" w:rsidR="00945896" w:rsidRPr="00945896" w:rsidRDefault="00945896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4677"/>
        <w:gridCol w:w="1276"/>
      </w:tblGrid>
      <w:tr w:rsidR="000C0EEE" w:rsidRPr="004D6ECB" w14:paraId="64AFE844" w14:textId="77777777" w:rsidTr="00945896">
        <w:tc>
          <w:tcPr>
            <w:tcW w:w="675" w:type="dxa"/>
            <w:vMerge w:val="restart"/>
          </w:tcPr>
          <w:p w14:paraId="64AFE840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  <w:r w:rsidRPr="00E74296">
              <w:t>9.</w:t>
            </w:r>
          </w:p>
        </w:tc>
        <w:tc>
          <w:tcPr>
            <w:tcW w:w="2694" w:type="dxa"/>
            <w:vMerge w:val="restart"/>
          </w:tcPr>
          <w:p w14:paraId="64AFE841" w14:textId="7A0BE8AE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 xml:space="preserve">Jaunizveidoto </w:t>
            </w:r>
            <w:proofErr w:type="gramStart"/>
            <w:r w:rsidRPr="00E74296">
              <w:t>darba</w:t>
            </w:r>
            <w:r w:rsidR="00A92188">
              <w:t xml:space="preserve"> </w:t>
            </w:r>
            <w:r w:rsidRPr="00E74296">
              <w:t>vietu</w:t>
            </w:r>
            <w:proofErr w:type="gramEnd"/>
            <w:r w:rsidRPr="00E74296">
              <w:t xml:space="preserve"> skaits</w:t>
            </w:r>
          </w:p>
        </w:tc>
        <w:tc>
          <w:tcPr>
            <w:tcW w:w="4677" w:type="dxa"/>
          </w:tcPr>
          <w:p w14:paraId="64AFE842" w14:textId="2B8C79D1" w:rsidR="000C0EEE" w:rsidRPr="00E74296" w:rsidRDefault="000C0EEE" w:rsidP="00A92188">
            <w:pPr>
              <w:pStyle w:val="naisf"/>
              <w:spacing w:before="0" w:beforeAutospacing="0" w:after="0" w:afterAutospacing="0"/>
            </w:pPr>
            <w:r w:rsidRPr="00E74296">
              <w:t>V</w:t>
            </w:r>
            <w:r w:rsidR="00A92188">
              <w:t>airāk par</w:t>
            </w:r>
            <w:r w:rsidRPr="00E74296">
              <w:t xml:space="preserve"> 10 </w:t>
            </w:r>
            <w:proofErr w:type="gramStart"/>
            <w:r w:rsidRPr="00E74296">
              <w:t>darba</w:t>
            </w:r>
            <w:r w:rsidR="00A92188">
              <w:t xml:space="preserve"> </w:t>
            </w:r>
            <w:r w:rsidRPr="00E74296">
              <w:t>vietām</w:t>
            </w:r>
            <w:proofErr w:type="gramEnd"/>
          </w:p>
        </w:tc>
        <w:tc>
          <w:tcPr>
            <w:tcW w:w="1276" w:type="dxa"/>
          </w:tcPr>
          <w:p w14:paraId="64AFE843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10</w:t>
            </w:r>
          </w:p>
        </w:tc>
      </w:tr>
      <w:tr w:rsidR="000C0EEE" w:rsidRPr="004D6ECB" w14:paraId="64AFE849" w14:textId="77777777" w:rsidTr="00945896">
        <w:tc>
          <w:tcPr>
            <w:tcW w:w="675" w:type="dxa"/>
            <w:vMerge/>
          </w:tcPr>
          <w:p w14:paraId="64AFE845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846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14:paraId="64AFE847" w14:textId="78BF3A53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 xml:space="preserve">No 5 līdz 9 </w:t>
            </w:r>
            <w:proofErr w:type="gramStart"/>
            <w:r w:rsidRPr="00E74296">
              <w:t>darba</w:t>
            </w:r>
            <w:r w:rsidR="00A92188">
              <w:t xml:space="preserve"> </w:t>
            </w:r>
            <w:r w:rsidRPr="00E74296">
              <w:t>vietām</w:t>
            </w:r>
            <w:proofErr w:type="gramEnd"/>
          </w:p>
        </w:tc>
        <w:tc>
          <w:tcPr>
            <w:tcW w:w="1276" w:type="dxa"/>
          </w:tcPr>
          <w:p w14:paraId="64AFE848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5</w:t>
            </w:r>
          </w:p>
        </w:tc>
      </w:tr>
      <w:tr w:rsidR="000C0EEE" w:rsidRPr="004D6ECB" w14:paraId="64AFE84E" w14:textId="77777777" w:rsidTr="00945896">
        <w:tc>
          <w:tcPr>
            <w:tcW w:w="675" w:type="dxa"/>
            <w:vMerge/>
          </w:tcPr>
          <w:p w14:paraId="64AFE84A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  <w:vMerge/>
          </w:tcPr>
          <w:p w14:paraId="64AFE84B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14:paraId="64AFE84C" w14:textId="5B2D8AAC" w:rsidR="000C0EEE" w:rsidRPr="00E74296" w:rsidRDefault="000C0EEE" w:rsidP="0034753A">
            <w:pPr>
              <w:pStyle w:val="naisf"/>
              <w:spacing w:before="0" w:beforeAutospacing="0" w:after="0" w:afterAutospacing="0"/>
            </w:pPr>
            <w:r w:rsidRPr="00E74296">
              <w:t xml:space="preserve">Līdz 4 </w:t>
            </w:r>
            <w:proofErr w:type="gramStart"/>
            <w:r w:rsidRPr="00E74296">
              <w:t>darba</w:t>
            </w:r>
            <w:r w:rsidR="00A92188">
              <w:t xml:space="preserve"> </w:t>
            </w:r>
            <w:r w:rsidRPr="00E74296">
              <w:t>vietām</w:t>
            </w:r>
            <w:proofErr w:type="gramEnd"/>
          </w:p>
        </w:tc>
        <w:tc>
          <w:tcPr>
            <w:tcW w:w="1276" w:type="dxa"/>
          </w:tcPr>
          <w:p w14:paraId="64AFE84D" w14:textId="77777777" w:rsidR="000C0EEE" w:rsidRPr="00E74296" w:rsidRDefault="000C0EEE" w:rsidP="005540B4">
            <w:pPr>
              <w:pStyle w:val="naisf"/>
              <w:spacing w:before="0" w:beforeAutospacing="0" w:after="0" w:afterAutospacing="0"/>
              <w:jc w:val="center"/>
            </w:pPr>
            <w:r w:rsidRPr="00E74296">
              <w:t>0</w:t>
            </w:r>
          </w:p>
        </w:tc>
      </w:tr>
    </w:tbl>
    <w:p w14:paraId="64AFE84F" w14:textId="77777777" w:rsidR="000C0EEE" w:rsidRDefault="000C0EEE" w:rsidP="000C0EE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64AFE850" w14:textId="77777777" w:rsidR="000C0EEE" w:rsidRDefault="000C0EEE" w:rsidP="000C0EE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6F54963A" w14:textId="77777777" w:rsidR="00465B54" w:rsidRPr="004D6ECB" w:rsidRDefault="00465B54" w:rsidP="000C0EE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2AC0FB27" w14:textId="77777777" w:rsidR="009E7A89" w:rsidRPr="00AB611A" w:rsidRDefault="009E7A89" w:rsidP="009E7A89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</w:t>
      </w:r>
      <w:r w:rsidRPr="00440533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Pr="00440533">
        <w:rPr>
          <w:sz w:val="28"/>
          <w:szCs w:val="28"/>
        </w:rPr>
        <w:tab/>
      </w: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</w:p>
    <w:p w14:paraId="64AFE851" w14:textId="6F5F0147" w:rsidR="000C0EEE" w:rsidRDefault="000C0EEE" w:rsidP="009E7A89">
      <w:pPr>
        <w:tabs>
          <w:tab w:val="left" w:pos="6521"/>
        </w:tabs>
        <w:ind w:firstLine="720"/>
        <w:rPr>
          <w:color w:val="000000"/>
          <w:sz w:val="28"/>
          <w:szCs w:val="28"/>
        </w:rPr>
      </w:pPr>
      <w:bookmarkStart w:id="0" w:name="_GoBack"/>
      <w:bookmarkEnd w:id="0"/>
    </w:p>
    <w:sectPr w:rsidR="000C0EEE" w:rsidSect="00465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FE871" w14:textId="77777777" w:rsidR="002B3FBC" w:rsidRDefault="002B3FBC">
      <w:r>
        <w:separator/>
      </w:r>
    </w:p>
  </w:endnote>
  <w:endnote w:type="continuationSeparator" w:id="0">
    <w:p w14:paraId="64AFE872" w14:textId="77777777" w:rsidR="002B3FBC" w:rsidRDefault="002B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AD5AD" w14:textId="77777777" w:rsidR="00A92188" w:rsidRDefault="00A92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B9FBF" w14:textId="77777777" w:rsidR="00465B54" w:rsidRPr="008A6FA1" w:rsidRDefault="00465B54" w:rsidP="00465B54">
    <w:pPr>
      <w:pStyle w:val="Footer"/>
      <w:rPr>
        <w:sz w:val="16"/>
        <w:szCs w:val="16"/>
      </w:rPr>
    </w:pPr>
    <w:r w:rsidRPr="008A6FA1">
      <w:rPr>
        <w:sz w:val="16"/>
        <w:szCs w:val="16"/>
      </w:rPr>
      <w:t>R3568_3p</w:t>
    </w:r>
    <w:r>
      <w:rPr>
        <w:sz w:val="16"/>
        <w:szCs w:val="16"/>
      </w:rPr>
      <w:t>2_3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3F5BB" w14:textId="3E09149B" w:rsidR="00465B54" w:rsidRPr="008A6FA1" w:rsidRDefault="00465B54" w:rsidP="00465B54">
    <w:pPr>
      <w:pStyle w:val="Footer"/>
      <w:rPr>
        <w:sz w:val="16"/>
        <w:szCs w:val="16"/>
      </w:rPr>
    </w:pPr>
    <w:r w:rsidRPr="008A6FA1">
      <w:rPr>
        <w:sz w:val="16"/>
        <w:szCs w:val="16"/>
      </w:rPr>
      <w:t>R3568_3p</w:t>
    </w:r>
    <w:r>
      <w:rPr>
        <w:sz w:val="16"/>
        <w:szCs w:val="16"/>
      </w:rPr>
      <w:t>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FE86F" w14:textId="77777777" w:rsidR="002B3FBC" w:rsidRDefault="002B3FBC">
      <w:r>
        <w:separator/>
      </w:r>
    </w:p>
  </w:footnote>
  <w:footnote w:type="continuationSeparator" w:id="0">
    <w:p w14:paraId="64AFE870" w14:textId="77777777" w:rsidR="002B3FBC" w:rsidRDefault="002B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6DBAE" w14:textId="77777777" w:rsidR="00A92188" w:rsidRDefault="00A921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E873" w14:textId="77777777" w:rsidR="0074038E" w:rsidRPr="00A92188" w:rsidRDefault="0034481D">
    <w:pPr>
      <w:pStyle w:val="Header"/>
      <w:jc w:val="center"/>
      <w:rPr>
        <w:sz w:val="24"/>
        <w:szCs w:val="24"/>
      </w:rPr>
    </w:pPr>
    <w:r w:rsidRPr="00A92188">
      <w:rPr>
        <w:sz w:val="24"/>
        <w:szCs w:val="24"/>
      </w:rPr>
      <w:fldChar w:fldCharType="begin"/>
    </w:r>
    <w:r w:rsidR="00E0241D" w:rsidRPr="00A92188">
      <w:rPr>
        <w:sz w:val="24"/>
        <w:szCs w:val="24"/>
      </w:rPr>
      <w:instrText xml:space="preserve"> PAGE   \* MERGEFORMAT </w:instrText>
    </w:r>
    <w:r w:rsidRPr="00A92188">
      <w:rPr>
        <w:sz w:val="24"/>
        <w:szCs w:val="24"/>
      </w:rPr>
      <w:fldChar w:fldCharType="separate"/>
    </w:r>
    <w:r w:rsidR="009E7A89">
      <w:rPr>
        <w:noProof/>
        <w:sz w:val="24"/>
        <w:szCs w:val="24"/>
      </w:rPr>
      <w:t>2</w:t>
    </w:r>
    <w:r w:rsidRPr="00A92188">
      <w:rPr>
        <w:noProof/>
        <w:sz w:val="24"/>
        <w:szCs w:val="24"/>
      </w:rPr>
      <w:fldChar w:fldCharType="end"/>
    </w:r>
  </w:p>
  <w:p w14:paraId="64AFE874" w14:textId="77777777" w:rsidR="0074038E" w:rsidRDefault="007403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50BFD" w14:textId="77777777" w:rsidR="00A92188" w:rsidRDefault="00A92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44C3"/>
    <w:multiLevelType w:val="multilevel"/>
    <w:tmpl w:val="E2C2C36A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671270C9"/>
    <w:multiLevelType w:val="multilevel"/>
    <w:tmpl w:val="42B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EDB"/>
    <w:rsid w:val="00007B7C"/>
    <w:rsid w:val="0005714F"/>
    <w:rsid w:val="000C0EEE"/>
    <w:rsid w:val="000C7DD3"/>
    <w:rsid w:val="000D6DFD"/>
    <w:rsid w:val="0015327A"/>
    <w:rsid w:val="00164257"/>
    <w:rsid w:val="001D3AAC"/>
    <w:rsid w:val="00235957"/>
    <w:rsid w:val="00284613"/>
    <w:rsid w:val="00284EFE"/>
    <w:rsid w:val="002B3FBC"/>
    <w:rsid w:val="002F6110"/>
    <w:rsid w:val="00306E99"/>
    <w:rsid w:val="0034481D"/>
    <w:rsid w:val="0034753A"/>
    <w:rsid w:val="00360525"/>
    <w:rsid w:val="00362A5B"/>
    <w:rsid w:val="00365813"/>
    <w:rsid w:val="00373FA0"/>
    <w:rsid w:val="003812B6"/>
    <w:rsid w:val="00381C60"/>
    <w:rsid w:val="003878E9"/>
    <w:rsid w:val="003B2CDA"/>
    <w:rsid w:val="00410DC4"/>
    <w:rsid w:val="0043551B"/>
    <w:rsid w:val="00440533"/>
    <w:rsid w:val="00465B54"/>
    <w:rsid w:val="0049350F"/>
    <w:rsid w:val="004B6713"/>
    <w:rsid w:val="004D6ECB"/>
    <w:rsid w:val="004F37D7"/>
    <w:rsid w:val="005113A1"/>
    <w:rsid w:val="00512A84"/>
    <w:rsid w:val="00516EDB"/>
    <w:rsid w:val="005A4D3D"/>
    <w:rsid w:val="0064148C"/>
    <w:rsid w:val="006F09C2"/>
    <w:rsid w:val="006F315A"/>
    <w:rsid w:val="006F52AC"/>
    <w:rsid w:val="006F71B8"/>
    <w:rsid w:val="0072262B"/>
    <w:rsid w:val="00724545"/>
    <w:rsid w:val="007341CB"/>
    <w:rsid w:val="0074038E"/>
    <w:rsid w:val="007A60B9"/>
    <w:rsid w:val="007B47EC"/>
    <w:rsid w:val="007C6758"/>
    <w:rsid w:val="007F5B38"/>
    <w:rsid w:val="00812E41"/>
    <w:rsid w:val="008C4FC3"/>
    <w:rsid w:val="008F36AD"/>
    <w:rsid w:val="0091524F"/>
    <w:rsid w:val="00935895"/>
    <w:rsid w:val="00945896"/>
    <w:rsid w:val="00990384"/>
    <w:rsid w:val="0099049B"/>
    <w:rsid w:val="009B5987"/>
    <w:rsid w:val="009E159C"/>
    <w:rsid w:val="009E7A89"/>
    <w:rsid w:val="00A0117C"/>
    <w:rsid w:val="00A25C09"/>
    <w:rsid w:val="00A61D17"/>
    <w:rsid w:val="00A831AE"/>
    <w:rsid w:val="00A92188"/>
    <w:rsid w:val="00AB384E"/>
    <w:rsid w:val="00AE401D"/>
    <w:rsid w:val="00B15777"/>
    <w:rsid w:val="00B875E1"/>
    <w:rsid w:val="00BB4F4C"/>
    <w:rsid w:val="00BD2572"/>
    <w:rsid w:val="00C337D4"/>
    <w:rsid w:val="00C40D75"/>
    <w:rsid w:val="00C617A9"/>
    <w:rsid w:val="00C8342A"/>
    <w:rsid w:val="00CB649E"/>
    <w:rsid w:val="00CE422A"/>
    <w:rsid w:val="00D07AA6"/>
    <w:rsid w:val="00D117C9"/>
    <w:rsid w:val="00D4747D"/>
    <w:rsid w:val="00D60D9B"/>
    <w:rsid w:val="00D9212A"/>
    <w:rsid w:val="00D9741A"/>
    <w:rsid w:val="00DA59EB"/>
    <w:rsid w:val="00DC671A"/>
    <w:rsid w:val="00DD413D"/>
    <w:rsid w:val="00DE29F5"/>
    <w:rsid w:val="00E00ACB"/>
    <w:rsid w:val="00E0241D"/>
    <w:rsid w:val="00E33FC2"/>
    <w:rsid w:val="00E4791D"/>
    <w:rsid w:val="00E72692"/>
    <w:rsid w:val="00E74296"/>
    <w:rsid w:val="00EA5CDC"/>
    <w:rsid w:val="00EB33B2"/>
    <w:rsid w:val="00EC2784"/>
    <w:rsid w:val="00F135FF"/>
    <w:rsid w:val="00F473F0"/>
    <w:rsid w:val="00FB7FEA"/>
    <w:rsid w:val="00FC7C89"/>
    <w:rsid w:val="00FD1256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FE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516ED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16EDB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6ED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6E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EDB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516EDB"/>
    <w:pPr>
      <w:ind w:left="720"/>
    </w:pPr>
  </w:style>
  <w:style w:type="character" w:styleId="Hyperlink">
    <w:name w:val="Hyperlink"/>
    <w:basedOn w:val="DefaultParagraphFont"/>
    <w:uiPriority w:val="99"/>
    <w:rsid w:val="00284E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2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4D"/>
    <w:rPr>
      <w:rFonts w:ascii="Times New Roman" w:eastAsia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locked/>
    <w:rsid w:val="00FE2DF7"/>
    <w:pPr>
      <w:spacing w:line="312" w:lineRule="auto"/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E2DF7"/>
    <w:rPr>
      <w:b/>
      <w:sz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FE2D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2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64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64D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10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1236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Rutkovska</dc:creator>
  <cp:keywords/>
  <dc:description/>
  <cp:lastModifiedBy>Gita Sniega</cp:lastModifiedBy>
  <cp:revision>14</cp:revision>
  <cp:lastPrinted>2014-01-06T09:04:00Z</cp:lastPrinted>
  <dcterms:created xsi:type="dcterms:W3CDTF">2013-09-18T07:13:00Z</dcterms:created>
  <dcterms:modified xsi:type="dcterms:W3CDTF">2014-01-29T08:33:00Z</dcterms:modified>
</cp:coreProperties>
</file>