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4" w:rsidRPr="004237A5" w:rsidRDefault="00A73DD4" w:rsidP="00E221D8">
      <w:pPr>
        <w:pStyle w:val="Pamatteksts"/>
        <w:jc w:val="left"/>
        <w:rPr>
          <w:b w:val="0"/>
          <w:bCs/>
          <w:color w:val="000000" w:themeColor="text1"/>
        </w:rPr>
      </w:pPr>
      <w:r w:rsidRPr="004237A5">
        <w:rPr>
          <w:b w:val="0"/>
          <w:bCs/>
          <w:color w:val="000000" w:themeColor="text1"/>
        </w:rPr>
        <w:t>2012.gada</w:t>
      </w:r>
      <w:r w:rsidRPr="004237A5">
        <w:rPr>
          <w:b w:val="0"/>
          <w:bCs/>
          <w:color w:val="000000" w:themeColor="text1"/>
        </w:rPr>
        <w:tab/>
        <w:t>.</w:t>
      </w:r>
      <w:r w:rsidR="004237A5" w:rsidRPr="004237A5">
        <w:rPr>
          <w:b w:val="0"/>
          <w:bCs/>
          <w:color w:val="000000" w:themeColor="text1"/>
        </w:rPr>
        <w:t>decembrī</w:t>
      </w:r>
      <w:r w:rsidRPr="004237A5">
        <w:rPr>
          <w:b w:val="0"/>
          <w:bCs/>
          <w:color w:val="000000" w:themeColor="text1"/>
        </w:rPr>
        <w:tab/>
      </w:r>
      <w:r w:rsidRPr="004237A5">
        <w:rPr>
          <w:b w:val="0"/>
          <w:bCs/>
          <w:color w:val="000000" w:themeColor="text1"/>
        </w:rPr>
        <w:tab/>
      </w:r>
      <w:r w:rsidRPr="004237A5">
        <w:rPr>
          <w:b w:val="0"/>
          <w:bCs/>
          <w:color w:val="000000" w:themeColor="text1"/>
        </w:rPr>
        <w:tab/>
      </w:r>
      <w:r w:rsidRPr="004237A5">
        <w:rPr>
          <w:b w:val="0"/>
          <w:bCs/>
          <w:color w:val="000000" w:themeColor="text1"/>
        </w:rPr>
        <w:tab/>
      </w:r>
      <w:r w:rsidR="00907688" w:rsidRPr="004237A5">
        <w:rPr>
          <w:b w:val="0"/>
          <w:bCs/>
          <w:color w:val="000000" w:themeColor="text1"/>
        </w:rPr>
        <w:tab/>
      </w:r>
      <w:r w:rsidR="00907688" w:rsidRPr="004237A5">
        <w:rPr>
          <w:b w:val="0"/>
          <w:bCs/>
          <w:color w:val="000000" w:themeColor="text1"/>
        </w:rPr>
        <w:tab/>
      </w:r>
      <w:r w:rsidRPr="004237A5">
        <w:rPr>
          <w:b w:val="0"/>
          <w:bCs/>
          <w:color w:val="000000" w:themeColor="text1"/>
        </w:rPr>
        <w:t>Noteikumi Nr.</w:t>
      </w:r>
    </w:p>
    <w:p w:rsidR="00A73DD4" w:rsidRPr="004237A5" w:rsidRDefault="00A73DD4" w:rsidP="00E221D8">
      <w:pPr>
        <w:rPr>
          <w:color w:val="000000" w:themeColor="text1"/>
        </w:rPr>
      </w:pPr>
      <w:r w:rsidRPr="004237A5">
        <w:rPr>
          <w:color w:val="000000" w:themeColor="text1"/>
        </w:rPr>
        <w:t>Rīgā</w:t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</w:r>
      <w:r w:rsidRPr="004237A5">
        <w:rPr>
          <w:color w:val="000000" w:themeColor="text1"/>
        </w:rPr>
        <w:tab/>
        <w:t>(prot. Nr.</w:t>
      </w:r>
      <w:r w:rsidRPr="004237A5">
        <w:rPr>
          <w:color w:val="000000" w:themeColor="text1"/>
        </w:rPr>
        <w:tab/>
        <w:t>.§)</w:t>
      </w:r>
    </w:p>
    <w:p w:rsidR="00192DD4" w:rsidRPr="004237A5" w:rsidRDefault="00192DD4" w:rsidP="00E221D8">
      <w:pPr>
        <w:pStyle w:val="Kjene"/>
        <w:tabs>
          <w:tab w:val="clear" w:pos="4153"/>
          <w:tab w:val="clear" w:pos="8306"/>
        </w:tabs>
        <w:rPr>
          <w:color w:val="000000" w:themeColor="text1"/>
        </w:rPr>
      </w:pPr>
    </w:p>
    <w:p w:rsidR="00A73DD4" w:rsidRPr="004237A5" w:rsidRDefault="00A73DD4" w:rsidP="00E221D8">
      <w:pPr>
        <w:pStyle w:val="Kjene"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4237A5">
        <w:rPr>
          <w:b/>
          <w:bCs/>
          <w:color w:val="000000" w:themeColor="text1"/>
        </w:rPr>
        <w:t>Grozījumi Ministru kabineta 2012.gada 10.jūlija noteikumos Nr.493„Noteikumi par Valsts augu aizsardzības dienesta sniegto maksas pakalpojumu cenrādi”</w:t>
      </w:r>
    </w:p>
    <w:p w:rsidR="00907688" w:rsidRPr="004237A5" w:rsidRDefault="00907688" w:rsidP="00E221D8">
      <w:pPr>
        <w:pStyle w:val="Pamatteksts2"/>
        <w:jc w:val="right"/>
        <w:rPr>
          <w:color w:val="000000" w:themeColor="text1"/>
        </w:rPr>
      </w:pPr>
    </w:p>
    <w:p w:rsidR="00A73DD4" w:rsidRPr="004237A5" w:rsidRDefault="00A73DD4" w:rsidP="00E221D8">
      <w:pPr>
        <w:pStyle w:val="Pamatteksts2"/>
        <w:jc w:val="right"/>
        <w:rPr>
          <w:color w:val="000000" w:themeColor="text1"/>
        </w:rPr>
      </w:pPr>
      <w:r w:rsidRPr="004237A5">
        <w:rPr>
          <w:color w:val="000000" w:themeColor="text1"/>
        </w:rPr>
        <w:t>Izdoti saskaņā ar</w:t>
      </w:r>
    </w:p>
    <w:p w:rsidR="00A73DD4" w:rsidRPr="004237A5" w:rsidRDefault="00A73DD4" w:rsidP="00E221D8">
      <w:pPr>
        <w:pStyle w:val="Pamatteksts2"/>
        <w:jc w:val="right"/>
        <w:rPr>
          <w:color w:val="000000" w:themeColor="text1"/>
        </w:rPr>
      </w:pPr>
      <w:r w:rsidRPr="004237A5">
        <w:rPr>
          <w:color w:val="000000" w:themeColor="text1"/>
        </w:rPr>
        <w:t>Likuma par budžetu un finanšu vadību</w:t>
      </w:r>
    </w:p>
    <w:p w:rsidR="00A73DD4" w:rsidRPr="004237A5" w:rsidRDefault="00A73DD4" w:rsidP="00E221D8">
      <w:pPr>
        <w:pStyle w:val="Pamatteksts2"/>
        <w:jc w:val="right"/>
        <w:rPr>
          <w:color w:val="000000" w:themeColor="text1"/>
        </w:rPr>
      </w:pPr>
      <w:r w:rsidRPr="004237A5">
        <w:rPr>
          <w:color w:val="000000" w:themeColor="text1"/>
        </w:rPr>
        <w:t>5.panta devīto daļu</w:t>
      </w:r>
    </w:p>
    <w:p w:rsidR="00192DD4" w:rsidRPr="004237A5" w:rsidRDefault="00192DD4" w:rsidP="00E221D8">
      <w:pPr>
        <w:pStyle w:val="Pamatteksts2"/>
        <w:rPr>
          <w:color w:val="000000" w:themeColor="text1"/>
        </w:rPr>
      </w:pPr>
    </w:p>
    <w:p w:rsidR="00192DD4" w:rsidRPr="004237A5" w:rsidRDefault="00192DD4" w:rsidP="00E221D8">
      <w:pPr>
        <w:pStyle w:val="Pamatteksts2"/>
        <w:rPr>
          <w:color w:val="000000" w:themeColor="text1"/>
        </w:rPr>
      </w:pPr>
    </w:p>
    <w:p w:rsidR="00A73DD4" w:rsidRPr="004237A5" w:rsidRDefault="00876D11" w:rsidP="007A44FB">
      <w:pPr>
        <w:pStyle w:val="Pamatteksts2"/>
        <w:widowControl w:val="0"/>
        <w:ind w:firstLine="720"/>
        <w:rPr>
          <w:color w:val="000000" w:themeColor="text1"/>
        </w:rPr>
      </w:pPr>
      <w:r w:rsidRPr="004237A5">
        <w:rPr>
          <w:color w:val="000000" w:themeColor="text1"/>
        </w:rPr>
        <w:t xml:space="preserve">1. </w:t>
      </w:r>
      <w:r w:rsidR="00A73DD4" w:rsidRPr="004237A5">
        <w:rPr>
          <w:color w:val="000000" w:themeColor="text1"/>
        </w:rPr>
        <w:t>Izdarīt Ministru kabineta 2012.gada 10.jūlija noteikumos Nr.493 „Noteikumi par Valsts augu aizsardzības dienesta sniegto maksas pakalpojumu cenrādi” (Latvijas Vēstnesis, 2012</w:t>
      </w:r>
      <w:r w:rsidR="00A73DD4" w:rsidRPr="004237A5">
        <w:rPr>
          <w:color w:val="000000" w:themeColor="text1"/>
          <w:szCs w:val="28"/>
        </w:rPr>
        <w:t>, 112</w:t>
      </w:r>
      <w:r w:rsidR="00192DD4" w:rsidRPr="004237A5">
        <w:rPr>
          <w:color w:val="000000" w:themeColor="text1"/>
          <w:szCs w:val="28"/>
        </w:rPr>
        <w:t>.nr.</w:t>
      </w:r>
      <w:r w:rsidR="00A73DD4" w:rsidRPr="004237A5">
        <w:rPr>
          <w:color w:val="000000" w:themeColor="text1"/>
          <w:szCs w:val="28"/>
        </w:rPr>
        <w:t>) šādus</w:t>
      </w:r>
      <w:r w:rsidR="00A73DD4" w:rsidRPr="004237A5">
        <w:rPr>
          <w:color w:val="000000" w:themeColor="text1"/>
        </w:rPr>
        <w:t xml:space="preserve"> grozījumus:</w:t>
      </w:r>
    </w:p>
    <w:p w:rsidR="007A44FB" w:rsidRPr="004237A5" w:rsidRDefault="007A44FB" w:rsidP="00DC5945">
      <w:pPr>
        <w:pStyle w:val="Pamatteksts2"/>
        <w:widowControl w:val="0"/>
        <w:rPr>
          <w:color w:val="000000" w:themeColor="text1"/>
        </w:rPr>
      </w:pPr>
      <w:r w:rsidRPr="004237A5">
        <w:rPr>
          <w:color w:val="000000" w:themeColor="text1"/>
        </w:rPr>
        <w:t>1.1.</w:t>
      </w:r>
      <w:r w:rsidR="00876D11" w:rsidRPr="004237A5">
        <w:rPr>
          <w:color w:val="000000" w:themeColor="text1"/>
        </w:rPr>
        <w:t xml:space="preserve"> </w:t>
      </w:r>
      <w:r w:rsidRPr="004237A5">
        <w:rPr>
          <w:color w:val="000000" w:themeColor="text1"/>
        </w:rPr>
        <w:t xml:space="preserve">svītrot </w:t>
      </w:r>
      <w:r w:rsidR="00876D11" w:rsidRPr="004237A5">
        <w:rPr>
          <w:color w:val="000000" w:themeColor="text1"/>
        </w:rPr>
        <w:t xml:space="preserve">pielikuma </w:t>
      </w:r>
      <w:r w:rsidRPr="004237A5">
        <w:rPr>
          <w:color w:val="000000" w:themeColor="text1"/>
        </w:rPr>
        <w:t>28.punktu;</w:t>
      </w:r>
    </w:p>
    <w:p w:rsidR="007A44FB" w:rsidRPr="004237A5" w:rsidRDefault="007A44FB" w:rsidP="00DC5945">
      <w:pPr>
        <w:pStyle w:val="Pamatteksts2"/>
        <w:widowControl w:val="0"/>
        <w:rPr>
          <w:color w:val="000000" w:themeColor="text1"/>
          <w:szCs w:val="28"/>
        </w:rPr>
      </w:pPr>
      <w:r w:rsidRPr="004237A5">
        <w:rPr>
          <w:color w:val="000000" w:themeColor="text1"/>
        </w:rPr>
        <w:t xml:space="preserve">1.2. svītrot </w:t>
      </w:r>
      <w:r w:rsidR="00876D11" w:rsidRPr="004237A5">
        <w:rPr>
          <w:color w:val="000000" w:themeColor="text1"/>
        </w:rPr>
        <w:t xml:space="preserve">pielikuma </w:t>
      </w:r>
      <w:r w:rsidRPr="004237A5">
        <w:rPr>
          <w:color w:val="000000" w:themeColor="text1"/>
          <w:szCs w:val="28"/>
        </w:rPr>
        <w:t>29.un 31.punktu;</w:t>
      </w:r>
    </w:p>
    <w:p w:rsidR="00DC5945" w:rsidRPr="004237A5" w:rsidRDefault="007A44FB" w:rsidP="00DC5945">
      <w:pPr>
        <w:pStyle w:val="Pamatteksts2"/>
        <w:widowControl w:val="0"/>
        <w:rPr>
          <w:color w:val="000000" w:themeColor="text1"/>
        </w:rPr>
      </w:pPr>
      <w:r w:rsidRPr="004237A5">
        <w:rPr>
          <w:color w:val="000000" w:themeColor="text1"/>
        </w:rPr>
        <w:t xml:space="preserve">1.3. izteikt </w:t>
      </w:r>
      <w:r w:rsidR="00876D11" w:rsidRPr="004237A5">
        <w:rPr>
          <w:color w:val="000000" w:themeColor="text1"/>
        </w:rPr>
        <w:t xml:space="preserve">pielikuma </w:t>
      </w:r>
      <w:r w:rsidRPr="004237A5">
        <w:rPr>
          <w:color w:val="000000" w:themeColor="text1"/>
        </w:rPr>
        <w:t xml:space="preserve">32.punktu šādā redakcijā: </w:t>
      </w:r>
    </w:p>
    <w:tbl>
      <w:tblPr>
        <w:tblStyle w:val="Reatabula"/>
        <w:tblW w:w="9606" w:type="dxa"/>
        <w:tblLook w:val="04A0"/>
      </w:tblPr>
      <w:tblGrid>
        <w:gridCol w:w="1224"/>
        <w:gridCol w:w="1585"/>
        <w:gridCol w:w="1483"/>
        <w:gridCol w:w="1244"/>
        <w:gridCol w:w="1270"/>
        <w:gridCol w:w="2800"/>
      </w:tblGrid>
      <w:tr w:rsidR="002A0667" w:rsidRPr="004237A5" w:rsidTr="00DC5945">
        <w:tc>
          <w:tcPr>
            <w:tcW w:w="1224" w:type="dxa"/>
          </w:tcPr>
          <w:p w:rsidR="002A0667" w:rsidRPr="004237A5" w:rsidRDefault="002A0667" w:rsidP="007A44FB">
            <w:pPr>
              <w:pStyle w:val="Pamatteksts2"/>
              <w:widowControl w:val="0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„32.</w:t>
            </w:r>
          </w:p>
        </w:tc>
        <w:tc>
          <w:tcPr>
            <w:tcW w:w="1585" w:type="dxa"/>
          </w:tcPr>
          <w:p w:rsidR="002A0667" w:rsidRPr="004237A5" w:rsidRDefault="002A0667" w:rsidP="00DC5945">
            <w:pPr>
              <w:pStyle w:val="Pamatteksts2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Latvijā reģistrēto augu aizsardzības līdzekļu saraksts</w:t>
            </w:r>
          </w:p>
        </w:tc>
        <w:tc>
          <w:tcPr>
            <w:tcW w:w="1483" w:type="dxa"/>
          </w:tcPr>
          <w:p w:rsidR="002A0667" w:rsidRPr="004237A5" w:rsidRDefault="002A0667" w:rsidP="00DC5945">
            <w:pPr>
              <w:pStyle w:val="tvhtm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iespieddarbs</w:t>
            </w:r>
          </w:p>
          <w:p w:rsidR="002A0667" w:rsidRPr="004237A5" w:rsidRDefault="002A0667" w:rsidP="00DC5945">
            <w:pPr>
              <w:pStyle w:val="Pamatteksts2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667" w:rsidRPr="004237A5" w:rsidRDefault="002A0667" w:rsidP="002A0667">
            <w:pPr>
              <w:pStyle w:val="tvhtml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2,50</w:t>
            </w:r>
          </w:p>
          <w:p w:rsidR="002A0667" w:rsidRPr="004237A5" w:rsidRDefault="002A0667" w:rsidP="002A0667">
            <w:pPr>
              <w:pStyle w:val="Pamatteksts2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2A0667" w:rsidRPr="004237A5" w:rsidRDefault="002A0667" w:rsidP="002A0667">
            <w:pPr>
              <w:pStyle w:val="Pamatteksts2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0,53</w:t>
            </w:r>
          </w:p>
        </w:tc>
        <w:tc>
          <w:tcPr>
            <w:tcW w:w="2800" w:type="dxa"/>
          </w:tcPr>
          <w:p w:rsidR="002A0667" w:rsidRPr="004237A5" w:rsidRDefault="002A0667" w:rsidP="002A0667">
            <w:pPr>
              <w:pStyle w:val="Pamatteksts2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3,03”</w:t>
            </w:r>
          </w:p>
        </w:tc>
      </w:tr>
    </w:tbl>
    <w:p w:rsidR="005B159E" w:rsidRPr="004237A5" w:rsidRDefault="005B159E" w:rsidP="005B159E">
      <w:pPr>
        <w:pStyle w:val="Sarakstarindkopa"/>
        <w:ind w:left="0"/>
        <w:rPr>
          <w:color w:val="000000" w:themeColor="text1"/>
          <w:szCs w:val="28"/>
        </w:rPr>
      </w:pPr>
    </w:p>
    <w:p w:rsidR="005B159E" w:rsidRPr="004237A5" w:rsidRDefault="00DC5945" w:rsidP="00DC5945">
      <w:pPr>
        <w:pStyle w:val="Sarakstarindkopa"/>
        <w:ind w:left="0"/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1.4.</w:t>
      </w:r>
      <w:r w:rsidR="00876D11" w:rsidRPr="004237A5">
        <w:rPr>
          <w:color w:val="000000" w:themeColor="text1"/>
          <w:szCs w:val="28"/>
        </w:rPr>
        <w:t xml:space="preserve"> </w:t>
      </w:r>
      <w:r w:rsidRPr="004237A5">
        <w:rPr>
          <w:color w:val="000000" w:themeColor="text1"/>
          <w:szCs w:val="28"/>
        </w:rPr>
        <w:t>i</w:t>
      </w:r>
      <w:r w:rsidR="005B159E" w:rsidRPr="004237A5">
        <w:rPr>
          <w:color w:val="000000" w:themeColor="text1"/>
          <w:szCs w:val="28"/>
        </w:rPr>
        <w:t xml:space="preserve">zteikt </w:t>
      </w:r>
      <w:r w:rsidR="00876D11" w:rsidRPr="004237A5">
        <w:rPr>
          <w:color w:val="000000" w:themeColor="text1"/>
          <w:szCs w:val="28"/>
        </w:rPr>
        <w:t xml:space="preserve">pielikuma </w:t>
      </w:r>
      <w:r w:rsidR="005B159E" w:rsidRPr="004237A5">
        <w:rPr>
          <w:color w:val="000000" w:themeColor="text1"/>
          <w:szCs w:val="28"/>
        </w:rPr>
        <w:t>37.punktu šādā redakcijā:</w:t>
      </w:r>
    </w:p>
    <w:p w:rsidR="005B159E" w:rsidRPr="004237A5" w:rsidRDefault="005B159E" w:rsidP="005B159E">
      <w:pPr>
        <w:pStyle w:val="Sarakstarindkopa"/>
        <w:ind w:left="1211"/>
        <w:rPr>
          <w:color w:val="000000" w:themeColor="text1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„37.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Augsnes paraugu ņemšanas plāna projekta sagatavošana, augsnes paraugu ņemšana no apsekojamās platības: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F9738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237A5">
              <w:rPr>
                <w:iCs/>
                <w:color w:val="000000" w:themeColor="text1"/>
                <w:sz w:val="24"/>
                <w:szCs w:val="24"/>
              </w:rPr>
              <w:t xml:space="preserve">neveicot </w:t>
            </w:r>
            <w:r w:rsidRPr="004237A5">
              <w:rPr>
                <w:color w:val="000000" w:themeColor="text1"/>
                <w:sz w:val="24"/>
                <w:szCs w:val="24"/>
              </w:rPr>
              <w:t>paraugu piesaisti koordināt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ā</w:t>
            </w:r>
            <w:r w:rsidRPr="004237A5">
              <w:rPr>
                <w:color w:val="000000" w:themeColor="text1"/>
                <w:sz w:val="24"/>
                <w:szCs w:val="24"/>
              </w:rPr>
              <w:t>m: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37.1.1.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lauksaimniecībā izmantojamās zemes (turpmāk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–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LIZ)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nepārsniedz </w:t>
            </w:r>
            <w:r w:rsidRPr="004237A5">
              <w:rPr>
                <w:color w:val="000000" w:themeColor="text1"/>
                <w:sz w:val="24"/>
                <w:szCs w:val="24"/>
              </w:rPr>
              <w:t>20 ha (ieskaitot)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3,95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0,83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4,78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37.1.2.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BB1F6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līdz 40 ha (ieskaitot)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2,47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2,99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37.1.3.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BB1F6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40 līdz 60 ha (ieskaitot)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1,98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2,40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37.1.4.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BB1F6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60 līdz 100 ha (ieskaitot)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1,48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1,79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37.1.5.</w:t>
            </w:r>
          </w:p>
        </w:tc>
        <w:tc>
          <w:tcPr>
            <w:tcW w:w="3058" w:type="dxa"/>
            <w:vAlign w:val="center"/>
          </w:tcPr>
          <w:p w:rsidR="005B159E" w:rsidRPr="004237A5" w:rsidRDefault="005B159E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1,35</w:t>
            </w: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1,63</w:t>
            </w:r>
          </w:p>
        </w:tc>
      </w:tr>
      <w:tr w:rsidR="005B159E" w:rsidRPr="004237A5" w:rsidTr="005B159E">
        <w:tc>
          <w:tcPr>
            <w:tcW w:w="1266" w:type="dxa"/>
            <w:vAlign w:val="center"/>
          </w:tcPr>
          <w:p w:rsidR="005B159E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37.2.</w:t>
            </w:r>
          </w:p>
        </w:tc>
        <w:tc>
          <w:tcPr>
            <w:tcW w:w="3058" w:type="dxa"/>
            <w:vAlign w:val="center"/>
          </w:tcPr>
          <w:p w:rsidR="005B159E" w:rsidRPr="004237A5" w:rsidRDefault="00DB63D0" w:rsidP="00F9738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veicot paraugu piesaisti </w:t>
            </w: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koordināt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ā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m, izmantojot </w:t>
            </w:r>
            <w:r w:rsidR="00837648" w:rsidRPr="004237A5">
              <w:rPr>
                <w:color w:val="000000" w:themeColor="text1"/>
                <w:sz w:val="24"/>
                <w:szCs w:val="24"/>
              </w:rPr>
              <w:t xml:space="preserve">Globālās pozicionēšanas sistēmas (turpmāk – </w:t>
            </w:r>
            <w:r w:rsidRPr="004237A5">
              <w:rPr>
                <w:color w:val="000000" w:themeColor="text1"/>
                <w:sz w:val="24"/>
                <w:szCs w:val="24"/>
              </w:rPr>
              <w:t>GPS</w:t>
            </w:r>
            <w:r w:rsidR="00837648" w:rsidRPr="004237A5">
              <w:rPr>
                <w:color w:val="000000" w:themeColor="text1"/>
                <w:sz w:val="24"/>
                <w:szCs w:val="24"/>
              </w:rPr>
              <w:t>)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ierīci:</w:t>
            </w:r>
          </w:p>
        </w:tc>
        <w:tc>
          <w:tcPr>
            <w:tcW w:w="1668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B159E" w:rsidRPr="004237A5" w:rsidRDefault="005B159E" w:rsidP="005B159E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B159E" w:rsidRPr="004237A5" w:rsidRDefault="005B159E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63D0" w:rsidRPr="004237A5" w:rsidTr="005B159E">
        <w:tc>
          <w:tcPr>
            <w:tcW w:w="1266" w:type="dxa"/>
            <w:vAlign w:val="center"/>
          </w:tcPr>
          <w:p w:rsidR="00DB63D0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37.2.1.</w:t>
            </w:r>
          </w:p>
        </w:tc>
        <w:tc>
          <w:tcPr>
            <w:tcW w:w="3058" w:type="dxa"/>
            <w:vAlign w:val="center"/>
          </w:tcPr>
          <w:p w:rsidR="00DB63D0" w:rsidRPr="004237A5" w:rsidRDefault="00DB63D0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nepārsniedz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ha (ieskaitot)</w:t>
            </w:r>
          </w:p>
        </w:tc>
        <w:tc>
          <w:tcPr>
            <w:tcW w:w="1668" w:type="dxa"/>
            <w:vAlign w:val="center"/>
          </w:tcPr>
          <w:p w:rsidR="00DB63D0" w:rsidRPr="004237A5" w:rsidRDefault="00DB63D0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6,52</w:t>
            </w:r>
          </w:p>
        </w:tc>
        <w:tc>
          <w:tcPr>
            <w:tcW w:w="1193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1.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59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7,89</w:t>
            </w:r>
          </w:p>
        </w:tc>
      </w:tr>
      <w:tr w:rsidR="00DB63D0" w:rsidRPr="004237A5" w:rsidTr="005B159E">
        <w:tc>
          <w:tcPr>
            <w:tcW w:w="1266" w:type="dxa"/>
            <w:vAlign w:val="center"/>
          </w:tcPr>
          <w:p w:rsidR="00DB63D0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37.2.2.</w:t>
            </w:r>
          </w:p>
        </w:tc>
        <w:tc>
          <w:tcPr>
            <w:tcW w:w="3058" w:type="dxa"/>
            <w:vAlign w:val="center"/>
          </w:tcPr>
          <w:p w:rsidR="00DB63D0" w:rsidRPr="004237A5" w:rsidRDefault="00DB63D0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līdz 40 ha (ieskaitot)</w:t>
            </w:r>
          </w:p>
        </w:tc>
        <w:tc>
          <w:tcPr>
            <w:tcW w:w="1668" w:type="dxa"/>
            <w:vAlign w:val="center"/>
          </w:tcPr>
          <w:p w:rsidR="00DB63D0" w:rsidRPr="004237A5" w:rsidRDefault="00DB63D0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DB63D0" w:rsidRPr="004237A5" w:rsidRDefault="003656CD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4,07</w:t>
            </w:r>
          </w:p>
        </w:tc>
        <w:tc>
          <w:tcPr>
            <w:tcW w:w="1193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59" w:type="dxa"/>
            <w:vAlign w:val="center"/>
          </w:tcPr>
          <w:p w:rsidR="00DB63D0" w:rsidRPr="004237A5" w:rsidRDefault="003656CD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4,92</w:t>
            </w:r>
          </w:p>
        </w:tc>
      </w:tr>
      <w:tr w:rsidR="00DB63D0" w:rsidRPr="004237A5" w:rsidTr="005B159E">
        <w:tc>
          <w:tcPr>
            <w:tcW w:w="1266" w:type="dxa"/>
            <w:vAlign w:val="center"/>
          </w:tcPr>
          <w:p w:rsidR="00DB63D0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37.2.3.</w:t>
            </w:r>
          </w:p>
        </w:tc>
        <w:tc>
          <w:tcPr>
            <w:tcW w:w="3058" w:type="dxa"/>
            <w:vAlign w:val="center"/>
          </w:tcPr>
          <w:p w:rsidR="00DB63D0" w:rsidRPr="004237A5" w:rsidRDefault="00DB63D0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40 līdz 60 ha (ieskaitot)</w:t>
            </w:r>
          </w:p>
        </w:tc>
        <w:tc>
          <w:tcPr>
            <w:tcW w:w="1668" w:type="dxa"/>
            <w:vAlign w:val="center"/>
          </w:tcPr>
          <w:p w:rsidR="00DB63D0" w:rsidRPr="004237A5" w:rsidRDefault="00DB63D0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1193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59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3,96</w:t>
            </w:r>
          </w:p>
        </w:tc>
      </w:tr>
      <w:tr w:rsidR="00DB63D0" w:rsidRPr="004237A5" w:rsidTr="005B159E">
        <w:tc>
          <w:tcPr>
            <w:tcW w:w="1266" w:type="dxa"/>
            <w:vAlign w:val="center"/>
          </w:tcPr>
          <w:p w:rsidR="00DB63D0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37.2.4.</w:t>
            </w:r>
          </w:p>
        </w:tc>
        <w:tc>
          <w:tcPr>
            <w:tcW w:w="3058" w:type="dxa"/>
            <w:vAlign w:val="center"/>
          </w:tcPr>
          <w:p w:rsidR="00DB63D0" w:rsidRPr="004237A5" w:rsidRDefault="00DB63D0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60 līdz 100 ha (ieskaitot)</w:t>
            </w:r>
          </w:p>
        </w:tc>
        <w:tc>
          <w:tcPr>
            <w:tcW w:w="1668" w:type="dxa"/>
            <w:vAlign w:val="center"/>
          </w:tcPr>
          <w:p w:rsidR="00DB63D0" w:rsidRPr="004237A5" w:rsidRDefault="00DB63D0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2,44</w:t>
            </w:r>
          </w:p>
        </w:tc>
        <w:tc>
          <w:tcPr>
            <w:tcW w:w="1193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59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DB63D0" w:rsidRPr="004237A5" w:rsidTr="005B159E">
        <w:tc>
          <w:tcPr>
            <w:tcW w:w="1266" w:type="dxa"/>
            <w:vAlign w:val="center"/>
          </w:tcPr>
          <w:p w:rsidR="00DB63D0" w:rsidRPr="004237A5" w:rsidRDefault="00DB63D0" w:rsidP="005B1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37.2.5.</w:t>
            </w:r>
          </w:p>
        </w:tc>
        <w:tc>
          <w:tcPr>
            <w:tcW w:w="3058" w:type="dxa"/>
            <w:vAlign w:val="center"/>
          </w:tcPr>
          <w:p w:rsidR="00DB63D0" w:rsidRPr="004237A5" w:rsidRDefault="00DB63D0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vAlign w:val="center"/>
          </w:tcPr>
          <w:p w:rsidR="00DB63D0" w:rsidRPr="004237A5" w:rsidRDefault="00DB63D0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2,22</w:t>
            </w:r>
          </w:p>
        </w:tc>
        <w:tc>
          <w:tcPr>
            <w:tcW w:w="1193" w:type="dxa"/>
            <w:vAlign w:val="center"/>
          </w:tcPr>
          <w:p w:rsidR="00DB63D0" w:rsidRPr="004237A5" w:rsidRDefault="00DB63D0" w:rsidP="003656CD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</w:t>
            </w:r>
            <w:r w:rsidR="003656CD" w:rsidRPr="004237A5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59" w:type="dxa"/>
            <w:vAlign w:val="center"/>
          </w:tcPr>
          <w:p w:rsidR="00DB63D0" w:rsidRPr="004237A5" w:rsidRDefault="003656CD" w:rsidP="00DB63D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2,69</w:t>
            </w:r>
            <w:r w:rsidR="0030269A" w:rsidRPr="004237A5">
              <w:rPr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5B159E" w:rsidRPr="004237A5" w:rsidRDefault="005B159E" w:rsidP="005B159E">
      <w:pPr>
        <w:pStyle w:val="Sarakstarindkopa"/>
        <w:ind w:left="0"/>
        <w:rPr>
          <w:color w:val="000000" w:themeColor="text1"/>
          <w:sz w:val="24"/>
          <w:szCs w:val="24"/>
        </w:rPr>
      </w:pPr>
    </w:p>
    <w:p w:rsidR="00F97388" w:rsidRPr="004237A5" w:rsidRDefault="00DC5945" w:rsidP="00DC5945">
      <w:pPr>
        <w:pStyle w:val="Sarakstarindkopa"/>
        <w:numPr>
          <w:ilvl w:val="1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i</w:t>
      </w:r>
      <w:r w:rsidR="00F97388" w:rsidRPr="004237A5">
        <w:rPr>
          <w:color w:val="000000" w:themeColor="text1"/>
          <w:szCs w:val="28"/>
        </w:rPr>
        <w:t xml:space="preserve">zteikt </w:t>
      </w:r>
      <w:r w:rsidR="00876D11" w:rsidRPr="004237A5">
        <w:rPr>
          <w:color w:val="000000" w:themeColor="text1"/>
          <w:szCs w:val="28"/>
        </w:rPr>
        <w:t>pielikuma</w:t>
      </w:r>
      <w:r w:rsidR="00F97388" w:rsidRPr="004237A5">
        <w:rPr>
          <w:color w:val="000000" w:themeColor="text1"/>
          <w:szCs w:val="28"/>
        </w:rPr>
        <w:t xml:space="preserve"> 3</w:t>
      </w:r>
      <w:r w:rsidR="00503880" w:rsidRPr="004237A5">
        <w:rPr>
          <w:color w:val="000000" w:themeColor="text1"/>
          <w:szCs w:val="28"/>
        </w:rPr>
        <w:t>9</w:t>
      </w:r>
      <w:r w:rsidR="00F97388" w:rsidRPr="004237A5">
        <w:rPr>
          <w:color w:val="000000" w:themeColor="text1"/>
          <w:szCs w:val="28"/>
        </w:rPr>
        <w:t>.</w:t>
      </w:r>
      <w:r w:rsidRPr="004237A5">
        <w:rPr>
          <w:color w:val="000000" w:themeColor="text1"/>
          <w:szCs w:val="28"/>
        </w:rPr>
        <w:t xml:space="preserve"> un 40. </w:t>
      </w:r>
      <w:r w:rsidR="00F97388" w:rsidRPr="004237A5">
        <w:rPr>
          <w:color w:val="000000" w:themeColor="text1"/>
          <w:szCs w:val="28"/>
        </w:rPr>
        <w:t>punktu šādā redakcijā:</w:t>
      </w:r>
    </w:p>
    <w:p w:rsidR="00F97388" w:rsidRPr="004237A5" w:rsidRDefault="00F97388" w:rsidP="00F97388">
      <w:pPr>
        <w:pStyle w:val="Sarakstarindkopa"/>
        <w:ind w:left="1211"/>
        <w:rPr>
          <w:color w:val="000000" w:themeColor="text1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8"/>
        <w:gridCol w:w="1228"/>
        <w:gridCol w:w="72"/>
        <w:gridCol w:w="2986"/>
        <w:gridCol w:w="72"/>
        <w:gridCol w:w="1596"/>
        <w:gridCol w:w="72"/>
        <w:gridCol w:w="1204"/>
        <w:gridCol w:w="72"/>
        <w:gridCol w:w="1121"/>
        <w:gridCol w:w="72"/>
        <w:gridCol w:w="1145"/>
        <w:gridCol w:w="42"/>
      </w:tblGrid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30269A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„</w:t>
            </w:r>
            <w:r w:rsidR="00F97388" w:rsidRPr="004237A5"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Datorizēta augsnes agroķīmisko analīžu rezultātu apstrāde un novērtējuma sagatavošana: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39.1.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bez piesaistes GPS ierīces nolasījumiem: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F97388" w:rsidP="00F97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39.1.1.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par pamatrādītājiem (organiskās vielas, pH, augiem izmantojamais fosfors (P</w:t>
            </w:r>
            <w:r w:rsidRPr="004237A5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237A5">
              <w:rPr>
                <w:color w:val="000000" w:themeColor="text1"/>
                <w:sz w:val="24"/>
                <w:szCs w:val="24"/>
              </w:rPr>
              <w:t>O</w:t>
            </w:r>
            <w:r w:rsidRPr="004237A5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4237A5">
              <w:rPr>
                <w:color w:val="000000" w:themeColor="text1"/>
                <w:sz w:val="24"/>
                <w:szCs w:val="24"/>
              </w:rPr>
              <w:t>), kālijs (K</w:t>
            </w:r>
            <w:r w:rsidRPr="004237A5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237A5">
              <w:rPr>
                <w:color w:val="000000" w:themeColor="text1"/>
                <w:sz w:val="24"/>
                <w:szCs w:val="24"/>
              </w:rPr>
              <w:t>O))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paraugs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1,05</w:t>
            </w: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39.1.2.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papildus par citiem agroķīmiskajiem rādītājiem (apmaiņas magnijs (Mg), kalcijs (Ca), sērs (S-SO</w:t>
            </w:r>
            <w:r w:rsidRPr="004237A5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4237A5">
              <w:rPr>
                <w:color w:val="000000" w:themeColor="text1"/>
                <w:sz w:val="24"/>
                <w:szCs w:val="24"/>
              </w:rPr>
              <w:t>), cinks (Zn), mangāns (Mn), bors (B), varš (Cu))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elements</w:t>
            </w:r>
            <w:r w:rsidRPr="004237A5">
              <w:rPr>
                <w:color w:val="000000" w:themeColor="text1"/>
                <w:sz w:val="24"/>
                <w:szCs w:val="24"/>
              </w:rPr>
              <w:br/>
              <w:t>1 paraugam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0,27</w:t>
            </w: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39.2.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ar piesaisti GPS ierīces nolasījumiem: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39.2.1.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par pamatrādītājiem (organiskās vielas, pH, augiem izmantojamais fosfors (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P</w:t>
            </w:r>
            <w:r w:rsidR="00192DD4" w:rsidRPr="004237A5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O</w:t>
            </w:r>
            <w:r w:rsidR="00192DD4" w:rsidRPr="004237A5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4237A5">
              <w:rPr>
                <w:color w:val="000000" w:themeColor="text1"/>
                <w:sz w:val="24"/>
                <w:szCs w:val="24"/>
              </w:rPr>
              <w:t>), kālijs (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K</w:t>
            </w:r>
            <w:r w:rsidR="00192DD4" w:rsidRPr="004237A5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O</w:t>
            </w:r>
            <w:r w:rsidRPr="004237A5">
              <w:rPr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paraugs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B76AF0" w:rsidP="00B76AF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1,45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B76AF0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1,75</w:t>
            </w: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39.2.2.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papildus par citiem agroķīmiskajiem rādītājiem (apmaiņas magnijs (Mg), kalcijs (Ca), sērs (S-SO</w:t>
            </w:r>
            <w:r w:rsidRPr="004237A5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4237A5">
              <w:rPr>
                <w:color w:val="000000" w:themeColor="text1"/>
                <w:sz w:val="24"/>
                <w:szCs w:val="24"/>
              </w:rPr>
              <w:t>), cinks (Zn), mangāns (Mn), bors (B), varš (Cu))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elements</w:t>
            </w:r>
            <w:r w:rsidRPr="004237A5">
              <w:rPr>
                <w:color w:val="000000" w:themeColor="text1"/>
                <w:sz w:val="24"/>
                <w:szCs w:val="24"/>
              </w:rPr>
              <w:br/>
              <w:t>1 paraugam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B76AF0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B76AF0" w:rsidP="00B76AF0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0,45</w:t>
            </w:r>
          </w:p>
        </w:tc>
      </w:tr>
      <w:tr w:rsidR="00F97388" w:rsidRPr="004237A5" w:rsidTr="00DC5945">
        <w:tc>
          <w:tcPr>
            <w:tcW w:w="1266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39.3.</w:t>
            </w:r>
          </w:p>
        </w:tc>
        <w:tc>
          <w:tcPr>
            <w:tcW w:w="305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Lauka agroķīmisko rādītāju vidējo svērto vērtību aprēķins </w:t>
            </w:r>
          </w:p>
        </w:tc>
        <w:tc>
          <w:tcPr>
            <w:tcW w:w="1668" w:type="dxa"/>
            <w:gridSpan w:val="2"/>
            <w:vAlign w:val="center"/>
          </w:tcPr>
          <w:p w:rsidR="00F97388" w:rsidRPr="004237A5" w:rsidRDefault="00F97388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laukam</w:t>
            </w:r>
          </w:p>
        </w:tc>
        <w:tc>
          <w:tcPr>
            <w:tcW w:w="1276" w:type="dxa"/>
            <w:gridSpan w:val="2"/>
            <w:vAlign w:val="center"/>
          </w:tcPr>
          <w:p w:rsidR="00F97388" w:rsidRPr="004237A5" w:rsidRDefault="00B76AF0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193" w:type="dxa"/>
            <w:gridSpan w:val="2"/>
            <w:vAlign w:val="center"/>
          </w:tcPr>
          <w:p w:rsidR="00F97388" w:rsidRPr="004237A5" w:rsidRDefault="00B76AF0" w:rsidP="00F9738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1259" w:type="dxa"/>
            <w:gridSpan w:val="3"/>
            <w:vAlign w:val="center"/>
          </w:tcPr>
          <w:p w:rsidR="00F97388" w:rsidRPr="004237A5" w:rsidRDefault="00F97388" w:rsidP="007C52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1,20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Digitālās augšņu agroķīmiskās kartes </w:t>
            </w: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sagatavošana un augšņu agroķīmiskās izpētes materiālu noformēšana: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40.1.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neiekļaujot GPS gājiena grafisku attēlojumu: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ortofotokartē, izmantojot dažādus grafiskos paņēmienus, norāda augsnes pH līmeni un augiem izmantojamā fosfora un kālija saturu: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40.1.1.1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nepārsniedz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1,61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līdz 40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1,05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1,27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40 līdz 60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1,15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60 līdz 100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1,02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40.1.1.5.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0,68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0,82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bez ortofotokartes, izmantojot dažādus grafiskos paņēmienus, norāda augsnes pH līmeni un augiem izmantojamā fosfora un kālija saturu: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nepārsniedz </w:t>
            </w:r>
            <w:r w:rsidRPr="004237A5">
              <w:rPr>
                <w:color w:val="000000" w:themeColor="text1"/>
                <w:sz w:val="24"/>
                <w:szCs w:val="24"/>
              </w:rPr>
              <w:t>20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1,19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1,44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20 līdz 40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0,94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1,14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40 līdz 60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60 līdz 100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0,91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40.1.2.5.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0,74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iekļaujot GPS gājiena grafisku attēlojumu: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ortofotokartē, izmantojot dažādus grafiskos paņēmienus, norāda augsnes pH līmeni, augsnes skābuma pakāpi un augiem izmantojamā fosfora un kālija saturu: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40.2.1.1.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nepārsniedz </w:t>
            </w:r>
            <w:r w:rsidRPr="004237A5">
              <w:rPr>
                <w:color w:val="000000" w:themeColor="text1"/>
                <w:sz w:val="24"/>
                <w:szCs w:val="24"/>
              </w:rPr>
              <w:t>20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1,73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2,09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40.2.1.2.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20 līdz 40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1,36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1,65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lastRenderedPageBreak/>
              <w:t>40.2.1.3.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40 līdz 60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1,24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1,50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40.2.1.4.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60 līdz 100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1,33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40.2.1.5.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1,08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bez ortofotokartes, izmantojot dažādus grafiskos paņēmienus, norāda augsnes pH līmeni un augiem izmantojamā fosfora un kālija saturu: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>nepārsniedz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1,55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1,88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20 līdz 40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1,48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</w:t>
            </w:r>
            <w:r w:rsidR="00192DD4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="0042769F" w:rsidRPr="004237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37A5">
              <w:rPr>
                <w:color w:val="000000" w:themeColor="text1"/>
                <w:sz w:val="24"/>
                <w:szCs w:val="24"/>
              </w:rPr>
              <w:t>40 līdz 60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1,34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 xml:space="preserve">ja apsekojamā LIZ platība ir </w:t>
            </w:r>
            <w:r w:rsidR="00BB1F68" w:rsidRPr="004237A5">
              <w:rPr>
                <w:color w:val="000000" w:themeColor="text1"/>
                <w:sz w:val="24"/>
                <w:szCs w:val="24"/>
              </w:rPr>
              <w:t>virs</w:t>
            </w:r>
            <w:r w:rsidRPr="004237A5">
              <w:rPr>
                <w:color w:val="000000" w:themeColor="text1"/>
                <w:sz w:val="24"/>
                <w:szCs w:val="24"/>
              </w:rPr>
              <w:t xml:space="preserve"> 60 līdz 100 ha (ieskaitot)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1,19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40.2.2.5.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ja apsekojamā LIZ platība ir lielāka par 100 ha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ha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0,79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0,96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augšņu agroķīmiskās izpētes lietas dublikāta sagatavošana un izsniegšana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augsnes agroķīmiskās izpētes lietas dublikāts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12,40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2,60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DC5945" w:rsidRPr="004237A5" w:rsidTr="00FC1DDC">
        <w:trPr>
          <w:gridBefore w:val="1"/>
          <w:gridAfter w:val="1"/>
          <w:wBefore w:w="38" w:type="dxa"/>
          <w:wAfter w:w="42" w:type="dxa"/>
        </w:trPr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40.4.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Paraugu ņemšanas elementārkontūru, el</w:t>
            </w:r>
            <w:r w:rsidR="00B3150A" w:rsidRPr="004237A5">
              <w:rPr>
                <w:color w:val="000000" w:themeColor="text1"/>
                <w:sz w:val="24"/>
                <w:szCs w:val="24"/>
              </w:rPr>
              <w:t>e</w:t>
            </w:r>
            <w:r w:rsidRPr="004237A5">
              <w:rPr>
                <w:color w:val="000000" w:themeColor="text1"/>
                <w:sz w:val="24"/>
                <w:szCs w:val="24"/>
              </w:rPr>
              <w:t>mentārkontūru viduspunktu datu faila sagatavošana .shp formātā.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fails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16,53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3,47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945" w:rsidRPr="004237A5" w:rsidRDefault="00DC5945" w:rsidP="00DC5945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20,00”</w:t>
            </w:r>
          </w:p>
        </w:tc>
      </w:tr>
    </w:tbl>
    <w:p w:rsidR="00A73DD4" w:rsidRPr="004237A5" w:rsidRDefault="00A73DD4" w:rsidP="0030269A">
      <w:pPr>
        <w:widowControl w:val="0"/>
        <w:jc w:val="both"/>
        <w:rPr>
          <w:color w:val="000000" w:themeColor="text1"/>
          <w:sz w:val="24"/>
          <w:szCs w:val="24"/>
        </w:rPr>
      </w:pPr>
    </w:p>
    <w:p w:rsidR="00F97388" w:rsidRPr="004237A5" w:rsidRDefault="00FC1DDC" w:rsidP="00FC1DDC">
      <w:pPr>
        <w:pStyle w:val="Sarakstarindkopa"/>
        <w:numPr>
          <w:ilvl w:val="1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i</w:t>
      </w:r>
      <w:r w:rsidR="00F97388" w:rsidRPr="004237A5">
        <w:rPr>
          <w:color w:val="000000" w:themeColor="text1"/>
          <w:szCs w:val="28"/>
        </w:rPr>
        <w:t xml:space="preserve">zteikt </w:t>
      </w:r>
      <w:r w:rsidR="007C5235" w:rsidRPr="004237A5">
        <w:rPr>
          <w:color w:val="000000" w:themeColor="text1"/>
          <w:szCs w:val="28"/>
        </w:rPr>
        <w:t xml:space="preserve">pielikuma </w:t>
      </w:r>
      <w:r w:rsidR="00F97388" w:rsidRPr="004237A5">
        <w:rPr>
          <w:color w:val="000000" w:themeColor="text1"/>
          <w:szCs w:val="28"/>
        </w:rPr>
        <w:t xml:space="preserve">69.punktu šādā redakcijā:  </w:t>
      </w:r>
    </w:p>
    <w:p w:rsidR="00F97388" w:rsidRPr="004237A5" w:rsidRDefault="00F97388" w:rsidP="00F97388">
      <w:pPr>
        <w:pStyle w:val="Sarakstarindkopa"/>
        <w:ind w:left="0"/>
        <w:rPr>
          <w:color w:val="000000" w:themeColor="text1"/>
          <w:szCs w:val="2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552"/>
        <w:gridCol w:w="1559"/>
        <w:gridCol w:w="1134"/>
        <w:gridCol w:w="1276"/>
        <w:gridCol w:w="1275"/>
      </w:tblGrid>
      <w:tr w:rsidR="00FC1DDC" w:rsidRPr="004237A5" w:rsidTr="00FC1DD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„69.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Novērtējuma sagatavošana 67. un 68.punktā minēto atļauju atkārtotai izsniegšanai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pStyle w:val="tvhtml1"/>
              <w:spacing w:before="0" w:before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5">
              <w:rPr>
                <w:rStyle w:val="tvhtml2"/>
                <w:rFonts w:ascii="Times New Roman" w:hAnsi="Times New Roman"/>
                <w:color w:val="000000" w:themeColor="text1"/>
                <w:sz w:val="24"/>
                <w:szCs w:val="24"/>
              </w:rPr>
              <w:t>augu aizsardzības līdzeklis</w:t>
            </w:r>
          </w:p>
          <w:p w:rsidR="00FC1DDC" w:rsidRPr="004237A5" w:rsidRDefault="00FC1DDC" w:rsidP="00FC1D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pStyle w:val="tvhtml1"/>
              <w:spacing w:before="0" w:beforeAutospacing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5">
              <w:rPr>
                <w:rStyle w:val="tvhtml2"/>
                <w:rFonts w:ascii="Times New Roman" w:hAnsi="Times New Roman"/>
                <w:color w:val="000000" w:themeColor="text1"/>
                <w:sz w:val="24"/>
                <w:szCs w:val="24"/>
              </w:rPr>
              <w:t>50,00</w:t>
            </w:r>
          </w:p>
          <w:p w:rsidR="00FC1DDC" w:rsidRPr="004237A5" w:rsidRDefault="00FC1DDC" w:rsidP="00FC1D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0,00*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DDC" w:rsidRPr="004237A5" w:rsidRDefault="00FC1DDC" w:rsidP="00FC1DDC">
            <w:pPr>
              <w:pStyle w:val="tvhtml1"/>
              <w:spacing w:before="0" w:before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5">
              <w:rPr>
                <w:rStyle w:val="tvhtml2"/>
                <w:rFonts w:ascii="Times New Roman" w:hAnsi="Times New Roman"/>
                <w:color w:val="000000" w:themeColor="text1"/>
                <w:sz w:val="24"/>
                <w:szCs w:val="24"/>
              </w:rPr>
              <w:t>50,00</w:t>
            </w:r>
            <w:r w:rsidRPr="0042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F13CEF" w:rsidRPr="004237A5" w:rsidRDefault="00F13CEF" w:rsidP="00F97388">
      <w:pPr>
        <w:pStyle w:val="Sarakstarindkopa"/>
        <w:ind w:left="0"/>
        <w:rPr>
          <w:color w:val="000000" w:themeColor="text1"/>
          <w:szCs w:val="28"/>
        </w:rPr>
      </w:pPr>
    </w:p>
    <w:p w:rsidR="00F13CEF" w:rsidRPr="004237A5" w:rsidRDefault="00FC1DDC" w:rsidP="00FC1DDC">
      <w:pPr>
        <w:pStyle w:val="Sarakstarindkopa"/>
        <w:numPr>
          <w:ilvl w:val="1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p</w:t>
      </w:r>
      <w:r w:rsidR="00F13CEF" w:rsidRPr="004237A5">
        <w:rPr>
          <w:color w:val="000000" w:themeColor="text1"/>
          <w:szCs w:val="28"/>
        </w:rPr>
        <w:t>apildināt pielikumu ar 10</w:t>
      </w:r>
      <w:r w:rsidRPr="004237A5">
        <w:rPr>
          <w:color w:val="000000" w:themeColor="text1"/>
          <w:szCs w:val="28"/>
        </w:rPr>
        <w:t>8</w:t>
      </w:r>
      <w:r w:rsidR="00F13CEF" w:rsidRPr="004237A5">
        <w:rPr>
          <w:color w:val="000000" w:themeColor="text1"/>
          <w:szCs w:val="28"/>
        </w:rPr>
        <w:t>.punktu šādā redakcijā:</w:t>
      </w:r>
    </w:p>
    <w:p w:rsidR="00F13CEF" w:rsidRPr="004237A5" w:rsidRDefault="00F13CEF" w:rsidP="00F13CEF">
      <w:pPr>
        <w:pStyle w:val="Sarakstarindkopa"/>
        <w:ind w:left="1211"/>
        <w:rPr>
          <w:color w:val="000000" w:themeColor="text1"/>
          <w:szCs w:val="28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552"/>
        <w:gridCol w:w="1559"/>
        <w:gridCol w:w="1134"/>
        <w:gridCol w:w="1276"/>
        <w:gridCol w:w="1275"/>
      </w:tblGrid>
      <w:tr w:rsidR="00F13CEF" w:rsidRPr="004237A5" w:rsidTr="00F13C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C1DDC" w:rsidP="00FC1DD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„</w:t>
            </w:r>
            <w:r w:rsidR="00F13CEF" w:rsidRPr="004237A5">
              <w:rPr>
                <w:color w:val="000000" w:themeColor="text1"/>
                <w:sz w:val="24"/>
                <w:szCs w:val="24"/>
              </w:rPr>
              <w:t>10</w:t>
            </w:r>
            <w:r w:rsidRPr="004237A5">
              <w:rPr>
                <w:color w:val="000000" w:themeColor="text1"/>
                <w:sz w:val="24"/>
                <w:szCs w:val="24"/>
              </w:rPr>
              <w:t>8</w:t>
            </w:r>
            <w:r w:rsidR="00F13CEF" w:rsidRPr="004237A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13CEF">
            <w:pPr>
              <w:spacing w:line="276" w:lineRule="auto"/>
              <w:rPr>
                <w:iCs/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Dokumentu kopēšana (melnbalta) A4 formāts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13C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1 lapa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13C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13CEF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CEF" w:rsidRPr="004237A5" w:rsidRDefault="00F13C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37A5">
              <w:rPr>
                <w:color w:val="000000" w:themeColor="text1"/>
                <w:sz w:val="24"/>
                <w:szCs w:val="24"/>
              </w:rPr>
              <w:t>0,06”</w:t>
            </w:r>
          </w:p>
        </w:tc>
      </w:tr>
    </w:tbl>
    <w:p w:rsidR="00F13CEF" w:rsidRPr="004237A5" w:rsidRDefault="00F13CEF" w:rsidP="00F13CEF">
      <w:pPr>
        <w:pStyle w:val="Sarakstarindkopa"/>
        <w:ind w:left="1211"/>
        <w:rPr>
          <w:color w:val="000000" w:themeColor="text1"/>
          <w:szCs w:val="28"/>
        </w:rPr>
      </w:pPr>
    </w:p>
    <w:p w:rsidR="00907688" w:rsidRPr="004237A5" w:rsidRDefault="00907688" w:rsidP="00F13CEF">
      <w:pPr>
        <w:pStyle w:val="Sarakstarindkopa"/>
        <w:ind w:left="1211"/>
        <w:rPr>
          <w:color w:val="000000" w:themeColor="text1"/>
          <w:szCs w:val="28"/>
        </w:rPr>
      </w:pPr>
    </w:p>
    <w:p w:rsidR="00907688" w:rsidRPr="004237A5" w:rsidRDefault="00907688" w:rsidP="00F13CEF">
      <w:pPr>
        <w:pStyle w:val="Sarakstarindkopa"/>
        <w:ind w:left="1211"/>
        <w:rPr>
          <w:color w:val="000000" w:themeColor="text1"/>
          <w:szCs w:val="28"/>
        </w:rPr>
      </w:pPr>
    </w:p>
    <w:p w:rsidR="00FC67F7" w:rsidRPr="004237A5" w:rsidRDefault="00FC67F7" w:rsidP="00FC67F7">
      <w:pPr>
        <w:pStyle w:val="Sarakstarindkopa"/>
        <w:numPr>
          <w:ilvl w:val="1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izteikt pielikuma 1.piezīmi šādā redakcijā:</w:t>
      </w:r>
    </w:p>
    <w:p w:rsidR="00FC67F7" w:rsidRPr="004237A5" w:rsidRDefault="00FC67F7" w:rsidP="00FC67F7">
      <w:pPr>
        <w:pStyle w:val="Sarakstarindkopa"/>
        <w:spacing w:before="100" w:beforeAutospacing="1" w:after="100" w:afterAutospacing="1"/>
        <w:ind w:left="0"/>
        <w:rPr>
          <w:color w:val="000000" w:themeColor="text1"/>
          <w:szCs w:val="28"/>
          <w:lang w:eastAsia="lv-LV"/>
        </w:rPr>
      </w:pPr>
      <w:r w:rsidRPr="004237A5">
        <w:rPr>
          <w:color w:val="000000" w:themeColor="text1"/>
          <w:szCs w:val="28"/>
          <w:lang w:eastAsia="lv-LV"/>
        </w:rPr>
        <w:lastRenderedPageBreak/>
        <w:t xml:space="preserve">„1. * Saskaņā ar Pievienotās vērtības nodokļa likuma  </w:t>
      </w:r>
      <w:r w:rsidR="00293E43" w:rsidRPr="004237A5">
        <w:rPr>
          <w:color w:val="000000" w:themeColor="text1"/>
          <w:szCs w:val="28"/>
          <w:lang w:eastAsia="lv-LV"/>
        </w:rPr>
        <w:t>3</w:t>
      </w:r>
      <w:r w:rsidRPr="004237A5">
        <w:rPr>
          <w:color w:val="000000" w:themeColor="text1"/>
          <w:szCs w:val="28"/>
          <w:lang w:eastAsia="lv-LV"/>
        </w:rPr>
        <w:t xml:space="preserve">.panta </w:t>
      </w:r>
      <w:r w:rsidR="00293E43" w:rsidRPr="004237A5">
        <w:rPr>
          <w:color w:val="000000" w:themeColor="text1"/>
          <w:szCs w:val="28"/>
          <w:lang w:eastAsia="lv-LV"/>
        </w:rPr>
        <w:t>astoto</w:t>
      </w:r>
      <w:r w:rsidRPr="004237A5">
        <w:rPr>
          <w:color w:val="000000" w:themeColor="text1"/>
          <w:szCs w:val="28"/>
          <w:lang w:eastAsia="lv-LV"/>
        </w:rPr>
        <w:t xml:space="preserve"> daļu pievienotās vērtības nodokli nepiemēro.”</w:t>
      </w:r>
    </w:p>
    <w:p w:rsidR="00FC67F7" w:rsidRPr="004237A5" w:rsidRDefault="00FC67F7" w:rsidP="00FC67F7">
      <w:pPr>
        <w:pStyle w:val="Sarakstarindkopa"/>
        <w:ind w:left="1430"/>
        <w:rPr>
          <w:color w:val="000000" w:themeColor="text1"/>
          <w:szCs w:val="28"/>
        </w:rPr>
      </w:pPr>
    </w:p>
    <w:p w:rsidR="0030269A" w:rsidRPr="004237A5" w:rsidRDefault="007C5235" w:rsidP="00FC1DDC">
      <w:pPr>
        <w:pStyle w:val="Sarakstarindkopa"/>
        <w:numPr>
          <w:ilvl w:val="0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  <w:szCs w:val="28"/>
        </w:rPr>
        <w:t>Š</w:t>
      </w:r>
      <w:r w:rsidR="00FC1DDC" w:rsidRPr="004237A5">
        <w:rPr>
          <w:color w:val="000000" w:themeColor="text1"/>
          <w:szCs w:val="28"/>
        </w:rPr>
        <w:t>o noteikumu 1.2.apakšpunkts</w:t>
      </w:r>
      <w:r w:rsidR="00DB09AD" w:rsidRPr="004237A5">
        <w:rPr>
          <w:color w:val="000000" w:themeColor="text1"/>
          <w:szCs w:val="28"/>
        </w:rPr>
        <w:t xml:space="preserve"> </w:t>
      </w:r>
      <w:r w:rsidR="00DB09AD" w:rsidRPr="004237A5">
        <w:rPr>
          <w:color w:val="000000" w:themeColor="text1"/>
        </w:rPr>
        <w:t>stājas spēkā 2013.gada 1.janvārī.</w:t>
      </w:r>
    </w:p>
    <w:p w:rsidR="00E47984" w:rsidRPr="004237A5" w:rsidRDefault="00E47984" w:rsidP="00FC1DDC">
      <w:pPr>
        <w:pStyle w:val="Sarakstarindkopa"/>
        <w:numPr>
          <w:ilvl w:val="0"/>
          <w:numId w:val="3"/>
        </w:numPr>
        <w:rPr>
          <w:color w:val="000000" w:themeColor="text1"/>
          <w:szCs w:val="28"/>
        </w:rPr>
      </w:pPr>
      <w:r w:rsidRPr="004237A5">
        <w:rPr>
          <w:color w:val="000000" w:themeColor="text1"/>
        </w:rPr>
        <w:t xml:space="preserve">Šo noteikumu 1.8. apakšpunkts stājas spēkā vienlaicīgi ar </w:t>
      </w:r>
      <w:r w:rsidRPr="004237A5">
        <w:rPr>
          <w:color w:val="000000" w:themeColor="text1"/>
          <w:szCs w:val="28"/>
          <w:lang w:eastAsia="lv-LV"/>
        </w:rPr>
        <w:t>Pievienotās vērtības nodokļa likuma spēkā stāšanos.</w:t>
      </w:r>
    </w:p>
    <w:p w:rsidR="0030269A" w:rsidRPr="004237A5" w:rsidRDefault="0030269A" w:rsidP="007D4A7A">
      <w:pPr>
        <w:pStyle w:val="Sarakstarindkopa"/>
        <w:ind w:left="0"/>
        <w:rPr>
          <w:color w:val="000000" w:themeColor="text1"/>
          <w:szCs w:val="28"/>
        </w:rPr>
      </w:pPr>
    </w:p>
    <w:p w:rsidR="00A73DD4" w:rsidRPr="004237A5" w:rsidRDefault="00A73DD4" w:rsidP="00E221D8">
      <w:pPr>
        <w:widowControl w:val="0"/>
        <w:ind w:firstLine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73DD4" w:rsidRPr="004237A5" w:rsidRDefault="00A73DD4" w:rsidP="00E221D8">
      <w:pPr>
        <w:ind w:firstLine="720"/>
        <w:rPr>
          <w:color w:val="000000" w:themeColor="text1"/>
        </w:rPr>
      </w:pPr>
    </w:p>
    <w:p w:rsidR="00A73DD4" w:rsidRPr="004237A5" w:rsidRDefault="00A73DD4" w:rsidP="00E221D8">
      <w:pPr>
        <w:pStyle w:val="Virsraksts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 w:rsidRPr="004237A5">
        <w:rPr>
          <w:color w:val="000000" w:themeColor="text1"/>
          <w:lang w:val="lv-LV"/>
        </w:rPr>
        <w:t xml:space="preserve">Ministru prezidents                                      </w:t>
      </w:r>
      <w:r w:rsidRPr="004237A5">
        <w:rPr>
          <w:color w:val="000000" w:themeColor="text1"/>
          <w:lang w:val="lv-LV"/>
        </w:rPr>
        <w:tab/>
      </w:r>
      <w:r w:rsidRPr="004237A5">
        <w:rPr>
          <w:color w:val="000000" w:themeColor="text1"/>
          <w:lang w:val="lv-LV"/>
        </w:rPr>
        <w:tab/>
        <w:t>V.Dombrovskis</w:t>
      </w:r>
    </w:p>
    <w:p w:rsidR="00A73DD4" w:rsidRPr="004237A5" w:rsidRDefault="00A73DD4" w:rsidP="00E221D8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</w:p>
    <w:p w:rsidR="00A73DD4" w:rsidRPr="004237A5" w:rsidRDefault="00A73DD4" w:rsidP="00E221D8">
      <w:pPr>
        <w:ind w:firstLine="720"/>
        <w:rPr>
          <w:color w:val="000000" w:themeColor="text1"/>
        </w:rPr>
      </w:pPr>
    </w:p>
    <w:p w:rsidR="00A73DD4" w:rsidRPr="004237A5" w:rsidRDefault="00A73DD4" w:rsidP="00E221D8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  <w:r w:rsidRPr="004237A5">
        <w:rPr>
          <w:color w:val="000000" w:themeColor="text1"/>
          <w:lang w:val="lv-LV"/>
        </w:rPr>
        <w:t>Zemkopības ministre</w:t>
      </w:r>
      <w:r w:rsidRPr="004237A5">
        <w:rPr>
          <w:color w:val="000000" w:themeColor="text1"/>
          <w:lang w:val="lv-LV"/>
        </w:rPr>
        <w:tab/>
        <w:t>L.Straujuma</w:t>
      </w: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Cs w:val="28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Cs w:val="28"/>
        </w:rPr>
      </w:pPr>
    </w:p>
    <w:p w:rsidR="00A73DD4" w:rsidRPr="004237A5" w:rsidRDefault="00A73DD4" w:rsidP="00E221D8">
      <w:pPr>
        <w:rPr>
          <w:color w:val="000000" w:themeColor="text1"/>
          <w:sz w:val="2"/>
          <w:szCs w:val="2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907688" w:rsidRPr="004237A5" w:rsidRDefault="00907688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4237A5" w:rsidRP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4237A5" w:rsidRP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</w:p>
    <w:p w:rsid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2012.12.13. 11:30</w:t>
      </w:r>
    </w:p>
    <w:p w:rsidR="004237A5" w:rsidRPr="004237A5" w:rsidRDefault="004237A5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  <w:fldSimple w:instr=" NUMWORDS   \* MERGEFORMAT ">
        <w:r w:rsidRPr="004237A5">
          <w:rPr>
            <w:color w:val="000000" w:themeColor="text1"/>
            <w:sz w:val="20"/>
          </w:rPr>
          <w:t>967</w:t>
        </w:r>
      </w:fldSimple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  <w:r w:rsidRPr="004237A5">
        <w:rPr>
          <w:color w:val="000000" w:themeColor="text1"/>
          <w:sz w:val="20"/>
        </w:rPr>
        <w:t>K.Kjago</w:t>
      </w:r>
    </w:p>
    <w:p w:rsidR="00A73DD4" w:rsidRPr="004237A5" w:rsidRDefault="00A73DD4" w:rsidP="00E221D8">
      <w:pPr>
        <w:pStyle w:val="Pamattekstsaratkpi"/>
        <w:spacing w:after="0"/>
        <w:ind w:left="0"/>
        <w:rPr>
          <w:color w:val="000000" w:themeColor="text1"/>
          <w:sz w:val="20"/>
        </w:rPr>
      </w:pPr>
      <w:r w:rsidRPr="004237A5">
        <w:rPr>
          <w:color w:val="000000" w:themeColor="text1"/>
          <w:sz w:val="20"/>
        </w:rPr>
        <w:t>67027309, Kristine.Kjago@vaad.gov.lv</w:t>
      </w:r>
    </w:p>
    <w:p w:rsidR="00A73DD4" w:rsidRPr="004237A5" w:rsidRDefault="00A73DD4" w:rsidP="00E221D8">
      <w:pPr>
        <w:rPr>
          <w:color w:val="000000" w:themeColor="text1"/>
          <w:sz w:val="20"/>
        </w:rPr>
      </w:pPr>
    </w:p>
    <w:p w:rsidR="00A73DD4" w:rsidRPr="004237A5" w:rsidRDefault="00A73DD4" w:rsidP="00E221D8">
      <w:pPr>
        <w:rPr>
          <w:color w:val="000000" w:themeColor="text1"/>
        </w:rPr>
      </w:pPr>
    </w:p>
    <w:p w:rsidR="00A73DD4" w:rsidRPr="004237A5" w:rsidRDefault="00A73DD4">
      <w:pPr>
        <w:rPr>
          <w:color w:val="000000" w:themeColor="text1"/>
        </w:rPr>
      </w:pPr>
    </w:p>
    <w:sectPr w:rsidR="00A73DD4" w:rsidRPr="004237A5" w:rsidSect="004237A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CF" w:rsidRDefault="00F434CF">
      <w:r>
        <w:separator/>
      </w:r>
    </w:p>
  </w:endnote>
  <w:endnote w:type="continuationSeparator" w:id="0">
    <w:p w:rsidR="00F434CF" w:rsidRDefault="00F4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7" w:rsidRDefault="002A0667" w:rsidP="00D74A62">
    <w:pPr>
      <w:pStyle w:val="Kjene"/>
      <w:jc w:val="both"/>
    </w:pPr>
    <w:r w:rsidRPr="00EC7A37">
      <w:rPr>
        <w:sz w:val="20"/>
      </w:rPr>
      <w:t>ZM</w:t>
    </w:r>
    <w:r>
      <w:rPr>
        <w:sz w:val="20"/>
      </w:rPr>
      <w:t>Not</w:t>
    </w:r>
    <w:r w:rsidRPr="00EC7A37">
      <w:rPr>
        <w:sz w:val="20"/>
      </w:rPr>
      <w:t>_</w:t>
    </w:r>
    <w:r>
      <w:rPr>
        <w:sz w:val="20"/>
      </w:rPr>
      <w:t>191012_cenrad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12</w:t>
    </w:r>
    <w:r w:rsidRPr="00EC7A37">
      <w:rPr>
        <w:bCs/>
        <w:sz w:val="20"/>
      </w:rPr>
      <w:t xml:space="preserve">.gada </w:t>
    </w:r>
    <w:r>
      <w:rPr>
        <w:bCs/>
        <w:sz w:val="20"/>
      </w:rPr>
      <w:t>10.jūlija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7" w:rsidRDefault="002A0667" w:rsidP="007A44FB">
    <w:pPr>
      <w:pStyle w:val="Kjene"/>
      <w:jc w:val="both"/>
    </w:pPr>
    <w:r w:rsidRPr="00EC7A37">
      <w:rPr>
        <w:sz w:val="20"/>
      </w:rPr>
      <w:t>ZM</w:t>
    </w:r>
    <w:r>
      <w:rPr>
        <w:sz w:val="20"/>
      </w:rPr>
      <w:t>Not</w:t>
    </w:r>
    <w:r w:rsidRPr="00EC7A37">
      <w:rPr>
        <w:sz w:val="20"/>
      </w:rPr>
      <w:t>_</w:t>
    </w:r>
    <w:r>
      <w:rPr>
        <w:sz w:val="20"/>
      </w:rPr>
      <w:t>191012_cenrad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12</w:t>
    </w:r>
    <w:r w:rsidRPr="00EC7A37">
      <w:rPr>
        <w:bCs/>
        <w:sz w:val="20"/>
      </w:rPr>
      <w:t xml:space="preserve">.gada </w:t>
    </w:r>
    <w:r>
      <w:rPr>
        <w:bCs/>
        <w:sz w:val="20"/>
      </w:rPr>
      <w:t>10.jūlija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CF" w:rsidRDefault="00F434CF">
      <w:r>
        <w:separator/>
      </w:r>
    </w:p>
  </w:footnote>
  <w:footnote w:type="continuationSeparator" w:id="0">
    <w:p w:rsidR="00F434CF" w:rsidRDefault="00F4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7" w:rsidRDefault="009908B3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A066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A0667" w:rsidRDefault="002A066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7" w:rsidRPr="006D1812" w:rsidRDefault="009908B3" w:rsidP="00D74A62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D1812">
      <w:rPr>
        <w:rStyle w:val="Lappusesnumurs"/>
        <w:sz w:val="24"/>
        <w:szCs w:val="24"/>
      </w:rPr>
      <w:fldChar w:fldCharType="begin"/>
    </w:r>
    <w:r w:rsidR="002A0667" w:rsidRPr="006D1812">
      <w:rPr>
        <w:rStyle w:val="Lappusesnumurs"/>
        <w:sz w:val="24"/>
        <w:szCs w:val="24"/>
      </w:rPr>
      <w:instrText xml:space="preserve">PAGE  </w:instrText>
    </w:r>
    <w:r w:rsidRPr="006D1812">
      <w:rPr>
        <w:rStyle w:val="Lappusesnumurs"/>
        <w:sz w:val="24"/>
        <w:szCs w:val="24"/>
      </w:rPr>
      <w:fldChar w:fldCharType="separate"/>
    </w:r>
    <w:r w:rsidR="004237A5">
      <w:rPr>
        <w:rStyle w:val="Lappusesnumurs"/>
        <w:sz w:val="24"/>
        <w:szCs w:val="24"/>
      </w:rPr>
      <w:t>5</w:t>
    </w:r>
    <w:r w:rsidRPr="006D1812">
      <w:rPr>
        <w:rStyle w:val="Lappusesnumurs"/>
        <w:sz w:val="24"/>
        <w:szCs w:val="24"/>
      </w:rPr>
      <w:fldChar w:fldCharType="end"/>
    </w:r>
  </w:p>
  <w:p w:rsidR="002A0667" w:rsidRPr="006D1812" w:rsidRDefault="002A0667">
    <w:pPr>
      <w:pStyle w:val="Galve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B25D67"/>
    <w:multiLevelType w:val="hybridMultilevel"/>
    <w:tmpl w:val="FDB49476"/>
    <w:lvl w:ilvl="0" w:tplc="47EA3CE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>
    <w:nsid w:val="1B42630E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B42952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EA2381B"/>
    <w:multiLevelType w:val="multilevel"/>
    <w:tmpl w:val="BC6636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4920057C"/>
    <w:multiLevelType w:val="hybridMultilevel"/>
    <w:tmpl w:val="FDB49476"/>
    <w:lvl w:ilvl="0" w:tplc="47EA3CE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AE0142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21D8"/>
    <w:rsid w:val="000612C4"/>
    <w:rsid w:val="000939A8"/>
    <w:rsid w:val="00095479"/>
    <w:rsid w:val="000F6EA4"/>
    <w:rsid w:val="001258A1"/>
    <w:rsid w:val="00192DD4"/>
    <w:rsid w:val="001B5623"/>
    <w:rsid w:val="00252B38"/>
    <w:rsid w:val="00277374"/>
    <w:rsid w:val="00293E43"/>
    <w:rsid w:val="002A0667"/>
    <w:rsid w:val="0030269A"/>
    <w:rsid w:val="00311315"/>
    <w:rsid w:val="00354BFE"/>
    <w:rsid w:val="003656CD"/>
    <w:rsid w:val="00387B74"/>
    <w:rsid w:val="004237A5"/>
    <w:rsid w:val="0042769F"/>
    <w:rsid w:val="004632F7"/>
    <w:rsid w:val="00503880"/>
    <w:rsid w:val="00516873"/>
    <w:rsid w:val="005340A8"/>
    <w:rsid w:val="005B159E"/>
    <w:rsid w:val="005C7E7D"/>
    <w:rsid w:val="006141C3"/>
    <w:rsid w:val="006442F7"/>
    <w:rsid w:val="00660DD4"/>
    <w:rsid w:val="00670E91"/>
    <w:rsid w:val="006B2CC7"/>
    <w:rsid w:val="006D03CF"/>
    <w:rsid w:val="006D1812"/>
    <w:rsid w:val="00712EB0"/>
    <w:rsid w:val="00764C97"/>
    <w:rsid w:val="00776922"/>
    <w:rsid w:val="007A44FB"/>
    <w:rsid w:val="007C5235"/>
    <w:rsid w:val="007D4A7A"/>
    <w:rsid w:val="007F2D11"/>
    <w:rsid w:val="00834584"/>
    <w:rsid w:val="00837648"/>
    <w:rsid w:val="00840BD8"/>
    <w:rsid w:val="00876D11"/>
    <w:rsid w:val="0088076A"/>
    <w:rsid w:val="008C0C43"/>
    <w:rsid w:val="008C17A5"/>
    <w:rsid w:val="008E0043"/>
    <w:rsid w:val="008E01F9"/>
    <w:rsid w:val="008E34DB"/>
    <w:rsid w:val="00907688"/>
    <w:rsid w:val="009431F9"/>
    <w:rsid w:val="00963E5C"/>
    <w:rsid w:val="00964D69"/>
    <w:rsid w:val="00984328"/>
    <w:rsid w:val="009908B3"/>
    <w:rsid w:val="009A4222"/>
    <w:rsid w:val="009C4647"/>
    <w:rsid w:val="009E571C"/>
    <w:rsid w:val="00A031A0"/>
    <w:rsid w:val="00A73DD4"/>
    <w:rsid w:val="00B159D3"/>
    <w:rsid w:val="00B3150A"/>
    <w:rsid w:val="00B76AF0"/>
    <w:rsid w:val="00BB0265"/>
    <w:rsid w:val="00BB1F68"/>
    <w:rsid w:val="00C06E26"/>
    <w:rsid w:val="00CC5E17"/>
    <w:rsid w:val="00CE2D3B"/>
    <w:rsid w:val="00D45368"/>
    <w:rsid w:val="00D74A62"/>
    <w:rsid w:val="00D934FB"/>
    <w:rsid w:val="00DB09AD"/>
    <w:rsid w:val="00DB63D0"/>
    <w:rsid w:val="00DB72F6"/>
    <w:rsid w:val="00DC5945"/>
    <w:rsid w:val="00DD4C47"/>
    <w:rsid w:val="00E1000D"/>
    <w:rsid w:val="00E1076F"/>
    <w:rsid w:val="00E221D8"/>
    <w:rsid w:val="00E27920"/>
    <w:rsid w:val="00E47984"/>
    <w:rsid w:val="00E6299F"/>
    <w:rsid w:val="00E75FC7"/>
    <w:rsid w:val="00EC7A37"/>
    <w:rsid w:val="00F00B1C"/>
    <w:rsid w:val="00F13957"/>
    <w:rsid w:val="00F13CEF"/>
    <w:rsid w:val="00F434CF"/>
    <w:rsid w:val="00F71DF7"/>
    <w:rsid w:val="00F97388"/>
    <w:rsid w:val="00FC1DDC"/>
    <w:rsid w:val="00FC67F7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60DD4"/>
    <w:rPr>
      <w:rFonts w:ascii="Times New Roman" w:eastAsia="Times New Roman" w:hAnsi="Times New Roman"/>
      <w:noProof/>
      <w:sz w:val="28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uiPriority w:val="99"/>
    <w:rsid w:val="00E221D8"/>
    <w:rPr>
      <w:rFonts w:cs="Times New Roman"/>
    </w:rPr>
  </w:style>
  <w:style w:type="paragraph" w:styleId="ParastaisWeb">
    <w:name w:val="Normal (Web)"/>
    <w:basedOn w:val="Parastai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ai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EmailStyle301">
    <w:name w:val="EmailStyle301"/>
    <w:uiPriority w:val="99"/>
    <w:semiHidden/>
    <w:rsid w:val="00354BFE"/>
    <w:rPr>
      <w:rFonts w:ascii="Arial" w:hAnsi="Arial" w:cs="Arial"/>
      <w:color w:val="000080"/>
      <w:sz w:val="20"/>
      <w:szCs w:val="20"/>
    </w:rPr>
  </w:style>
  <w:style w:type="table" w:styleId="Reatabula">
    <w:name w:val="Table Grid"/>
    <w:basedOn w:val="Parastatabula"/>
    <w:locked/>
    <w:rsid w:val="00DC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1">
    <w:name w:val="tv_html1"/>
    <w:basedOn w:val="Parastais"/>
    <w:rsid w:val="00DC5945"/>
    <w:pPr>
      <w:spacing w:before="100" w:beforeAutospacing="1" w:line="360" w:lineRule="auto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tvhtml2">
    <w:name w:val="tv_html2"/>
    <w:basedOn w:val="Noklusjumarindkopasfonts"/>
    <w:rsid w:val="00FC1DDC"/>
    <w:rPr>
      <w:rFonts w:ascii="Verdana" w:hAnsi="Verdana" w:hint="default"/>
      <w:sz w:val="18"/>
      <w:szCs w:val="18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76D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6D11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D4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EmailStyle301">
    <w:name w:val="EmailStyle301"/>
    <w:uiPriority w:val="99"/>
    <w:semiHidden/>
    <w:rsid w:val="00354BFE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locked/>
    <w:rsid w:val="00DC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1">
    <w:name w:val="tv_html1"/>
    <w:basedOn w:val="Normal"/>
    <w:rsid w:val="00DC5945"/>
    <w:pPr>
      <w:spacing w:before="100" w:beforeAutospacing="1" w:line="360" w:lineRule="auto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tvhtml2">
    <w:name w:val="tv_html2"/>
    <w:basedOn w:val="DefaultParagraphFont"/>
    <w:rsid w:val="00FC1DDC"/>
    <w:rPr>
      <w:rFonts w:ascii="Verdana" w:hAnsi="Verdana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11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ECEA-6850-4D8F-A3AB-C367047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1005</Words>
  <Characters>5714</Characters>
  <Application>Microsoft Office Word</Application>
  <DocSecurity>0</DocSecurity>
  <Lines>571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vaad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5</cp:revision>
  <dcterms:created xsi:type="dcterms:W3CDTF">2012-11-28T14:45:00Z</dcterms:created>
  <dcterms:modified xsi:type="dcterms:W3CDTF">2012-12-13T09:30:00Z</dcterms:modified>
</cp:coreProperties>
</file>