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93F" w:rsidRPr="003F2616" w:rsidRDefault="00FD279E" w:rsidP="009D28F1">
      <w:pPr>
        <w:pStyle w:val="Parasts1"/>
        <w:jc w:val="both"/>
        <w:rPr>
          <w:color w:val="000000"/>
          <w:sz w:val="28"/>
          <w:szCs w:val="28"/>
          <w:lang w:val="lv-LV"/>
        </w:rPr>
      </w:pPr>
      <w:r>
        <w:rPr>
          <w:color w:val="000000"/>
          <w:sz w:val="28"/>
          <w:szCs w:val="28"/>
          <w:lang w:val="lv-LV"/>
        </w:rPr>
        <w:t>2013</w:t>
      </w:r>
      <w:r w:rsidR="00E8693F" w:rsidRPr="003F2616">
        <w:rPr>
          <w:color w:val="000000"/>
          <w:sz w:val="28"/>
          <w:szCs w:val="28"/>
          <w:lang w:val="lv-LV"/>
        </w:rPr>
        <w:t>.gada</w:t>
      </w:r>
      <w:r w:rsidR="00E8693F" w:rsidRPr="003F2616">
        <w:rPr>
          <w:color w:val="000000"/>
          <w:sz w:val="28"/>
          <w:szCs w:val="28"/>
          <w:lang w:val="lv-LV"/>
        </w:rPr>
        <w:tab/>
      </w:r>
      <w:r w:rsidR="00E8693F" w:rsidRPr="003F2616">
        <w:rPr>
          <w:color w:val="000000"/>
          <w:sz w:val="28"/>
          <w:szCs w:val="28"/>
          <w:lang w:val="lv-LV"/>
        </w:rPr>
        <w:tab/>
      </w:r>
      <w:r w:rsidR="00E8693F" w:rsidRPr="003F2616">
        <w:rPr>
          <w:color w:val="000000"/>
          <w:sz w:val="28"/>
          <w:szCs w:val="28"/>
          <w:lang w:val="lv-LV"/>
        </w:rPr>
        <w:tab/>
      </w:r>
      <w:r w:rsidR="00E8693F" w:rsidRPr="003F2616">
        <w:rPr>
          <w:color w:val="000000"/>
          <w:sz w:val="28"/>
          <w:szCs w:val="28"/>
          <w:lang w:val="lv-LV"/>
        </w:rPr>
        <w:tab/>
      </w:r>
      <w:r w:rsidR="00E8693F" w:rsidRPr="003F2616">
        <w:rPr>
          <w:color w:val="000000"/>
          <w:sz w:val="28"/>
          <w:szCs w:val="28"/>
          <w:lang w:val="lv-LV"/>
        </w:rPr>
        <w:tab/>
      </w:r>
      <w:r w:rsidR="00E8693F" w:rsidRPr="003F2616">
        <w:rPr>
          <w:color w:val="000000"/>
          <w:sz w:val="28"/>
          <w:szCs w:val="28"/>
          <w:lang w:val="lv-LV"/>
        </w:rPr>
        <w:tab/>
      </w:r>
      <w:r w:rsidR="00E8693F" w:rsidRPr="003F2616">
        <w:rPr>
          <w:color w:val="000000"/>
          <w:sz w:val="28"/>
          <w:szCs w:val="28"/>
          <w:lang w:val="lv-LV"/>
        </w:rPr>
        <w:tab/>
      </w:r>
      <w:r w:rsidR="00E8693F" w:rsidRPr="003F2616">
        <w:rPr>
          <w:color w:val="000000"/>
          <w:sz w:val="28"/>
          <w:szCs w:val="28"/>
          <w:lang w:val="lv-LV"/>
        </w:rPr>
        <w:tab/>
        <w:t>Noteikumi Nr.</w:t>
      </w:r>
    </w:p>
    <w:p w:rsidR="00E8693F" w:rsidRPr="003F2616" w:rsidRDefault="00E8693F" w:rsidP="007B29B8">
      <w:pPr>
        <w:pStyle w:val="Virsraksts1"/>
        <w:keepNext w:val="0"/>
        <w:widowControl w:val="0"/>
        <w:rPr>
          <w:b w:val="0"/>
          <w:color w:val="000000"/>
          <w:szCs w:val="28"/>
          <w:lang w:val="lv-LV"/>
        </w:rPr>
      </w:pPr>
      <w:r w:rsidRPr="003F2616">
        <w:rPr>
          <w:b w:val="0"/>
          <w:color w:val="000000"/>
          <w:szCs w:val="28"/>
          <w:lang w:val="lv-LV"/>
        </w:rPr>
        <w:t>Rīgā</w:t>
      </w:r>
      <w:r w:rsidRPr="003F2616">
        <w:rPr>
          <w:b w:val="0"/>
          <w:color w:val="000000"/>
          <w:szCs w:val="28"/>
          <w:lang w:val="lv-LV"/>
        </w:rPr>
        <w:tab/>
      </w:r>
      <w:r w:rsidRPr="003F2616">
        <w:rPr>
          <w:b w:val="0"/>
          <w:color w:val="000000"/>
          <w:szCs w:val="28"/>
          <w:lang w:val="lv-LV"/>
        </w:rPr>
        <w:tab/>
      </w:r>
      <w:r w:rsidRPr="003F2616">
        <w:rPr>
          <w:b w:val="0"/>
          <w:color w:val="000000"/>
          <w:szCs w:val="28"/>
          <w:lang w:val="lv-LV"/>
        </w:rPr>
        <w:tab/>
      </w:r>
      <w:r w:rsidRPr="003F2616">
        <w:rPr>
          <w:b w:val="0"/>
          <w:color w:val="000000"/>
          <w:szCs w:val="28"/>
          <w:lang w:val="lv-LV"/>
        </w:rPr>
        <w:tab/>
      </w:r>
      <w:r w:rsidRPr="003F2616">
        <w:rPr>
          <w:b w:val="0"/>
          <w:color w:val="000000"/>
          <w:szCs w:val="28"/>
          <w:lang w:val="lv-LV"/>
        </w:rPr>
        <w:tab/>
      </w:r>
      <w:r w:rsidRPr="003F2616">
        <w:rPr>
          <w:b w:val="0"/>
          <w:color w:val="000000"/>
          <w:szCs w:val="28"/>
          <w:lang w:val="lv-LV"/>
        </w:rPr>
        <w:tab/>
      </w:r>
      <w:r w:rsidRPr="003F2616">
        <w:rPr>
          <w:b w:val="0"/>
          <w:color w:val="000000"/>
          <w:szCs w:val="28"/>
          <w:lang w:val="lv-LV"/>
        </w:rPr>
        <w:tab/>
      </w:r>
      <w:r w:rsidRPr="003F2616">
        <w:rPr>
          <w:b w:val="0"/>
          <w:color w:val="000000"/>
          <w:szCs w:val="28"/>
          <w:lang w:val="lv-LV"/>
        </w:rPr>
        <w:tab/>
      </w:r>
      <w:r w:rsidRPr="003F2616">
        <w:rPr>
          <w:b w:val="0"/>
          <w:color w:val="000000"/>
          <w:szCs w:val="28"/>
          <w:lang w:val="lv-LV"/>
        </w:rPr>
        <w:tab/>
      </w:r>
      <w:r w:rsidRPr="003F2616">
        <w:rPr>
          <w:b w:val="0"/>
          <w:color w:val="000000"/>
          <w:szCs w:val="28"/>
          <w:lang w:val="lv-LV"/>
        </w:rPr>
        <w:tab/>
        <w:t>(prot. Nr.</w:t>
      </w:r>
      <w:r w:rsidRPr="003F2616">
        <w:rPr>
          <w:b w:val="0"/>
          <w:color w:val="000000"/>
          <w:szCs w:val="28"/>
          <w:lang w:val="lv-LV"/>
        </w:rPr>
        <w:tab/>
        <w:t>.§)</w:t>
      </w:r>
    </w:p>
    <w:p w:rsidR="00E8693F" w:rsidRPr="003F2616" w:rsidRDefault="00E8693F" w:rsidP="007B29B8">
      <w:pPr>
        <w:pStyle w:val="Virsraksts1"/>
        <w:keepNext w:val="0"/>
        <w:widowControl w:val="0"/>
        <w:rPr>
          <w:b w:val="0"/>
          <w:noProof/>
          <w:color w:val="000000"/>
          <w:lang w:val="lv-LV"/>
        </w:rPr>
      </w:pPr>
    </w:p>
    <w:p w:rsidR="00E8693F" w:rsidRPr="003F2616" w:rsidRDefault="00E8693F" w:rsidP="007B29B8">
      <w:pPr>
        <w:pStyle w:val="Virsraksts1"/>
        <w:keepNext w:val="0"/>
        <w:widowControl w:val="0"/>
        <w:jc w:val="center"/>
        <w:rPr>
          <w:noProof/>
          <w:color w:val="000000"/>
          <w:lang w:val="lv-LV"/>
        </w:rPr>
      </w:pPr>
      <w:r w:rsidRPr="003F2616">
        <w:rPr>
          <w:color w:val="000000"/>
          <w:szCs w:val="28"/>
          <w:lang w:val="lv-LV"/>
        </w:rPr>
        <w:t>Grozījumi Ministru kabineta 2006.gada 27.jūnija noteikumos Nr.535 „Lauksaimniecībā vai mežsaimniecībā izmantojamo traktoru, piekabju un to sastāvdaļu atbilstības novērtēšanas noteikumi”</w:t>
      </w:r>
    </w:p>
    <w:p w:rsidR="00E8693F" w:rsidRPr="003F2616" w:rsidRDefault="00E8693F" w:rsidP="00A879CD">
      <w:pPr>
        <w:pStyle w:val="Parasts1"/>
        <w:rPr>
          <w:color w:val="000000"/>
          <w:sz w:val="28"/>
          <w:szCs w:val="28"/>
          <w:lang w:val="lv-LV"/>
        </w:rPr>
      </w:pPr>
    </w:p>
    <w:p w:rsidR="00E8693F" w:rsidRPr="003F2616" w:rsidRDefault="00E8693F" w:rsidP="00F91480">
      <w:pPr>
        <w:pStyle w:val="Parasts1"/>
        <w:jc w:val="right"/>
        <w:rPr>
          <w:iCs/>
          <w:color w:val="000000"/>
          <w:sz w:val="28"/>
          <w:szCs w:val="28"/>
          <w:lang w:val="lv-LV"/>
        </w:rPr>
      </w:pPr>
      <w:r w:rsidRPr="003F2616">
        <w:rPr>
          <w:iCs/>
          <w:color w:val="000000"/>
          <w:sz w:val="28"/>
          <w:szCs w:val="28"/>
          <w:lang w:val="lv-LV"/>
        </w:rPr>
        <w:t>Izdoti saskaņā ar</w:t>
      </w:r>
    </w:p>
    <w:p w:rsidR="00E8693F" w:rsidRPr="003F2616" w:rsidRDefault="00E8693F" w:rsidP="007046EE">
      <w:pPr>
        <w:pStyle w:val="Parasts1"/>
        <w:jc w:val="right"/>
        <w:rPr>
          <w:iCs/>
          <w:color w:val="000000"/>
          <w:sz w:val="28"/>
          <w:szCs w:val="28"/>
          <w:lang w:val="lv-LV"/>
        </w:rPr>
      </w:pPr>
      <w:r w:rsidRPr="003F2616">
        <w:rPr>
          <w:iCs/>
          <w:color w:val="000000"/>
          <w:sz w:val="28"/>
          <w:szCs w:val="28"/>
          <w:lang w:val="lv-LV"/>
        </w:rPr>
        <w:t>Ceļu satiksmes likuma</w:t>
      </w:r>
    </w:p>
    <w:p w:rsidR="00E8693F" w:rsidRPr="003F2616" w:rsidRDefault="00E8693F" w:rsidP="007046EE">
      <w:pPr>
        <w:pStyle w:val="Parasts1"/>
        <w:jc w:val="right"/>
        <w:rPr>
          <w:iCs/>
          <w:color w:val="000000"/>
          <w:sz w:val="28"/>
          <w:szCs w:val="28"/>
          <w:lang w:val="lv-LV"/>
        </w:rPr>
      </w:pPr>
      <w:r w:rsidRPr="003F2616">
        <w:rPr>
          <w:color w:val="000000"/>
          <w:sz w:val="28"/>
          <w:lang w:val="lv-LV"/>
        </w:rPr>
        <w:t>15.</w:t>
      </w:r>
      <w:r w:rsidRPr="003F2616">
        <w:rPr>
          <w:color w:val="000000"/>
          <w:sz w:val="28"/>
          <w:vertAlign w:val="superscript"/>
          <w:lang w:val="lv-LV"/>
        </w:rPr>
        <w:t>1</w:t>
      </w:r>
      <w:r w:rsidRPr="003F2616">
        <w:rPr>
          <w:color w:val="000000"/>
          <w:vertAlign w:val="superscript"/>
          <w:lang w:val="lv-LV"/>
        </w:rPr>
        <w:t xml:space="preserve"> </w:t>
      </w:r>
      <w:r w:rsidRPr="003F2616">
        <w:rPr>
          <w:iCs/>
          <w:color w:val="000000"/>
          <w:sz w:val="28"/>
          <w:szCs w:val="28"/>
          <w:lang w:val="lv-LV"/>
        </w:rPr>
        <w:t>panta ceturto daļu</w:t>
      </w:r>
    </w:p>
    <w:p w:rsidR="00E8693F" w:rsidRPr="003F2616" w:rsidRDefault="00E8693F">
      <w:pPr>
        <w:pStyle w:val="Parasts1"/>
        <w:jc w:val="both"/>
        <w:rPr>
          <w:color w:val="000000"/>
          <w:sz w:val="28"/>
          <w:szCs w:val="28"/>
          <w:lang w:val="lv-LV"/>
        </w:rPr>
      </w:pPr>
    </w:p>
    <w:p w:rsidR="00E8693F" w:rsidRPr="003F2616" w:rsidRDefault="00E8693F" w:rsidP="003F2616">
      <w:pPr>
        <w:pStyle w:val="Parasts1"/>
        <w:ind w:firstLine="720"/>
        <w:jc w:val="both"/>
        <w:rPr>
          <w:color w:val="000000"/>
          <w:sz w:val="28"/>
          <w:szCs w:val="28"/>
          <w:lang w:val="lv-LV"/>
        </w:rPr>
      </w:pPr>
      <w:r w:rsidRPr="003F2616">
        <w:rPr>
          <w:color w:val="000000"/>
          <w:sz w:val="28"/>
          <w:szCs w:val="28"/>
          <w:lang w:val="lv-LV"/>
        </w:rPr>
        <w:t>1. Izdarīt Ministru kabineta 2006.gada 27.jūnija noteikumos Nr.535 „Lauksaimniecībā vai mežsaimniecībā izmantojamo traktoru, piekabju un to sastāvdaļu atbilstības novērtēšanas noteikumi”” (Latvijas Vēstnesis, 2006, 104.nr.; 2007, 37., 129.nr.; 2008, 106.nr.; 2009, 205.nr.; 2010, 105.nr.; 2011, 32.nr.; 2012, 48., 83.nr.) šādus grozījumus:</w:t>
      </w:r>
    </w:p>
    <w:p w:rsidR="00E8693F" w:rsidRPr="003F2616" w:rsidRDefault="00E8693F" w:rsidP="003F2616">
      <w:pPr>
        <w:pStyle w:val="Parasts1"/>
        <w:ind w:firstLine="720"/>
        <w:jc w:val="both"/>
        <w:rPr>
          <w:color w:val="000000"/>
          <w:sz w:val="28"/>
          <w:lang w:val="lv-LV"/>
        </w:rPr>
      </w:pPr>
    </w:p>
    <w:p w:rsidR="00E8693F" w:rsidRPr="003F2616" w:rsidRDefault="00E8693F" w:rsidP="003F2616">
      <w:pPr>
        <w:pStyle w:val="Parasts1"/>
        <w:ind w:firstLine="720"/>
        <w:jc w:val="both"/>
        <w:rPr>
          <w:color w:val="000000"/>
          <w:sz w:val="28"/>
          <w:szCs w:val="18"/>
          <w:lang w:val="lv-LV"/>
        </w:rPr>
      </w:pPr>
      <w:r w:rsidRPr="003F2616">
        <w:rPr>
          <w:color w:val="000000"/>
          <w:sz w:val="28"/>
          <w:szCs w:val="28"/>
          <w:lang w:val="lv-LV"/>
        </w:rPr>
        <w:t>1.1. </w:t>
      </w:r>
      <w:r w:rsidRPr="003F2616">
        <w:rPr>
          <w:rStyle w:val="st1"/>
          <w:bCs/>
          <w:color w:val="000000"/>
          <w:sz w:val="28"/>
          <w:szCs w:val="28"/>
          <w:lang w:val="lv-LV"/>
        </w:rPr>
        <w:t>aizstāt</w:t>
      </w:r>
      <w:r w:rsidRPr="003F2616">
        <w:rPr>
          <w:rStyle w:val="st1"/>
          <w:color w:val="000000"/>
          <w:sz w:val="28"/>
          <w:szCs w:val="28"/>
          <w:lang w:val="lv-LV"/>
        </w:rPr>
        <w:t xml:space="preserve"> visā </w:t>
      </w:r>
      <w:r w:rsidRPr="003F2616">
        <w:rPr>
          <w:rStyle w:val="st1"/>
          <w:bCs/>
          <w:color w:val="000000"/>
          <w:sz w:val="28"/>
          <w:szCs w:val="28"/>
          <w:lang w:val="lv-LV"/>
        </w:rPr>
        <w:t>tekstā vārdu</w:t>
      </w:r>
      <w:r w:rsidRPr="003F2616">
        <w:rPr>
          <w:rStyle w:val="st1"/>
          <w:color w:val="000000"/>
          <w:sz w:val="28"/>
          <w:szCs w:val="28"/>
          <w:lang w:val="lv-LV"/>
        </w:rPr>
        <w:t xml:space="preserve"> „centrs” (attiecīgā locījumā) ar </w:t>
      </w:r>
      <w:r w:rsidRPr="003F2616">
        <w:rPr>
          <w:rStyle w:val="st1"/>
          <w:bCs/>
          <w:color w:val="000000"/>
          <w:sz w:val="28"/>
          <w:szCs w:val="28"/>
          <w:lang w:val="lv-LV"/>
        </w:rPr>
        <w:t>vārdu</w:t>
      </w:r>
      <w:r w:rsidRPr="003F2616">
        <w:rPr>
          <w:rStyle w:val="st1"/>
          <w:color w:val="000000"/>
          <w:sz w:val="28"/>
          <w:szCs w:val="28"/>
          <w:lang w:val="lv-LV"/>
        </w:rPr>
        <w:t xml:space="preserve"> „tipa apstiprinātāja iestāde” (attiecīgā locījumā);</w:t>
      </w:r>
    </w:p>
    <w:p w:rsidR="00E8693F" w:rsidRPr="003F2616" w:rsidRDefault="00E8693F" w:rsidP="003F2616">
      <w:pPr>
        <w:pStyle w:val="Parasts1"/>
        <w:ind w:firstLine="720"/>
        <w:jc w:val="both"/>
        <w:rPr>
          <w:color w:val="000000"/>
          <w:sz w:val="28"/>
          <w:szCs w:val="28"/>
          <w:lang w:val="lv-LV"/>
        </w:rPr>
      </w:pPr>
    </w:p>
    <w:p w:rsidR="00E8693F" w:rsidRDefault="00E8693F" w:rsidP="003F2616">
      <w:pPr>
        <w:pStyle w:val="Parasts1"/>
        <w:ind w:firstLine="720"/>
        <w:jc w:val="both"/>
        <w:rPr>
          <w:color w:val="000000"/>
          <w:sz w:val="28"/>
          <w:szCs w:val="28"/>
          <w:lang w:val="lv-LV"/>
        </w:rPr>
      </w:pPr>
      <w:r w:rsidRPr="003F2616">
        <w:rPr>
          <w:color w:val="000000"/>
          <w:sz w:val="28"/>
          <w:szCs w:val="28"/>
          <w:lang w:val="lv-LV"/>
        </w:rPr>
        <w:t>1.2. aizstāt 3.3.apakšpunktā vārdus un skaitļus „LVS ISO 6814:2006 „Mežsaimniecības mašīnas. Pārvietojamās un pašgājējas mašīnas. Termini, definīcijas un klasifikācija” ar vārdiem un skaitļiem „LVS ISO 6814:2009 „Mežkopības mašīnas. Mobilās un pašgājējas mašīnas. Termini, definīcijas un klasificēšana””;</w:t>
      </w:r>
    </w:p>
    <w:p w:rsidR="00E8693F" w:rsidRDefault="00E8693F" w:rsidP="003F2616">
      <w:pPr>
        <w:pStyle w:val="Parasts1"/>
        <w:ind w:firstLine="720"/>
        <w:jc w:val="both"/>
        <w:rPr>
          <w:color w:val="000000"/>
          <w:sz w:val="28"/>
          <w:szCs w:val="28"/>
          <w:lang w:val="lv-LV"/>
        </w:rPr>
      </w:pPr>
    </w:p>
    <w:p w:rsidR="00E8693F" w:rsidRPr="004A525B" w:rsidRDefault="00E8693F" w:rsidP="003F2616">
      <w:pPr>
        <w:pStyle w:val="Parasts1"/>
        <w:ind w:firstLine="720"/>
        <w:jc w:val="both"/>
        <w:rPr>
          <w:color w:val="000000"/>
          <w:sz w:val="28"/>
          <w:szCs w:val="28"/>
          <w:lang w:val="lv-LV"/>
        </w:rPr>
      </w:pPr>
      <w:r w:rsidRPr="004A525B">
        <w:rPr>
          <w:color w:val="000000"/>
          <w:sz w:val="28"/>
          <w:szCs w:val="28"/>
          <w:lang w:val="lv-LV"/>
        </w:rPr>
        <w:t>1.3. aizstāt 3.4.apakšpunktā vārdus un skaitļus „</w:t>
      </w:r>
      <w:r w:rsidRPr="004A525B">
        <w:rPr>
          <w:sz w:val="28"/>
          <w:szCs w:val="28"/>
          <w:lang w:val="lv-LV"/>
        </w:rPr>
        <w:t>LVS EN ISO 6165:2006 „Zemesdarbu mašīnas. Pamattipi. Identificēšana un apraksti”;</w:t>
      </w:r>
      <w:r w:rsidRPr="004A525B">
        <w:rPr>
          <w:color w:val="000000"/>
          <w:sz w:val="28"/>
          <w:szCs w:val="28"/>
          <w:lang w:val="lv-LV"/>
        </w:rPr>
        <w:t>” ar vārdiem un skaitļiem „</w:t>
      </w:r>
      <w:r>
        <w:rPr>
          <w:sz w:val="28"/>
          <w:szCs w:val="28"/>
          <w:lang w:val="lv-LV"/>
        </w:rPr>
        <w:t>LVS EN ISO 616</w:t>
      </w:r>
      <w:r w:rsidRPr="004A525B">
        <w:rPr>
          <w:sz w:val="28"/>
          <w:szCs w:val="28"/>
          <w:lang w:val="lv-LV"/>
        </w:rPr>
        <w:t>5:2013. „Zemesdarbu mašīnas. Pamattipi. Identificēšana, termini un definīcijas</w:t>
      </w:r>
      <w:r w:rsidRPr="004A525B">
        <w:rPr>
          <w:color w:val="000000"/>
          <w:sz w:val="28"/>
          <w:szCs w:val="28"/>
          <w:lang w:val="lv-LV"/>
        </w:rPr>
        <w:t>”</w:t>
      </w:r>
      <w:r>
        <w:rPr>
          <w:color w:val="000000"/>
          <w:sz w:val="28"/>
          <w:szCs w:val="28"/>
          <w:lang w:val="lv-LV"/>
        </w:rPr>
        <w:t>;</w:t>
      </w:r>
    </w:p>
    <w:p w:rsidR="00E8693F" w:rsidRPr="003F2616" w:rsidRDefault="00E8693F" w:rsidP="003F2616">
      <w:pPr>
        <w:pStyle w:val="Parasts1"/>
        <w:ind w:firstLine="720"/>
        <w:jc w:val="both"/>
        <w:rPr>
          <w:color w:val="000000"/>
          <w:sz w:val="28"/>
          <w:szCs w:val="28"/>
          <w:lang w:val="lv-LV"/>
        </w:rPr>
      </w:pPr>
    </w:p>
    <w:p w:rsidR="00E8693F" w:rsidRPr="004A525B" w:rsidRDefault="00E8693F" w:rsidP="003F2616">
      <w:pPr>
        <w:pStyle w:val="Parasts1"/>
        <w:ind w:firstLine="720"/>
        <w:jc w:val="both"/>
        <w:rPr>
          <w:color w:val="000000"/>
          <w:sz w:val="28"/>
          <w:szCs w:val="28"/>
          <w:lang w:val="lv-LV"/>
        </w:rPr>
      </w:pPr>
      <w:r w:rsidRPr="004A525B">
        <w:rPr>
          <w:color w:val="000000"/>
          <w:sz w:val="28"/>
          <w:szCs w:val="28"/>
          <w:lang w:val="lv-LV"/>
        </w:rPr>
        <w:t>1.4. izteikt 4.punktu šādā redakcijā:</w:t>
      </w:r>
    </w:p>
    <w:p w:rsidR="00E8693F" w:rsidRPr="004A525B" w:rsidRDefault="00E8693F" w:rsidP="003F2616">
      <w:pPr>
        <w:pStyle w:val="Parasts1"/>
        <w:ind w:firstLine="720"/>
        <w:jc w:val="both"/>
        <w:rPr>
          <w:sz w:val="28"/>
          <w:szCs w:val="28"/>
          <w:lang w:val="lv-LV"/>
        </w:rPr>
      </w:pPr>
      <w:r w:rsidRPr="004A525B">
        <w:rPr>
          <w:color w:val="000000"/>
          <w:sz w:val="28"/>
          <w:szCs w:val="28"/>
          <w:lang w:val="lv-LV"/>
        </w:rPr>
        <w:t xml:space="preserve">“4. Transportlīdzekļu un to sastāvdaļu atbilstību novērtē institūcija, kas akreditēta </w:t>
      </w:r>
      <w:r w:rsidRPr="004A525B">
        <w:rPr>
          <w:sz w:val="28"/>
          <w:szCs w:val="28"/>
          <w:lang w:val="lv-LV"/>
        </w:rPr>
        <w:t>sabie</w:t>
      </w:r>
      <w:r>
        <w:rPr>
          <w:sz w:val="28"/>
          <w:szCs w:val="28"/>
          <w:lang w:val="lv-LV"/>
        </w:rPr>
        <w:t>drības ar ierobežotu atbildību  „</w:t>
      </w:r>
      <w:r w:rsidRPr="004A525B">
        <w:rPr>
          <w:sz w:val="28"/>
          <w:szCs w:val="28"/>
          <w:lang w:val="lv-LV"/>
        </w:rPr>
        <w:t>Standartizācijas, akred</w:t>
      </w:r>
      <w:r>
        <w:rPr>
          <w:sz w:val="28"/>
          <w:szCs w:val="28"/>
          <w:lang w:val="lv-LV"/>
        </w:rPr>
        <w:t>itācijas un metroloģijas centrs”</w:t>
      </w:r>
      <w:r w:rsidRPr="004A525B">
        <w:rPr>
          <w:sz w:val="28"/>
          <w:szCs w:val="28"/>
          <w:lang w:val="lv-LV"/>
        </w:rPr>
        <w:t xml:space="preserve"> </w:t>
      </w:r>
      <w:r w:rsidRPr="004A525B">
        <w:rPr>
          <w:color w:val="000000"/>
          <w:sz w:val="28"/>
          <w:szCs w:val="28"/>
          <w:lang w:val="lv-LV"/>
        </w:rPr>
        <w:t xml:space="preserve">Latvijas Nacionālajā akreditācijas birojā atbilstoši </w:t>
      </w:r>
      <w:r w:rsidRPr="004A525B">
        <w:rPr>
          <w:sz w:val="28"/>
          <w:szCs w:val="28"/>
          <w:lang w:val="lv-LV"/>
        </w:rPr>
        <w:t>standartam LVS EN ISO/IEC 17065:2013 „Atbilstības novērtēšana. Prasības institūcijām, kas sertificē produktus, procesus un pakalpojumus”,</w:t>
      </w:r>
      <w:r w:rsidRPr="004A525B">
        <w:rPr>
          <w:color w:val="000000"/>
          <w:sz w:val="28"/>
          <w:szCs w:val="28"/>
          <w:lang w:val="lv-LV"/>
        </w:rPr>
        <w:t xml:space="preserve"> (turpmāk – </w:t>
      </w:r>
      <w:r w:rsidRPr="004A525B">
        <w:rPr>
          <w:rStyle w:val="st1"/>
          <w:color w:val="000000"/>
          <w:sz w:val="28"/>
          <w:szCs w:val="28"/>
          <w:lang w:val="lv-LV"/>
        </w:rPr>
        <w:t>tipa apstiprinātāja iestāde</w:t>
      </w:r>
      <w:r w:rsidRPr="004A525B">
        <w:rPr>
          <w:color w:val="000000"/>
          <w:sz w:val="28"/>
          <w:szCs w:val="28"/>
          <w:lang w:val="lv-LV"/>
        </w:rPr>
        <w:t xml:space="preserve">) vai citas </w:t>
      </w:r>
      <w:r>
        <w:rPr>
          <w:color w:val="000000"/>
          <w:sz w:val="28"/>
          <w:szCs w:val="28"/>
          <w:lang w:val="lv-LV"/>
        </w:rPr>
        <w:t xml:space="preserve">Eiropas Savienības </w:t>
      </w:r>
      <w:r w:rsidRPr="004A525B">
        <w:rPr>
          <w:color w:val="000000"/>
          <w:sz w:val="28"/>
          <w:szCs w:val="28"/>
          <w:lang w:val="lv-LV"/>
        </w:rPr>
        <w:t>dalībvalsts paziņotā</w:t>
      </w:r>
      <w:r>
        <w:rPr>
          <w:color w:val="000000"/>
          <w:sz w:val="28"/>
          <w:szCs w:val="28"/>
          <w:lang w:val="lv-LV"/>
        </w:rPr>
        <w:t>s</w:t>
      </w:r>
      <w:r w:rsidRPr="004A525B">
        <w:rPr>
          <w:color w:val="000000"/>
          <w:sz w:val="28"/>
          <w:szCs w:val="28"/>
          <w:lang w:val="lv-LV"/>
        </w:rPr>
        <w:t xml:space="preserve"> </w:t>
      </w:r>
      <w:r>
        <w:rPr>
          <w:color w:val="000000"/>
          <w:sz w:val="28"/>
          <w:szCs w:val="28"/>
          <w:lang w:val="lv-LV"/>
        </w:rPr>
        <w:t>tipa apstiprinājuma iestādes, kas</w:t>
      </w:r>
      <w:r>
        <w:rPr>
          <w:sz w:val="28"/>
          <w:szCs w:val="28"/>
          <w:lang w:val="lv-LV"/>
        </w:rPr>
        <w:t xml:space="preserve"> ir akreditētas atbilstoši</w:t>
      </w:r>
      <w:r w:rsidRPr="004A525B">
        <w:rPr>
          <w:sz w:val="28"/>
          <w:szCs w:val="28"/>
          <w:lang w:val="lv-LV"/>
        </w:rPr>
        <w:t xml:space="preserve"> </w:t>
      </w:r>
      <w:r w:rsidRPr="007D1C0F">
        <w:rPr>
          <w:sz w:val="28"/>
          <w:szCs w:val="28"/>
          <w:lang w:val="lv-LV"/>
        </w:rPr>
        <w:t xml:space="preserve">normatīvajos aktos </w:t>
      </w:r>
      <w:r w:rsidRPr="004A525B">
        <w:rPr>
          <w:sz w:val="28"/>
          <w:szCs w:val="28"/>
          <w:lang w:val="lv-LV"/>
        </w:rPr>
        <w:t>noteiktajām atbilstības novērtēšanas prasībām reglamentētajā sfērā.”</w:t>
      </w:r>
      <w:r>
        <w:rPr>
          <w:sz w:val="28"/>
          <w:szCs w:val="28"/>
          <w:lang w:val="lv-LV"/>
        </w:rPr>
        <w:t>;</w:t>
      </w:r>
    </w:p>
    <w:p w:rsidR="00E8693F" w:rsidRPr="003F2616" w:rsidRDefault="00E8693F" w:rsidP="003F2616">
      <w:pPr>
        <w:pStyle w:val="Parasts1"/>
        <w:ind w:firstLine="720"/>
        <w:jc w:val="both"/>
        <w:rPr>
          <w:color w:val="000000"/>
          <w:sz w:val="28"/>
          <w:szCs w:val="28"/>
          <w:lang w:val="lv-LV"/>
        </w:rPr>
      </w:pPr>
    </w:p>
    <w:p w:rsidR="00E8693F" w:rsidRPr="003F2616" w:rsidRDefault="00E8693F" w:rsidP="003F2616">
      <w:pPr>
        <w:pStyle w:val="Parasts1"/>
        <w:ind w:firstLine="720"/>
        <w:jc w:val="both"/>
        <w:rPr>
          <w:color w:val="000000"/>
          <w:sz w:val="28"/>
          <w:lang w:val="lv-LV"/>
        </w:rPr>
      </w:pPr>
      <w:r w:rsidRPr="003F2616">
        <w:rPr>
          <w:color w:val="000000"/>
          <w:sz w:val="28"/>
          <w:lang w:val="lv-LV"/>
        </w:rPr>
        <w:t>1.5. izteikt 6.punktu šādā redakcijā:</w:t>
      </w:r>
    </w:p>
    <w:p w:rsidR="00E8693F" w:rsidRPr="003F2616" w:rsidRDefault="00E8693F" w:rsidP="003F2616">
      <w:pPr>
        <w:pStyle w:val="Parasts1"/>
        <w:ind w:firstLine="720"/>
        <w:jc w:val="both"/>
        <w:rPr>
          <w:color w:val="000000"/>
          <w:sz w:val="28"/>
          <w:lang w:val="lv-LV"/>
        </w:rPr>
      </w:pPr>
      <w:r w:rsidRPr="003F2616">
        <w:rPr>
          <w:color w:val="000000"/>
          <w:sz w:val="28"/>
          <w:lang w:val="lv-LV"/>
        </w:rPr>
        <w:lastRenderedPageBreak/>
        <w:t>„6. Ražotājs tipa apstiprinātāja iestādē iesniedz iesniegumu transportlīdzekļa tipa apstiprinājumam. Par katru apstiprināmo transportlīdzekļa, sis</w:t>
      </w:r>
      <w:r>
        <w:rPr>
          <w:color w:val="000000"/>
          <w:sz w:val="28"/>
          <w:lang w:val="lv-LV"/>
        </w:rPr>
        <w:t>tēmas, sastāvd</w:t>
      </w:r>
      <w:r w:rsidRPr="003F2616">
        <w:rPr>
          <w:color w:val="000000"/>
          <w:sz w:val="28"/>
          <w:lang w:val="lv-LV"/>
        </w:rPr>
        <w:t>aļas vai atsevišķas tehniskas vienības tipu iesniedz atsevišķu iesniegumu vienā tipa apstiprinātāja iestādē. Transportlīdzekļa tipu un tā paplašinājumu apstiprina vienā tipa apstiprinātāja iestādē.”</w:t>
      </w:r>
      <w:r>
        <w:rPr>
          <w:color w:val="000000"/>
          <w:sz w:val="28"/>
          <w:lang w:val="lv-LV"/>
        </w:rPr>
        <w:t>;</w:t>
      </w:r>
    </w:p>
    <w:p w:rsidR="00E8693F" w:rsidRPr="003F2616" w:rsidRDefault="00E8693F" w:rsidP="006220E4">
      <w:pPr>
        <w:pStyle w:val="Parasts1"/>
        <w:ind w:firstLine="720"/>
        <w:jc w:val="both"/>
        <w:rPr>
          <w:color w:val="000000"/>
          <w:sz w:val="28"/>
          <w:lang w:val="lv-LV"/>
        </w:rPr>
      </w:pPr>
    </w:p>
    <w:p w:rsidR="00E8693F" w:rsidRPr="003F2616" w:rsidRDefault="00E8693F" w:rsidP="006220E4">
      <w:pPr>
        <w:pStyle w:val="Parasts1"/>
        <w:ind w:firstLine="720"/>
        <w:jc w:val="both"/>
        <w:rPr>
          <w:color w:val="000000"/>
          <w:sz w:val="28"/>
          <w:lang w:val="lv-LV"/>
        </w:rPr>
      </w:pPr>
      <w:r w:rsidRPr="003F2616">
        <w:rPr>
          <w:color w:val="000000"/>
          <w:sz w:val="28"/>
          <w:lang w:val="lv-LV"/>
        </w:rPr>
        <w:t>1.6. izteikt 8.punktu šādā redakcijā:</w:t>
      </w:r>
    </w:p>
    <w:p w:rsidR="00E8693F" w:rsidRPr="003F2616" w:rsidRDefault="00E8693F" w:rsidP="006220E4">
      <w:pPr>
        <w:pStyle w:val="Parasts1"/>
        <w:ind w:firstLine="720"/>
        <w:jc w:val="both"/>
        <w:rPr>
          <w:color w:val="000000"/>
          <w:sz w:val="28"/>
          <w:lang w:val="lv-LV"/>
        </w:rPr>
      </w:pPr>
      <w:r w:rsidRPr="003F2616">
        <w:rPr>
          <w:color w:val="000000"/>
          <w:sz w:val="28"/>
          <w:lang w:val="lv-LV"/>
        </w:rPr>
        <w:t>„8. Tipa apstiprinātāja iestāde mēneša laikā pēc iesniegto dokumentu saņemšanas un tipa apstiprināšanai pieteiktā transportlīdzekļa parauga pārbaudes:</w:t>
      </w:r>
    </w:p>
    <w:p w:rsidR="00E8693F" w:rsidRPr="003F2616" w:rsidRDefault="00E8693F" w:rsidP="006220E4">
      <w:pPr>
        <w:pStyle w:val="Parasts1"/>
        <w:ind w:firstLine="720"/>
        <w:jc w:val="both"/>
        <w:rPr>
          <w:color w:val="000000"/>
          <w:sz w:val="28"/>
          <w:lang w:val="lv-LV"/>
        </w:rPr>
      </w:pPr>
      <w:r w:rsidRPr="003F2616">
        <w:rPr>
          <w:color w:val="000000"/>
          <w:sz w:val="28"/>
          <w:lang w:val="lv-LV"/>
        </w:rPr>
        <w:t>8.1. piešķir EK tipa apstiprinājumu T1, T2 vai T3 kategorijas transportlīdzekļu tipam, ja tas atbilst iesniegtajam tehniskajam aprakstam un šo noteikumu 1.pielikumā minētajām prasībām;</w:t>
      </w:r>
    </w:p>
    <w:p w:rsidR="00E8693F" w:rsidRPr="003F2616" w:rsidRDefault="00E8693F" w:rsidP="006220E4">
      <w:pPr>
        <w:pStyle w:val="Parasts1"/>
        <w:ind w:firstLine="720"/>
        <w:jc w:val="both"/>
        <w:rPr>
          <w:color w:val="000000"/>
          <w:sz w:val="28"/>
          <w:lang w:val="lv-LV"/>
        </w:rPr>
      </w:pPr>
      <w:r w:rsidRPr="003F2616">
        <w:rPr>
          <w:color w:val="000000"/>
          <w:sz w:val="28"/>
          <w:lang w:val="lv-LV"/>
        </w:rPr>
        <w:t>8.2. piešķir nacionālo tipa apstiprinājumu T4,</w:t>
      </w:r>
      <w:r>
        <w:rPr>
          <w:color w:val="000000"/>
          <w:sz w:val="28"/>
          <w:lang w:val="lv-LV"/>
        </w:rPr>
        <w:t xml:space="preserve"> T5,</w:t>
      </w:r>
      <w:r w:rsidRPr="003F2616">
        <w:rPr>
          <w:color w:val="000000"/>
          <w:sz w:val="28"/>
          <w:lang w:val="lv-LV"/>
        </w:rPr>
        <w:t xml:space="preserve"> C, R vai S kategorijas transportlīdzekļa tipam, ja tas atbilst iesniegtajam tehniskajam aprakstam un šo noteikumu 2.pielikumā minētajām prasībām;</w:t>
      </w:r>
    </w:p>
    <w:p w:rsidR="00E8693F" w:rsidRPr="003F2616" w:rsidRDefault="00E8693F" w:rsidP="006220E4">
      <w:pPr>
        <w:pStyle w:val="Parasts1"/>
        <w:ind w:firstLine="720"/>
        <w:jc w:val="both"/>
        <w:rPr>
          <w:color w:val="000000"/>
          <w:sz w:val="28"/>
          <w:lang w:val="lv-LV"/>
        </w:rPr>
      </w:pPr>
      <w:r w:rsidRPr="003F2616">
        <w:rPr>
          <w:color w:val="000000"/>
          <w:sz w:val="28"/>
          <w:lang w:val="lv-LV"/>
        </w:rPr>
        <w:t>8.3. piešķir vairāku posmu EK apstiprinājumu nepabeigta vai pabeigta transportlīdzekļa tipam, ievērojot transportlīdzekļa pabeigtības pakāpi (4.pielikums);</w:t>
      </w:r>
    </w:p>
    <w:p w:rsidR="00E8693F" w:rsidRPr="003F2616" w:rsidRDefault="00E8693F" w:rsidP="006220E4">
      <w:pPr>
        <w:pStyle w:val="Parasts1"/>
        <w:ind w:firstLine="720"/>
        <w:jc w:val="both"/>
        <w:rPr>
          <w:color w:val="000000"/>
          <w:sz w:val="28"/>
          <w:lang w:val="lv-LV"/>
        </w:rPr>
      </w:pPr>
      <w:r w:rsidRPr="003F2616">
        <w:rPr>
          <w:color w:val="000000"/>
          <w:sz w:val="28"/>
          <w:lang w:val="lv-LV"/>
        </w:rPr>
        <w:t>8.4. piešķir sistēmas, sastāvdaļas vai atsevišķas tehniskas vienības tipa apstiprinājumu, ja tas atbilst iesniegtajam tehniskajam aprakstam un šo noteikumu prasībām;</w:t>
      </w:r>
    </w:p>
    <w:p w:rsidR="00E8693F" w:rsidRPr="003F2616" w:rsidRDefault="00E8693F" w:rsidP="006220E4">
      <w:pPr>
        <w:pStyle w:val="Parasts1"/>
        <w:ind w:firstLine="720"/>
        <w:jc w:val="both"/>
        <w:rPr>
          <w:color w:val="000000"/>
          <w:sz w:val="28"/>
          <w:lang w:val="lv-LV"/>
        </w:rPr>
      </w:pPr>
      <w:r w:rsidRPr="003F2616">
        <w:rPr>
          <w:color w:val="000000"/>
          <w:sz w:val="28"/>
          <w:lang w:val="lv-LV"/>
        </w:rPr>
        <w:t>8.5. noraida ražotāja iesniegumu, ja konstatē neatbilstību šo noteikumu prasībām.”;</w:t>
      </w:r>
    </w:p>
    <w:p w:rsidR="00E8693F" w:rsidRPr="003F2616" w:rsidRDefault="00E8693F" w:rsidP="006220E4">
      <w:pPr>
        <w:pStyle w:val="Parasts1"/>
        <w:ind w:firstLine="720"/>
        <w:jc w:val="both"/>
        <w:rPr>
          <w:color w:val="000000"/>
          <w:sz w:val="28"/>
          <w:lang w:val="lv-LV"/>
        </w:rPr>
      </w:pPr>
    </w:p>
    <w:p w:rsidR="00E8693F" w:rsidRPr="003F2616" w:rsidRDefault="00E8693F" w:rsidP="006220E4">
      <w:pPr>
        <w:pStyle w:val="Parasts1"/>
        <w:ind w:firstLine="720"/>
        <w:jc w:val="both"/>
        <w:rPr>
          <w:color w:val="000000"/>
          <w:sz w:val="28"/>
          <w:lang w:val="lv-LV"/>
        </w:rPr>
      </w:pPr>
      <w:r w:rsidRPr="003F2616">
        <w:rPr>
          <w:color w:val="000000"/>
          <w:sz w:val="28"/>
          <w:lang w:val="lv-LV"/>
        </w:rPr>
        <w:t>1.7. izteikt 9.2.apakšpunktu šādā redakcijā:</w:t>
      </w:r>
    </w:p>
    <w:p w:rsidR="00E8693F" w:rsidRPr="003F2616" w:rsidRDefault="00E8693F" w:rsidP="006220E4">
      <w:pPr>
        <w:pStyle w:val="Parasts1"/>
        <w:ind w:firstLine="720"/>
        <w:jc w:val="both"/>
        <w:rPr>
          <w:color w:val="000000"/>
          <w:sz w:val="28"/>
          <w:lang w:val="lv-LV"/>
        </w:rPr>
      </w:pPr>
      <w:r w:rsidRPr="003F2616">
        <w:rPr>
          <w:color w:val="000000"/>
          <w:sz w:val="28"/>
          <w:lang w:val="lv-LV"/>
        </w:rPr>
        <w:t>„9.2. par katru transportlīdzekļa tipu, kam tipa apstiprinātāja iestāde ir piešķīrusi, atteikusi vai atsaukusi tipa apstiprinājumu, tā mēneša laikā pārējām Eiropas Ekonomikas zonas valstu EK tipa apstiprinātāja iestādēm nosūta tipa apstiprināšanas sertifikāta kopiju un lēmuma pieņemšanas pamatojumu;”;</w:t>
      </w:r>
    </w:p>
    <w:p w:rsidR="00E8693F" w:rsidRPr="003F2616" w:rsidRDefault="00E8693F" w:rsidP="006220E4">
      <w:pPr>
        <w:pStyle w:val="Parasts1"/>
        <w:ind w:firstLine="720"/>
        <w:jc w:val="both"/>
        <w:rPr>
          <w:color w:val="000000"/>
          <w:sz w:val="28"/>
          <w:szCs w:val="28"/>
          <w:lang w:val="lv-LV"/>
        </w:rPr>
      </w:pPr>
    </w:p>
    <w:p w:rsidR="00E8693F" w:rsidRPr="003F2616" w:rsidRDefault="00E8693F" w:rsidP="006220E4">
      <w:pPr>
        <w:pStyle w:val="Parasts1"/>
        <w:ind w:firstLine="720"/>
        <w:jc w:val="both"/>
        <w:rPr>
          <w:color w:val="000000"/>
          <w:sz w:val="28"/>
          <w:szCs w:val="28"/>
          <w:lang w:val="lv-LV"/>
        </w:rPr>
      </w:pPr>
      <w:r w:rsidRPr="003F2616">
        <w:rPr>
          <w:color w:val="000000"/>
          <w:sz w:val="28"/>
          <w:szCs w:val="28"/>
          <w:lang w:val="lv-LV"/>
        </w:rPr>
        <w:t>1.8. aizstāt 14.5.apakšpunkta pirmajā teikumā vārdus „EK tipa” ar vārdiem “EK vai nacionālā tipa”;</w:t>
      </w:r>
    </w:p>
    <w:p w:rsidR="00E8693F" w:rsidRPr="003F2616" w:rsidRDefault="00E8693F" w:rsidP="006220E4">
      <w:pPr>
        <w:pStyle w:val="Parasts1"/>
        <w:ind w:firstLine="720"/>
        <w:jc w:val="both"/>
        <w:rPr>
          <w:color w:val="000000"/>
          <w:sz w:val="28"/>
          <w:szCs w:val="28"/>
          <w:lang w:val="lv-LV"/>
        </w:rPr>
      </w:pPr>
    </w:p>
    <w:p w:rsidR="00E8693F" w:rsidRPr="003F2616" w:rsidRDefault="00E8693F" w:rsidP="006220E4">
      <w:pPr>
        <w:pStyle w:val="Parasts1"/>
        <w:ind w:firstLine="720"/>
        <w:jc w:val="both"/>
        <w:rPr>
          <w:color w:val="000000"/>
          <w:sz w:val="28"/>
          <w:szCs w:val="28"/>
          <w:lang w:val="lv-LV"/>
        </w:rPr>
      </w:pPr>
      <w:r w:rsidRPr="003F2616">
        <w:rPr>
          <w:color w:val="000000"/>
          <w:sz w:val="28"/>
          <w:szCs w:val="28"/>
          <w:lang w:val="lv-LV"/>
        </w:rPr>
        <w:t>1.9. izteikt 16.punkta pirmo teikumu šādā redakcijā:</w:t>
      </w:r>
    </w:p>
    <w:p w:rsidR="00E8693F" w:rsidRPr="003F2616" w:rsidRDefault="00E8693F" w:rsidP="006220E4">
      <w:pPr>
        <w:pStyle w:val="Parasts1"/>
        <w:ind w:firstLine="720"/>
        <w:jc w:val="both"/>
        <w:rPr>
          <w:color w:val="000000"/>
          <w:sz w:val="28"/>
          <w:szCs w:val="28"/>
          <w:lang w:val="lv-LV"/>
        </w:rPr>
      </w:pPr>
      <w:r w:rsidRPr="003F2616">
        <w:rPr>
          <w:color w:val="000000"/>
          <w:sz w:val="28"/>
          <w:szCs w:val="28"/>
          <w:lang w:val="lv-LV"/>
        </w:rPr>
        <w:t>„Ja tipa apstiprinātāja iestāde konstatē, ka nepieciešami jauni vai papildu testi vai pārbaudes, lai pārliecinātos par transportlīdzekļa atbilstību satiksmes drošības un vides drošības prasībām, tā informē par to transportlīdzekļa ražotāju.”;</w:t>
      </w:r>
    </w:p>
    <w:p w:rsidR="00E8693F" w:rsidRPr="003F2616" w:rsidRDefault="00E8693F" w:rsidP="006220E4">
      <w:pPr>
        <w:pStyle w:val="Parasts1"/>
        <w:ind w:firstLine="720"/>
        <w:jc w:val="both"/>
        <w:rPr>
          <w:color w:val="000000"/>
          <w:sz w:val="28"/>
          <w:szCs w:val="28"/>
          <w:lang w:val="lv-LV"/>
        </w:rPr>
      </w:pPr>
    </w:p>
    <w:p w:rsidR="00E8693F" w:rsidRPr="003F2616" w:rsidRDefault="00E8693F" w:rsidP="007F63E6">
      <w:pPr>
        <w:pStyle w:val="Parasts1"/>
        <w:ind w:firstLine="720"/>
        <w:jc w:val="both"/>
        <w:rPr>
          <w:color w:val="000000"/>
          <w:sz w:val="28"/>
          <w:szCs w:val="28"/>
          <w:lang w:val="lv-LV"/>
        </w:rPr>
      </w:pPr>
      <w:r w:rsidRPr="003F2616">
        <w:rPr>
          <w:color w:val="000000"/>
          <w:sz w:val="28"/>
          <w:szCs w:val="28"/>
          <w:lang w:val="lv-LV"/>
        </w:rPr>
        <w:t>1.10. izteikt 31.punktu šādā redakcijā:</w:t>
      </w:r>
    </w:p>
    <w:p w:rsidR="00E8693F" w:rsidRPr="003F2616" w:rsidRDefault="00E8693F" w:rsidP="007F63E6">
      <w:pPr>
        <w:pStyle w:val="Parasts1"/>
        <w:ind w:firstLine="720"/>
        <w:jc w:val="both"/>
        <w:rPr>
          <w:color w:val="000000"/>
          <w:sz w:val="28"/>
          <w:szCs w:val="28"/>
          <w:lang w:val="lv-LV"/>
        </w:rPr>
      </w:pPr>
      <w:r w:rsidRPr="003F2616">
        <w:rPr>
          <w:color w:val="000000"/>
          <w:sz w:val="28"/>
          <w:szCs w:val="28"/>
          <w:lang w:val="lv-LV"/>
        </w:rPr>
        <w:t xml:space="preserve">„31. Tirgus uzraudzības funkcijas veic valsts tiešās pārvaldes iestāde „Valsts tehniskās uzraudzības aģentūra” (turpmāk </w:t>
      </w:r>
      <w:r w:rsidR="00CE7770">
        <w:rPr>
          <w:color w:val="000000"/>
          <w:sz w:val="28"/>
          <w:szCs w:val="28"/>
          <w:lang w:val="lv-LV"/>
        </w:rPr>
        <w:t>–</w:t>
      </w:r>
      <w:r w:rsidRPr="003F2616">
        <w:rPr>
          <w:color w:val="000000"/>
          <w:sz w:val="28"/>
          <w:szCs w:val="28"/>
          <w:lang w:val="lv-LV"/>
        </w:rPr>
        <w:t xml:space="preserve"> aģentūra).”</w:t>
      </w:r>
      <w:r w:rsidR="00CE7770">
        <w:rPr>
          <w:color w:val="000000"/>
          <w:sz w:val="28"/>
          <w:szCs w:val="28"/>
          <w:lang w:val="lv-LV"/>
        </w:rPr>
        <w:t>;</w:t>
      </w:r>
      <w:bookmarkStart w:id="0" w:name="_GoBack"/>
      <w:bookmarkEnd w:id="0"/>
    </w:p>
    <w:p w:rsidR="00E8693F" w:rsidRPr="003F2616" w:rsidRDefault="00E8693F" w:rsidP="006220E4">
      <w:pPr>
        <w:pStyle w:val="Parasts1"/>
        <w:ind w:firstLine="720"/>
        <w:jc w:val="both"/>
        <w:rPr>
          <w:color w:val="000000"/>
          <w:sz w:val="28"/>
          <w:szCs w:val="28"/>
          <w:lang w:val="lv-LV"/>
        </w:rPr>
      </w:pPr>
    </w:p>
    <w:p w:rsidR="00E8693F" w:rsidRPr="003F2616" w:rsidRDefault="00E8693F" w:rsidP="006220E4">
      <w:pPr>
        <w:pStyle w:val="Parasts1"/>
        <w:ind w:firstLine="720"/>
        <w:jc w:val="both"/>
        <w:rPr>
          <w:color w:val="000000"/>
          <w:sz w:val="28"/>
          <w:lang w:val="lv-LV"/>
        </w:rPr>
      </w:pPr>
      <w:r w:rsidRPr="003F2616">
        <w:rPr>
          <w:color w:val="000000"/>
          <w:sz w:val="28"/>
          <w:lang w:val="lv-LV"/>
        </w:rPr>
        <w:t>1.11. izteikt 32.1.apakšpunktu šādā redakcijā:</w:t>
      </w:r>
    </w:p>
    <w:p w:rsidR="00E8693F" w:rsidRPr="003F2616" w:rsidRDefault="00E8693F" w:rsidP="006921F2">
      <w:pPr>
        <w:pStyle w:val="Parasts1"/>
        <w:ind w:firstLine="720"/>
        <w:jc w:val="both"/>
        <w:rPr>
          <w:color w:val="000000"/>
          <w:sz w:val="28"/>
          <w:lang w:val="lv-LV"/>
        </w:rPr>
      </w:pPr>
      <w:r w:rsidRPr="003F2616">
        <w:rPr>
          <w:color w:val="000000"/>
          <w:sz w:val="28"/>
          <w:lang w:val="lv-LV"/>
        </w:rPr>
        <w:t>„32.1. EK tipa apstiprinājums vai atbilstības sertifikāts vai nacionālā tipa apstiprinājums vai nacionālās atbilstības sertifikāts, kas apliecina, ka transportlīdzeklis atbilst šajos noteikumos noteiktajām prasībām;”;</w:t>
      </w:r>
    </w:p>
    <w:p w:rsidR="00E8693F" w:rsidRPr="003F2616" w:rsidRDefault="00E8693F" w:rsidP="006921F2">
      <w:pPr>
        <w:pStyle w:val="Parasts1"/>
        <w:ind w:firstLine="720"/>
        <w:jc w:val="both"/>
        <w:rPr>
          <w:color w:val="000000"/>
          <w:sz w:val="28"/>
          <w:lang w:val="lv-LV"/>
        </w:rPr>
      </w:pPr>
    </w:p>
    <w:p w:rsidR="00E8693F" w:rsidRPr="003F2616" w:rsidRDefault="00E8693F" w:rsidP="006921F2">
      <w:pPr>
        <w:pStyle w:val="Parasts1"/>
        <w:ind w:firstLine="720"/>
        <w:jc w:val="both"/>
        <w:rPr>
          <w:color w:val="000000"/>
          <w:sz w:val="28"/>
          <w:szCs w:val="28"/>
          <w:lang w:val="lv-LV"/>
        </w:rPr>
      </w:pPr>
      <w:r w:rsidRPr="003F2616">
        <w:rPr>
          <w:color w:val="000000"/>
          <w:sz w:val="28"/>
          <w:lang w:val="lv-LV"/>
        </w:rPr>
        <w:t xml:space="preserve">1.12. aizstāt 36.punktā vārdus „informē par to centru” ar vārdiem „informē par to iestādi, kas </w:t>
      </w:r>
      <w:r w:rsidRPr="003F2616">
        <w:rPr>
          <w:color w:val="000000"/>
          <w:sz w:val="28"/>
          <w:szCs w:val="28"/>
          <w:lang w:val="lv-LV"/>
        </w:rPr>
        <w:t>piešķīrusi EK tipa apstiprinājumu”;</w:t>
      </w:r>
    </w:p>
    <w:p w:rsidR="00E8693F" w:rsidRPr="003F2616" w:rsidRDefault="00E8693F" w:rsidP="006220E4">
      <w:pPr>
        <w:pStyle w:val="Parasts1"/>
        <w:ind w:firstLine="720"/>
        <w:jc w:val="both"/>
        <w:rPr>
          <w:color w:val="000000"/>
          <w:sz w:val="28"/>
          <w:szCs w:val="28"/>
          <w:lang w:val="lv-LV"/>
        </w:rPr>
      </w:pPr>
    </w:p>
    <w:p w:rsidR="00E8693F" w:rsidRPr="003F2616" w:rsidRDefault="00E8693F" w:rsidP="006220E4">
      <w:pPr>
        <w:pStyle w:val="Parasts1"/>
        <w:ind w:firstLine="720"/>
        <w:jc w:val="both"/>
        <w:rPr>
          <w:color w:val="000000"/>
          <w:sz w:val="28"/>
          <w:szCs w:val="28"/>
          <w:lang w:val="lv-LV"/>
        </w:rPr>
      </w:pPr>
      <w:r w:rsidRPr="003F2616">
        <w:rPr>
          <w:color w:val="000000"/>
          <w:sz w:val="28"/>
          <w:szCs w:val="28"/>
          <w:lang w:val="lv-LV"/>
        </w:rPr>
        <w:t>1.13. izteikt 37.punkta pirmo teikumu šādā redakcijā:</w:t>
      </w:r>
    </w:p>
    <w:p w:rsidR="00E8693F" w:rsidRPr="003F2616" w:rsidRDefault="00E8693F" w:rsidP="006220E4">
      <w:pPr>
        <w:pStyle w:val="Parasts1"/>
        <w:ind w:firstLine="720"/>
        <w:jc w:val="both"/>
        <w:rPr>
          <w:color w:val="000000"/>
          <w:sz w:val="28"/>
          <w:szCs w:val="28"/>
          <w:lang w:val="lv-LV"/>
        </w:rPr>
      </w:pPr>
      <w:r w:rsidRPr="003F2616">
        <w:rPr>
          <w:color w:val="000000"/>
          <w:sz w:val="28"/>
          <w:szCs w:val="28"/>
          <w:lang w:val="lv-LV"/>
        </w:rPr>
        <w:t>“Ja tipa apstiprinātāja iestāde konstatē, ka transportlīdzeklis, sistēma, sastāvdaļa vai atsevišķa tehniska vienība, kurai tā piešķīrusi tipa apstiprinājumu, apdraud satiksmes drošību, cilvēka veselību, dzīvību, vidi vai neatbilst visiem attiecīgajā informācijas paketē norādītajiem datiem, tipa apstiprinātāja iestāde anulē tipa apstiprinājumu.”;</w:t>
      </w:r>
    </w:p>
    <w:p w:rsidR="00E8693F" w:rsidRPr="003F2616" w:rsidRDefault="00E8693F" w:rsidP="006220E4">
      <w:pPr>
        <w:pStyle w:val="Parasts1"/>
        <w:ind w:firstLine="720"/>
        <w:jc w:val="both"/>
        <w:rPr>
          <w:color w:val="000000"/>
          <w:sz w:val="28"/>
          <w:szCs w:val="28"/>
          <w:lang w:val="lv-LV"/>
        </w:rPr>
      </w:pPr>
    </w:p>
    <w:p w:rsidR="00E8693F" w:rsidRPr="003F2616" w:rsidRDefault="00E8693F" w:rsidP="006220E4">
      <w:pPr>
        <w:pStyle w:val="Parasts1"/>
        <w:ind w:firstLine="720"/>
        <w:jc w:val="both"/>
        <w:rPr>
          <w:color w:val="000000"/>
          <w:sz w:val="28"/>
          <w:lang w:val="lv-LV"/>
        </w:rPr>
      </w:pPr>
      <w:r w:rsidRPr="003F2616">
        <w:rPr>
          <w:color w:val="000000"/>
          <w:sz w:val="28"/>
          <w:lang w:val="lv-LV"/>
        </w:rPr>
        <w:t>1.14. papildināt informatīvo atsauci uz Eiropas Savienības direktīvām ar 65.punktu šādā redakcijā:</w:t>
      </w:r>
    </w:p>
    <w:p w:rsidR="00E8693F" w:rsidRPr="003F2616" w:rsidRDefault="00E8693F" w:rsidP="0003441B">
      <w:pPr>
        <w:pStyle w:val="Parasts1"/>
        <w:ind w:firstLine="720"/>
        <w:jc w:val="both"/>
        <w:rPr>
          <w:rFonts w:cs="Tahoma"/>
          <w:color w:val="000000"/>
          <w:sz w:val="28"/>
          <w:szCs w:val="17"/>
          <w:lang w:val="lv-LV"/>
        </w:rPr>
      </w:pPr>
      <w:r w:rsidRPr="003F2616">
        <w:rPr>
          <w:color w:val="000000"/>
          <w:sz w:val="28"/>
          <w:lang w:val="lv-LV" w:eastAsia="lv-LV"/>
        </w:rPr>
        <w:t xml:space="preserve">„65) Eiropas </w:t>
      </w:r>
      <w:r w:rsidRPr="003F2616">
        <w:rPr>
          <w:rFonts w:cs="Tahoma"/>
          <w:color w:val="000000"/>
          <w:sz w:val="28"/>
          <w:szCs w:val="17"/>
          <w:lang w:val="lv-LV"/>
        </w:rPr>
        <w:t>Komisijas 2012.gada 8.oktobra Direktīvas 2012/24/ES, ar kuru tehnisko noteikumu pielāgošanas nolūkā groza Padomes Direktīvu 86/297/EEK par dalībvalstu tiesību aktu tuvināšanu attiecībā uz traktoru jūgvārpstām un to aizsardzību.”;</w:t>
      </w:r>
    </w:p>
    <w:p w:rsidR="00E8693F" w:rsidRPr="003F2616" w:rsidRDefault="00E8693F" w:rsidP="0003441B">
      <w:pPr>
        <w:pStyle w:val="Parasts1"/>
        <w:ind w:firstLine="720"/>
        <w:jc w:val="both"/>
        <w:rPr>
          <w:rFonts w:cs="Tahoma"/>
          <w:color w:val="000000"/>
          <w:sz w:val="28"/>
          <w:szCs w:val="17"/>
          <w:lang w:val="lv-LV"/>
        </w:rPr>
      </w:pPr>
    </w:p>
    <w:p w:rsidR="00E8693F" w:rsidRPr="003F2616" w:rsidRDefault="00E8693F" w:rsidP="0003441B">
      <w:pPr>
        <w:pStyle w:val="Parasts1"/>
        <w:ind w:firstLine="720"/>
        <w:jc w:val="both"/>
        <w:rPr>
          <w:color w:val="000000"/>
          <w:sz w:val="28"/>
          <w:lang w:val="lv-LV"/>
        </w:rPr>
      </w:pPr>
      <w:r w:rsidRPr="003F2616">
        <w:rPr>
          <w:color w:val="000000"/>
          <w:sz w:val="28"/>
          <w:lang w:val="lv-LV"/>
        </w:rPr>
        <w:t>1.15. izteikt 1.pielikuma B nodaļas I daļas tabulas „Atsevišķo direktīvu grozījumi” 6.punktu šādā redakcijā:</w:t>
      </w:r>
    </w:p>
    <w:p w:rsidR="00E8693F" w:rsidRPr="003F2616" w:rsidRDefault="00E8693F" w:rsidP="006220E4">
      <w:pPr>
        <w:pStyle w:val="Parasts1"/>
        <w:spacing w:before="100" w:beforeAutospacing="1" w:after="100" w:afterAutospacing="1"/>
        <w:rPr>
          <w:color w:val="000000"/>
          <w:lang w:val="lv-LV" w:eastAsia="lv-LV"/>
        </w:rPr>
        <w:sectPr w:rsidR="00E8693F" w:rsidRPr="003F2616" w:rsidSect="003F2616">
          <w:headerReference w:type="even" r:id="rId7"/>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pPr>
    </w:p>
    <w:tbl>
      <w:tblPr>
        <w:tblpPr w:leftFromText="180" w:rightFromText="180" w:horzAnchor="margin" w:tblpY="555"/>
        <w:tblW w:w="14475" w:type="dxa"/>
        <w:tblCellSpacing w:w="0"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000"/>
      </w:tblPr>
      <w:tblGrid>
        <w:gridCol w:w="561"/>
        <w:gridCol w:w="1504"/>
        <w:gridCol w:w="1413"/>
        <w:gridCol w:w="8567"/>
        <w:gridCol w:w="2430"/>
      </w:tblGrid>
      <w:tr w:rsidR="00E8693F" w:rsidRPr="003F2616" w:rsidTr="0003594A">
        <w:trPr>
          <w:tblCellSpacing w:w="0" w:type="dxa"/>
        </w:trPr>
        <w:tc>
          <w:tcPr>
            <w:tcW w:w="561" w:type="dxa"/>
            <w:vMerge w:val="restart"/>
            <w:tcBorders>
              <w:top w:val="outset" w:sz="6" w:space="0" w:color="808080"/>
              <w:right w:val="outset" w:sz="6" w:space="0" w:color="808080"/>
            </w:tcBorders>
            <w:vAlign w:val="center"/>
          </w:tcPr>
          <w:p w:rsidR="00E8693F" w:rsidRPr="003F2616" w:rsidRDefault="00E8693F" w:rsidP="0003594A">
            <w:pPr>
              <w:pStyle w:val="Parasts1"/>
              <w:spacing w:before="100" w:beforeAutospacing="1" w:after="100" w:afterAutospacing="1"/>
              <w:rPr>
                <w:color w:val="000000"/>
                <w:lang w:val="lv-LV" w:eastAsia="lv-LV"/>
              </w:rPr>
            </w:pPr>
            <w:r w:rsidRPr="003F2616">
              <w:rPr>
                <w:color w:val="000000"/>
                <w:lang w:val="lv-LV" w:eastAsia="lv-LV"/>
              </w:rPr>
              <w:lastRenderedPageBreak/>
              <w:t>„6.</w:t>
            </w:r>
          </w:p>
        </w:tc>
        <w:tc>
          <w:tcPr>
            <w:tcW w:w="1504" w:type="dxa"/>
            <w:vMerge w:val="restart"/>
            <w:tcBorders>
              <w:top w:val="outset" w:sz="6" w:space="0" w:color="808080"/>
              <w:left w:val="outset" w:sz="6" w:space="0" w:color="808080"/>
              <w:right w:val="outset" w:sz="6" w:space="0" w:color="808080"/>
            </w:tcBorders>
            <w:vAlign w:val="center"/>
          </w:tcPr>
          <w:p w:rsidR="00E8693F" w:rsidRPr="003F2616" w:rsidRDefault="009F2E74" w:rsidP="0003594A">
            <w:pPr>
              <w:pStyle w:val="Parasts1"/>
              <w:spacing w:before="100" w:beforeAutospacing="1" w:after="100" w:afterAutospacing="1"/>
              <w:rPr>
                <w:color w:val="000000"/>
                <w:lang w:val="lv-LV" w:eastAsia="lv-LV"/>
              </w:rPr>
            </w:pPr>
            <w:hyperlink r:id="rId11" w:tgtFrame="_blank" w:tooltip="Atvērt direktīvu latviešu valodā" w:history="1">
              <w:r w:rsidR="00E8693F" w:rsidRPr="003F2616">
                <w:rPr>
                  <w:rStyle w:val="Hipersaite"/>
                  <w:color w:val="000000"/>
                </w:rPr>
                <w:t>86/297/EEK</w:t>
              </w:r>
            </w:hyperlink>
          </w:p>
        </w:tc>
        <w:tc>
          <w:tcPr>
            <w:tcW w:w="1413" w:type="dxa"/>
            <w:tcBorders>
              <w:top w:val="outset" w:sz="6" w:space="0" w:color="808080"/>
              <w:left w:val="outset" w:sz="6" w:space="0" w:color="808080"/>
              <w:bottom w:val="outset" w:sz="6" w:space="0" w:color="808080"/>
              <w:right w:val="outset" w:sz="6" w:space="0" w:color="808080"/>
            </w:tcBorders>
            <w:vAlign w:val="center"/>
          </w:tcPr>
          <w:p w:rsidR="00E8693F" w:rsidRPr="003F2616" w:rsidRDefault="009F2E74" w:rsidP="0003594A">
            <w:pPr>
              <w:pStyle w:val="Parasts1"/>
              <w:spacing w:before="100" w:beforeAutospacing="1" w:after="100" w:afterAutospacing="1"/>
              <w:rPr>
                <w:color w:val="000000"/>
                <w:lang w:val="lv-LV" w:eastAsia="lv-LV"/>
              </w:rPr>
            </w:pPr>
            <w:hyperlink r:id="rId12" w:tgtFrame="_blank" w:tooltip="Atvērt direktīvu latviešu valodā" w:history="1">
              <w:r w:rsidR="00E8693F" w:rsidRPr="003F2616">
                <w:rPr>
                  <w:rStyle w:val="Hipersaite"/>
                  <w:color w:val="000000"/>
                </w:rPr>
                <w:t>97/54/EK</w:t>
              </w:r>
            </w:hyperlink>
          </w:p>
        </w:tc>
        <w:tc>
          <w:tcPr>
            <w:tcW w:w="8567" w:type="dxa"/>
            <w:tcBorders>
              <w:top w:val="outset" w:sz="6" w:space="0" w:color="808080"/>
              <w:left w:val="outset" w:sz="6" w:space="0" w:color="808080"/>
              <w:bottom w:val="outset" w:sz="6" w:space="0" w:color="808080"/>
              <w:right w:val="outset" w:sz="6" w:space="0" w:color="808080"/>
            </w:tcBorders>
            <w:vAlign w:val="center"/>
          </w:tcPr>
          <w:p w:rsidR="00E8693F" w:rsidRPr="003F2616" w:rsidRDefault="00E8693F" w:rsidP="0003594A">
            <w:pPr>
              <w:pStyle w:val="Parasts1"/>
              <w:spacing w:before="100" w:beforeAutospacing="1" w:after="100" w:afterAutospacing="1"/>
              <w:rPr>
                <w:color w:val="000000"/>
                <w:lang w:val="lv-LV" w:eastAsia="lv-LV"/>
              </w:rPr>
            </w:pPr>
            <w:r w:rsidRPr="003F2616">
              <w:rPr>
                <w:color w:val="000000"/>
                <w:lang w:val="lv-LV"/>
              </w:rPr>
              <w:t xml:space="preserve">Eiropas Parlamenta un Padomes 1997.gada 23.septembra Direktīva </w:t>
            </w:r>
            <w:hyperlink r:id="rId13" w:tgtFrame="_blank" w:tooltip="Atvērt direktīvu latviešu valodā" w:history="1">
              <w:r w:rsidRPr="003F2616">
                <w:rPr>
                  <w:rStyle w:val="Hipersaite"/>
                  <w:color w:val="000000"/>
                  <w:lang w:val="lv-LV"/>
                </w:rPr>
                <w:t>97/54/EK</w:t>
              </w:r>
            </w:hyperlink>
            <w:r w:rsidRPr="003F2616">
              <w:rPr>
                <w:color w:val="000000"/>
                <w:lang w:val="lv-LV"/>
              </w:rPr>
              <w:t xml:space="preserve">, ar ko attiecībā uz lauksaimniecības un mežsaimniecības riteņtraktoru maksimālo projektēto ātrumu groza Padomes Direktīvas </w:t>
            </w:r>
            <w:hyperlink r:id="rId14" w:tgtFrame="_blank" w:tooltip="Atvērt direktīvu latviešu valodā" w:history="1">
              <w:r w:rsidRPr="003F2616">
                <w:rPr>
                  <w:rStyle w:val="Hipersaite"/>
                  <w:color w:val="000000"/>
                  <w:lang w:val="lv-LV"/>
                </w:rPr>
                <w:t>74/150/EEK</w:t>
              </w:r>
            </w:hyperlink>
            <w:r w:rsidRPr="003F2616">
              <w:rPr>
                <w:color w:val="000000"/>
                <w:lang w:val="lv-LV"/>
              </w:rPr>
              <w:t xml:space="preserve">, </w:t>
            </w:r>
            <w:hyperlink r:id="rId15" w:tgtFrame="_blank" w:tooltip="Atvērt direktīvu latviešu valodā" w:history="1">
              <w:r w:rsidRPr="003F2616">
                <w:rPr>
                  <w:rStyle w:val="Hipersaite"/>
                  <w:color w:val="000000"/>
                  <w:lang w:val="lv-LV"/>
                </w:rPr>
                <w:t>74/151/EEK</w:t>
              </w:r>
            </w:hyperlink>
            <w:r w:rsidRPr="003F2616">
              <w:rPr>
                <w:color w:val="000000"/>
                <w:lang w:val="lv-LV"/>
              </w:rPr>
              <w:t xml:space="preserve">, </w:t>
            </w:r>
            <w:hyperlink r:id="rId16" w:tgtFrame="_blank" w:tooltip="Atvērt direktīvu latviešu valodā" w:history="1">
              <w:r w:rsidRPr="003F2616">
                <w:rPr>
                  <w:rStyle w:val="Hipersaite"/>
                  <w:color w:val="000000"/>
                  <w:lang w:val="lv-LV"/>
                </w:rPr>
                <w:t>74/152/EEK</w:t>
              </w:r>
            </w:hyperlink>
            <w:r w:rsidRPr="003F2616">
              <w:rPr>
                <w:color w:val="000000"/>
                <w:lang w:val="lv-LV"/>
              </w:rPr>
              <w:t xml:space="preserve">, </w:t>
            </w:r>
            <w:hyperlink r:id="rId17" w:tgtFrame="_blank" w:tooltip="Atvērt direktīvu latviešu valodā" w:history="1">
              <w:r w:rsidRPr="003F2616">
                <w:rPr>
                  <w:rStyle w:val="Hipersaite"/>
                  <w:color w:val="000000"/>
                  <w:lang w:val="lv-LV"/>
                </w:rPr>
                <w:t>74/346/EEK</w:t>
              </w:r>
            </w:hyperlink>
            <w:r w:rsidRPr="003F2616">
              <w:rPr>
                <w:color w:val="000000"/>
                <w:lang w:val="lv-LV"/>
              </w:rPr>
              <w:t xml:space="preserve">, </w:t>
            </w:r>
            <w:hyperlink r:id="rId18" w:tgtFrame="_blank" w:tooltip="Atvērt direktīvu latviešu valodā" w:history="1">
              <w:r w:rsidRPr="003F2616">
                <w:rPr>
                  <w:rStyle w:val="Hipersaite"/>
                  <w:color w:val="000000"/>
                  <w:lang w:val="lv-LV"/>
                </w:rPr>
                <w:t>74/347/EEK</w:t>
              </w:r>
            </w:hyperlink>
            <w:r w:rsidRPr="003F2616">
              <w:rPr>
                <w:color w:val="000000"/>
                <w:lang w:val="lv-LV"/>
              </w:rPr>
              <w:t xml:space="preserve">, </w:t>
            </w:r>
            <w:hyperlink r:id="rId19" w:tgtFrame="_blank" w:tooltip="Atvērt direktīvu latviešu valodā" w:history="1">
              <w:r w:rsidRPr="003F2616">
                <w:rPr>
                  <w:rStyle w:val="Hipersaite"/>
                  <w:color w:val="000000"/>
                  <w:lang w:val="lv-LV"/>
                </w:rPr>
                <w:t>75/321/EEK</w:t>
              </w:r>
            </w:hyperlink>
            <w:r w:rsidRPr="003F2616">
              <w:rPr>
                <w:color w:val="000000"/>
                <w:lang w:val="lv-LV"/>
              </w:rPr>
              <w:t xml:space="preserve">, </w:t>
            </w:r>
            <w:hyperlink r:id="rId20" w:tgtFrame="_blank" w:tooltip="Atvērt direktīvu latviešu valodā" w:history="1">
              <w:r w:rsidRPr="003F2616">
                <w:rPr>
                  <w:rStyle w:val="Hipersaite"/>
                  <w:color w:val="000000"/>
                  <w:lang w:val="lv-LV"/>
                </w:rPr>
                <w:t>75/322/EEK</w:t>
              </w:r>
            </w:hyperlink>
            <w:r w:rsidRPr="003F2616">
              <w:rPr>
                <w:color w:val="000000"/>
                <w:lang w:val="lv-LV"/>
              </w:rPr>
              <w:t xml:space="preserve">, </w:t>
            </w:r>
            <w:hyperlink r:id="rId21" w:tgtFrame="_blank" w:tooltip="Atvērt direktīvu latviešu valodā" w:history="1">
              <w:r w:rsidRPr="003F2616">
                <w:rPr>
                  <w:rStyle w:val="Hipersaite"/>
                  <w:color w:val="000000"/>
                  <w:lang w:val="lv-LV"/>
                </w:rPr>
                <w:t>76/432/EEK</w:t>
              </w:r>
            </w:hyperlink>
            <w:r w:rsidRPr="003F2616">
              <w:rPr>
                <w:color w:val="000000"/>
                <w:lang w:val="lv-LV"/>
              </w:rPr>
              <w:t xml:space="preserve">, </w:t>
            </w:r>
            <w:hyperlink r:id="rId22" w:tgtFrame="_blank" w:tooltip="Atvērt direktīvu latviešu valodā" w:history="1">
              <w:r w:rsidRPr="003F2616">
                <w:rPr>
                  <w:rStyle w:val="Hipersaite"/>
                  <w:color w:val="000000"/>
                  <w:lang w:val="lv-LV"/>
                </w:rPr>
                <w:t>76/763/EEK</w:t>
              </w:r>
            </w:hyperlink>
            <w:r w:rsidRPr="003F2616">
              <w:rPr>
                <w:color w:val="000000"/>
                <w:lang w:val="lv-LV"/>
              </w:rPr>
              <w:t xml:space="preserve">, </w:t>
            </w:r>
            <w:hyperlink r:id="rId23" w:tgtFrame="_blank" w:tooltip="Atvērt direktīvu latviešu valodā" w:history="1">
              <w:r w:rsidRPr="003F2616">
                <w:rPr>
                  <w:rStyle w:val="Hipersaite"/>
                  <w:color w:val="000000"/>
                  <w:lang w:val="lv-LV"/>
                </w:rPr>
                <w:t>77/311/EEK</w:t>
              </w:r>
            </w:hyperlink>
            <w:r w:rsidRPr="003F2616">
              <w:rPr>
                <w:color w:val="000000"/>
                <w:lang w:val="lv-LV"/>
              </w:rPr>
              <w:t xml:space="preserve">, </w:t>
            </w:r>
            <w:hyperlink r:id="rId24" w:tgtFrame="_blank" w:tooltip="Atvērt direktīvu latviešu valodā" w:history="1">
              <w:r w:rsidRPr="003F2616">
                <w:rPr>
                  <w:rStyle w:val="Hipersaite"/>
                  <w:color w:val="000000"/>
                  <w:lang w:val="lv-LV"/>
                </w:rPr>
                <w:t>77/537/EEK</w:t>
              </w:r>
            </w:hyperlink>
            <w:r w:rsidRPr="003F2616">
              <w:rPr>
                <w:color w:val="000000"/>
                <w:lang w:val="lv-LV"/>
              </w:rPr>
              <w:t xml:space="preserve">, </w:t>
            </w:r>
            <w:hyperlink r:id="rId25" w:tgtFrame="_blank" w:tooltip="Atvērt direktīvu latviešu valodā" w:history="1">
              <w:r w:rsidRPr="003F2616">
                <w:rPr>
                  <w:rStyle w:val="Hipersaite"/>
                  <w:color w:val="000000"/>
                  <w:lang w:val="lv-LV"/>
                </w:rPr>
                <w:t>78/764/EEK</w:t>
              </w:r>
            </w:hyperlink>
            <w:r w:rsidRPr="003F2616">
              <w:rPr>
                <w:color w:val="000000"/>
                <w:lang w:val="lv-LV"/>
              </w:rPr>
              <w:t xml:space="preserve">, </w:t>
            </w:r>
            <w:hyperlink r:id="rId26" w:tgtFrame="_blank" w:tooltip="Atvērt direktīvu latviešu valodā" w:history="1">
              <w:r w:rsidRPr="003F2616">
                <w:rPr>
                  <w:rStyle w:val="Hipersaite"/>
                  <w:color w:val="000000"/>
                  <w:lang w:val="lv-LV"/>
                </w:rPr>
                <w:t>78/933/EEK</w:t>
              </w:r>
            </w:hyperlink>
            <w:r w:rsidRPr="003F2616">
              <w:rPr>
                <w:color w:val="000000"/>
                <w:lang w:val="lv-LV"/>
              </w:rPr>
              <w:t xml:space="preserve">, 79/532/EEK, 79/533/EEK, </w:t>
            </w:r>
            <w:hyperlink r:id="rId27" w:tgtFrame="_blank" w:tooltip="Atvērt direktīvu latviešu valodā" w:history="1">
              <w:r w:rsidRPr="003F2616">
                <w:rPr>
                  <w:rStyle w:val="Hipersaite"/>
                  <w:color w:val="000000"/>
                  <w:lang w:val="lv-LV"/>
                </w:rPr>
                <w:t>80/720/EEK</w:t>
              </w:r>
            </w:hyperlink>
            <w:r w:rsidRPr="003F2616">
              <w:rPr>
                <w:color w:val="000000"/>
                <w:lang w:val="lv-LV"/>
              </w:rPr>
              <w:t xml:space="preserve">, </w:t>
            </w:r>
            <w:hyperlink r:id="rId28" w:tgtFrame="_blank" w:tooltip="Atvērt direktīvu latviešu valodā" w:history="1">
              <w:r w:rsidRPr="003F2616">
                <w:rPr>
                  <w:rStyle w:val="Hipersaite"/>
                  <w:color w:val="000000"/>
                  <w:lang w:val="lv-LV"/>
                </w:rPr>
                <w:t>86/297/EEK</w:t>
              </w:r>
            </w:hyperlink>
            <w:r w:rsidRPr="003F2616">
              <w:rPr>
                <w:color w:val="000000"/>
                <w:lang w:val="lv-LV"/>
              </w:rPr>
              <w:t xml:space="preserve">, </w:t>
            </w:r>
            <w:hyperlink r:id="rId29" w:tgtFrame="_blank" w:tooltip="Atvērt direktīvu latviešu valodā" w:history="1">
              <w:r w:rsidRPr="003F2616">
                <w:rPr>
                  <w:rStyle w:val="Hipersaite"/>
                  <w:color w:val="000000"/>
                  <w:lang w:val="lv-LV"/>
                </w:rPr>
                <w:t>86/415/EEK</w:t>
              </w:r>
            </w:hyperlink>
            <w:r w:rsidRPr="003F2616">
              <w:rPr>
                <w:color w:val="000000"/>
                <w:lang w:val="lv-LV"/>
              </w:rPr>
              <w:t xml:space="preserve"> un </w:t>
            </w:r>
            <w:hyperlink r:id="rId30" w:tgtFrame="_blank" w:tooltip="Atvērt direktīvu latviešu valodā" w:history="1">
              <w:r w:rsidRPr="003F2616">
                <w:rPr>
                  <w:rStyle w:val="Hipersaite"/>
                  <w:color w:val="000000"/>
                  <w:lang w:val="lv-LV"/>
                </w:rPr>
                <w:t>89/173/EEK</w:t>
              </w:r>
            </w:hyperlink>
          </w:p>
        </w:tc>
        <w:tc>
          <w:tcPr>
            <w:tcW w:w="2430" w:type="dxa"/>
            <w:tcBorders>
              <w:top w:val="outset" w:sz="6" w:space="0" w:color="808080"/>
              <w:left w:val="outset" w:sz="6" w:space="0" w:color="808080"/>
              <w:bottom w:val="outset" w:sz="6" w:space="0" w:color="808080"/>
            </w:tcBorders>
            <w:vAlign w:val="center"/>
          </w:tcPr>
          <w:p w:rsidR="00E8693F" w:rsidRPr="00FD472B" w:rsidRDefault="00E8693F" w:rsidP="00B24AE2">
            <w:pPr>
              <w:pStyle w:val="Parasts1"/>
              <w:jc w:val="center"/>
              <w:rPr>
                <w:color w:val="000000"/>
                <w:lang w:val="lv-LV"/>
              </w:rPr>
            </w:pPr>
            <w:r w:rsidRPr="00FD472B">
              <w:rPr>
                <w:color w:val="000000"/>
                <w:lang w:val="lv-LV"/>
              </w:rPr>
              <w:t>277, 10.10.1997., 24.lpp.</w:t>
            </w:r>
          </w:p>
        </w:tc>
      </w:tr>
      <w:tr w:rsidR="00E8693F" w:rsidRPr="003F2616" w:rsidTr="0003594A">
        <w:trPr>
          <w:tblCellSpacing w:w="0" w:type="dxa"/>
        </w:trPr>
        <w:tc>
          <w:tcPr>
            <w:tcW w:w="561" w:type="dxa"/>
            <w:vMerge/>
            <w:tcBorders>
              <w:right w:val="outset" w:sz="6" w:space="0" w:color="808080"/>
            </w:tcBorders>
            <w:vAlign w:val="center"/>
          </w:tcPr>
          <w:p w:rsidR="00E8693F" w:rsidRPr="003F2616" w:rsidRDefault="00E8693F" w:rsidP="0003594A">
            <w:pPr>
              <w:pStyle w:val="Parasts1"/>
              <w:spacing w:before="100" w:beforeAutospacing="1" w:after="100" w:afterAutospacing="1"/>
              <w:rPr>
                <w:color w:val="000000"/>
                <w:lang w:val="lv-LV" w:eastAsia="lv-LV"/>
              </w:rPr>
            </w:pPr>
          </w:p>
        </w:tc>
        <w:tc>
          <w:tcPr>
            <w:tcW w:w="1504" w:type="dxa"/>
            <w:vMerge/>
            <w:tcBorders>
              <w:left w:val="outset" w:sz="6" w:space="0" w:color="808080"/>
              <w:right w:val="outset" w:sz="6" w:space="0" w:color="808080"/>
            </w:tcBorders>
            <w:vAlign w:val="center"/>
          </w:tcPr>
          <w:p w:rsidR="00E8693F" w:rsidRPr="003F2616" w:rsidRDefault="00E8693F" w:rsidP="0003594A">
            <w:pPr>
              <w:pStyle w:val="Parasts1"/>
              <w:spacing w:before="100" w:beforeAutospacing="1" w:after="100" w:afterAutospacing="1"/>
              <w:rPr>
                <w:color w:val="000000"/>
                <w:lang w:val="lv-LV" w:eastAsia="lv-LV"/>
              </w:rPr>
            </w:pPr>
          </w:p>
        </w:tc>
        <w:tc>
          <w:tcPr>
            <w:tcW w:w="1413" w:type="dxa"/>
            <w:tcBorders>
              <w:top w:val="outset" w:sz="6" w:space="0" w:color="808080"/>
              <w:left w:val="outset" w:sz="6" w:space="0" w:color="808080"/>
              <w:bottom w:val="outset" w:sz="6" w:space="0" w:color="808080"/>
              <w:right w:val="outset" w:sz="6" w:space="0" w:color="808080"/>
            </w:tcBorders>
            <w:vAlign w:val="center"/>
          </w:tcPr>
          <w:p w:rsidR="00E8693F" w:rsidRPr="003F2616" w:rsidRDefault="00E8693F" w:rsidP="0003594A">
            <w:pPr>
              <w:pStyle w:val="naiskr"/>
              <w:rPr>
                <w:color w:val="000000"/>
              </w:rPr>
            </w:pPr>
            <w:r w:rsidRPr="003F2616">
              <w:rPr>
                <w:color w:val="000000"/>
              </w:rPr>
              <w:t> </w:t>
            </w:r>
            <w:hyperlink r:id="rId31" w:tgtFrame="_blank" w:tooltip="Atvērt direktīvu latviešu valodā" w:history="1">
              <w:r w:rsidRPr="003F2616">
                <w:rPr>
                  <w:rStyle w:val="Hipersaite"/>
                  <w:color w:val="000000"/>
                </w:rPr>
                <w:t>2010/62/ES</w:t>
              </w:r>
            </w:hyperlink>
          </w:p>
          <w:p w:rsidR="00E8693F" w:rsidRPr="003F2616" w:rsidRDefault="00E8693F" w:rsidP="0003594A">
            <w:pPr>
              <w:pStyle w:val="Parasts1"/>
              <w:spacing w:before="100" w:beforeAutospacing="1" w:after="100" w:afterAutospacing="1"/>
              <w:rPr>
                <w:color w:val="000000"/>
                <w:lang w:val="lv-LV" w:eastAsia="lv-LV"/>
              </w:rPr>
            </w:pPr>
          </w:p>
        </w:tc>
        <w:tc>
          <w:tcPr>
            <w:tcW w:w="8567" w:type="dxa"/>
            <w:tcBorders>
              <w:top w:val="outset" w:sz="6" w:space="0" w:color="808080"/>
              <w:left w:val="outset" w:sz="6" w:space="0" w:color="808080"/>
              <w:bottom w:val="outset" w:sz="6" w:space="0" w:color="808080"/>
              <w:right w:val="outset" w:sz="6" w:space="0" w:color="808080"/>
            </w:tcBorders>
            <w:vAlign w:val="center"/>
          </w:tcPr>
          <w:p w:rsidR="00E8693F" w:rsidRPr="003F2616" w:rsidRDefault="00E8693F" w:rsidP="0003594A">
            <w:pPr>
              <w:pStyle w:val="Parasts1"/>
              <w:spacing w:before="100" w:beforeAutospacing="1" w:after="100" w:afterAutospacing="1"/>
              <w:rPr>
                <w:color w:val="000000"/>
                <w:lang w:val="lv-LV" w:eastAsia="lv-LV"/>
              </w:rPr>
            </w:pPr>
            <w:r w:rsidRPr="003F2616">
              <w:rPr>
                <w:color w:val="000000"/>
                <w:lang w:val="lv-LV"/>
              </w:rPr>
              <w:t xml:space="preserve">Eiropas Komisijas 2010.gada 8.septembra Direktīva </w:t>
            </w:r>
            <w:hyperlink r:id="rId32" w:tgtFrame="_blank" w:tooltip="Atvērt direktīvu latviešu valodā" w:history="1">
              <w:r w:rsidRPr="003F2616">
                <w:rPr>
                  <w:rStyle w:val="Hipersaite"/>
                  <w:color w:val="000000"/>
                  <w:lang w:val="lv-LV"/>
                </w:rPr>
                <w:t>2010/62/ES</w:t>
              </w:r>
            </w:hyperlink>
            <w:r w:rsidRPr="003F2616">
              <w:rPr>
                <w:color w:val="000000"/>
                <w:lang w:val="lv-LV"/>
              </w:rPr>
              <w:t xml:space="preserve">, ar ko groza Padomes Direktīvas </w:t>
            </w:r>
            <w:hyperlink r:id="rId33" w:tgtFrame="_blank" w:tooltip="Atvērt direktīvu latviešu valodā" w:history="1">
              <w:r w:rsidRPr="003F2616">
                <w:rPr>
                  <w:rStyle w:val="Hipersaite"/>
                  <w:color w:val="000000"/>
                  <w:lang w:val="lv-LV"/>
                </w:rPr>
                <w:t>80/720/EEK</w:t>
              </w:r>
            </w:hyperlink>
            <w:r w:rsidRPr="003F2616">
              <w:rPr>
                <w:color w:val="000000"/>
                <w:lang w:val="lv-LV"/>
              </w:rPr>
              <w:t xml:space="preserve"> un </w:t>
            </w:r>
            <w:hyperlink r:id="rId34" w:tgtFrame="_blank" w:tooltip="Atvērt direktīvu latviešu valodā" w:history="1">
              <w:r w:rsidRPr="003F2616">
                <w:rPr>
                  <w:rStyle w:val="Hipersaite"/>
                  <w:color w:val="000000"/>
                  <w:lang w:val="lv-LV"/>
                </w:rPr>
                <w:t>86/297/EEK</w:t>
              </w:r>
            </w:hyperlink>
            <w:r w:rsidRPr="003F2616">
              <w:rPr>
                <w:color w:val="000000"/>
                <w:lang w:val="lv-LV"/>
              </w:rPr>
              <w:t xml:space="preserve"> un Eiropas Parlamenta un Padomes Direktīvas </w:t>
            </w:r>
            <w:hyperlink r:id="rId35" w:tgtFrame="_blank" w:tooltip="Atvērt direktīvas konsolidēto versiju" w:history="1">
              <w:r w:rsidRPr="003F2616">
                <w:rPr>
                  <w:rStyle w:val="Hipersaite"/>
                  <w:color w:val="000000"/>
                  <w:lang w:val="lv-LV"/>
                </w:rPr>
                <w:t>2003/37/EK</w:t>
              </w:r>
            </w:hyperlink>
            <w:r w:rsidRPr="003F2616">
              <w:rPr>
                <w:color w:val="000000"/>
                <w:lang w:val="lv-LV"/>
              </w:rPr>
              <w:t xml:space="preserve">, </w:t>
            </w:r>
            <w:hyperlink r:id="rId36" w:tgtFrame="_blank" w:tooltip="Atvērt direktīvu latviešu valodā" w:history="1">
              <w:r w:rsidRPr="003F2616">
                <w:rPr>
                  <w:rStyle w:val="Hipersaite"/>
                  <w:color w:val="000000"/>
                  <w:lang w:val="lv-LV"/>
                </w:rPr>
                <w:t>2009/60/EK</w:t>
              </w:r>
            </w:hyperlink>
            <w:r w:rsidRPr="003F2616">
              <w:rPr>
                <w:color w:val="000000"/>
                <w:lang w:val="lv-LV"/>
              </w:rPr>
              <w:t xml:space="preserve"> un </w:t>
            </w:r>
            <w:hyperlink r:id="rId37" w:tgtFrame="_blank" w:tooltip="Atvērt direktīvu latviešu valodā" w:history="1">
              <w:r w:rsidRPr="003F2616">
                <w:rPr>
                  <w:rStyle w:val="Hipersaite"/>
                  <w:color w:val="000000"/>
                  <w:lang w:val="lv-LV"/>
                </w:rPr>
                <w:t>2009/144/EK</w:t>
              </w:r>
            </w:hyperlink>
            <w:r w:rsidRPr="003F2616">
              <w:rPr>
                <w:color w:val="000000"/>
                <w:lang w:val="lv-LV"/>
              </w:rPr>
              <w:t>, kas attiecas uz tipa apstiprinājumu lauksaimniecības vai mežsaimniecības traktoriem, nolūkā koriģēt to tehniskos noteikumus</w:t>
            </w:r>
          </w:p>
        </w:tc>
        <w:tc>
          <w:tcPr>
            <w:tcW w:w="2430" w:type="dxa"/>
            <w:tcBorders>
              <w:top w:val="outset" w:sz="6" w:space="0" w:color="808080"/>
              <w:left w:val="outset" w:sz="6" w:space="0" w:color="808080"/>
              <w:bottom w:val="outset" w:sz="6" w:space="0" w:color="808080"/>
            </w:tcBorders>
            <w:vAlign w:val="center"/>
          </w:tcPr>
          <w:p w:rsidR="00E8693F" w:rsidRPr="00FD472B" w:rsidRDefault="00E8693F" w:rsidP="00B24AE2">
            <w:pPr>
              <w:pStyle w:val="Parasts1"/>
              <w:jc w:val="center"/>
              <w:rPr>
                <w:color w:val="000000"/>
                <w:lang w:val="lv-LV"/>
              </w:rPr>
            </w:pPr>
            <w:r w:rsidRPr="00FD472B">
              <w:rPr>
                <w:color w:val="000000"/>
                <w:lang w:val="lv-LV"/>
              </w:rPr>
              <w:t>238, 09.09.2010., 7./13.lpp.</w:t>
            </w:r>
          </w:p>
          <w:p w:rsidR="00E8693F" w:rsidRPr="003F2616" w:rsidRDefault="00E8693F" w:rsidP="0003594A">
            <w:pPr>
              <w:pStyle w:val="Parasts1"/>
              <w:spacing w:before="100" w:beforeAutospacing="1" w:after="100" w:afterAutospacing="1"/>
              <w:rPr>
                <w:color w:val="000000"/>
                <w:lang w:val="lv-LV" w:eastAsia="lv-LV"/>
              </w:rPr>
            </w:pPr>
          </w:p>
        </w:tc>
      </w:tr>
      <w:tr w:rsidR="00E8693F" w:rsidRPr="003F2616" w:rsidTr="0003594A">
        <w:trPr>
          <w:tblCellSpacing w:w="0" w:type="dxa"/>
        </w:trPr>
        <w:tc>
          <w:tcPr>
            <w:tcW w:w="561" w:type="dxa"/>
            <w:vMerge/>
            <w:tcBorders>
              <w:bottom w:val="outset" w:sz="6" w:space="0" w:color="808080"/>
              <w:right w:val="outset" w:sz="6" w:space="0" w:color="808080"/>
            </w:tcBorders>
            <w:vAlign w:val="center"/>
          </w:tcPr>
          <w:p w:rsidR="00E8693F" w:rsidRPr="003F2616" w:rsidRDefault="00E8693F" w:rsidP="0003594A">
            <w:pPr>
              <w:pStyle w:val="Parasts1"/>
              <w:spacing w:before="100" w:beforeAutospacing="1" w:after="100" w:afterAutospacing="1"/>
              <w:rPr>
                <w:color w:val="000000"/>
                <w:lang w:val="lv-LV" w:eastAsia="lv-LV"/>
              </w:rPr>
            </w:pPr>
          </w:p>
        </w:tc>
        <w:tc>
          <w:tcPr>
            <w:tcW w:w="1504" w:type="dxa"/>
            <w:vMerge/>
            <w:tcBorders>
              <w:left w:val="outset" w:sz="6" w:space="0" w:color="808080"/>
              <w:bottom w:val="outset" w:sz="6" w:space="0" w:color="808080"/>
              <w:right w:val="outset" w:sz="6" w:space="0" w:color="808080"/>
            </w:tcBorders>
            <w:vAlign w:val="center"/>
          </w:tcPr>
          <w:p w:rsidR="00E8693F" w:rsidRPr="003F2616" w:rsidRDefault="00E8693F" w:rsidP="0003594A">
            <w:pPr>
              <w:pStyle w:val="Parasts1"/>
              <w:spacing w:before="100" w:beforeAutospacing="1" w:after="100" w:afterAutospacing="1"/>
              <w:rPr>
                <w:color w:val="000000"/>
                <w:lang w:val="lv-LV" w:eastAsia="lv-LV"/>
              </w:rPr>
            </w:pPr>
          </w:p>
        </w:tc>
        <w:tc>
          <w:tcPr>
            <w:tcW w:w="1413" w:type="dxa"/>
            <w:tcBorders>
              <w:top w:val="outset" w:sz="6" w:space="0" w:color="808080"/>
              <w:left w:val="outset" w:sz="6" w:space="0" w:color="808080"/>
              <w:bottom w:val="outset" w:sz="6" w:space="0" w:color="808080"/>
              <w:right w:val="outset" w:sz="6" w:space="0" w:color="808080"/>
            </w:tcBorders>
            <w:vAlign w:val="center"/>
          </w:tcPr>
          <w:p w:rsidR="00E8693F" w:rsidRPr="003F2616" w:rsidRDefault="009F2E74" w:rsidP="0003594A">
            <w:pPr>
              <w:pStyle w:val="Parasts1"/>
              <w:spacing w:before="100" w:beforeAutospacing="1" w:after="100" w:afterAutospacing="1"/>
              <w:rPr>
                <w:color w:val="000000"/>
                <w:u w:val="single"/>
              </w:rPr>
            </w:pPr>
            <w:hyperlink r:id="rId38" w:history="1">
              <w:r w:rsidR="00E8693F" w:rsidRPr="003F2616">
                <w:rPr>
                  <w:rStyle w:val="Hipersaite"/>
                  <w:color w:val="000000"/>
                </w:rPr>
                <w:t>2012/24/ES</w:t>
              </w:r>
            </w:hyperlink>
          </w:p>
        </w:tc>
        <w:tc>
          <w:tcPr>
            <w:tcW w:w="8567" w:type="dxa"/>
            <w:tcBorders>
              <w:top w:val="outset" w:sz="6" w:space="0" w:color="808080"/>
              <w:left w:val="outset" w:sz="6" w:space="0" w:color="808080"/>
              <w:bottom w:val="outset" w:sz="6" w:space="0" w:color="808080"/>
              <w:right w:val="outset" w:sz="6" w:space="0" w:color="808080"/>
            </w:tcBorders>
            <w:vAlign w:val="center"/>
          </w:tcPr>
          <w:p w:rsidR="00E8693F" w:rsidRPr="003F2616" w:rsidRDefault="00E8693F" w:rsidP="003929BA">
            <w:pPr>
              <w:pStyle w:val="Parasts1"/>
              <w:spacing w:before="100" w:beforeAutospacing="1" w:after="100" w:afterAutospacing="1"/>
              <w:rPr>
                <w:color w:val="000000"/>
                <w:lang w:val="lv-LV" w:eastAsia="lv-LV"/>
              </w:rPr>
            </w:pPr>
            <w:r w:rsidRPr="003F2616">
              <w:rPr>
                <w:color w:val="000000"/>
                <w:lang w:val="lv-LV"/>
              </w:rPr>
              <w:t>Eiropas Komisijas 2012.gada 8.oktobra Direktīva</w:t>
            </w:r>
            <w:r w:rsidRPr="003F2616">
              <w:rPr>
                <w:color w:val="000000"/>
              </w:rPr>
              <w:t xml:space="preserve"> </w:t>
            </w:r>
            <w:hyperlink r:id="rId39" w:history="1">
              <w:r w:rsidRPr="003F2616">
                <w:rPr>
                  <w:rStyle w:val="Hipersaite"/>
                  <w:color w:val="000000"/>
                </w:rPr>
                <w:t>2012/24/ES</w:t>
              </w:r>
            </w:hyperlink>
            <w:r w:rsidRPr="003F2616">
              <w:rPr>
                <w:color w:val="000000"/>
                <w:lang w:val="lv-LV"/>
              </w:rPr>
              <w:t xml:space="preserve">, ar kuru tehnisko noteikumu pielāgošanas nolūkā groza Padomes Direktīvu </w:t>
            </w:r>
            <w:hyperlink r:id="rId40" w:tgtFrame="_blank" w:tooltip="Atvērt direktīvu latviešu valodā" w:history="1">
              <w:r w:rsidRPr="003F2616">
                <w:rPr>
                  <w:rStyle w:val="Hipersaite"/>
                  <w:color w:val="000000"/>
                  <w:lang w:val="lv-LV"/>
                </w:rPr>
                <w:t>86/297/EEK</w:t>
              </w:r>
            </w:hyperlink>
            <w:r w:rsidRPr="003F2616">
              <w:rPr>
                <w:color w:val="000000"/>
                <w:lang w:val="lv-LV"/>
              </w:rPr>
              <w:t xml:space="preserve"> par dalībvalstu tiesību aktu tuvināšanu attiecībā uz traktoru jūgvārpstām un to aizsardzību</w:t>
            </w:r>
          </w:p>
        </w:tc>
        <w:tc>
          <w:tcPr>
            <w:tcW w:w="2430" w:type="dxa"/>
            <w:tcBorders>
              <w:top w:val="outset" w:sz="6" w:space="0" w:color="808080"/>
              <w:left w:val="outset" w:sz="6" w:space="0" w:color="808080"/>
              <w:bottom w:val="outset" w:sz="6" w:space="0" w:color="808080"/>
            </w:tcBorders>
            <w:vAlign w:val="center"/>
          </w:tcPr>
          <w:p w:rsidR="00E8693F" w:rsidRPr="003F2616" w:rsidRDefault="00E8693F" w:rsidP="00DD2334">
            <w:pPr>
              <w:pStyle w:val="Parasts1"/>
              <w:spacing w:before="100" w:beforeAutospacing="1" w:after="100" w:afterAutospacing="1"/>
              <w:jc w:val="center"/>
              <w:rPr>
                <w:color w:val="000000"/>
                <w:lang w:val="lv-LV" w:eastAsia="lv-LV"/>
              </w:rPr>
            </w:pPr>
            <w:r w:rsidRPr="003F2616">
              <w:rPr>
                <w:color w:val="000000"/>
                <w:lang w:val="lv-LV" w:eastAsia="lv-LV"/>
              </w:rPr>
              <w:t>274, 09.10.2012., 24./25.lpp.”</w:t>
            </w:r>
          </w:p>
        </w:tc>
      </w:tr>
    </w:tbl>
    <w:p w:rsidR="00E8693F" w:rsidRPr="003F2616" w:rsidRDefault="00E8693F" w:rsidP="003F2616">
      <w:pPr>
        <w:pStyle w:val="Parasts1"/>
        <w:jc w:val="center"/>
        <w:rPr>
          <w:color w:val="000000"/>
          <w:lang w:val="lv-LV"/>
        </w:rPr>
      </w:pPr>
      <w:r>
        <w:rPr>
          <w:color w:val="000000"/>
          <w:lang w:val="lv-LV"/>
        </w:rPr>
        <w:t>4</w:t>
      </w:r>
    </w:p>
    <w:p w:rsidR="00E8693F" w:rsidRPr="003F2616" w:rsidRDefault="00E8693F" w:rsidP="007C7C3A">
      <w:pPr>
        <w:pStyle w:val="Pamatteksts"/>
        <w:jc w:val="both"/>
        <w:rPr>
          <w:noProof/>
          <w:color w:val="000000"/>
          <w:szCs w:val="28"/>
          <w:lang w:val="lv-LV"/>
        </w:rPr>
      </w:pPr>
    </w:p>
    <w:p w:rsidR="00E8693F" w:rsidRDefault="00E8693F" w:rsidP="006F7F88">
      <w:pPr>
        <w:pStyle w:val="Pamatteksts"/>
        <w:ind w:firstLine="720"/>
        <w:jc w:val="both"/>
        <w:rPr>
          <w:noProof/>
          <w:color w:val="000000"/>
          <w:szCs w:val="28"/>
          <w:lang w:val="lv-LV"/>
        </w:rPr>
      </w:pPr>
      <w:r>
        <w:rPr>
          <w:noProof/>
          <w:color w:val="000000"/>
          <w:szCs w:val="28"/>
          <w:lang w:val="lv-LV"/>
        </w:rPr>
        <w:t xml:space="preserve">1.16. aizstāt 6.pielikumā </w:t>
      </w:r>
      <w:r>
        <w:rPr>
          <w:color w:val="000000"/>
          <w:szCs w:val="28"/>
          <w:lang w:val="lv-LV"/>
        </w:rPr>
        <w:t>3</w:t>
      </w:r>
      <w:r w:rsidRPr="003F2616">
        <w:rPr>
          <w:color w:val="000000"/>
          <w:szCs w:val="28"/>
          <w:lang w:val="lv-LV"/>
        </w:rPr>
        <w:t>.punktā vārdus un skaitļus „LVS EN ISO</w:t>
      </w:r>
      <w:r>
        <w:rPr>
          <w:color w:val="000000"/>
          <w:szCs w:val="28"/>
          <w:lang w:val="lv-LV"/>
        </w:rPr>
        <w:t xml:space="preserve"> </w:t>
      </w:r>
      <w:r>
        <w:rPr>
          <w:lang w:val="lv-LV"/>
        </w:rPr>
        <w:t>9001:2001 „</w:t>
      </w:r>
      <w:r w:rsidRPr="006B4B6C">
        <w:rPr>
          <w:lang w:val="lv-LV"/>
        </w:rPr>
        <w:t xml:space="preserve">Kvalitātes </w:t>
      </w:r>
      <w:r>
        <w:rPr>
          <w:lang w:val="lv-LV"/>
        </w:rPr>
        <w:t>pārvaldības sistēmas – Prasības”</w:t>
      </w:r>
      <w:r w:rsidRPr="006B4B6C">
        <w:rPr>
          <w:lang w:val="lv-LV"/>
        </w:rPr>
        <w:t xml:space="preserve"> </w:t>
      </w:r>
      <w:r w:rsidRPr="003F2616">
        <w:rPr>
          <w:color w:val="000000"/>
          <w:szCs w:val="28"/>
          <w:lang w:val="lv-LV"/>
        </w:rPr>
        <w:t>ar vārdiem un skaitļiem „LVS E</w:t>
      </w:r>
      <w:r>
        <w:rPr>
          <w:color w:val="000000"/>
          <w:szCs w:val="28"/>
          <w:lang w:val="lv-LV"/>
        </w:rPr>
        <w:t xml:space="preserve">N ISO </w:t>
      </w:r>
      <w:r>
        <w:rPr>
          <w:lang w:val="lv-LV"/>
        </w:rPr>
        <w:t>9001:2009 „</w:t>
      </w:r>
      <w:r w:rsidRPr="006B4B6C">
        <w:rPr>
          <w:lang w:val="lv-LV"/>
        </w:rPr>
        <w:t>Kvalitātes pārvaldības sistēmas</w:t>
      </w:r>
      <w:r>
        <w:rPr>
          <w:lang w:val="lv-LV"/>
        </w:rPr>
        <w:t xml:space="preserve">. </w:t>
      </w:r>
      <w:r w:rsidRPr="006B4B6C">
        <w:rPr>
          <w:lang w:val="lv-LV"/>
        </w:rPr>
        <w:t>Prasības</w:t>
      </w:r>
      <w:r>
        <w:rPr>
          <w:lang w:val="lv-LV"/>
        </w:rPr>
        <w:t>.””</w:t>
      </w:r>
      <w:r>
        <w:rPr>
          <w:color w:val="000000"/>
          <w:szCs w:val="28"/>
          <w:lang w:val="lv-LV"/>
        </w:rPr>
        <w:t>.</w:t>
      </w:r>
    </w:p>
    <w:p w:rsidR="00E8693F" w:rsidRDefault="00E8693F" w:rsidP="006B4B6C">
      <w:pPr>
        <w:pStyle w:val="Pamatteksts"/>
        <w:ind w:firstLine="720"/>
        <w:jc w:val="both"/>
        <w:rPr>
          <w:noProof/>
          <w:color w:val="000000"/>
          <w:szCs w:val="28"/>
          <w:lang w:val="lv-LV"/>
        </w:rPr>
      </w:pPr>
    </w:p>
    <w:p w:rsidR="00E8693F" w:rsidRPr="003F2616" w:rsidRDefault="00E8693F" w:rsidP="006B4B6C">
      <w:pPr>
        <w:pStyle w:val="Pamatteksts"/>
        <w:ind w:firstLine="720"/>
        <w:jc w:val="both"/>
        <w:rPr>
          <w:noProof/>
          <w:color w:val="000000"/>
          <w:szCs w:val="28"/>
          <w:lang w:val="lv-LV"/>
        </w:rPr>
      </w:pPr>
      <w:r w:rsidRPr="003F2616">
        <w:rPr>
          <w:noProof/>
          <w:color w:val="000000"/>
          <w:szCs w:val="28"/>
          <w:lang w:val="lv-LV"/>
        </w:rPr>
        <w:t>2. Šo noteikumu 1.14. un 1.15.apakšpunkts s</w:t>
      </w:r>
      <w:r>
        <w:rPr>
          <w:noProof/>
          <w:color w:val="000000"/>
          <w:szCs w:val="28"/>
          <w:lang w:val="lv-LV"/>
        </w:rPr>
        <w:t>tājas spēkā 2013.gada 1.aprīlī</w:t>
      </w:r>
      <w:r w:rsidRPr="003F2616">
        <w:rPr>
          <w:noProof/>
          <w:color w:val="000000"/>
          <w:szCs w:val="28"/>
          <w:lang w:val="lv-LV"/>
        </w:rPr>
        <w:t>.</w:t>
      </w:r>
    </w:p>
    <w:p w:rsidR="00E8693F" w:rsidRPr="003F2616" w:rsidRDefault="00E8693F" w:rsidP="0003594A">
      <w:pPr>
        <w:pStyle w:val="Pamatteksts"/>
        <w:spacing w:after="120"/>
        <w:rPr>
          <w:noProof/>
          <w:color w:val="000000"/>
          <w:szCs w:val="28"/>
          <w:lang w:val="lv-LV"/>
        </w:rPr>
      </w:pPr>
    </w:p>
    <w:p w:rsidR="0020498D" w:rsidRPr="003F2616" w:rsidRDefault="00E8693F" w:rsidP="0003594A">
      <w:pPr>
        <w:pStyle w:val="Pamatteksts"/>
        <w:spacing w:after="120"/>
        <w:rPr>
          <w:noProof/>
          <w:color w:val="000000"/>
          <w:szCs w:val="28"/>
          <w:lang w:val="lv-LV"/>
        </w:rPr>
      </w:pPr>
      <w:r w:rsidRPr="003F2616">
        <w:rPr>
          <w:noProof/>
          <w:color w:val="000000"/>
          <w:szCs w:val="28"/>
          <w:lang w:val="lv-LV"/>
        </w:rPr>
        <w:tab/>
        <w:t>Ministru prezidents</w:t>
      </w:r>
      <w:r w:rsidRPr="003F2616">
        <w:rPr>
          <w:noProof/>
          <w:color w:val="000000"/>
          <w:szCs w:val="28"/>
          <w:lang w:val="lv-LV"/>
        </w:rPr>
        <w:tab/>
      </w:r>
      <w:r w:rsidRPr="003F2616">
        <w:rPr>
          <w:noProof/>
          <w:color w:val="000000"/>
          <w:szCs w:val="28"/>
          <w:lang w:val="lv-LV"/>
        </w:rPr>
        <w:tab/>
      </w:r>
      <w:r w:rsidRPr="003F2616">
        <w:rPr>
          <w:noProof/>
          <w:color w:val="000000"/>
          <w:szCs w:val="28"/>
          <w:lang w:val="lv-LV"/>
        </w:rPr>
        <w:tab/>
      </w:r>
      <w:r w:rsidRPr="003F2616">
        <w:rPr>
          <w:noProof/>
          <w:color w:val="000000"/>
          <w:szCs w:val="28"/>
          <w:lang w:val="lv-LV"/>
        </w:rPr>
        <w:tab/>
      </w:r>
      <w:r w:rsidRPr="003F2616">
        <w:rPr>
          <w:noProof/>
          <w:color w:val="000000"/>
          <w:szCs w:val="28"/>
          <w:lang w:val="lv-LV"/>
        </w:rPr>
        <w:tab/>
      </w:r>
      <w:r>
        <w:rPr>
          <w:noProof/>
          <w:color w:val="000000"/>
          <w:szCs w:val="28"/>
          <w:lang w:val="lv-LV"/>
        </w:rPr>
        <w:tab/>
      </w:r>
      <w:r>
        <w:rPr>
          <w:noProof/>
          <w:color w:val="000000"/>
          <w:szCs w:val="28"/>
          <w:lang w:val="lv-LV"/>
        </w:rPr>
        <w:tab/>
      </w:r>
      <w:r>
        <w:rPr>
          <w:noProof/>
          <w:color w:val="000000"/>
          <w:szCs w:val="28"/>
          <w:lang w:val="lv-LV"/>
        </w:rPr>
        <w:tab/>
      </w:r>
      <w:r>
        <w:rPr>
          <w:noProof/>
          <w:color w:val="000000"/>
          <w:szCs w:val="28"/>
          <w:lang w:val="lv-LV"/>
        </w:rPr>
        <w:tab/>
      </w:r>
      <w:r>
        <w:rPr>
          <w:noProof/>
          <w:color w:val="000000"/>
          <w:szCs w:val="28"/>
          <w:lang w:val="lv-LV"/>
        </w:rPr>
        <w:tab/>
      </w:r>
      <w:r>
        <w:rPr>
          <w:noProof/>
          <w:color w:val="000000"/>
          <w:szCs w:val="28"/>
          <w:lang w:val="lv-LV"/>
        </w:rPr>
        <w:tab/>
      </w:r>
      <w:r w:rsidRPr="003F2616">
        <w:rPr>
          <w:noProof/>
          <w:color w:val="000000"/>
          <w:szCs w:val="28"/>
          <w:lang w:val="lv-LV"/>
        </w:rPr>
        <w:tab/>
        <w:t>V.Dombrovskis</w:t>
      </w:r>
    </w:p>
    <w:p w:rsidR="00E8693F" w:rsidRPr="003F2616" w:rsidRDefault="00E8693F" w:rsidP="007C7C3A">
      <w:pPr>
        <w:pStyle w:val="Parasts1"/>
        <w:ind w:firstLine="720"/>
        <w:rPr>
          <w:color w:val="000000"/>
          <w:sz w:val="28"/>
          <w:szCs w:val="28"/>
          <w:lang w:val="lv-LV"/>
        </w:rPr>
      </w:pPr>
    </w:p>
    <w:p w:rsidR="00E8693F" w:rsidRPr="003F2616" w:rsidRDefault="00E8693F" w:rsidP="007C7C3A">
      <w:pPr>
        <w:pStyle w:val="Parasts1"/>
        <w:ind w:firstLine="720"/>
        <w:rPr>
          <w:color w:val="000000"/>
          <w:sz w:val="28"/>
          <w:szCs w:val="28"/>
          <w:lang w:val="lv-LV"/>
        </w:rPr>
      </w:pPr>
      <w:r w:rsidRPr="003F2616">
        <w:rPr>
          <w:color w:val="000000"/>
          <w:sz w:val="28"/>
          <w:szCs w:val="28"/>
          <w:lang w:val="lv-LV"/>
        </w:rPr>
        <w:t xml:space="preserve">Zemkopības ministre </w:t>
      </w:r>
      <w:r w:rsidRPr="003F2616">
        <w:rPr>
          <w:color w:val="000000"/>
          <w:sz w:val="28"/>
          <w:szCs w:val="28"/>
          <w:lang w:val="lv-LV"/>
        </w:rPr>
        <w:tab/>
      </w:r>
      <w:r w:rsidRPr="003F2616">
        <w:rPr>
          <w:color w:val="000000"/>
          <w:sz w:val="28"/>
          <w:szCs w:val="28"/>
          <w:lang w:val="lv-LV"/>
        </w:rPr>
        <w:tab/>
      </w:r>
      <w:r w:rsidRPr="003F2616">
        <w:rPr>
          <w:color w:val="000000"/>
          <w:sz w:val="28"/>
          <w:szCs w:val="28"/>
          <w:lang w:val="lv-LV"/>
        </w:rPr>
        <w:tab/>
      </w:r>
      <w:r w:rsidRPr="003F2616">
        <w:rPr>
          <w:color w:val="000000"/>
          <w:sz w:val="28"/>
          <w:szCs w:val="28"/>
          <w:lang w:val="lv-LV"/>
        </w:rPr>
        <w:tab/>
      </w:r>
      <w:r w:rsidRPr="003F2616">
        <w:rPr>
          <w:color w:val="000000"/>
          <w:sz w:val="28"/>
          <w:szCs w:val="28"/>
          <w:lang w:val="lv-LV"/>
        </w:rPr>
        <w:tab/>
      </w:r>
      <w:r w:rsidRPr="003F2616">
        <w:rPr>
          <w:color w:val="000000"/>
          <w:sz w:val="28"/>
          <w:szCs w:val="28"/>
          <w:lang w:val="lv-LV"/>
        </w:rPr>
        <w:tab/>
      </w:r>
      <w:r>
        <w:rPr>
          <w:color w:val="000000"/>
          <w:sz w:val="28"/>
          <w:szCs w:val="28"/>
          <w:lang w:val="lv-LV"/>
        </w:rPr>
        <w:tab/>
      </w:r>
      <w:r>
        <w:rPr>
          <w:color w:val="000000"/>
          <w:sz w:val="28"/>
          <w:szCs w:val="28"/>
          <w:lang w:val="lv-LV"/>
        </w:rPr>
        <w:tab/>
      </w:r>
      <w:r>
        <w:rPr>
          <w:color w:val="000000"/>
          <w:sz w:val="28"/>
          <w:szCs w:val="28"/>
          <w:lang w:val="lv-LV"/>
        </w:rPr>
        <w:tab/>
      </w:r>
      <w:r>
        <w:rPr>
          <w:color w:val="000000"/>
          <w:sz w:val="28"/>
          <w:szCs w:val="28"/>
          <w:lang w:val="lv-LV"/>
        </w:rPr>
        <w:tab/>
      </w:r>
      <w:r>
        <w:rPr>
          <w:color w:val="000000"/>
          <w:sz w:val="28"/>
          <w:szCs w:val="28"/>
          <w:lang w:val="lv-LV"/>
        </w:rPr>
        <w:tab/>
      </w:r>
      <w:r>
        <w:rPr>
          <w:color w:val="000000"/>
          <w:sz w:val="28"/>
          <w:szCs w:val="28"/>
          <w:lang w:val="lv-LV"/>
        </w:rPr>
        <w:tab/>
      </w:r>
      <w:r w:rsidRPr="003F2616">
        <w:rPr>
          <w:color w:val="000000"/>
          <w:sz w:val="28"/>
          <w:szCs w:val="28"/>
          <w:lang w:val="lv-LV"/>
        </w:rPr>
        <w:t>L.Straujuma</w:t>
      </w:r>
    </w:p>
    <w:p w:rsidR="00E8693F" w:rsidRPr="00C76453" w:rsidRDefault="00E8693F" w:rsidP="00C76453">
      <w:pPr>
        <w:pStyle w:val="Parasts1"/>
        <w:ind w:firstLine="720"/>
        <w:rPr>
          <w:color w:val="000000"/>
          <w:sz w:val="28"/>
          <w:szCs w:val="28"/>
          <w:lang w:val="lv-LV"/>
        </w:rPr>
      </w:pPr>
      <w:r>
        <w:rPr>
          <w:color w:val="000000"/>
          <w:sz w:val="28"/>
          <w:szCs w:val="28"/>
          <w:lang w:val="lv-LV"/>
        </w:rPr>
        <w:tab/>
      </w:r>
      <w:r>
        <w:rPr>
          <w:color w:val="000000"/>
          <w:sz w:val="28"/>
          <w:szCs w:val="28"/>
          <w:lang w:val="lv-LV"/>
        </w:rPr>
        <w:tab/>
        <w:t xml:space="preserve"> </w:t>
      </w:r>
      <w:r>
        <w:rPr>
          <w:color w:val="000000"/>
          <w:sz w:val="28"/>
          <w:szCs w:val="28"/>
          <w:lang w:val="lv-LV"/>
        </w:rPr>
        <w:tab/>
      </w:r>
      <w:r>
        <w:rPr>
          <w:color w:val="000000"/>
          <w:sz w:val="28"/>
          <w:szCs w:val="28"/>
          <w:lang w:val="lv-LV"/>
        </w:rPr>
        <w:tab/>
      </w:r>
    </w:p>
    <w:p w:rsidR="0020498D" w:rsidRPr="0020498D" w:rsidRDefault="0020498D" w:rsidP="00966BA9">
      <w:pPr>
        <w:pStyle w:val="naisf"/>
        <w:spacing w:before="0" w:beforeAutospacing="0" w:after="0" w:afterAutospacing="0"/>
        <w:rPr>
          <w:color w:val="000000"/>
          <w:sz w:val="20"/>
          <w:szCs w:val="20"/>
          <w:lang w:val="lv-LV"/>
        </w:rPr>
      </w:pPr>
      <w:r w:rsidRPr="0020498D">
        <w:rPr>
          <w:color w:val="000000"/>
          <w:sz w:val="20"/>
          <w:szCs w:val="20"/>
          <w:lang w:val="lv-LV"/>
        </w:rPr>
        <w:t>2013.02.22. 9:27</w:t>
      </w:r>
    </w:p>
    <w:p w:rsidR="00E8693F" w:rsidRPr="0020498D" w:rsidRDefault="009F2E74" w:rsidP="00966BA9">
      <w:pPr>
        <w:pStyle w:val="naisf"/>
        <w:spacing w:before="0" w:beforeAutospacing="0" w:after="0" w:afterAutospacing="0"/>
        <w:rPr>
          <w:color w:val="000000"/>
          <w:sz w:val="20"/>
          <w:szCs w:val="20"/>
          <w:lang w:val="fr-FR"/>
        </w:rPr>
      </w:pPr>
      <w:fldSimple w:instr=" NUMWORDS   \* MERGEFORMAT ">
        <w:r w:rsidR="0020498D" w:rsidRPr="0020498D">
          <w:rPr>
            <w:noProof/>
            <w:sz w:val="20"/>
            <w:szCs w:val="20"/>
          </w:rPr>
          <w:t>821</w:t>
        </w:r>
      </w:fldSimple>
    </w:p>
    <w:p w:rsidR="00E8693F" w:rsidRPr="0020498D" w:rsidRDefault="00E8693F" w:rsidP="00966BA9">
      <w:pPr>
        <w:pStyle w:val="naisf"/>
        <w:spacing w:before="0" w:beforeAutospacing="0" w:after="0" w:afterAutospacing="0"/>
        <w:rPr>
          <w:color w:val="000000"/>
          <w:sz w:val="20"/>
          <w:szCs w:val="20"/>
          <w:lang w:val="lv-LV"/>
        </w:rPr>
      </w:pPr>
      <w:r w:rsidRPr="0020498D">
        <w:rPr>
          <w:color w:val="000000"/>
          <w:sz w:val="20"/>
          <w:szCs w:val="20"/>
          <w:lang w:val="lv-LV"/>
        </w:rPr>
        <w:t>G.Melkins</w:t>
      </w:r>
    </w:p>
    <w:p w:rsidR="00E8693F" w:rsidRPr="0020498D" w:rsidRDefault="00E8693F" w:rsidP="00A40CE8">
      <w:pPr>
        <w:pStyle w:val="naisf"/>
        <w:spacing w:before="0" w:beforeAutospacing="0" w:after="0" w:afterAutospacing="0"/>
        <w:rPr>
          <w:color w:val="000000"/>
          <w:sz w:val="20"/>
          <w:szCs w:val="20"/>
          <w:lang w:val="lv-LV"/>
        </w:rPr>
      </w:pPr>
      <w:r w:rsidRPr="0020498D">
        <w:rPr>
          <w:color w:val="000000"/>
          <w:sz w:val="20"/>
          <w:szCs w:val="20"/>
          <w:lang w:val="lv-LV"/>
        </w:rPr>
        <w:t>67027207, Gints.Melkins@zm.gov.lv</w:t>
      </w:r>
    </w:p>
    <w:sectPr w:rsidR="00E8693F" w:rsidRPr="0020498D" w:rsidSect="007C7C3A">
      <w:pgSz w:w="16838" w:h="11906" w:orient="landscape" w:code="9"/>
      <w:pgMar w:top="1701" w:right="1418"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632" w:rsidRDefault="006B6632">
      <w:pPr>
        <w:pStyle w:val="Parasts1"/>
      </w:pPr>
      <w:r>
        <w:separator/>
      </w:r>
    </w:p>
  </w:endnote>
  <w:endnote w:type="continuationSeparator" w:id="0">
    <w:p w:rsidR="006B6632" w:rsidRDefault="006B6632">
      <w:pPr>
        <w:pStyle w:val="Parasts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Courier New">
    <w:panose1 w:val="02070309020205020404"/>
    <w:charset w:val="BA"/>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93F" w:rsidRPr="00015467" w:rsidRDefault="00E8693F" w:rsidP="00727D76">
    <w:pPr>
      <w:pStyle w:val="Kjene"/>
      <w:jc w:val="both"/>
      <w:rPr>
        <w:sz w:val="20"/>
        <w:szCs w:val="20"/>
        <w:lang w:val="lv-LV"/>
      </w:rPr>
    </w:pPr>
    <w:r>
      <w:rPr>
        <w:sz w:val="20"/>
        <w:szCs w:val="20"/>
        <w:lang w:val="lv-LV"/>
      </w:rPr>
      <w:t>ZMNot_200213_atbilstiba</w:t>
    </w:r>
    <w:r w:rsidRPr="00361F94">
      <w:rPr>
        <w:sz w:val="20"/>
        <w:szCs w:val="20"/>
        <w:lang w:val="lv-LV"/>
      </w:rPr>
      <w:t xml:space="preserve">; </w:t>
    </w:r>
    <w:r>
      <w:rPr>
        <w:sz w:val="20"/>
        <w:szCs w:val="20"/>
        <w:lang w:val="lv-LV"/>
      </w:rPr>
      <w:t>Grozījumi Ministru kabineta 2006.gada 27.jūnija noteikumos Nr.535</w:t>
    </w:r>
    <w:r w:rsidRPr="00015467">
      <w:rPr>
        <w:sz w:val="20"/>
        <w:szCs w:val="20"/>
        <w:lang w:val="lv-LV"/>
      </w:rPr>
      <w:t xml:space="preserve"> </w:t>
    </w:r>
    <w:r>
      <w:rPr>
        <w:sz w:val="20"/>
        <w:szCs w:val="20"/>
        <w:lang w:val="lv-LV"/>
      </w:rPr>
      <w:t>„Lauksaimniecībā vai mežsaimniecībā izmantojamo traktoru, piekabju un to sastāvdaļu atbilstības novērtēšanas noteikumi”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93F" w:rsidRPr="00015467" w:rsidRDefault="00E8693F" w:rsidP="003F2616">
    <w:pPr>
      <w:pStyle w:val="Kjene"/>
      <w:jc w:val="both"/>
      <w:rPr>
        <w:sz w:val="20"/>
        <w:szCs w:val="20"/>
        <w:lang w:val="lv-LV"/>
      </w:rPr>
    </w:pPr>
    <w:r>
      <w:rPr>
        <w:sz w:val="20"/>
        <w:szCs w:val="20"/>
        <w:lang w:val="lv-LV"/>
      </w:rPr>
      <w:t>ZMNot_200213_atbilstiba</w:t>
    </w:r>
    <w:r w:rsidRPr="00361F94">
      <w:rPr>
        <w:sz w:val="20"/>
        <w:szCs w:val="20"/>
        <w:lang w:val="lv-LV"/>
      </w:rPr>
      <w:t xml:space="preserve">; </w:t>
    </w:r>
    <w:r>
      <w:rPr>
        <w:sz w:val="20"/>
        <w:szCs w:val="20"/>
        <w:lang w:val="lv-LV"/>
      </w:rPr>
      <w:t>Grozījumi Ministru kabineta 2006.gada 27.jūnija noteikumos Nr.535</w:t>
    </w:r>
    <w:r w:rsidRPr="00015467">
      <w:rPr>
        <w:sz w:val="20"/>
        <w:szCs w:val="20"/>
        <w:lang w:val="lv-LV"/>
      </w:rPr>
      <w:t xml:space="preserve"> </w:t>
    </w:r>
    <w:r>
      <w:rPr>
        <w:sz w:val="20"/>
        <w:szCs w:val="20"/>
        <w:lang w:val="lv-LV"/>
      </w:rPr>
      <w:t>„Lauksaimniecībā vai mežsaimniecībā izmantojamo traktoru, piekabju un to sastāvdaļu atbilstības novērtēšanas noteikumi”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632" w:rsidRDefault="006B6632">
      <w:pPr>
        <w:pStyle w:val="Parasts1"/>
      </w:pPr>
      <w:r>
        <w:separator/>
      </w:r>
    </w:p>
  </w:footnote>
  <w:footnote w:type="continuationSeparator" w:id="0">
    <w:p w:rsidR="006B6632" w:rsidRDefault="006B6632">
      <w:pPr>
        <w:pStyle w:val="Parasts1"/>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93F" w:rsidRDefault="009F2E74">
    <w:pPr>
      <w:pStyle w:val="Galvene"/>
      <w:framePr w:wrap="around" w:vAnchor="text" w:hAnchor="margin" w:xAlign="center" w:y="1"/>
      <w:rPr>
        <w:rStyle w:val="Lappusesnumurs"/>
      </w:rPr>
    </w:pPr>
    <w:r>
      <w:rPr>
        <w:rStyle w:val="Lappusesnumurs"/>
      </w:rPr>
      <w:fldChar w:fldCharType="begin"/>
    </w:r>
    <w:r w:rsidR="00E8693F">
      <w:rPr>
        <w:rStyle w:val="Lappusesnumurs"/>
      </w:rPr>
      <w:instrText xml:space="preserve">PAGE  </w:instrText>
    </w:r>
    <w:r>
      <w:rPr>
        <w:rStyle w:val="Lappusesnumurs"/>
      </w:rPr>
      <w:fldChar w:fldCharType="end"/>
    </w:r>
  </w:p>
  <w:p w:rsidR="00E8693F" w:rsidRDefault="00E8693F">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93F" w:rsidRPr="003F2616" w:rsidRDefault="009F2E74">
    <w:pPr>
      <w:pStyle w:val="Galvene"/>
      <w:jc w:val="center"/>
      <w:rPr>
        <w:sz w:val="24"/>
        <w:szCs w:val="24"/>
      </w:rPr>
    </w:pPr>
    <w:r w:rsidRPr="003F2616">
      <w:rPr>
        <w:sz w:val="24"/>
        <w:szCs w:val="24"/>
      </w:rPr>
      <w:fldChar w:fldCharType="begin"/>
    </w:r>
    <w:r w:rsidR="00E8693F" w:rsidRPr="003F2616">
      <w:rPr>
        <w:sz w:val="24"/>
        <w:szCs w:val="24"/>
      </w:rPr>
      <w:instrText xml:space="preserve"> PAGE   \* MERGEFORMAT </w:instrText>
    </w:r>
    <w:r w:rsidRPr="003F2616">
      <w:rPr>
        <w:sz w:val="24"/>
        <w:szCs w:val="24"/>
      </w:rPr>
      <w:fldChar w:fldCharType="separate"/>
    </w:r>
    <w:r w:rsidR="00FD279E">
      <w:rPr>
        <w:noProof/>
        <w:sz w:val="24"/>
        <w:szCs w:val="24"/>
      </w:rPr>
      <w:t>3</w:t>
    </w:r>
    <w:r w:rsidRPr="003F2616">
      <w:rPr>
        <w:sz w:val="24"/>
        <w:szCs w:val="24"/>
      </w:rPr>
      <w:fldChar w:fldCharType="end"/>
    </w:r>
  </w:p>
  <w:p w:rsidR="00E8693F" w:rsidRPr="003F2616" w:rsidRDefault="00E8693F" w:rsidP="003F2616">
    <w:pPr>
      <w:pStyle w:val="Galvene"/>
      <w:rPr>
        <w:sz w:val="24"/>
        <w:szCs w:val="24"/>
        <w:lang w:val="lv-LV"/>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64D1F"/>
    <w:multiLevelType w:val="hybridMultilevel"/>
    <w:tmpl w:val="CD34D0FC"/>
    <w:lvl w:ilvl="0" w:tplc="6390F8E4">
      <w:start w:val="4"/>
      <w:numFmt w:val="decimal"/>
      <w:lvlText w:val="%1."/>
      <w:lvlJc w:val="left"/>
      <w:pPr>
        <w:tabs>
          <w:tab w:val="num" w:pos="720"/>
        </w:tabs>
        <w:ind w:left="720" w:hanging="360"/>
      </w:pPr>
      <w:rPr>
        <w:rFonts w:eastAsia="Arial Unicode M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807218B"/>
    <w:multiLevelType w:val="hybridMultilevel"/>
    <w:tmpl w:val="9BEAEB56"/>
    <w:lvl w:ilvl="0" w:tplc="04260017">
      <w:start w:val="1"/>
      <w:numFmt w:val="lowerLetter"/>
      <w:lvlText w:val="%1)"/>
      <w:lvlJc w:val="left"/>
      <w:pPr>
        <w:tabs>
          <w:tab w:val="num" w:pos="360"/>
        </w:tabs>
        <w:ind w:left="360" w:hanging="360"/>
      </w:pPr>
      <w:rPr>
        <w:rFonts w:cs="Times New Roman" w:hint="default"/>
      </w:rPr>
    </w:lvl>
    <w:lvl w:ilvl="1" w:tplc="04260019" w:tentative="1">
      <w:start w:val="1"/>
      <w:numFmt w:val="lowerLetter"/>
      <w:lvlText w:val="%2."/>
      <w:lvlJc w:val="left"/>
      <w:pPr>
        <w:tabs>
          <w:tab w:val="num" w:pos="1080"/>
        </w:tabs>
        <w:ind w:left="1080" w:hanging="360"/>
      </w:pPr>
      <w:rPr>
        <w:rFonts w:cs="Times New Roman"/>
      </w:rPr>
    </w:lvl>
    <w:lvl w:ilvl="2" w:tplc="0426001B" w:tentative="1">
      <w:start w:val="1"/>
      <w:numFmt w:val="lowerRoman"/>
      <w:lvlText w:val="%3."/>
      <w:lvlJc w:val="right"/>
      <w:pPr>
        <w:tabs>
          <w:tab w:val="num" w:pos="1800"/>
        </w:tabs>
        <w:ind w:left="1800" w:hanging="180"/>
      </w:pPr>
      <w:rPr>
        <w:rFonts w:cs="Times New Roman"/>
      </w:rPr>
    </w:lvl>
    <w:lvl w:ilvl="3" w:tplc="0426000F" w:tentative="1">
      <w:start w:val="1"/>
      <w:numFmt w:val="decimal"/>
      <w:lvlText w:val="%4."/>
      <w:lvlJc w:val="left"/>
      <w:pPr>
        <w:tabs>
          <w:tab w:val="num" w:pos="2520"/>
        </w:tabs>
        <w:ind w:left="2520" w:hanging="360"/>
      </w:pPr>
      <w:rPr>
        <w:rFonts w:cs="Times New Roman"/>
      </w:rPr>
    </w:lvl>
    <w:lvl w:ilvl="4" w:tplc="04260019" w:tentative="1">
      <w:start w:val="1"/>
      <w:numFmt w:val="lowerLetter"/>
      <w:lvlText w:val="%5."/>
      <w:lvlJc w:val="left"/>
      <w:pPr>
        <w:tabs>
          <w:tab w:val="num" w:pos="3240"/>
        </w:tabs>
        <w:ind w:left="3240" w:hanging="360"/>
      </w:pPr>
      <w:rPr>
        <w:rFonts w:cs="Times New Roman"/>
      </w:rPr>
    </w:lvl>
    <w:lvl w:ilvl="5" w:tplc="0426001B" w:tentative="1">
      <w:start w:val="1"/>
      <w:numFmt w:val="lowerRoman"/>
      <w:lvlText w:val="%6."/>
      <w:lvlJc w:val="right"/>
      <w:pPr>
        <w:tabs>
          <w:tab w:val="num" w:pos="3960"/>
        </w:tabs>
        <w:ind w:left="3960" w:hanging="180"/>
      </w:pPr>
      <w:rPr>
        <w:rFonts w:cs="Times New Roman"/>
      </w:rPr>
    </w:lvl>
    <w:lvl w:ilvl="6" w:tplc="0426000F" w:tentative="1">
      <w:start w:val="1"/>
      <w:numFmt w:val="decimal"/>
      <w:lvlText w:val="%7."/>
      <w:lvlJc w:val="left"/>
      <w:pPr>
        <w:tabs>
          <w:tab w:val="num" w:pos="4680"/>
        </w:tabs>
        <w:ind w:left="4680" w:hanging="360"/>
      </w:pPr>
      <w:rPr>
        <w:rFonts w:cs="Times New Roman"/>
      </w:rPr>
    </w:lvl>
    <w:lvl w:ilvl="7" w:tplc="04260019" w:tentative="1">
      <w:start w:val="1"/>
      <w:numFmt w:val="lowerLetter"/>
      <w:lvlText w:val="%8."/>
      <w:lvlJc w:val="left"/>
      <w:pPr>
        <w:tabs>
          <w:tab w:val="num" w:pos="5400"/>
        </w:tabs>
        <w:ind w:left="5400" w:hanging="360"/>
      </w:pPr>
      <w:rPr>
        <w:rFonts w:cs="Times New Roman"/>
      </w:rPr>
    </w:lvl>
    <w:lvl w:ilvl="8" w:tplc="0426001B" w:tentative="1">
      <w:start w:val="1"/>
      <w:numFmt w:val="lowerRoman"/>
      <w:lvlText w:val="%9."/>
      <w:lvlJc w:val="right"/>
      <w:pPr>
        <w:tabs>
          <w:tab w:val="num" w:pos="6120"/>
        </w:tabs>
        <w:ind w:left="6120" w:hanging="180"/>
      </w:pPr>
      <w:rPr>
        <w:rFonts w:cs="Times New Roman"/>
      </w:rPr>
    </w:lvl>
  </w:abstractNum>
  <w:abstractNum w:abstractNumId="2">
    <w:nsid w:val="0D99594D"/>
    <w:multiLevelType w:val="hybridMultilevel"/>
    <w:tmpl w:val="E1A882B6"/>
    <w:lvl w:ilvl="0" w:tplc="591AA642">
      <w:start w:val="1"/>
      <w:numFmt w:val="decimal"/>
      <w:lvlText w:val="%1."/>
      <w:lvlJc w:val="left"/>
      <w:pPr>
        <w:tabs>
          <w:tab w:val="num" w:pos="756"/>
        </w:tabs>
        <w:ind w:left="756" w:hanging="39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F20036B"/>
    <w:multiLevelType w:val="hybridMultilevel"/>
    <w:tmpl w:val="BC8A762A"/>
    <w:lvl w:ilvl="0" w:tplc="6390F8E4">
      <w:start w:val="4"/>
      <w:numFmt w:val="decimal"/>
      <w:lvlText w:val="%1."/>
      <w:lvlJc w:val="left"/>
      <w:pPr>
        <w:tabs>
          <w:tab w:val="num" w:pos="360"/>
        </w:tabs>
        <w:ind w:left="360" w:hanging="360"/>
      </w:pPr>
      <w:rPr>
        <w:rFonts w:eastAsia="Arial Unicode M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1E7F1C4F"/>
    <w:multiLevelType w:val="hybridMultilevel"/>
    <w:tmpl w:val="4EBE1CBE"/>
    <w:lvl w:ilvl="0" w:tplc="6390F8E4">
      <w:start w:val="4"/>
      <w:numFmt w:val="decimal"/>
      <w:lvlText w:val="%1."/>
      <w:lvlJc w:val="left"/>
      <w:pPr>
        <w:tabs>
          <w:tab w:val="num" w:pos="720"/>
        </w:tabs>
        <w:ind w:left="720" w:hanging="360"/>
      </w:pPr>
      <w:rPr>
        <w:rFonts w:eastAsia="Arial Unicode M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7494FE0"/>
    <w:multiLevelType w:val="hybridMultilevel"/>
    <w:tmpl w:val="52C60306"/>
    <w:lvl w:ilvl="0" w:tplc="F7B206C6">
      <w:start w:val="1"/>
      <w:numFmt w:val="decimal"/>
      <w:lvlText w:val="%1."/>
      <w:lvlJc w:val="left"/>
      <w:pPr>
        <w:tabs>
          <w:tab w:val="num" w:pos="1080"/>
        </w:tabs>
        <w:ind w:left="1080" w:hanging="360"/>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6">
    <w:nsid w:val="2CD34FFD"/>
    <w:multiLevelType w:val="singleLevel"/>
    <w:tmpl w:val="40B842A2"/>
    <w:lvl w:ilvl="0">
      <w:start w:val="1"/>
      <w:numFmt w:val="bullet"/>
      <w:lvlRestart w:val="0"/>
      <w:pStyle w:val="Tiret2"/>
      <w:lvlText w:val="–"/>
      <w:lvlJc w:val="left"/>
      <w:pPr>
        <w:tabs>
          <w:tab w:val="num" w:pos="1984"/>
        </w:tabs>
        <w:ind w:left="1984" w:hanging="567"/>
      </w:pPr>
    </w:lvl>
  </w:abstractNum>
  <w:abstractNum w:abstractNumId="7">
    <w:nsid w:val="2F371CA4"/>
    <w:multiLevelType w:val="hybridMultilevel"/>
    <w:tmpl w:val="DD162926"/>
    <w:lvl w:ilvl="0" w:tplc="6390F8E4">
      <w:start w:val="4"/>
      <w:numFmt w:val="decimal"/>
      <w:lvlText w:val="%1."/>
      <w:lvlJc w:val="left"/>
      <w:pPr>
        <w:tabs>
          <w:tab w:val="num" w:pos="720"/>
        </w:tabs>
        <w:ind w:left="720" w:hanging="360"/>
      </w:pPr>
      <w:rPr>
        <w:rFonts w:eastAsia="Arial Unicode M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B5C7976"/>
    <w:multiLevelType w:val="hybridMultilevel"/>
    <w:tmpl w:val="3DEAA418"/>
    <w:lvl w:ilvl="0" w:tplc="8E5CD7E0">
      <w:start w:val="1"/>
      <w:numFmt w:val="decimal"/>
      <w:lvlText w:val="%1."/>
      <w:lvlJc w:val="left"/>
      <w:pPr>
        <w:tabs>
          <w:tab w:val="num" w:pos="1725"/>
        </w:tabs>
        <w:ind w:left="1725" w:hanging="1005"/>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9">
    <w:nsid w:val="41DC5C82"/>
    <w:multiLevelType w:val="hybridMultilevel"/>
    <w:tmpl w:val="5B20349C"/>
    <w:name w:val="Tiret 2"/>
    <w:lvl w:ilvl="0" w:tplc="9EDE1B50">
      <w:start w:val="1"/>
      <w:numFmt w:val="decimal"/>
      <w:lvlText w:val="%1."/>
      <w:lvlJc w:val="left"/>
      <w:pPr>
        <w:tabs>
          <w:tab w:val="num" w:pos="720"/>
        </w:tabs>
        <w:ind w:left="720" w:hanging="360"/>
      </w:pPr>
      <w:rPr>
        <w:rFonts w:cs="Times New Roman"/>
      </w:rPr>
    </w:lvl>
    <w:lvl w:ilvl="1" w:tplc="24D2F40C" w:tentative="1">
      <w:start w:val="1"/>
      <w:numFmt w:val="lowerLetter"/>
      <w:lvlText w:val="%2."/>
      <w:lvlJc w:val="left"/>
      <w:pPr>
        <w:tabs>
          <w:tab w:val="num" w:pos="1440"/>
        </w:tabs>
        <w:ind w:left="1440" w:hanging="360"/>
      </w:pPr>
      <w:rPr>
        <w:rFonts w:cs="Times New Roman"/>
      </w:rPr>
    </w:lvl>
    <w:lvl w:ilvl="2" w:tplc="F1AE2C32" w:tentative="1">
      <w:start w:val="1"/>
      <w:numFmt w:val="lowerRoman"/>
      <w:lvlText w:val="%3."/>
      <w:lvlJc w:val="right"/>
      <w:pPr>
        <w:tabs>
          <w:tab w:val="num" w:pos="2160"/>
        </w:tabs>
        <w:ind w:left="2160" w:hanging="180"/>
      </w:pPr>
      <w:rPr>
        <w:rFonts w:cs="Times New Roman"/>
      </w:rPr>
    </w:lvl>
    <w:lvl w:ilvl="3" w:tplc="DA52027C" w:tentative="1">
      <w:start w:val="1"/>
      <w:numFmt w:val="decimal"/>
      <w:lvlText w:val="%4."/>
      <w:lvlJc w:val="left"/>
      <w:pPr>
        <w:tabs>
          <w:tab w:val="num" w:pos="2880"/>
        </w:tabs>
        <w:ind w:left="2880" w:hanging="360"/>
      </w:pPr>
      <w:rPr>
        <w:rFonts w:cs="Times New Roman"/>
      </w:rPr>
    </w:lvl>
    <w:lvl w:ilvl="4" w:tplc="ACD01580" w:tentative="1">
      <w:start w:val="1"/>
      <w:numFmt w:val="lowerLetter"/>
      <w:lvlText w:val="%5."/>
      <w:lvlJc w:val="left"/>
      <w:pPr>
        <w:tabs>
          <w:tab w:val="num" w:pos="3600"/>
        </w:tabs>
        <w:ind w:left="3600" w:hanging="360"/>
      </w:pPr>
      <w:rPr>
        <w:rFonts w:cs="Times New Roman"/>
      </w:rPr>
    </w:lvl>
    <w:lvl w:ilvl="5" w:tplc="50AC2BAE" w:tentative="1">
      <w:start w:val="1"/>
      <w:numFmt w:val="lowerRoman"/>
      <w:lvlText w:val="%6."/>
      <w:lvlJc w:val="right"/>
      <w:pPr>
        <w:tabs>
          <w:tab w:val="num" w:pos="4320"/>
        </w:tabs>
        <w:ind w:left="4320" w:hanging="180"/>
      </w:pPr>
      <w:rPr>
        <w:rFonts w:cs="Times New Roman"/>
      </w:rPr>
    </w:lvl>
    <w:lvl w:ilvl="6" w:tplc="3124A2B8" w:tentative="1">
      <w:start w:val="1"/>
      <w:numFmt w:val="decimal"/>
      <w:lvlText w:val="%7."/>
      <w:lvlJc w:val="left"/>
      <w:pPr>
        <w:tabs>
          <w:tab w:val="num" w:pos="5040"/>
        </w:tabs>
        <w:ind w:left="5040" w:hanging="360"/>
      </w:pPr>
      <w:rPr>
        <w:rFonts w:cs="Times New Roman"/>
      </w:rPr>
    </w:lvl>
    <w:lvl w:ilvl="7" w:tplc="119E22F0" w:tentative="1">
      <w:start w:val="1"/>
      <w:numFmt w:val="lowerLetter"/>
      <w:lvlText w:val="%8."/>
      <w:lvlJc w:val="left"/>
      <w:pPr>
        <w:tabs>
          <w:tab w:val="num" w:pos="5760"/>
        </w:tabs>
        <w:ind w:left="5760" w:hanging="360"/>
      </w:pPr>
      <w:rPr>
        <w:rFonts w:cs="Times New Roman"/>
      </w:rPr>
    </w:lvl>
    <w:lvl w:ilvl="8" w:tplc="A3EE80A0" w:tentative="1">
      <w:start w:val="1"/>
      <w:numFmt w:val="lowerRoman"/>
      <w:lvlText w:val="%9."/>
      <w:lvlJc w:val="right"/>
      <w:pPr>
        <w:tabs>
          <w:tab w:val="num" w:pos="6480"/>
        </w:tabs>
        <w:ind w:left="6480" w:hanging="180"/>
      </w:pPr>
      <w:rPr>
        <w:rFonts w:cs="Times New Roman"/>
      </w:rPr>
    </w:lvl>
  </w:abstractNum>
  <w:abstractNum w:abstractNumId="10">
    <w:nsid w:val="432B0925"/>
    <w:multiLevelType w:val="hybridMultilevel"/>
    <w:tmpl w:val="0BA2954C"/>
    <w:lvl w:ilvl="0" w:tplc="0409000F">
      <w:start w:val="4"/>
      <w:numFmt w:val="decimal"/>
      <w:lvlText w:val="%1."/>
      <w:lvlJc w:val="left"/>
      <w:pPr>
        <w:tabs>
          <w:tab w:val="num" w:pos="720"/>
        </w:tabs>
        <w:ind w:left="720" w:hanging="360"/>
      </w:pPr>
      <w:rPr>
        <w:rFonts w:eastAsia="Arial Unicode M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53A820B2"/>
    <w:multiLevelType w:val="hybridMultilevel"/>
    <w:tmpl w:val="F064C8D8"/>
    <w:lvl w:ilvl="0" w:tplc="6390F8E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56AD64DD"/>
    <w:multiLevelType w:val="hybridMultilevel"/>
    <w:tmpl w:val="7ED4F704"/>
    <w:lvl w:ilvl="0" w:tplc="0409000F">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57DF3C1F"/>
    <w:multiLevelType w:val="hybridMultilevel"/>
    <w:tmpl w:val="7A22EA8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634A4974"/>
    <w:multiLevelType w:val="multilevel"/>
    <w:tmpl w:val="379848DA"/>
    <w:lvl w:ilvl="0">
      <w:start w:val="1"/>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70263EBC"/>
    <w:multiLevelType w:val="multilevel"/>
    <w:tmpl w:val="F642F610"/>
    <w:lvl w:ilvl="0">
      <w:start w:val="5"/>
      <w:numFmt w:val="decimal"/>
      <w:lvlText w:val="%1."/>
      <w:lvlJc w:val="left"/>
      <w:pPr>
        <w:tabs>
          <w:tab w:val="num" w:pos="528"/>
        </w:tabs>
        <w:ind w:left="528" w:hanging="528"/>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70943349"/>
    <w:multiLevelType w:val="hybridMultilevel"/>
    <w:tmpl w:val="0B8A01B2"/>
    <w:lvl w:ilvl="0" w:tplc="F964201A">
      <w:start w:val="4"/>
      <w:numFmt w:val="decimal"/>
      <w:lvlText w:val="%1."/>
      <w:lvlJc w:val="left"/>
      <w:pPr>
        <w:tabs>
          <w:tab w:val="num" w:pos="720"/>
        </w:tabs>
        <w:ind w:left="720" w:hanging="360"/>
      </w:pPr>
      <w:rPr>
        <w:rFonts w:eastAsia="Arial Unicode MS" w:cs="Times New Roman" w:hint="default"/>
      </w:rPr>
    </w:lvl>
    <w:lvl w:ilvl="1" w:tplc="C7DCD7F8" w:tentative="1">
      <w:start w:val="1"/>
      <w:numFmt w:val="lowerLetter"/>
      <w:lvlText w:val="%2."/>
      <w:lvlJc w:val="left"/>
      <w:pPr>
        <w:tabs>
          <w:tab w:val="num" w:pos="1440"/>
        </w:tabs>
        <w:ind w:left="1440" w:hanging="360"/>
      </w:pPr>
      <w:rPr>
        <w:rFonts w:cs="Times New Roman"/>
      </w:rPr>
    </w:lvl>
    <w:lvl w:ilvl="2" w:tplc="05EC928E" w:tentative="1">
      <w:start w:val="1"/>
      <w:numFmt w:val="lowerRoman"/>
      <w:lvlText w:val="%3."/>
      <w:lvlJc w:val="right"/>
      <w:pPr>
        <w:tabs>
          <w:tab w:val="num" w:pos="2160"/>
        </w:tabs>
        <w:ind w:left="2160" w:hanging="180"/>
      </w:pPr>
      <w:rPr>
        <w:rFonts w:cs="Times New Roman"/>
      </w:rPr>
    </w:lvl>
    <w:lvl w:ilvl="3" w:tplc="EE282040" w:tentative="1">
      <w:start w:val="1"/>
      <w:numFmt w:val="decimal"/>
      <w:lvlText w:val="%4."/>
      <w:lvlJc w:val="left"/>
      <w:pPr>
        <w:tabs>
          <w:tab w:val="num" w:pos="2880"/>
        </w:tabs>
        <w:ind w:left="2880" w:hanging="360"/>
      </w:pPr>
      <w:rPr>
        <w:rFonts w:cs="Times New Roman"/>
      </w:rPr>
    </w:lvl>
    <w:lvl w:ilvl="4" w:tplc="829E88F0" w:tentative="1">
      <w:start w:val="1"/>
      <w:numFmt w:val="lowerLetter"/>
      <w:lvlText w:val="%5."/>
      <w:lvlJc w:val="left"/>
      <w:pPr>
        <w:tabs>
          <w:tab w:val="num" w:pos="3600"/>
        </w:tabs>
        <w:ind w:left="3600" w:hanging="360"/>
      </w:pPr>
      <w:rPr>
        <w:rFonts w:cs="Times New Roman"/>
      </w:rPr>
    </w:lvl>
    <w:lvl w:ilvl="5" w:tplc="E4D0AD70" w:tentative="1">
      <w:start w:val="1"/>
      <w:numFmt w:val="lowerRoman"/>
      <w:lvlText w:val="%6."/>
      <w:lvlJc w:val="right"/>
      <w:pPr>
        <w:tabs>
          <w:tab w:val="num" w:pos="4320"/>
        </w:tabs>
        <w:ind w:left="4320" w:hanging="180"/>
      </w:pPr>
      <w:rPr>
        <w:rFonts w:cs="Times New Roman"/>
      </w:rPr>
    </w:lvl>
    <w:lvl w:ilvl="6" w:tplc="1242C5B4" w:tentative="1">
      <w:start w:val="1"/>
      <w:numFmt w:val="decimal"/>
      <w:lvlText w:val="%7."/>
      <w:lvlJc w:val="left"/>
      <w:pPr>
        <w:tabs>
          <w:tab w:val="num" w:pos="5040"/>
        </w:tabs>
        <w:ind w:left="5040" w:hanging="360"/>
      </w:pPr>
      <w:rPr>
        <w:rFonts w:cs="Times New Roman"/>
      </w:rPr>
    </w:lvl>
    <w:lvl w:ilvl="7" w:tplc="0DC8FFF2" w:tentative="1">
      <w:start w:val="1"/>
      <w:numFmt w:val="lowerLetter"/>
      <w:lvlText w:val="%8."/>
      <w:lvlJc w:val="left"/>
      <w:pPr>
        <w:tabs>
          <w:tab w:val="num" w:pos="5760"/>
        </w:tabs>
        <w:ind w:left="5760" w:hanging="360"/>
      </w:pPr>
      <w:rPr>
        <w:rFonts w:cs="Times New Roman"/>
      </w:rPr>
    </w:lvl>
    <w:lvl w:ilvl="8" w:tplc="6D56FF02" w:tentative="1">
      <w:start w:val="1"/>
      <w:numFmt w:val="lowerRoman"/>
      <w:lvlText w:val="%9."/>
      <w:lvlJc w:val="right"/>
      <w:pPr>
        <w:tabs>
          <w:tab w:val="num" w:pos="6480"/>
        </w:tabs>
        <w:ind w:left="6480" w:hanging="180"/>
      </w:pPr>
      <w:rPr>
        <w:rFonts w:cs="Times New Roman"/>
      </w:rPr>
    </w:lvl>
  </w:abstractNum>
  <w:abstractNum w:abstractNumId="17">
    <w:nsid w:val="7CA359FC"/>
    <w:multiLevelType w:val="multilevel"/>
    <w:tmpl w:val="E3EC9A26"/>
    <w:lvl w:ilvl="0">
      <w:start w:val="3"/>
      <w:numFmt w:val="decimal"/>
      <w:lvlText w:val="%1."/>
      <w:lvlJc w:val="left"/>
      <w:pPr>
        <w:tabs>
          <w:tab w:val="num" w:pos="768"/>
        </w:tabs>
        <w:ind w:left="768" w:hanging="768"/>
      </w:pPr>
      <w:rPr>
        <w:rFonts w:cs="Times New Roman" w:hint="default"/>
      </w:rPr>
    </w:lvl>
    <w:lvl w:ilvl="1">
      <w:start w:val="6"/>
      <w:numFmt w:val="decimal"/>
      <w:lvlText w:val="%1.%2."/>
      <w:lvlJc w:val="left"/>
      <w:pPr>
        <w:tabs>
          <w:tab w:val="num" w:pos="768"/>
        </w:tabs>
        <w:ind w:left="768" w:hanging="768"/>
      </w:pPr>
      <w:rPr>
        <w:rFonts w:cs="Times New Roman" w:hint="default"/>
      </w:rPr>
    </w:lvl>
    <w:lvl w:ilvl="2">
      <w:start w:val="1"/>
      <w:numFmt w:val="decimal"/>
      <w:lvlText w:val="%1.%2.%3."/>
      <w:lvlJc w:val="left"/>
      <w:pPr>
        <w:tabs>
          <w:tab w:val="num" w:pos="768"/>
        </w:tabs>
        <w:ind w:left="768" w:hanging="768"/>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nsid w:val="7D0F069F"/>
    <w:multiLevelType w:val="hybridMultilevel"/>
    <w:tmpl w:val="7FC6358A"/>
    <w:lvl w:ilvl="0" w:tplc="D9041708">
      <w:start w:val="4"/>
      <w:numFmt w:val="decimal"/>
      <w:lvlText w:val="%1."/>
      <w:lvlJc w:val="left"/>
      <w:pPr>
        <w:tabs>
          <w:tab w:val="num" w:pos="720"/>
        </w:tabs>
        <w:ind w:left="720" w:hanging="360"/>
      </w:pPr>
      <w:rPr>
        <w:rFonts w:eastAsia="Arial Unicode MS" w:cs="Times New Roman" w:hint="default"/>
      </w:rPr>
    </w:lvl>
    <w:lvl w:ilvl="1" w:tplc="E82692EC" w:tentative="1">
      <w:start w:val="1"/>
      <w:numFmt w:val="lowerLetter"/>
      <w:lvlText w:val="%2."/>
      <w:lvlJc w:val="left"/>
      <w:pPr>
        <w:tabs>
          <w:tab w:val="num" w:pos="1440"/>
        </w:tabs>
        <w:ind w:left="1440" w:hanging="360"/>
      </w:pPr>
      <w:rPr>
        <w:rFonts w:cs="Times New Roman"/>
      </w:rPr>
    </w:lvl>
    <w:lvl w:ilvl="2" w:tplc="E542B3F4" w:tentative="1">
      <w:start w:val="1"/>
      <w:numFmt w:val="lowerRoman"/>
      <w:lvlText w:val="%3."/>
      <w:lvlJc w:val="right"/>
      <w:pPr>
        <w:tabs>
          <w:tab w:val="num" w:pos="2160"/>
        </w:tabs>
        <w:ind w:left="2160" w:hanging="180"/>
      </w:pPr>
      <w:rPr>
        <w:rFonts w:cs="Times New Roman"/>
      </w:rPr>
    </w:lvl>
    <w:lvl w:ilvl="3" w:tplc="03C88030" w:tentative="1">
      <w:start w:val="1"/>
      <w:numFmt w:val="decimal"/>
      <w:lvlText w:val="%4."/>
      <w:lvlJc w:val="left"/>
      <w:pPr>
        <w:tabs>
          <w:tab w:val="num" w:pos="2880"/>
        </w:tabs>
        <w:ind w:left="2880" w:hanging="360"/>
      </w:pPr>
      <w:rPr>
        <w:rFonts w:cs="Times New Roman"/>
      </w:rPr>
    </w:lvl>
    <w:lvl w:ilvl="4" w:tplc="14B6E6C6" w:tentative="1">
      <w:start w:val="1"/>
      <w:numFmt w:val="lowerLetter"/>
      <w:lvlText w:val="%5."/>
      <w:lvlJc w:val="left"/>
      <w:pPr>
        <w:tabs>
          <w:tab w:val="num" w:pos="3600"/>
        </w:tabs>
        <w:ind w:left="3600" w:hanging="360"/>
      </w:pPr>
      <w:rPr>
        <w:rFonts w:cs="Times New Roman"/>
      </w:rPr>
    </w:lvl>
    <w:lvl w:ilvl="5" w:tplc="004A798A" w:tentative="1">
      <w:start w:val="1"/>
      <w:numFmt w:val="lowerRoman"/>
      <w:lvlText w:val="%6."/>
      <w:lvlJc w:val="right"/>
      <w:pPr>
        <w:tabs>
          <w:tab w:val="num" w:pos="4320"/>
        </w:tabs>
        <w:ind w:left="4320" w:hanging="180"/>
      </w:pPr>
      <w:rPr>
        <w:rFonts w:cs="Times New Roman"/>
      </w:rPr>
    </w:lvl>
    <w:lvl w:ilvl="6" w:tplc="117051EE" w:tentative="1">
      <w:start w:val="1"/>
      <w:numFmt w:val="decimal"/>
      <w:lvlText w:val="%7."/>
      <w:lvlJc w:val="left"/>
      <w:pPr>
        <w:tabs>
          <w:tab w:val="num" w:pos="5040"/>
        </w:tabs>
        <w:ind w:left="5040" w:hanging="360"/>
      </w:pPr>
      <w:rPr>
        <w:rFonts w:cs="Times New Roman"/>
      </w:rPr>
    </w:lvl>
    <w:lvl w:ilvl="7" w:tplc="A3EAF9B4" w:tentative="1">
      <w:start w:val="1"/>
      <w:numFmt w:val="lowerLetter"/>
      <w:lvlText w:val="%8."/>
      <w:lvlJc w:val="left"/>
      <w:pPr>
        <w:tabs>
          <w:tab w:val="num" w:pos="5760"/>
        </w:tabs>
        <w:ind w:left="5760" w:hanging="360"/>
      </w:pPr>
      <w:rPr>
        <w:rFonts w:cs="Times New Roman"/>
      </w:rPr>
    </w:lvl>
    <w:lvl w:ilvl="8" w:tplc="06CAB56C" w:tentative="1">
      <w:start w:val="1"/>
      <w:numFmt w:val="lowerRoman"/>
      <w:lvlText w:val="%9."/>
      <w:lvlJc w:val="right"/>
      <w:pPr>
        <w:tabs>
          <w:tab w:val="num" w:pos="6480"/>
        </w:tabs>
        <w:ind w:left="6480" w:hanging="180"/>
      </w:pPr>
      <w:rPr>
        <w:rFonts w:cs="Times New Roman"/>
      </w:rPr>
    </w:lvl>
  </w:abstractNum>
  <w:num w:numId="1">
    <w:abstractNumId w:val="11"/>
  </w:num>
  <w:num w:numId="2">
    <w:abstractNumId w:val="16"/>
  </w:num>
  <w:num w:numId="3">
    <w:abstractNumId w:val="7"/>
  </w:num>
  <w:num w:numId="4">
    <w:abstractNumId w:val="3"/>
  </w:num>
  <w:num w:numId="5">
    <w:abstractNumId w:val="10"/>
  </w:num>
  <w:num w:numId="6">
    <w:abstractNumId w:val="0"/>
  </w:num>
  <w:num w:numId="7">
    <w:abstractNumId w:val="18"/>
  </w:num>
  <w:num w:numId="8">
    <w:abstractNumId w:val="4"/>
  </w:num>
  <w:num w:numId="9">
    <w:abstractNumId w:val="9"/>
  </w:num>
  <w:num w:numId="10">
    <w:abstractNumId w:val="15"/>
  </w:num>
  <w:num w:numId="11">
    <w:abstractNumId w:val="17"/>
  </w:num>
  <w:num w:numId="12">
    <w:abstractNumId w:val="2"/>
  </w:num>
  <w:num w:numId="13">
    <w:abstractNumId w:val="12"/>
  </w:num>
  <w:num w:numId="14">
    <w:abstractNumId w:val="1"/>
  </w:num>
  <w:num w:numId="15">
    <w:abstractNumId w:val="6"/>
  </w:num>
  <w:num w:numId="16">
    <w:abstractNumId w:val="14"/>
  </w:num>
  <w:num w:numId="17">
    <w:abstractNumId w:val="8"/>
  </w:num>
  <w:num w:numId="18">
    <w:abstractNumId w:val="5"/>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gutterAtTop/>
  <w:proofState w:spelling="clean" w:grammar="clean"/>
  <w:stylePaneFormatFilter w:val="3F01"/>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5A6DA8"/>
    <w:rsid w:val="00000F06"/>
    <w:rsid w:val="00001614"/>
    <w:rsid w:val="00003BCF"/>
    <w:rsid w:val="00011B07"/>
    <w:rsid w:val="0001302A"/>
    <w:rsid w:val="00013E31"/>
    <w:rsid w:val="00015467"/>
    <w:rsid w:val="000163B9"/>
    <w:rsid w:val="00022BE1"/>
    <w:rsid w:val="00022D95"/>
    <w:rsid w:val="0002610D"/>
    <w:rsid w:val="00030C4C"/>
    <w:rsid w:val="000322FC"/>
    <w:rsid w:val="0003441B"/>
    <w:rsid w:val="0003556E"/>
    <w:rsid w:val="00035740"/>
    <w:rsid w:val="0003594A"/>
    <w:rsid w:val="00041BC3"/>
    <w:rsid w:val="00041F88"/>
    <w:rsid w:val="00050AA5"/>
    <w:rsid w:val="000614B1"/>
    <w:rsid w:val="00063C19"/>
    <w:rsid w:val="00063C6A"/>
    <w:rsid w:val="00066231"/>
    <w:rsid w:val="000672D6"/>
    <w:rsid w:val="00067458"/>
    <w:rsid w:val="00070BD0"/>
    <w:rsid w:val="00073E9A"/>
    <w:rsid w:val="00077685"/>
    <w:rsid w:val="00080629"/>
    <w:rsid w:val="00080D2D"/>
    <w:rsid w:val="00080EB4"/>
    <w:rsid w:val="00081775"/>
    <w:rsid w:val="00082982"/>
    <w:rsid w:val="00085D96"/>
    <w:rsid w:val="0008737F"/>
    <w:rsid w:val="000874C1"/>
    <w:rsid w:val="00087E92"/>
    <w:rsid w:val="0009029D"/>
    <w:rsid w:val="00090A14"/>
    <w:rsid w:val="000922A0"/>
    <w:rsid w:val="00092669"/>
    <w:rsid w:val="000960BD"/>
    <w:rsid w:val="00096FC6"/>
    <w:rsid w:val="00097507"/>
    <w:rsid w:val="000A0CA8"/>
    <w:rsid w:val="000A23DC"/>
    <w:rsid w:val="000A449D"/>
    <w:rsid w:val="000A7281"/>
    <w:rsid w:val="000A7CED"/>
    <w:rsid w:val="000B141F"/>
    <w:rsid w:val="000B445C"/>
    <w:rsid w:val="000B5195"/>
    <w:rsid w:val="000C0895"/>
    <w:rsid w:val="000C131D"/>
    <w:rsid w:val="000C2C03"/>
    <w:rsid w:val="000C323C"/>
    <w:rsid w:val="000C5287"/>
    <w:rsid w:val="000C6784"/>
    <w:rsid w:val="000D1151"/>
    <w:rsid w:val="000D129F"/>
    <w:rsid w:val="000D3A03"/>
    <w:rsid w:val="000D4AE9"/>
    <w:rsid w:val="000D523B"/>
    <w:rsid w:val="000D56F9"/>
    <w:rsid w:val="000E3314"/>
    <w:rsid w:val="000E742C"/>
    <w:rsid w:val="000E7D1C"/>
    <w:rsid w:val="000E7E35"/>
    <w:rsid w:val="000F011E"/>
    <w:rsid w:val="000F0578"/>
    <w:rsid w:val="000F232C"/>
    <w:rsid w:val="000F3353"/>
    <w:rsid w:val="000F5900"/>
    <w:rsid w:val="000F6599"/>
    <w:rsid w:val="000F68C2"/>
    <w:rsid w:val="001008EE"/>
    <w:rsid w:val="00101DB4"/>
    <w:rsid w:val="001069DD"/>
    <w:rsid w:val="001101E8"/>
    <w:rsid w:val="001104A5"/>
    <w:rsid w:val="001110EE"/>
    <w:rsid w:val="00112726"/>
    <w:rsid w:val="00113EF8"/>
    <w:rsid w:val="00121310"/>
    <w:rsid w:val="00127915"/>
    <w:rsid w:val="00130011"/>
    <w:rsid w:val="00132781"/>
    <w:rsid w:val="0013640D"/>
    <w:rsid w:val="001373A7"/>
    <w:rsid w:val="001407A8"/>
    <w:rsid w:val="00140F47"/>
    <w:rsid w:val="0014301A"/>
    <w:rsid w:val="001470F1"/>
    <w:rsid w:val="00150E28"/>
    <w:rsid w:val="00155ECC"/>
    <w:rsid w:val="001568D2"/>
    <w:rsid w:val="001571D8"/>
    <w:rsid w:val="00161958"/>
    <w:rsid w:val="00163E12"/>
    <w:rsid w:val="00164375"/>
    <w:rsid w:val="00164E0B"/>
    <w:rsid w:val="00174C66"/>
    <w:rsid w:val="00175138"/>
    <w:rsid w:val="00187960"/>
    <w:rsid w:val="00187FB7"/>
    <w:rsid w:val="00191CD0"/>
    <w:rsid w:val="00193302"/>
    <w:rsid w:val="00196330"/>
    <w:rsid w:val="001973F9"/>
    <w:rsid w:val="001A268F"/>
    <w:rsid w:val="001A3241"/>
    <w:rsid w:val="001A36D1"/>
    <w:rsid w:val="001A36DB"/>
    <w:rsid w:val="001A37A3"/>
    <w:rsid w:val="001A694D"/>
    <w:rsid w:val="001A6A53"/>
    <w:rsid w:val="001A7EA0"/>
    <w:rsid w:val="001B11E7"/>
    <w:rsid w:val="001B2E5E"/>
    <w:rsid w:val="001B4537"/>
    <w:rsid w:val="001C51EB"/>
    <w:rsid w:val="001C6332"/>
    <w:rsid w:val="001D4EE0"/>
    <w:rsid w:val="001D5623"/>
    <w:rsid w:val="001D57A4"/>
    <w:rsid w:val="001E12BC"/>
    <w:rsid w:val="001E2D39"/>
    <w:rsid w:val="001E30B5"/>
    <w:rsid w:val="001E30BD"/>
    <w:rsid w:val="001E4B44"/>
    <w:rsid w:val="001E57B9"/>
    <w:rsid w:val="001E7363"/>
    <w:rsid w:val="001F26DB"/>
    <w:rsid w:val="001F3FA9"/>
    <w:rsid w:val="001F4D4D"/>
    <w:rsid w:val="001F56BD"/>
    <w:rsid w:val="001F590C"/>
    <w:rsid w:val="0020324A"/>
    <w:rsid w:val="0020498D"/>
    <w:rsid w:val="00205687"/>
    <w:rsid w:val="00214096"/>
    <w:rsid w:val="00214849"/>
    <w:rsid w:val="00220D37"/>
    <w:rsid w:val="00224EC6"/>
    <w:rsid w:val="00225017"/>
    <w:rsid w:val="00230097"/>
    <w:rsid w:val="00232A90"/>
    <w:rsid w:val="0023334E"/>
    <w:rsid w:val="00242D08"/>
    <w:rsid w:val="00251116"/>
    <w:rsid w:val="002535E6"/>
    <w:rsid w:val="00254A62"/>
    <w:rsid w:val="00257053"/>
    <w:rsid w:val="0025739A"/>
    <w:rsid w:val="002604D3"/>
    <w:rsid w:val="00261FBE"/>
    <w:rsid w:val="0026351A"/>
    <w:rsid w:val="0026720C"/>
    <w:rsid w:val="00267957"/>
    <w:rsid w:val="0027114D"/>
    <w:rsid w:val="00271E66"/>
    <w:rsid w:val="0027733C"/>
    <w:rsid w:val="00282320"/>
    <w:rsid w:val="00291356"/>
    <w:rsid w:val="002930CE"/>
    <w:rsid w:val="00294410"/>
    <w:rsid w:val="0029571F"/>
    <w:rsid w:val="00295904"/>
    <w:rsid w:val="002A1106"/>
    <w:rsid w:val="002A1EFB"/>
    <w:rsid w:val="002A5035"/>
    <w:rsid w:val="002A6142"/>
    <w:rsid w:val="002A7959"/>
    <w:rsid w:val="002B0553"/>
    <w:rsid w:val="002B116F"/>
    <w:rsid w:val="002B1224"/>
    <w:rsid w:val="002B2850"/>
    <w:rsid w:val="002B33A7"/>
    <w:rsid w:val="002B3D68"/>
    <w:rsid w:val="002C0DBA"/>
    <w:rsid w:val="002C14E8"/>
    <w:rsid w:val="002C2E51"/>
    <w:rsid w:val="002C346E"/>
    <w:rsid w:val="002C44C9"/>
    <w:rsid w:val="002C45D2"/>
    <w:rsid w:val="002C4748"/>
    <w:rsid w:val="002C4BFB"/>
    <w:rsid w:val="002C5E94"/>
    <w:rsid w:val="002D0AE9"/>
    <w:rsid w:val="002D26C8"/>
    <w:rsid w:val="002D73A9"/>
    <w:rsid w:val="002E15D4"/>
    <w:rsid w:val="002E27F4"/>
    <w:rsid w:val="002E6419"/>
    <w:rsid w:val="002F26A9"/>
    <w:rsid w:val="002F2C8A"/>
    <w:rsid w:val="002F638C"/>
    <w:rsid w:val="002F6D74"/>
    <w:rsid w:val="002F745B"/>
    <w:rsid w:val="003000B9"/>
    <w:rsid w:val="00300F00"/>
    <w:rsid w:val="00301107"/>
    <w:rsid w:val="003014C5"/>
    <w:rsid w:val="0030171C"/>
    <w:rsid w:val="003048D2"/>
    <w:rsid w:val="00304D56"/>
    <w:rsid w:val="003052F9"/>
    <w:rsid w:val="00310FA9"/>
    <w:rsid w:val="00311300"/>
    <w:rsid w:val="00311EF9"/>
    <w:rsid w:val="0031669E"/>
    <w:rsid w:val="00320419"/>
    <w:rsid w:val="00320A27"/>
    <w:rsid w:val="003234E0"/>
    <w:rsid w:val="003266F5"/>
    <w:rsid w:val="003279D6"/>
    <w:rsid w:val="00330FC1"/>
    <w:rsid w:val="00331243"/>
    <w:rsid w:val="00333CE7"/>
    <w:rsid w:val="00334FD6"/>
    <w:rsid w:val="0033647E"/>
    <w:rsid w:val="00341D77"/>
    <w:rsid w:val="00342D81"/>
    <w:rsid w:val="003454C7"/>
    <w:rsid w:val="00351674"/>
    <w:rsid w:val="00353A9F"/>
    <w:rsid w:val="00354108"/>
    <w:rsid w:val="00361F94"/>
    <w:rsid w:val="003637E8"/>
    <w:rsid w:val="00363E72"/>
    <w:rsid w:val="00371D90"/>
    <w:rsid w:val="00373ECD"/>
    <w:rsid w:val="003908CE"/>
    <w:rsid w:val="003929BA"/>
    <w:rsid w:val="0039349F"/>
    <w:rsid w:val="003A08E0"/>
    <w:rsid w:val="003A1F5A"/>
    <w:rsid w:val="003A324C"/>
    <w:rsid w:val="003A480D"/>
    <w:rsid w:val="003B6ED6"/>
    <w:rsid w:val="003B7A06"/>
    <w:rsid w:val="003C02FA"/>
    <w:rsid w:val="003C1062"/>
    <w:rsid w:val="003C152E"/>
    <w:rsid w:val="003C4A25"/>
    <w:rsid w:val="003C5BCC"/>
    <w:rsid w:val="003D3A18"/>
    <w:rsid w:val="003D4413"/>
    <w:rsid w:val="003D7AF8"/>
    <w:rsid w:val="003E1921"/>
    <w:rsid w:val="003E252A"/>
    <w:rsid w:val="003E318D"/>
    <w:rsid w:val="003E6E06"/>
    <w:rsid w:val="003E7B85"/>
    <w:rsid w:val="003F0DAE"/>
    <w:rsid w:val="003F2616"/>
    <w:rsid w:val="003F3980"/>
    <w:rsid w:val="00405BC6"/>
    <w:rsid w:val="004060AA"/>
    <w:rsid w:val="00406C6A"/>
    <w:rsid w:val="00406D08"/>
    <w:rsid w:val="0041080B"/>
    <w:rsid w:val="00411FA6"/>
    <w:rsid w:val="00414641"/>
    <w:rsid w:val="004167CB"/>
    <w:rsid w:val="00417734"/>
    <w:rsid w:val="00420325"/>
    <w:rsid w:val="004210EF"/>
    <w:rsid w:val="004354B3"/>
    <w:rsid w:val="004377E4"/>
    <w:rsid w:val="004379C1"/>
    <w:rsid w:val="0044028B"/>
    <w:rsid w:val="00441020"/>
    <w:rsid w:val="00441086"/>
    <w:rsid w:val="004416F3"/>
    <w:rsid w:val="00443308"/>
    <w:rsid w:val="004433A7"/>
    <w:rsid w:val="00446AC7"/>
    <w:rsid w:val="004524F3"/>
    <w:rsid w:val="00453E5E"/>
    <w:rsid w:val="00455A97"/>
    <w:rsid w:val="004563E4"/>
    <w:rsid w:val="004663E1"/>
    <w:rsid w:val="00466B3F"/>
    <w:rsid w:val="00467BBE"/>
    <w:rsid w:val="00473E25"/>
    <w:rsid w:val="00474877"/>
    <w:rsid w:val="00474ADC"/>
    <w:rsid w:val="004753C4"/>
    <w:rsid w:val="00475C8D"/>
    <w:rsid w:val="00482BA8"/>
    <w:rsid w:val="004850DB"/>
    <w:rsid w:val="004A3194"/>
    <w:rsid w:val="004A525B"/>
    <w:rsid w:val="004B0412"/>
    <w:rsid w:val="004B4D8F"/>
    <w:rsid w:val="004B684F"/>
    <w:rsid w:val="004C51AB"/>
    <w:rsid w:val="004C6CF2"/>
    <w:rsid w:val="004D3846"/>
    <w:rsid w:val="004D48BA"/>
    <w:rsid w:val="004D4A10"/>
    <w:rsid w:val="004D6118"/>
    <w:rsid w:val="004D6C29"/>
    <w:rsid w:val="004D7207"/>
    <w:rsid w:val="004E1EF0"/>
    <w:rsid w:val="004E635B"/>
    <w:rsid w:val="004F5A67"/>
    <w:rsid w:val="004F6B02"/>
    <w:rsid w:val="004F6FD3"/>
    <w:rsid w:val="0050049F"/>
    <w:rsid w:val="005036B1"/>
    <w:rsid w:val="005046A8"/>
    <w:rsid w:val="00506B3F"/>
    <w:rsid w:val="00507513"/>
    <w:rsid w:val="00507A5B"/>
    <w:rsid w:val="00510C3A"/>
    <w:rsid w:val="005121E9"/>
    <w:rsid w:val="00512FE6"/>
    <w:rsid w:val="00515C1E"/>
    <w:rsid w:val="005161EF"/>
    <w:rsid w:val="005162A2"/>
    <w:rsid w:val="00521035"/>
    <w:rsid w:val="00522D59"/>
    <w:rsid w:val="00523096"/>
    <w:rsid w:val="00524103"/>
    <w:rsid w:val="005244DD"/>
    <w:rsid w:val="0052547C"/>
    <w:rsid w:val="0052587F"/>
    <w:rsid w:val="00530519"/>
    <w:rsid w:val="0053335C"/>
    <w:rsid w:val="00534772"/>
    <w:rsid w:val="0053561C"/>
    <w:rsid w:val="0054368A"/>
    <w:rsid w:val="0054525B"/>
    <w:rsid w:val="0054649D"/>
    <w:rsid w:val="00551C7F"/>
    <w:rsid w:val="0055281A"/>
    <w:rsid w:val="00552B19"/>
    <w:rsid w:val="00552EAD"/>
    <w:rsid w:val="0056169C"/>
    <w:rsid w:val="005621C9"/>
    <w:rsid w:val="00562DAB"/>
    <w:rsid w:val="0056531D"/>
    <w:rsid w:val="0056729D"/>
    <w:rsid w:val="005716DC"/>
    <w:rsid w:val="0057352F"/>
    <w:rsid w:val="005775E2"/>
    <w:rsid w:val="00582560"/>
    <w:rsid w:val="00586D1A"/>
    <w:rsid w:val="00587D6B"/>
    <w:rsid w:val="00591A6B"/>
    <w:rsid w:val="00591E0A"/>
    <w:rsid w:val="00593816"/>
    <w:rsid w:val="0059419A"/>
    <w:rsid w:val="00595724"/>
    <w:rsid w:val="00596491"/>
    <w:rsid w:val="00596558"/>
    <w:rsid w:val="005A3190"/>
    <w:rsid w:val="005A3EDC"/>
    <w:rsid w:val="005A43CD"/>
    <w:rsid w:val="005A4466"/>
    <w:rsid w:val="005A451F"/>
    <w:rsid w:val="005A512B"/>
    <w:rsid w:val="005A66A1"/>
    <w:rsid w:val="005A6DA8"/>
    <w:rsid w:val="005A6E59"/>
    <w:rsid w:val="005B0A3C"/>
    <w:rsid w:val="005B2417"/>
    <w:rsid w:val="005B4AA9"/>
    <w:rsid w:val="005B618E"/>
    <w:rsid w:val="005C1A8F"/>
    <w:rsid w:val="005C577C"/>
    <w:rsid w:val="005D003C"/>
    <w:rsid w:val="005D3D47"/>
    <w:rsid w:val="005E3D25"/>
    <w:rsid w:val="005E47D2"/>
    <w:rsid w:val="005F045F"/>
    <w:rsid w:val="005F2A19"/>
    <w:rsid w:val="005F4D7F"/>
    <w:rsid w:val="005F6A98"/>
    <w:rsid w:val="005F6EFD"/>
    <w:rsid w:val="00601C6B"/>
    <w:rsid w:val="00605104"/>
    <w:rsid w:val="006064DE"/>
    <w:rsid w:val="00610399"/>
    <w:rsid w:val="00610609"/>
    <w:rsid w:val="00612BDF"/>
    <w:rsid w:val="006162D3"/>
    <w:rsid w:val="00620B0A"/>
    <w:rsid w:val="0062140F"/>
    <w:rsid w:val="006220E4"/>
    <w:rsid w:val="006226CB"/>
    <w:rsid w:val="00636164"/>
    <w:rsid w:val="0064021F"/>
    <w:rsid w:val="006449E7"/>
    <w:rsid w:val="00653251"/>
    <w:rsid w:val="006536DA"/>
    <w:rsid w:val="00654F8A"/>
    <w:rsid w:val="00660D13"/>
    <w:rsid w:val="00662CE1"/>
    <w:rsid w:val="00663DA5"/>
    <w:rsid w:val="00665D2F"/>
    <w:rsid w:val="00665DAC"/>
    <w:rsid w:val="0067122A"/>
    <w:rsid w:val="0067263A"/>
    <w:rsid w:val="006808DA"/>
    <w:rsid w:val="00681B80"/>
    <w:rsid w:val="006825CD"/>
    <w:rsid w:val="006835F2"/>
    <w:rsid w:val="006859CF"/>
    <w:rsid w:val="0068634C"/>
    <w:rsid w:val="006907AD"/>
    <w:rsid w:val="006921F2"/>
    <w:rsid w:val="00695705"/>
    <w:rsid w:val="006959CD"/>
    <w:rsid w:val="00696AE2"/>
    <w:rsid w:val="006A0573"/>
    <w:rsid w:val="006A1C68"/>
    <w:rsid w:val="006A24DB"/>
    <w:rsid w:val="006A337C"/>
    <w:rsid w:val="006A439C"/>
    <w:rsid w:val="006B0556"/>
    <w:rsid w:val="006B0A88"/>
    <w:rsid w:val="006B2CB0"/>
    <w:rsid w:val="006B4B6C"/>
    <w:rsid w:val="006B58BC"/>
    <w:rsid w:val="006B6632"/>
    <w:rsid w:val="006B7177"/>
    <w:rsid w:val="006B7B9A"/>
    <w:rsid w:val="006C0ED2"/>
    <w:rsid w:val="006C16E4"/>
    <w:rsid w:val="006C2333"/>
    <w:rsid w:val="006C53B7"/>
    <w:rsid w:val="006D0F03"/>
    <w:rsid w:val="006E14A7"/>
    <w:rsid w:val="006E25E4"/>
    <w:rsid w:val="006E2849"/>
    <w:rsid w:val="006E2AA8"/>
    <w:rsid w:val="006E58BD"/>
    <w:rsid w:val="006E6316"/>
    <w:rsid w:val="006E6DDB"/>
    <w:rsid w:val="006E73AD"/>
    <w:rsid w:val="006E7A41"/>
    <w:rsid w:val="006F15CC"/>
    <w:rsid w:val="006F32B7"/>
    <w:rsid w:val="006F5ED1"/>
    <w:rsid w:val="006F63D6"/>
    <w:rsid w:val="006F7F88"/>
    <w:rsid w:val="0070090E"/>
    <w:rsid w:val="007046EE"/>
    <w:rsid w:val="00706718"/>
    <w:rsid w:val="00707235"/>
    <w:rsid w:val="0070796F"/>
    <w:rsid w:val="0071127C"/>
    <w:rsid w:val="00712201"/>
    <w:rsid w:val="0071530A"/>
    <w:rsid w:val="007173BC"/>
    <w:rsid w:val="00717BCE"/>
    <w:rsid w:val="00727D76"/>
    <w:rsid w:val="007313E5"/>
    <w:rsid w:val="007331E0"/>
    <w:rsid w:val="00733F5F"/>
    <w:rsid w:val="00741019"/>
    <w:rsid w:val="0074130D"/>
    <w:rsid w:val="00743A03"/>
    <w:rsid w:val="0074440D"/>
    <w:rsid w:val="00745089"/>
    <w:rsid w:val="00746CEA"/>
    <w:rsid w:val="007501AF"/>
    <w:rsid w:val="00750690"/>
    <w:rsid w:val="00753710"/>
    <w:rsid w:val="00754052"/>
    <w:rsid w:val="007544CB"/>
    <w:rsid w:val="00754BC1"/>
    <w:rsid w:val="0076373D"/>
    <w:rsid w:val="00770FB7"/>
    <w:rsid w:val="007723D1"/>
    <w:rsid w:val="007723E8"/>
    <w:rsid w:val="0077323D"/>
    <w:rsid w:val="00775C05"/>
    <w:rsid w:val="00776833"/>
    <w:rsid w:val="00776E24"/>
    <w:rsid w:val="00781154"/>
    <w:rsid w:val="00781806"/>
    <w:rsid w:val="00782E9F"/>
    <w:rsid w:val="00783F29"/>
    <w:rsid w:val="00787E55"/>
    <w:rsid w:val="00792C83"/>
    <w:rsid w:val="0079325F"/>
    <w:rsid w:val="007940E0"/>
    <w:rsid w:val="00795AB9"/>
    <w:rsid w:val="00796527"/>
    <w:rsid w:val="00796721"/>
    <w:rsid w:val="00797ACC"/>
    <w:rsid w:val="007A13B9"/>
    <w:rsid w:val="007A3992"/>
    <w:rsid w:val="007A473E"/>
    <w:rsid w:val="007B002B"/>
    <w:rsid w:val="007B0726"/>
    <w:rsid w:val="007B242E"/>
    <w:rsid w:val="007B29B8"/>
    <w:rsid w:val="007B3B60"/>
    <w:rsid w:val="007C01D1"/>
    <w:rsid w:val="007C02EF"/>
    <w:rsid w:val="007C52E5"/>
    <w:rsid w:val="007C55B2"/>
    <w:rsid w:val="007C63DE"/>
    <w:rsid w:val="007C7C3A"/>
    <w:rsid w:val="007D09DA"/>
    <w:rsid w:val="007D0A8D"/>
    <w:rsid w:val="007D1C0F"/>
    <w:rsid w:val="007D298B"/>
    <w:rsid w:val="007D4C2F"/>
    <w:rsid w:val="007D6D43"/>
    <w:rsid w:val="007D73AB"/>
    <w:rsid w:val="007E2636"/>
    <w:rsid w:val="007F0ECB"/>
    <w:rsid w:val="007F1DC5"/>
    <w:rsid w:val="007F3A89"/>
    <w:rsid w:val="007F425B"/>
    <w:rsid w:val="007F5687"/>
    <w:rsid w:val="007F6016"/>
    <w:rsid w:val="007F63E6"/>
    <w:rsid w:val="00800763"/>
    <w:rsid w:val="008022BD"/>
    <w:rsid w:val="008054CA"/>
    <w:rsid w:val="00806A79"/>
    <w:rsid w:val="008072C4"/>
    <w:rsid w:val="00810861"/>
    <w:rsid w:val="008126DF"/>
    <w:rsid w:val="008131CD"/>
    <w:rsid w:val="00817E91"/>
    <w:rsid w:val="00824A00"/>
    <w:rsid w:val="00825B75"/>
    <w:rsid w:val="00827A13"/>
    <w:rsid w:val="00835AE1"/>
    <w:rsid w:val="00835C4E"/>
    <w:rsid w:val="00835CA2"/>
    <w:rsid w:val="00837856"/>
    <w:rsid w:val="0084029F"/>
    <w:rsid w:val="00840803"/>
    <w:rsid w:val="00841F54"/>
    <w:rsid w:val="0084260A"/>
    <w:rsid w:val="008442EC"/>
    <w:rsid w:val="00844F24"/>
    <w:rsid w:val="00845610"/>
    <w:rsid w:val="0084570D"/>
    <w:rsid w:val="00852D85"/>
    <w:rsid w:val="008530A8"/>
    <w:rsid w:val="00853A91"/>
    <w:rsid w:val="00855F30"/>
    <w:rsid w:val="008562C2"/>
    <w:rsid w:val="00864938"/>
    <w:rsid w:val="00867A7B"/>
    <w:rsid w:val="00867B62"/>
    <w:rsid w:val="00870AD4"/>
    <w:rsid w:val="00874183"/>
    <w:rsid w:val="0087464B"/>
    <w:rsid w:val="008748DF"/>
    <w:rsid w:val="008753EA"/>
    <w:rsid w:val="00882D03"/>
    <w:rsid w:val="00886FA5"/>
    <w:rsid w:val="00891038"/>
    <w:rsid w:val="008931B1"/>
    <w:rsid w:val="008A2FA1"/>
    <w:rsid w:val="008A61CD"/>
    <w:rsid w:val="008A67BE"/>
    <w:rsid w:val="008B1DC3"/>
    <w:rsid w:val="008B239D"/>
    <w:rsid w:val="008B252B"/>
    <w:rsid w:val="008B2F04"/>
    <w:rsid w:val="008B44B8"/>
    <w:rsid w:val="008B59B9"/>
    <w:rsid w:val="008B683D"/>
    <w:rsid w:val="008B784E"/>
    <w:rsid w:val="008C09C0"/>
    <w:rsid w:val="008D0373"/>
    <w:rsid w:val="008D4388"/>
    <w:rsid w:val="008E4550"/>
    <w:rsid w:val="008E7145"/>
    <w:rsid w:val="008E7413"/>
    <w:rsid w:val="008E7460"/>
    <w:rsid w:val="008F0C3B"/>
    <w:rsid w:val="008F4FF4"/>
    <w:rsid w:val="008F5071"/>
    <w:rsid w:val="00905F5F"/>
    <w:rsid w:val="009111DC"/>
    <w:rsid w:val="00912412"/>
    <w:rsid w:val="00917421"/>
    <w:rsid w:val="00924A5C"/>
    <w:rsid w:val="00924ECB"/>
    <w:rsid w:val="009260C6"/>
    <w:rsid w:val="009260E7"/>
    <w:rsid w:val="009304D3"/>
    <w:rsid w:val="00932948"/>
    <w:rsid w:val="00933391"/>
    <w:rsid w:val="00933706"/>
    <w:rsid w:val="009341EF"/>
    <w:rsid w:val="00941331"/>
    <w:rsid w:val="00941C4A"/>
    <w:rsid w:val="00943F33"/>
    <w:rsid w:val="00945E3C"/>
    <w:rsid w:val="00950FC0"/>
    <w:rsid w:val="00951137"/>
    <w:rsid w:val="009654E9"/>
    <w:rsid w:val="00966BA9"/>
    <w:rsid w:val="00970BF3"/>
    <w:rsid w:val="00970C12"/>
    <w:rsid w:val="00971169"/>
    <w:rsid w:val="00974340"/>
    <w:rsid w:val="0097616C"/>
    <w:rsid w:val="00977612"/>
    <w:rsid w:val="00977CA2"/>
    <w:rsid w:val="00980EC2"/>
    <w:rsid w:val="009834D1"/>
    <w:rsid w:val="00984D97"/>
    <w:rsid w:val="00986933"/>
    <w:rsid w:val="00993259"/>
    <w:rsid w:val="0099615C"/>
    <w:rsid w:val="009A1CDC"/>
    <w:rsid w:val="009A237B"/>
    <w:rsid w:val="009B5894"/>
    <w:rsid w:val="009B5B40"/>
    <w:rsid w:val="009B602E"/>
    <w:rsid w:val="009B6071"/>
    <w:rsid w:val="009B6325"/>
    <w:rsid w:val="009B68E4"/>
    <w:rsid w:val="009B70AA"/>
    <w:rsid w:val="009C3588"/>
    <w:rsid w:val="009C3896"/>
    <w:rsid w:val="009C5E4E"/>
    <w:rsid w:val="009D28F1"/>
    <w:rsid w:val="009D2E92"/>
    <w:rsid w:val="009E069E"/>
    <w:rsid w:val="009E2DE8"/>
    <w:rsid w:val="009F0335"/>
    <w:rsid w:val="009F2E74"/>
    <w:rsid w:val="009F2FC5"/>
    <w:rsid w:val="009F3420"/>
    <w:rsid w:val="009F3FFD"/>
    <w:rsid w:val="009F41B6"/>
    <w:rsid w:val="009F717D"/>
    <w:rsid w:val="00A03DBA"/>
    <w:rsid w:val="00A11E82"/>
    <w:rsid w:val="00A14116"/>
    <w:rsid w:val="00A147DF"/>
    <w:rsid w:val="00A26871"/>
    <w:rsid w:val="00A31683"/>
    <w:rsid w:val="00A32FEC"/>
    <w:rsid w:val="00A35C27"/>
    <w:rsid w:val="00A36524"/>
    <w:rsid w:val="00A37BE6"/>
    <w:rsid w:val="00A40CE8"/>
    <w:rsid w:val="00A4207D"/>
    <w:rsid w:val="00A438EF"/>
    <w:rsid w:val="00A4469F"/>
    <w:rsid w:val="00A44979"/>
    <w:rsid w:val="00A44EF2"/>
    <w:rsid w:val="00A46588"/>
    <w:rsid w:val="00A46E77"/>
    <w:rsid w:val="00A473F9"/>
    <w:rsid w:val="00A510FB"/>
    <w:rsid w:val="00A54D3B"/>
    <w:rsid w:val="00A55272"/>
    <w:rsid w:val="00A55AD0"/>
    <w:rsid w:val="00A57794"/>
    <w:rsid w:val="00A64281"/>
    <w:rsid w:val="00A664E9"/>
    <w:rsid w:val="00A67114"/>
    <w:rsid w:val="00A67746"/>
    <w:rsid w:val="00A70EC4"/>
    <w:rsid w:val="00A72802"/>
    <w:rsid w:val="00A74587"/>
    <w:rsid w:val="00A764AD"/>
    <w:rsid w:val="00A77A9F"/>
    <w:rsid w:val="00A77E0A"/>
    <w:rsid w:val="00A80EC1"/>
    <w:rsid w:val="00A81469"/>
    <w:rsid w:val="00A836C8"/>
    <w:rsid w:val="00A8388D"/>
    <w:rsid w:val="00A83FEA"/>
    <w:rsid w:val="00A87037"/>
    <w:rsid w:val="00A8715C"/>
    <w:rsid w:val="00A879CD"/>
    <w:rsid w:val="00A93401"/>
    <w:rsid w:val="00A94A78"/>
    <w:rsid w:val="00A94F40"/>
    <w:rsid w:val="00AA239E"/>
    <w:rsid w:val="00AA40FF"/>
    <w:rsid w:val="00AA69C9"/>
    <w:rsid w:val="00AB3FF0"/>
    <w:rsid w:val="00AB54B2"/>
    <w:rsid w:val="00AB56ED"/>
    <w:rsid w:val="00AB5A4C"/>
    <w:rsid w:val="00AB686C"/>
    <w:rsid w:val="00AB69C9"/>
    <w:rsid w:val="00AC440B"/>
    <w:rsid w:val="00AC5D00"/>
    <w:rsid w:val="00AC753E"/>
    <w:rsid w:val="00AD10AD"/>
    <w:rsid w:val="00AD139D"/>
    <w:rsid w:val="00AD289C"/>
    <w:rsid w:val="00AD291A"/>
    <w:rsid w:val="00AD2D4B"/>
    <w:rsid w:val="00AD78DA"/>
    <w:rsid w:val="00AE0810"/>
    <w:rsid w:val="00AE0B85"/>
    <w:rsid w:val="00AE105B"/>
    <w:rsid w:val="00AE1FB9"/>
    <w:rsid w:val="00AE604A"/>
    <w:rsid w:val="00AE6B5A"/>
    <w:rsid w:val="00AE79DB"/>
    <w:rsid w:val="00AF0947"/>
    <w:rsid w:val="00AF3F21"/>
    <w:rsid w:val="00AF492D"/>
    <w:rsid w:val="00B04E53"/>
    <w:rsid w:val="00B11AFB"/>
    <w:rsid w:val="00B14413"/>
    <w:rsid w:val="00B15073"/>
    <w:rsid w:val="00B16015"/>
    <w:rsid w:val="00B2050F"/>
    <w:rsid w:val="00B2051C"/>
    <w:rsid w:val="00B24AE2"/>
    <w:rsid w:val="00B30051"/>
    <w:rsid w:val="00B329CC"/>
    <w:rsid w:val="00B41DA3"/>
    <w:rsid w:val="00B42AEE"/>
    <w:rsid w:val="00B43699"/>
    <w:rsid w:val="00B4455C"/>
    <w:rsid w:val="00B465E0"/>
    <w:rsid w:val="00B50480"/>
    <w:rsid w:val="00B51D4E"/>
    <w:rsid w:val="00B51E0C"/>
    <w:rsid w:val="00B54FA4"/>
    <w:rsid w:val="00B55BAA"/>
    <w:rsid w:val="00B561A4"/>
    <w:rsid w:val="00B607B5"/>
    <w:rsid w:val="00B6232F"/>
    <w:rsid w:val="00B642FD"/>
    <w:rsid w:val="00B66FD1"/>
    <w:rsid w:val="00B67B5A"/>
    <w:rsid w:val="00B71D2F"/>
    <w:rsid w:val="00B73E94"/>
    <w:rsid w:val="00B74018"/>
    <w:rsid w:val="00B8230B"/>
    <w:rsid w:val="00B8755F"/>
    <w:rsid w:val="00B87897"/>
    <w:rsid w:val="00B92661"/>
    <w:rsid w:val="00B92CEC"/>
    <w:rsid w:val="00BA0F8E"/>
    <w:rsid w:val="00BA411C"/>
    <w:rsid w:val="00BA41F6"/>
    <w:rsid w:val="00BA5C50"/>
    <w:rsid w:val="00BB22D1"/>
    <w:rsid w:val="00BB2945"/>
    <w:rsid w:val="00BB2B44"/>
    <w:rsid w:val="00BB42A1"/>
    <w:rsid w:val="00BB5D97"/>
    <w:rsid w:val="00BB66D3"/>
    <w:rsid w:val="00BC6ADE"/>
    <w:rsid w:val="00BC765F"/>
    <w:rsid w:val="00BD0518"/>
    <w:rsid w:val="00BD4379"/>
    <w:rsid w:val="00BD7369"/>
    <w:rsid w:val="00BD7F97"/>
    <w:rsid w:val="00BE053F"/>
    <w:rsid w:val="00BE22EE"/>
    <w:rsid w:val="00BE4127"/>
    <w:rsid w:val="00BE4881"/>
    <w:rsid w:val="00BE696F"/>
    <w:rsid w:val="00BF0E49"/>
    <w:rsid w:val="00BF3653"/>
    <w:rsid w:val="00BF36D3"/>
    <w:rsid w:val="00BF6312"/>
    <w:rsid w:val="00C04B4C"/>
    <w:rsid w:val="00C07621"/>
    <w:rsid w:val="00C10F96"/>
    <w:rsid w:val="00C1397F"/>
    <w:rsid w:val="00C21AAA"/>
    <w:rsid w:val="00C22060"/>
    <w:rsid w:val="00C23C78"/>
    <w:rsid w:val="00C273C5"/>
    <w:rsid w:val="00C33F40"/>
    <w:rsid w:val="00C34698"/>
    <w:rsid w:val="00C35C8D"/>
    <w:rsid w:val="00C402BB"/>
    <w:rsid w:val="00C40EA0"/>
    <w:rsid w:val="00C42810"/>
    <w:rsid w:val="00C43EB9"/>
    <w:rsid w:val="00C468BF"/>
    <w:rsid w:val="00C514C1"/>
    <w:rsid w:val="00C53D94"/>
    <w:rsid w:val="00C6730F"/>
    <w:rsid w:val="00C70396"/>
    <w:rsid w:val="00C70796"/>
    <w:rsid w:val="00C70883"/>
    <w:rsid w:val="00C76453"/>
    <w:rsid w:val="00C7658A"/>
    <w:rsid w:val="00C77313"/>
    <w:rsid w:val="00C81FDD"/>
    <w:rsid w:val="00C85AA3"/>
    <w:rsid w:val="00C86B81"/>
    <w:rsid w:val="00C90BBB"/>
    <w:rsid w:val="00CA03AA"/>
    <w:rsid w:val="00CA3875"/>
    <w:rsid w:val="00CA3EE7"/>
    <w:rsid w:val="00CA4EA6"/>
    <w:rsid w:val="00CA566A"/>
    <w:rsid w:val="00CA5BD6"/>
    <w:rsid w:val="00CB09EB"/>
    <w:rsid w:val="00CB2D8A"/>
    <w:rsid w:val="00CC26B9"/>
    <w:rsid w:val="00CC670E"/>
    <w:rsid w:val="00CC7FBD"/>
    <w:rsid w:val="00CD0736"/>
    <w:rsid w:val="00CD2621"/>
    <w:rsid w:val="00CD3178"/>
    <w:rsid w:val="00CD32E5"/>
    <w:rsid w:val="00CD3809"/>
    <w:rsid w:val="00CD381B"/>
    <w:rsid w:val="00CD5A92"/>
    <w:rsid w:val="00CD5E3C"/>
    <w:rsid w:val="00CE3991"/>
    <w:rsid w:val="00CE3E5C"/>
    <w:rsid w:val="00CE44B4"/>
    <w:rsid w:val="00CE4913"/>
    <w:rsid w:val="00CE7096"/>
    <w:rsid w:val="00CE7770"/>
    <w:rsid w:val="00CE7EC9"/>
    <w:rsid w:val="00CF7232"/>
    <w:rsid w:val="00CF7335"/>
    <w:rsid w:val="00D10CC3"/>
    <w:rsid w:val="00D10D37"/>
    <w:rsid w:val="00D115F5"/>
    <w:rsid w:val="00D1304C"/>
    <w:rsid w:val="00D14EB6"/>
    <w:rsid w:val="00D17698"/>
    <w:rsid w:val="00D216D7"/>
    <w:rsid w:val="00D234D0"/>
    <w:rsid w:val="00D24B6D"/>
    <w:rsid w:val="00D26565"/>
    <w:rsid w:val="00D26DD5"/>
    <w:rsid w:val="00D26DF9"/>
    <w:rsid w:val="00D272EC"/>
    <w:rsid w:val="00D27B9D"/>
    <w:rsid w:val="00D32212"/>
    <w:rsid w:val="00D32EE4"/>
    <w:rsid w:val="00D34CE3"/>
    <w:rsid w:val="00D34EAF"/>
    <w:rsid w:val="00D40C75"/>
    <w:rsid w:val="00D4358B"/>
    <w:rsid w:val="00D47B96"/>
    <w:rsid w:val="00D503E8"/>
    <w:rsid w:val="00D52D93"/>
    <w:rsid w:val="00D56D52"/>
    <w:rsid w:val="00D605C4"/>
    <w:rsid w:val="00D6173D"/>
    <w:rsid w:val="00D61E55"/>
    <w:rsid w:val="00D63AEE"/>
    <w:rsid w:val="00D7073F"/>
    <w:rsid w:val="00D726A3"/>
    <w:rsid w:val="00D76C99"/>
    <w:rsid w:val="00D77DCA"/>
    <w:rsid w:val="00D8186F"/>
    <w:rsid w:val="00D84FFC"/>
    <w:rsid w:val="00D85D6D"/>
    <w:rsid w:val="00D86945"/>
    <w:rsid w:val="00D87324"/>
    <w:rsid w:val="00D8754F"/>
    <w:rsid w:val="00D87DDD"/>
    <w:rsid w:val="00D87DE4"/>
    <w:rsid w:val="00D87DE6"/>
    <w:rsid w:val="00D9016E"/>
    <w:rsid w:val="00D91AF7"/>
    <w:rsid w:val="00D94218"/>
    <w:rsid w:val="00D94905"/>
    <w:rsid w:val="00D97CB9"/>
    <w:rsid w:val="00DA001A"/>
    <w:rsid w:val="00DA0387"/>
    <w:rsid w:val="00DA1FD3"/>
    <w:rsid w:val="00DA45A2"/>
    <w:rsid w:val="00DA51D5"/>
    <w:rsid w:val="00DA7F36"/>
    <w:rsid w:val="00DB12C1"/>
    <w:rsid w:val="00DB727D"/>
    <w:rsid w:val="00DC293C"/>
    <w:rsid w:val="00DC4CD0"/>
    <w:rsid w:val="00DC682A"/>
    <w:rsid w:val="00DC7BB1"/>
    <w:rsid w:val="00DC7FED"/>
    <w:rsid w:val="00DD2334"/>
    <w:rsid w:val="00DD2738"/>
    <w:rsid w:val="00DD479B"/>
    <w:rsid w:val="00DD52FB"/>
    <w:rsid w:val="00DD6809"/>
    <w:rsid w:val="00DD7855"/>
    <w:rsid w:val="00DE0346"/>
    <w:rsid w:val="00DE10BD"/>
    <w:rsid w:val="00DE1CEA"/>
    <w:rsid w:val="00DE43B6"/>
    <w:rsid w:val="00DE7748"/>
    <w:rsid w:val="00DE7B4C"/>
    <w:rsid w:val="00DF0249"/>
    <w:rsid w:val="00DF0455"/>
    <w:rsid w:val="00DF2A44"/>
    <w:rsid w:val="00DF45A8"/>
    <w:rsid w:val="00DF4B94"/>
    <w:rsid w:val="00DF4B9B"/>
    <w:rsid w:val="00DF694D"/>
    <w:rsid w:val="00E00181"/>
    <w:rsid w:val="00E01845"/>
    <w:rsid w:val="00E04B51"/>
    <w:rsid w:val="00E15099"/>
    <w:rsid w:val="00E15A83"/>
    <w:rsid w:val="00E15EBC"/>
    <w:rsid w:val="00E20184"/>
    <w:rsid w:val="00E21BD1"/>
    <w:rsid w:val="00E21F9E"/>
    <w:rsid w:val="00E22EBF"/>
    <w:rsid w:val="00E26A45"/>
    <w:rsid w:val="00E317E0"/>
    <w:rsid w:val="00E32A47"/>
    <w:rsid w:val="00E37708"/>
    <w:rsid w:val="00E37FDA"/>
    <w:rsid w:val="00E40A22"/>
    <w:rsid w:val="00E411A5"/>
    <w:rsid w:val="00E431E8"/>
    <w:rsid w:val="00E43D3E"/>
    <w:rsid w:val="00E4428C"/>
    <w:rsid w:val="00E465E1"/>
    <w:rsid w:val="00E46659"/>
    <w:rsid w:val="00E466E3"/>
    <w:rsid w:val="00E47A44"/>
    <w:rsid w:val="00E55506"/>
    <w:rsid w:val="00E57878"/>
    <w:rsid w:val="00E658F9"/>
    <w:rsid w:val="00E67EA5"/>
    <w:rsid w:val="00E74A84"/>
    <w:rsid w:val="00E8034A"/>
    <w:rsid w:val="00E81141"/>
    <w:rsid w:val="00E811DD"/>
    <w:rsid w:val="00E81753"/>
    <w:rsid w:val="00E8262C"/>
    <w:rsid w:val="00E86614"/>
    <w:rsid w:val="00E8693F"/>
    <w:rsid w:val="00E86B57"/>
    <w:rsid w:val="00E87EDE"/>
    <w:rsid w:val="00E911CD"/>
    <w:rsid w:val="00E97A5E"/>
    <w:rsid w:val="00EA4A05"/>
    <w:rsid w:val="00EB0C03"/>
    <w:rsid w:val="00EB0ECB"/>
    <w:rsid w:val="00EB320C"/>
    <w:rsid w:val="00EB4270"/>
    <w:rsid w:val="00EB4525"/>
    <w:rsid w:val="00EB4F36"/>
    <w:rsid w:val="00EB7605"/>
    <w:rsid w:val="00EC3180"/>
    <w:rsid w:val="00EC4DB7"/>
    <w:rsid w:val="00EC528A"/>
    <w:rsid w:val="00EC5619"/>
    <w:rsid w:val="00EC641C"/>
    <w:rsid w:val="00EC6763"/>
    <w:rsid w:val="00EC70B5"/>
    <w:rsid w:val="00EC70D5"/>
    <w:rsid w:val="00EC73EA"/>
    <w:rsid w:val="00ED09E5"/>
    <w:rsid w:val="00ED50B9"/>
    <w:rsid w:val="00ED526A"/>
    <w:rsid w:val="00EE0388"/>
    <w:rsid w:val="00EE130E"/>
    <w:rsid w:val="00EE28D7"/>
    <w:rsid w:val="00EE4593"/>
    <w:rsid w:val="00EE7F0A"/>
    <w:rsid w:val="00EF062D"/>
    <w:rsid w:val="00EF1300"/>
    <w:rsid w:val="00EF184F"/>
    <w:rsid w:val="00EF1FD6"/>
    <w:rsid w:val="00EF205C"/>
    <w:rsid w:val="00EF44A0"/>
    <w:rsid w:val="00EF46B2"/>
    <w:rsid w:val="00F01836"/>
    <w:rsid w:val="00F0335E"/>
    <w:rsid w:val="00F06FBC"/>
    <w:rsid w:val="00F07A13"/>
    <w:rsid w:val="00F10814"/>
    <w:rsid w:val="00F135BF"/>
    <w:rsid w:val="00F1493B"/>
    <w:rsid w:val="00F17E1F"/>
    <w:rsid w:val="00F22613"/>
    <w:rsid w:val="00F22E9D"/>
    <w:rsid w:val="00F242A2"/>
    <w:rsid w:val="00F411D5"/>
    <w:rsid w:val="00F41497"/>
    <w:rsid w:val="00F44770"/>
    <w:rsid w:val="00F44AC7"/>
    <w:rsid w:val="00F44AE7"/>
    <w:rsid w:val="00F45D01"/>
    <w:rsid w:val="00F46223"/>
    <w:rsid w:val="00F50150"/>
    <w:rsid w:val="00F548B4"/>
    <w:rsid w:val="00F5558B"/>
    <w:rsid w:val="00F555A3"/>
    <w:rsid w:val="00F55C5C"/>
    <w:rsid w:val="00F64C3C"/>
    <w:rsid w:val="00F676F4"/>
    <w:rsid w:val="00F70409"/>
    <w:rsid w:val="00F7218C"/>
    <w:rsid w:val="00F77069"/>
    <w:rsid w:val="00F77541"/>
    <w:rsid w:val="00F77FEC"/>
    <w:rsid w:val="00F81F49"/>
    <w:rsid w:val="00F832CA"/>
    <w:rsid w:val="00F840D0"/>
    <w:rsid w:val="00F846A0"/>
    <w:rsid w:val="00F849C7"/>
    <w:rsid w:val="00F85026"/>
    <w:rsid w:val="00F8676B"/>
    <w:rsid w:val="00F86BC1"/>
    <w:rsid w:val="00F86D19"/>
    <w:rsid w:val="00F86DC3"/>
    <w:rsid w:val="00F91372"/>
    <w:rsid w:val="00F91480"/>
    <w:rsid w:val="00F914E3"/>
    <w:rsid w:val="00F91830"/>
    <w:rsid w:val="00F938CB"/>
    <w:rsid w:val="00F953A6"/>
    <w:rsid w:val="00F97307"/>
    <w:rsid w:val="00FA5B8A"/>
    <w:rsid w:val="00FA7868"/>
    <w:rsid w:val="00FB1866"/>
    <w:rsid w:val="00FB1D64"/>
    <w:rsid w:val="00FB5563"/>
    <w:rsid w:val="00FB6A56"/>
    <w:rsid w:val="00FC35BF"/>
    <w:rsid w:val="00FC63A4"/>
    <w:rsid w:val="00FC7004"/>
    <w:rsid w:val="00FC7D30"/>
    <w:rsid w:val="00FD2042"/>
    <w:rsid w:val="00FD2051"/>
    <w:rsid w:val="00FD279E"/>
    <w:rsid w:val="00FD3C37"/>
    <w:rsid w:val="00FD3E28"/>
    <w:rsid w:val="00FD43F3"/>
    <w:rsid w:val="00FD472B"/>
    <w:rsid w:val="00FD49F5"/>
    <w:rsid w:val="00FD6FE7"/>
    <w:rsid w:val="00FE3C57"/>
    <w:rsid w:val="00FE441A"/>
    <w:rsid w:val="00FE58D2"/>
    <w:rsid w:val="00FF0A44"/>
    <w:rsid w:val="00FF61B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035740"/>
  </w:style>
  <w:style w:type="paragraph" w:styleId="Virsraksts1">
    <w:name w:val="heading 1"/>
    <w:basedOn w:val="Parasts1"/>
    <w:next w:val="Parasts1"/>
    <w:link w:val="Virsraksts1Rakstz"/>
    <w:uiPriority w:val="99"/>
    <w:qFormat/>
    <w:rsid w:val="00941331"/>
    <w:pPr>
      <w:keepNext/>
      <w:outlineLvl w:val="0"/>
    </w:pPr>
    <w:rPr>
      <w:b/>
      <w:bCs/>
      <w:sz w:val="28"/>
    </w:rPr>
  </w:style>
  <w:style w:type="paragraph" w:styleId="Virsraksts2">
    <w:name w:val="heading 2"/>
    <w:basedOn w:val="Parasts1"/>
    <w:next w:val="Parasts1"/>
    <w:link w:val="Virsraksts2Rakstz"/>
    <w:uiPriority w:val="99"/>
    <w:qFormat/>
    <w:rsid w:val="00941331"/>
    <w:pPr>
      <w:keepNext/>
      <w:jc w:val="right"/>
      <w:outlineLvl w:val="1"/>
    </w:pPr>
    <w:rPr>
      <w:b/>
      <w:i/>
      <w:sz w:val="20"/>
      <w:szCs w:val="20"/>
      <w:lang w:val="en-US"/>
    </w:rPr>
  </w:style>
  <w:style w:type="paragraph" w:styleId="Virsraksts3">
    <w:name w:val="heading 3"/>
    <w:basedOn w:val="Parasts1"/>
    <w:next w:val="Parasts1"/>
    <w:link w:val="Virsraksts3Rakstz"/>
    <w:uiPriority w:val="99"/>
    <w:qFormat/>
    <w:rsid w:val="00941331"/>
    <w:pPr>
      <w:keepNext/>
      <w:jc w:val="center"/>
      <w:outlineLvl w:val="2"/>
    </w:pPr>
    <w:rPr>
      <w:b/>
      <w:bCs/>
      <w:sz w:val="28"/>
    </w:rPr>
  </w:style>
  <w:style w:type="paragraph" w:styleId="Virsraksts4">
    <w:name w:val="heading 4"/>
    <w:basedOn w:val="Parasts1"/>
    <w:next w:val="Parasts1"/>
    <w:link w:val="Virsraksts4Rakstz"/>
    <w:uiPriority w:val="99"/>
    <w:qFormat/>
    <w:rsid w:val="00941331"/>
    <w:pPr>
      <w:keepNext/>
      <w:jc w:val="right"/>
      <w:outlineLvl w:val="3"/>
    </w:pPr>
    <w:rPr>
      <w:sz w:val="28"/>
      <w:szCs w:val="20"/>
      <w:lang w:val="lv-LV"/>
    </w:rPr>
  </w:style>
  <w:style w:type="paragraph" w:styleId="Virsraksts5">
    <w:name w:val="heading 5"/>
    <w:basedOn w:val="Parasts1"/>
    <w:next w:val="Parasts1"/>
    <w:link w:val="Virsraksts5Rakstz"/>
    <w:uiPriority w:val="99"/>
    <w:qFormat/>
    <w:rsid w:val="00941331"/>
    <w:pPr>
      <w:keepNext/>
      <w:outlineLvl w:val="4"/>
    </w:pPr>
    <w:rPr>
      <w:sz w:val="28"/>
    </w:rPr>
  </w:style>
  <w:style w:type="paragraph" w:styleId="Virsraksts6">
    <w:name w:val="heading 6"/>
    <w:basedOn w:val="Parasts1"/>
    <w:next w:val="Parasts1"/>
    <w:link w:val="Virsraksts6Rakstz"/>
    <w:uiPriority w:val="99"/>
    <w:qFormat/>
    <w:rsid w:val="00941331"/>
    <w:pPr>
      <w:keepNext/>
      <w:jc w:val="center"/>
      <w:outlineLvl w:val="5"/>
    </w:pPr>
    <w:rPr>
      <w:sz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E911CD"/>
    <w:rPr>
      <w:rFonts w:ascii="Cambria" w:hAnsi="Cambria" w:cs="Times New Roman"/>
      <w:b/>
      <w:bCs/>
      <w:kern w:val="32"/>
      <w:sz w:val="32"/>
      <w:szCs w:val="32"/>
    </w:rPr>
  </w:style>
  <w:style w:type="character" w:customStyle="1" w:styleId="Virsraksts2Rakstz">
    <w:name w:val="Virsraksts 2 Rakstz."/>
    <w:link w:val="Virsraksts2"/>
    <w:uiPriority w:val="99"/>
    <w:semiHidden/>
    <w:locked/>
    <w:rsid w:val="00CE7096"/>
    <w:rPr>
      <w:rFonts w:cs="Times New Roman"/>
      <w:b/>
      <w:i/>
      <w:lang w:val="en-US" w:eastAsia="en-US"/>
    </w:rPr>
  </w:style>
  <w:style w:type="character" w:customStyle="1" w:styleId="Virsraksts3Rakstz">
    <w:name w:val="Virsraksts 3 Rakstz."/>
    <w:link w:val="Virsraksts3"/>
    <w:uiPriority w:val="99"/>
    <w:semiHidden/>
    <w:locked/>
    <w:rsid w:val="00E911CD"/>
    <w:rPr>
      <w:rFonts w:ascii="Cambria" w:hAnsi="Cambria" w:cs="Times New Roman"/>
      <w:b/>
      <w:bCs/>
      <w:sz w:val="26"/>
      <w:szCs w:val="26"/>
    </w:rPr>
  </w:style>
  <w:style w:type="character" w:customStyle="1" w:styleId="Virsraksts4Rakstz">
    <w:name w:val="Virsraksts 4 Rakstz."/>
    <w:link w:val="Virsraksts4"/>
    <w:uiPriority w:val="99"/>
    <w:semiHidden/>
    <w:locked/>
    <w:rsid w:val="00E911CD"/>
    <w:rPr>
      <w:rFonts w:ascii="Calibri" w:hAnsi="Calibri" w:cs="Times New Roman"/>
      <w:b/>
      <w:bCs/>
      <w:sz w:val="28"/>
      <w:szCs w:val="28"/>
    </w:rPr>
  </w:style>
  <w:style w:type="character" w:customStyle="1" w:styleId="Virsraksts5Rakstz">
    <w:name w:val="Virsraksts 5 Rakstz."/>
    <w:link w:val="Virsraksts5"/>
    <w:uiPriority w:val="99"/>
    <w:semiHidden/>
    <w:locked/>
    <w:rsid w:val="00E911CD"/>
    <w:rPr>
      <w:rFonts w:ascii="Calibri" w:hAnsi="Calibri" w:cs="Times New Roman"/>
      <w:b/>
      <w:bCs/>
      <w:i/>
      <w:iCs/>
      <w:sz w:val="26"/>
      <w:szCs w:val="26"/>
    </w:rPr>
  </w:style>
  <w:style w:type="character" w:customStyle="1" w:styleId="Virsraksts6Rakstz">
    <w:name w:val="Virsraksts 6 Rakstz."/>
    <w:link w:val="Virsraksts6"/>
    <w:uiPriority w:val="99"/>
    <w:semiHidden/>
    <w:locked/>
    <w:rsid w:val="00E911CD"/>
    <w:rPr>
      <w:rFonts w:ascii="Calibri" w:hAnsi="Calibri" w:cs="Times New Roman"/>
      <w:b/>
      <w:bCs/>
    </w:rPr>
  </w:style>
  <w:style w:type="paragraph" w:customStyle="1" w:styleId="Parasts1">
    <w:name w:val="Parasts1"/>
    <w:uiPriority w:val="99"/>
    <w:rsid w:val="00941331"/>
    <w:rPr>
      <w:sz w:val="24"/>
      <w:szCs w:val="24"/>
      <w:lang w:val="en-GB" w:eastAsia="en-US"/>
    </w:rPr>
  </w:style>
  <w:style w:type="paragraph" w:customStyle="1" w:styleId="naisf">
    <w:name w:val="naisf"/>
    <w:basedOn w:val="Parasts1"/>
    <w:uiPriority w:val="99"/>
    <w:rsid w:val="00941331"/>
    <w:pPr>
      <w:spacing w:before="100" w:beforeAutospacing="1" w:after="100" w:afterAutospacing="1"/>
      <w:jc w:val="both"/>
    </w:pPr>
    <w:rPr>
      <w:rFonts w:eastAsia="Arial Unicode MS"/>
    </w:rPr>
  </w:style>
  <w:style w:type="paragraph" w:customStyle="1" w:styleId="naisnod">
    <w:name w:val="naisnod"/>
    <w:basedOn w:val="Parasts1"/>
    <w:uiPriority w:val="99"/>
    <w:rsid w:val="00941331"/>
    <w:pPr>
      <w:spacing w:before="100" w:beforeAutospacing="1" w:after="100" w:afterAutospacing="1"/>
      <w:jc w:val="center"/>
    </w:pPr>
    <w:rPr>
      <w:rFonts w:eastAsia="Arial Unicode MS"/>
      <w:b/>
      <w:bCs/>
    </w:rPr>
  </w:style>
  <w:style w:type="paragraph" w:customStyle="1" w:styleId="naislab">
    <w:name w:val="naislab"/>
    <w:basedOn w:val="Parasts1"/>
    <w:uiPriority w:val="99"/>
    <w:rsid w:val="00941331"/>
    <w:pPr>
      <w:spacing w:before="100" w:beforeAutospacing="1" w:after="100" w:afterAutospacing="1"/>
      <w:jc w:val="right"/>
    </w:pPr>
    <w:rPr>
      <w:rFonts w:eastAsia="Arial Unicode MS"/>
    </w:rPr>
  </w:style>
  <w:style w:type="paragraph" w:customStyle="1" w:styleId="naisc">
    <w:name w:val="naisc"/>
    <w:basedOn w:val="Parasts1"/>
    <w:uiPriority w:val="99"/>
    <w:rsid w:val="00941331"/>
    <w:pPr>
      <w:spacing w:before="100" w:beforeAutospacing="1" w:after="100" w:afterAutospacing="1"/>
      <w:jc w:val="center"/>
    </w:pPr>
    <w:rPr>
      <w:rFonts w:eastAsia="Arial Unicode MS"/>
    </w:rPr>
  </w:style>
  <w:style w:type="paragraph" w:styleId="HTMLiepriekformattais">
    <w:name w:val="HTML Preformatted"/>
    <w:basedOn w:val="Parasts1"/>
    <w:link w:val="HTMLiepriekformattaisRakstz"/>
    <w:uiPriority w:val="99"/>
    <w:rsid w:val="00941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iepriekformattaisRakstz">
    <w:name w:val="HTML iepriekšformatētais Rakstz."/>
    <w:link w:val="HTMLiepriekformattais"/>
    <w:uiPriority w:val="99"/>
    <w:semiHidden/>
    <w:locked/>
    <w:rsid w:val="00E911CD"/>
    <w:rPr>
      <w:rFonts w:ascii="Courier New" w:hAnsi="Courier New" w:cs="Courier New"/>
      <w:sz w:val="20"/>
      <w:szCs w:val="20"/>
    </w:rPr>
  </w:style>
  <w:style w:type="paragraph" w:customStyle="1" w:styleId="Paraststmeklis1">
    <w:name w:val="Parasts (tīmeklis)1"/>
    <w:basedOn w:val="Parasts1"/>
    <w:uiPriority w:val="99"/>
    <w:rsid w:val="00941331"/>
    <w:pPr>
      <w:spacing w:before="100" w:beforeAutospacing="1" w:after="100" w:afterAutospacing="1"/>
    </w:pPr>
    <w:rPr>
      <w:rFonts w:ascii="Arial Unicode MS" w:eastAsia="Arial Unicode MS" w:hAnsi="Arial Unicode MS" w:cs="Arial Unicode MS"/>
    </w:rPr>
  </w:style>
  <w:style w:type="paragraph" w:customStyle="1" w:styleId="nais1">
    <w:name w:val="nais1"/>
    <w:basedOn w:val="Parasts1"/>
    <w:uiPriority w:val="99"/>
    <w:rsid w:val="00941331"/>
    <w:pPr>
      <w:spacing w:before="100" w:beforeAutospacing="1" w:after="100" w:afterAutospacing="1"/>
    </w:pPr>
    <w:rPr>
      <w:rFonts w:ascii="Arial Unicode MS" w:eastAsia="Arial Unicode MS" w:hAnsi="Arial Unicode MS" w:cs="Arial Unicode MS"/>
    </w:rPr>
  </w:style>
  <w:style w:type="paragraph" w:styleId="Pamatteksts">
    <w:name w:val="Body Text"/>
    <w:basedOn w:val="Parasts1"/>
    <w:link w:val="PamattekstsRakstz"/>
    <w:uiPriority w:val="99"/>
    <w:rsid w:val="00941331"/>
    <w:rPr>
      <w:sz w:val="28"/>
    </w:rPr>
  </w:style>
  <w:style w:type="character" w:customStyle="1" w:styleId="PamattekstsRakstz">
    <w:name w:val="Pamatteksts Rakstz."/>
    <w:link w:val="Pamatteksts"/>
    <w:uiPriority w:val="99"/>
    <w:semiHidden/>
    <w:locked/>
    <w:rsid w:val="00E911CD"/>
    <w:rPr>
      <w:rFonts w:cs="Times New Roman"/>
      <w:sz w:val="20"/>
      <w:szCs w:val="20"/>
    </w:rPr>
  </w:style>
  <w:style w:type="paragraph" w:styleId="Pamatteksts2">
    <w:name w:val="Body Text 2"/>
    <w:basedOn w:val="Parasts1"/>
    <w:link w:val="Pamatteksts2Rakstz"/>
    <w:uiPriority w:val="99"/>
    <w:rsid w:val="00941331"/>
    <w:pPr>
      <w:jc w:val="both"/>
    </w:pPr>
    <w:rPr>
      <w:sz w:val="28"/>
    </w:rPr>
  </w:style>
  <w:style w:type="character" w:customStyle="1" w:styleId="Pamatteksts2Rakstz">
    <w:name w:val="Pamatteksts 2 Rakstz."/>
    <w:link w:val="Pamatteksts2"/>
    <w:uiPriority w:val="99"/>
    <w:semiHidden/>
    <w:locked/>
    <w:rsid w:val="00E911CD"/>
    <w:rPr>
      <w:rFonts w:cs="Times New Roman"/>
      <w:sz w:val="20"/>
      <w:szCs w:val="20"/>
    </w:rPr>
  </w:style>
  <w:style w:type="paragraph" w:styleId="Pamatteksts3">
    <w:name w:val="Body Text 3"/>
    <w:basedOn w:val="Parasts1"/>
    <w:link w:val="Pamatteksts3Rakstz"/>
    <w:uiPriority w:val="99"/>
    <w:rsid w:val="00941331"/>
    <w:pPr>
      <w:jc w:val="center"/>
    </w:pPr>
    <w:rPr>
      <w:b/>
      <w:bCs/>
      <w:sz w:val="28"/>
    </w:rPr>
  </w:style>
  <w:style w:type="character" w:customStyle="1" w:styleId="Pamatteksts3Rakstz">
    <w:name w:val="Pamatteksts 3 Rakstz."/>
    <w:link w:val="Pamatteksts3"/>
    <w:uiPriority w:val="99"/>
    <w:semiHidden/>
    <w:locked/>
    <w:rsid w:val="00E911CD"/>
    <w:rPr>
      <w:rFonts w:cs="Times New Roman"/>
      <w:sz w:val="16"/>
      <w:szCs w:val="16"/>
    </w:rPr>
  </w:style>
  <w:style w:type="paragraph" w:styleId="Galvene">
    <w:name w:val="header"/>
    <w:basedOn w:val="Parasts1"/>
    <w:link w:val="GalveneRakstz"/>
    <w:uiPriority w:val="99"/>
    <w:rsid w:val="00941331"/>
    <w:pPr>
      <w:tabs>
        <w:tab w:val="center" w:pos="4153"/>
        <w:tab w:val="right" w:pos="8306"/>
      </w:tabs>
    </w:pPr>
    <w:rPr>
      <w:sz w:val="20"/>
      <w:szCs w:val="20"/>
      <w:lang w:val="en-US"/>
    </w:rPr>
  </w:style>
  <w:style w:type="character" w:customStyle="1" w:styleId="GalveneRakstz">
    <w:name w:val="Galvene Rakstz."/>
    <w:link w:val="Galvene"/>
    <w:uiPriority w:val="99"/>
    <w:locked/>
    <w:rsid w:val="000B5195"/>
    <w:rPr>
      <w:rFonts w:cs="Times New Roman"/>
      <w:lang w:val="en-US" w:eastAsia="en-US"/>
    </w:rPr>
  </w:style>
  <w:style w:type="character" w:styleId="Lappusesnumurs">
    <w:name w:val="page number"/>
    <w:uiPriority w:val="99"/>
    <w:rsid w:val="00941331"/>
    <w:rPr>
      <w:rFonts w:cs="Times New Roman"/>
    </w:rPr>
  </w:style>
  <w:style w:type="paragraph" w:styleId="Pamattekstsaratkpi">
    <w:name w:val="Body Text Indent"/>
    <w:basedOn w:val="Parasts1"/>
    <w:link w:val="PamattekstsaratkpiRakstz"/>
    <w:uiPriority w:val="99"/>
    <w:rsid w:val="00941331"/>
    <w:pPr>
      <w:ind w:left="540" w:hanging="540"/>
    </w:pPr>
    <w:rPr>
      <w:b/>
      <w:bCs/>
      <w:sz w:val="28"/>
    </w:rPr>
  </w:style>
  <w:style w:type="character" w:customStyle="1" w:styleId="PamattekstsaratkpiRakstz">
    <w:name w:val="Pamatteksts ar atkāpi Rakstz."/>
    <w:link w:val="Pamattekstsaratkpi"/>
    <w:uiPriority w:val="99"/>
    <w:semiHidden/>
    <w:locked/>
    <w:rsid w:val="00E911CD"/>
    <w:rPr>
      <w:rFonts w:cs="Times New Roman"/>
      <w:sz w:val="20"/>
      <w:szCs w:val="20"/>
    </w:rPr>
  </w:style>
  <w:style w:type="paragraph" w:styleId="Kjene">
    <w:name w:val="footer"/>
    <w:basedOn w:val="Parasts1"/>
    <w:link w:val="KjeneRakstz"/>
    <w:uiPriority w:val="99"/>
    <w:rsid w:val="00941331"/>
    <w:pPr>
      <w:tabs>
        <w:tab w:val="center" w:pos="4153"/>
        <w:tab w:val="right" w:pos="8306"/>
      </w:tabs>
    </w:pPr>
  </w:style>
  <w:style w:type="character" w:customStyle="1" w:styleId="KjeneRakstz">
    <w:name w:val="Kājene Rakstz."/>
    <w:link w:val="Kjene"/>
    <w:uiPriority w:val="99"/>
    <w:semiHidden/>
    <w:locked/>
    <w:rsid w:val="00E911CD"/>
    <w:rPr>
      <w:rFonts w:cs="Times New Roman"/>
      <w:sz w:val="20"/>
      <w:szCs w:val="20"/>
    </w:rPr>
  </w:style>
  <w:style w:type="paragraph" w:styleId="Balonteksts">
    <w:name w:val="Balloon Text"/>
    <w:basedOn w:val="Parasts1"/>
    <w:link w:val="BalontekstsRakstz"/>
    <w:uiPriority w:val="99"/>
    <w:semiHidden/>
    <w:rsid w:val="00941331"/>
    <w:rPr>
      <w:rFonts w:ascii="Tahoma" w:hAnsi="Tahoma" w:cs="Tahoma"/>
      <w:sz w:val="16"/>
      <w:szCs w:val="16"/>
    </w:rPr>
  </w:style>
  <w:style w:type="character" w:customStyle="1" w:styleId="BalontekstsRakstz">
    <w:name w:val="Balonteksts Rakstz."/>
    <w:link w:val="Balonteksts"/>
    <w:uiPriority w:val="99"/>
    <w:semiHidden/>
    <w:locked/>
    <w:rsid w:val="00E911CD"/>
    <w:rPr>
      <w:rFonts w:cs="Times New Roman"/>
      <w:sz w:val="2"/>
    </w:rPr>
  </w:style>
  <w:style w:type="table" w:styleId="Reatabula">
    <w:name w:val="Table Grid"/>
    <w:basedOn w:val="Parastatabula"/>
    <w:uiPriority w:val="99"/>
    <w:rsid w:val="007637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4">
    <w:name w:val="H4"/>
    <w:basedOn w:val="Parasts1"/>
    <w:next w:val="Parasts1"/>
    <w:uiPriority w:val="99"/>
    <w:rsid w:val="003234E0"/>
    <w:pPr>
      <w:keepNext/>
      <w:spacing w:before="100" w:after="100"/>
      <w:outlineLvl w:val="4"/>
    </w:pPr>
    <w:rPr>
      <w:b/>
      <w:szCs w:val="20"/>
      <w:lang w:val="lv-LV"/>
    </w:rPr>
  </w:style>
  <w:style w:type="paragraph" w:customStyle="1" w:styleId="naiskr">
    <w:name w:val="naiskr"/>
    <w:basedOn w:val="Parasts1"/>
    <w:uiPriority w:val="99"/>
    <w:rsid w:val="00984D97"/>
    <w:pPr>
      <w:spacing w:before="100" w:beforeAutospacing="1" w:after="100" w:afterAutospacing="1"/>
    </w:pPr>
    <w:rPr>
      <w:lang w:val="lv-LV" w:eastAsia="lv-LV"/>
    </w:rPr>
  </w:style>
  <w:style w:type="paragraph" w:customStyle="1" w:styleId="Tiret2">
    <w:name w:val="Tiret 2"/>
    <w:basedOn w:val="Parasts1"/>
    <w:uiPriority w:val="99"/>
    <w:rsid w:val="006835F2"/>
    <w:pPr>
      <w:numPr>
        <w:numId w:val="15"/>
      </w:numPr>
      <w:spacing w:before="120" w:after="120"/>
      <w:jc w:val="both"/>
    </w:pPr>
    <w:rPr>
      <w:szCs w:val="20"/>
      <w:lang w:val="lv-LV" w:eastAsia="zh-CN"/>
    </w:rPr>
  </w:style>
  <w:style w:type="character" w:customStyle="1" w:styleId="Deleted">
    <w:name w:val="Deleted"/>
    <w:uiPriority w:val="99"/>
    <w:rsid w:val="006E2AA8"/>
    <w:rPr>
      <w:strike/>
    </w:rPr>
  </w:style>
  <w:style w:type="character" w:styleId="Izteiksmgs">
    <w:name w:val="Strong"/>
    <w:uiPriority w:val="99"/>
    <w:qFormat/>
    <w:rsid w:val="00FB6A56"/>
    <w:rPr>
      <w:rFonts w:cs="Times New Roman"/>
      <w:b/>
    </w:rPr>
  </w:style>
  <w:style w:type="paragraph" w:customStyle="1" w:styleId="CharCharRakstzRakstzCharChar">
    <w:name w:val="Char Char Rakstz. Rakstz. Char Char"/>
    <w:basedOn w:val="Parasts1"/>
    <w:autoRedefine/>
    <w:uiPriority w:val="99"/>
    <w:rsid w:val="00743A03"/>
    <w:pPr>
      <w:spacing w:before="40"/>
    </w:pPr>
    <w:rPr>
      <w:lang w:val="pl-PL" w:eastAsia="pl-PL"/>
    </w:rPr>
  </w:style>
  <w:style w:type="character" w:styleId="Komentraatsauce">
    <w:name w:val="annotation reference"/>
    <w:uiPriority w:val="99"/>
    <w:semiHidden/>
    <w:rsid w:val="00187960"/>
    <w:rPr>
      <w:rFonts w:cs="Times New Roman"/>
      <w:sz w:val="16"/>
    </w:rPr>
  </w:style>
  <w:style w:type="paragraph" w:styleId="Komentrateksts">
    <w:name w:val="annotation text"/>
    <w:basedOn w:val="Parasts1"/>
    <w:link w:val="KomentratekstsRakstz"/>
    <w:uiPriority w:val="99"/>
    <w:semiHidden/>
    <w:rsid w:val="00187960"/>
    <w:rPr>
      <w:sz w:val="20"/>
      <w:szCs w:val="20"/>
    </w:rPr>
  </w:style>
  <w:style w:type="character" w:customStyle="1" w:styleId="KomentratekstsRakstz">
    <w:name w:val="Komentāra teksts Rakstz."/>
    <w:link w:val="Komentrateksts"/>
    <w:uiPriority w:val="99"/>
    <w:locked/>
    <w:rsid w:val="00C21AAA"/>
    <w:rPr>
      <w:rFonts w:cs="Times New Roman"/>
      <w:lang w:val="en-GB" w:eastAsia="en-US"/>
    </w:rPr>
  </w:style>
  <w:style w:type="paragraph" w:styleId="Komentratma">
    <w:name w:val="annotation subject"/>
    <w:basedOn w:val="Komentrateksts"/>
    <w:next w:val="Komentrateksts"/>
    <w:link w:val="KomentratmaRakstz"/>
    <w:uiPriority w:val="99"/>
    <w:semiHidden/>
    <w:rsid w:val="00187960"/>
    <w:rPr>
      <w:b/>
      <w:bCs/>
    </w:rPr>
  </w:style>
  <w:style w:type="character" w:customStyle="1" w:styleId="KomentratmaRakstz">
    <w:name w:val="Komentāra tēma Rakstz."/>
    <w:link w:val="Komentratma"/>
    <w:uiPriority w:val="99"/>
    <w:semiHidden/>
    <w:locked/>
    <w:rsid w:val="00E911CD"/>
    <w:rPr>
      <w:rFonts w:cs="Times New Roman"/>
      <w:b/>
      <w:bCs/>
      <w:sz w:val="20"/>
      <w:szCs w:val="20"/>
      <w:lang w:val="en-GB" w:eastAsia="en-US"/>
    </w:rPr>
  </w:style>
  <w:style w:type="paragraph" w:customStyle="1" w:styleId="Rakstz1RakstzRakstzRakstz">
    <w:name w:val="Rakstz.1 Rakstz. Rakstz. Rakstz."/>
    <w:basedOn w:val="Parasts1"/>
    <w:uiPriority w:val="99"/>
    <w:rsid w:val="009654E9"/>
    <w:pPr>
      <w:spacing w:after="160" w:line="240" w:lineRule="exact"/>
    </w:pPr>
    <w:rPr>
      <w:rFonts w:ascii="Tahoma" w:hAnsi="Tahoma"/>
      <w:sz w:val="20"/>
      <w:szCs w:val="20"/>
      <w:lang w:val="en-US"/>
    </w:rPr>
  </w:style>
  <w:style w:type="paragraph" w:customStyle="1" w:styleId="Norm">
    <w:name w:val="Norm"/>
    <w:basedOn w:val="Parasts1"/>
    <w:autoRedefine/>
    <w:uiPriority w:val="99"/>
    <w:rsid w:val="00D63AEE"/>
    <w:pPr>
      <w:ind w:right="71" w:firstLine="720"/>
      <w:jc w:val="both"/>
    </w:pPr>
    <w:rPr>
      <w:sz w:val="28"/>
      <w:szCs w:val="28"/>
      <w:lang w:val="lv-LV" w:eastAsia="lv-LV"/>
    </w:rPr>
  </w:style>
  <w:style w:type="paragraph" w:styleId="Pamattekstaatkpe2">
    <w:name w:val="Body Text Indent 2"/>
    <w:basedOn w:val="Parasts1"/>
    <w:link w:val="Pamattekstaatkpe2Rakstz"/>
    <w:uiPriority w:val="99"/>
    <w:rsid w:val="00EF44A0"/>
    <w:pPr>
      <w:spacing w:after="120" w:line="480" w:lineRule="auto"/>
      <w:ind w:left="283"/>
    </w:pPr>
    <w:rPr>
      <w:lang w:val="lv-LV" w:eastAsia="lv-LV"/>
    </w:rPr>
  </w:style>
  <w:style w:type="character" w:customStyle="1" w:styleId="Pamattekstaatkpe2Rakstz">
    <w:name w:val="Pamatteksta atkāpe 2 Rakstz."/>
    <w:link w:val="Pamattekstaatkpe2"/>
    <w:uiPriority w:val="99"/>
    <w:semiHidden/>
    <w:locked/>
    <w:rsid w:val="00E911CD"/>
    <w:rPr>
      <w:rFonts w:cs="Times New Roman"/>
      <w:sz w:val="20"/>
      <w:szCs w:val="20"/>
    </w:rPr>
  </w:style>
  <w:style w:type="character" w:customStyle="1" w:styleId="apple-converted-space">
    <w:name w:val="apple-converted-space"/>
    <w:uiPriority w:val="99"/>
    <w:rsid w:val="00D726A3"/>
    <w:rPr>
      <w:rFonts w:cs="Times New Roman"/>
    </w:rPr>
  </w:style>
  <w:style w:type="character" w:customStyle="1" w:styleId="apple-style-span">
    <w:name w:val="apple-style-span"/>
    <w:uiPriority w:val="99"/>
    <w:rsid w:val="00D726A3"/>
    <w:rPr>
      <w:rFonts w:cs="Times New Roman"/>
    </w:rPr>
  </w:style>
  <w:style w:type="paragraph" w:customStyle="1" w:styleId="tvhtmlmktable">
    <w:name w:val="tv_html mk_table"/>
    <w:basedOn w:val="Parasts1"/>
    <w:uiPriority w:val="99"/>
    <w:rsid w:val="000A7281"/>
    <w:pPr>
      <w:spacing w:before="100" w:beforeAutospacing="1" w:after="100" w:afterAutospacing="1"/>
    </w:pPr>
    <w:rPr>
      <w:lang w:val="lv-LV" w:eastAsia="lv-LV"/>
    </w:rPr>
  </w:style>
  <w:style w:type="character" w:styleId="Hipersaite">
    <w:name w:val="Hyperlink"/>
    <w:uiPriority w:val="99"/>
    <w:rsid w:val="00EC73EA"/>
    <w:rPr>
      <w:rFonts w:cs="Times New Roman"/>
      <w:color w:val="0000FF"/>
      <w:u w:val="single"/>
    </w:rPr>
  </w:style>
  <w:style w:type="character" w:styleId="Izclums">
    <w:name w:val="Emphasis"/>
    <w:uiPriority w:val="99"/>
    <w:qFormat/>
    <w:rsid w:val="00FE441A"/>
    <w:rPr>
      <w:rFonts w:cs="Times New Roman"/>
      <w:i/>
    </w:rPr>
  </w:style>
  <w:style w:type="paragraph" w:customStyle="1" w:styleId="RakstzRakstzRakstzCharChar">
    <w:name w:val="Rakstz. Rakstz. Rakstz. Char Char"/>
    <w:basedOn w:val="Parasts1"/>
    <w:uiPriority w:val="99"/>
    <w:rsid w:val="006E58BD"/>
    <w:pPr>
      <w:spacing w:before="40"/>
    </w:pPr>
    <w:rPr>
      <w:lang w:val="pl-PL" w:eastAsia="pl-PL"/>
    </w:rPr>
  </w:style>
  <w:style w:type="paragraph" w:customStyle="1" w:styleId="tvhtml1">
    <w:name w:val="tv_html1"/>
    <w:basedOn w:val="Parasts1"/>
    <w:uiPriority w:val="99"/>
    <w:rsid w:val="003929BA"/>
    <w:pPr>
      <w:spacing w:before="100" w:beforeAutospacing="1" w:line="360" w:lineRule="auto"/>
    </w:pPr>
    <w:rPr>
      <w:rFonts w:ascii="Verdana" w:hAnsi="Verdana"/>
      <w:sz w:val="18"/>
      <w:szCs w:val="18"/>
      <w:lang w:val="lv-LV" w:eastAsia="lv-LV"/>
    </w:rPr>
  </w:style>
  <w:style w:type="character" w:customStyle="1" w:styleId="st1">
    <w:name w:val="st1"/>
    <w:uiPriority w:val="99"/>
    <w:rsid w:val="0003441B"/>
    <w:rPr>
      <w:rFonts w:cs="Times New Roman"/>
    </w:rPr>
  </w:style>
  <w:style w:type="paragraph" w:customStyle="1" w:styleId="tv2131">
    <w:name w:val="tv2131"/>
    <w:basedOn w:val="Parasts1"/>
    <w:uiPriority w:val="99"/>
    <w:rsid w:val="007F63E6"/>
    <w:pPr>
      <w:spacing w:before="240" w:line="360" w:lineRule="auto"/>
      <w:ind w:firstLine="300"/>
      <w:jc w:val="both"/>
    </w:pPr>
    <w:rPr>
      <w:rFonts w:ascii="Verdana" w:hAnsi="Verdana"/>
      <w:sz w:val="18"/>
      <w:szCs w:val="18"/>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37940">
      <w:marLeft w:val="0"/>
      <w:marRight w:val="0"/>
      <w:marTop w:val="0"/>
      <w:marBottom w:val="0"/>
      <w:divBdr>
        <w:top w:val="none" w:sz="0" w:space="0" w:color="auto"/>
        <w:left w:val="none" w:sz="0" w:space="0" w:color="auto"/>
        <w:bottom w:val="none" w:sz="0" w:space="0" w:color="auto"/>
        <w:right w:val="none" w:sz="0" w:space="0" w:color="auto"/>
      </w:divBdr>
    </w:div>
    <w:div w:id="14037941">
      <w:marLeft w:val="0"/>
      <w:marRight w:val="0"/>
      <w:marTop w:val="0"/>
      <w:marBottom w:val="0"/>
      <w:divBdr>
        <w:top w:val="none" w:sz="0" w:space="0" w:color="auto"/>
        <w:left w:val="none" w:sz="0" w:space="0" w:color="auto"/>
        <w:bottom w:val="none" w:sz="0" w:space="0" w:color="auto"/>
        <w:right w:val="none" w:sz="0" w:space="0" w:color="auto"/>
      </w:divBdr>
    </w:div>
    <w:div w:id="14037942">
      <w:marLeft w:val="0"/>
      <w:marRight w:val="0"/>
      <w:marTop w:val="0"/>
      <w:marBottom w:val="0"/>
      <w:divBdr>
        <w:top w:val="none" w:sz="0" w:space="0" w:color="auto"/>
        <w:left w:val="none" w:sz="0" w:space="0" w:color="auto"/>
        <w:bottom w:val="none" w:sz="0" w:space="0" w:color="auto"/>
        <w:right w:val="none" w:sz="0" w:space="0" w:color="auto"/>
      </w:divBdr>
    </w:div>
    <w:div w:id="14037943">
      <w:marLeft w:val="0"/>
      <w:marRight w:val="0"/>
      <w:marTop w:val="0"/>
      <w:marBottom w:val="0"/>
      <w:divBdr>
        <w:top w:val="none" w:sz="0" w:space="0" w:color="auto"/>
        <w:left w:val="none" w:sz="0" w:space="0" w:color="auto"/>
        <w:bottom w:val="none" w:sz="0" w:space="0" w:color="auto"/>
        <w:right w:val="none" w:sz="0" w:space="0" w:color="auto"/>
      </w:divBdr>
      <w:divsChild>
        <w:div w:id="14037967">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4037944">
      <w:marLeft w:val="0"/>
      <w:marRight w:val="0"/>
      <w:marTop w:val="0"/>
      <w:marBottom w:val="0"/>
      <w:divBdr>
        <w:top w:val="none" w:sz="0" w:space="0" w:color="auto"/>
        <w:left w:val="none" w:sz="0" w:space="0" w:color="auto"/>
        <w:bottom w:val="none" w:sz="0" w:space="0" w:color="auto"/>
        <w:right w:val="none" w:sz="0" w:space="0" w:color="auto"/>
      </w:divBdr>
    </w:div>
    <w:div w:id="14037945">
      <w:marLeft w:val="0"/>
      <w:marRight w:val="0"/>
      <w:marTop w:val="0"/>
      <w:marBottom w:val="0"/>
      <w:divBdr>
        <w:top w:val="none" w:sz="0" w:space="0" w:color="auto"/>
        <w:left w:val="none" w:sz="0" w:space="0" w:color="auto"/>
        <w:bottom w:val="none" w:sz="0" w:space="0" w:color="auto"/>
        <w:right w:val="none" w:sz="0" w:space="0" w:color="auto"/>
      </w:divBdr>
    </w:div>
    <w:div w:id="14037946">
      <w:marLeft w:val="0"/>
      <w:marRight w:val="0"/>
      <w:marTop w:val="0"/>
      <w:marBottom w:val="0"/>
      <w:divBdr>
        <w:top w:val="none" w:sz="0" w:space="0" w:color="auto"/>
        <w:left w:val="none" w:sz="0" w:space="0" w:color="auto"/>
        <w:bottom w:val="none" w:sz="0" w:space="0" w:color="auto"/>
        <w:right w:val="none" w:sz="0" w:space="0" w:color="auto"/>
      </w:divBdr>
    </w:div>
    <w:div w:id="14037947">
      <w:marLeft w:val="0"/>
      <w:marRight w:val="0"/>
      <w:marTop w:val="0"/>
      <w:marBottom w:val="0"/>
      <w:divBdr>
        <w:top w:val="none" w:sz="0" w:space="0" w:color="auto"/>
        <w:left w:val="none" w:sz="0" w:space="0" w:color="auto"/>
        <w:bottom w:val="none" w:sz="0" w:space="0" w:color="auto"/>
        <w:right w:val="none" w:sz="0" w:space="0" w:color="auto"/>
      </w:divBdr>
    </w:div>
    <w:div w:id="14037948">
      <w:marLeft w:val="0"/>
      <w:marRight w:val="0"/>
      <w:marTop w:val="0"/>
      <w:marBottom w:val="0"/>
      <w:divBdr>
        <w:top w:val="none" w:sz="0" w:space="0" w:color="auto"/>
        <w:left w:val="none" w:sz="0" w:space="0" w:color="auto"/>
        <w:bottom w:val="none" w:sz="0" w:space="0" w:color="auto"/>
        <w:right w:val="none" w:sz="0" w:space="0" w:color="auto"/>
      </w:divBdr>
      <w:divsChild>
        <w:div w:id="14037966">
          <w:marLeft w:val="3"/>
          <w:marRight w:val="3"/>
          <w:marTop w:val="0"/>
          <w:marBottom w:val="0"/>
          <w:divBdr>
            <w:top w:val="single" w:sz="6" w:space="0" w:color="112449"/>
            <w:left w:val="single" w:sz="6" w:space="0" w:color="112449"/>
            <w:bottom w:val="single" w:sz="6" w:space="0" w:color="112449"/>
            <w:right w:val="single" w:sz="6" w:space="0" w:color="112449"/>
          </w:divBdr>
        </w:div>
      </w:divsChild>
    </w:div>
    <w:div w:id="14037949">
      <w:marLeft w:val="0"/>
      <w:marRight w:val="0"/>
      <w:marTop w:val="0"/>
      <w:marBottom w:val="0"/>
      <w:divBdr>
        <w:top w:val="none" w:sz="0" w:space="0" w:color="auto"/>
        <w:left w:val="none" w:sz="0" w:space="0" w:color="auto"/>
        <w:bottom w:val="none" w:sz="0" w:space="0" w:color="auto"/>
        <w:right w:val="none" w:sz="0" w:space="0" w:color="auto"/>
      </w:divBdr>
    </w:div>
    <w:div w:id="14037950">
      <w:marLeft w:val="0"/>
      <w:marRight w:val="0"/>
      <w:marTop w:val="0"/>
      <w:marBottom w:val="0"/>
      <w:divBdr>
        <w:top w:val="none" w:sz="0" w:space="0" w:color="auto"/>
        <w:left w:val="none" w:sz="0" w:space="0" w:color="auto"/>
        <w:bottom w:val="none" w:sz="0" w:space="0" w:color="auto"/>
        <w:right w:val="none" w:sz="0" w:space="0" w:color="auto"/>
      </w:divBdr>
    </w:div>
    <w:div w:id="14037951">
      <w:marLeft w:val="0"/>
      <w:marRight w:val="0"/>
      <w:marTop w:val="0"/>
      <w:marBottom w:val="0"/>
      <w:divBdr>
        <w:top w:val="none" w:sz="0" w:space="0" w:color="auto"/>
        <w:left w:val="none" w:sz="0" w:space="0" w:color="auto"/>
        <w:bottom w:val="none" w:sz="0" w:space="0" w:color="auto"/>
        <w:right w:val="none" w:sz="0" w:space="0" w:color="auto"/>
      </w:divBdr>
    </w:div>
    <w:div w:id="14037952">
      <w:marLeft w:val="0"/>
      <w:marRight w:val="0"/>
      <w:marTop w:val="0"/>
      <w:marBottom w:val="0"/>
      <w:divBdr>
        <w:top w:val="none" w:sz="0" w:space="0" w:color="auto"/>
        <w:left w:val="none" w:sz="0" w:space="0" w:color="auto"/>
        <w:bottom w:val="none" w:sz="0" w:space="0" w:color="auto"/>
        <w:right w:val="none" w:sz="0" w:space="0" w:color="auto"/>
      </w:divBdr>
    </w:div>
    <w:div w:id="14037954">
      <w:marLeft w:val="0"/>
      <w:marRight w:val="0"/>
      <w:marTop w:val="0"/>
      <w:marBottom w:val="0"/>
      <w:divBdr>
        <w:top w:val="none" w:sz="0" w:space="0" w:color="auto"/>
        <w:left w:val="none" w:sz="0" w:space="0" w:color="auto"/>
        <w:bottom w:val="none" w:sz="0" w:space="0" w:color="auto"/>
        <w:right w:val="none" w:sz="0" w:space="0" w:color="auto"/>
      </w:divBdr>
    </w:div>
    <w:div w:id="14037955">
      <w:marLeft w:val="0"/>
      <w:marRight w:val="0"/>
      <w:marTop w:val="0"/>
      <w:marBottom w:val="0"/>
      <w:divBdr>
        <w:top w:val="none" w:sz="0" w:space="0" w:color="auto"/>
        <w:left w:val="none" w:sz="0" w:space="0" w:color="auto"/>
        <w:bottom w:val="none" w:sz="0" w:space="0" w:color="auto"/>
        <w:right w:val="none" w:sz="0" w:space="0" w:color="auto"/>
      </w:divBdr>
    </w:div>
    <w:div w:id="14037956">
      <w:marLeft w:val="0"/>
      <w:marRight w:val="0"/>
      <w:marTop w:val="0"/>
      <w:marBottom w:val="0"/>
      <w:divBdr>
        <w:top w:val="none" w:sz="0" w:space="0" w:color="auto"/>
        <w:left w:val="none" w:sz="0" w:space="0" w:color="auto"/>
        <w:bottom w:val="none" w:sz="0" w:space="0" w:color="auto"/>
        <w:right w:val="none" w:sz="0" w:space="0" w:color="auto"/>
      </w:divBdr>
    </w:div>
    <w:div w:id="14037957">
      <w:marLeft w:val="0"/>
      <w:marRight w:val="0"/>
      <w:marTop w:val="0"/>
      <w:marBottom w:val="0"/>
      <w:divBdr>
        <w:top w:val="none" w:sz="0" w:space="0" w:color="auto"/>
        <w:left w:val="none" w:sz="0" w:space="0" w:color="auto"/>
        <w:bottom w:val="none" w:sz="0" w:space="0" w:color="auto"/>
        <w:right w:val="none" w:sz="0" w:space="0" w:color="auto"/>
      </w:divBdr>
    </w:div>
    <w:div w:id="14037958">
      <w:marLeft w:val="0"/>
      <w:marRight w:val="0"/>
      <w:marTop w:val="0"/>
      <w:marBottom w:val="0"/>
      <w:divBdr>
        <w:top w:val="none" w:sz="0" w:space="0" w:color="auto"/>
        <w:left w:val="none" w:sz="0" w:space="0" w:color="auto"/>
        <w:bottom w:val="none" w:sz="0" w:space="0" w:color="auto"/>
        <w:right w:val="none" w:sz="0" w:space="0" w:color="auto"/>
      </w:divBdr>
    </w:div>
    <w:div w:id="14037959">
      <w:marLeft w:val="0"/>
      <w:marRight w:val="0"/>
      <w:marTop w:val="0"/>
      <w:marBottom w:val="0"/>
      <w:divBdr>
        <w:top w:val="none" w:sz="0" w:space="0" w:color="auto"/>
        <w:left w:val="none" w:sz="0" w:space="0" w:color="auto"/>
        <w:bottom w:val="none" w:sz="0" w:space="0" w:color="auto"/>
        <w:right w:val="none" w:sz="0" w:space="0" w:color="auto"/>
      </w:divBdr>
    </w:div>
    <w:div w:id="14037960">
      <w:marLeft w:val="0"/>
      <w:marRight w:val="0"/>
      <w:marTop w:val="0"/>
      <w:marBottom w:val="0"/>
      <w:divBdr>
        <w:top w:val="none" w:sz="0" w:space="0" w:color="auto"/>
        <w:left w:val="none" w:sz="0" w:space="0" w:color="auto"/>
        <w:bottom w:val="none" w:sz="0" w:space="0" w:color="auto"/>
        <w:right w:val="none" w:sz="0" w:space="0" w:color="auto"/>
      </w:divBdr>
    </w:div>
    <w:div w:id="14037961">
      <w:marLeft w:val="0"/>
      <w:marRight w:val="0"/>
      <w:marTop w:val="0"/>
      <w:marBottom w:val="0"/>
      <w:divBdr>
        <w:top w:val="none" w:sz="0" w:space="0" w:color="auto"/>
        <w:left w:val="none" w:sz="0" w:space="0" w:color="auto"/>
        <w:bottom w:val="none" w:sz="0" w:space="0" w:color="auto"/>
        <w:right w:val="none" w:sz="0" w:space="0" w:color="auto"/>
      </w:divBdr>
      <w:divsChild>
        <w:div w:id="14037968">
          <w:marLeft w:val="0"/>
          <w:marRight w:val="0"/>
          <w:marTop w:val="225"/>
          <w:marBottom w:val="0"/>
          <w:divBdr>
            <w:top w:val="none" w:sz="0" w:space="0" w:color="auto"/>
            <w:left w:val="none" w:sz="0" w:space="0" w:color="auto"/>
            <w:bottom w:val="none" w:sz="0" w:space="0" w:color="auto"/>
            <w:right w:val="none" w:sz="0" w:space="0" w:color="auto"/>
          </w:divBdr>
        </w:div>
      </w:divsChild>
    </w:div>
    <w:div w:id="14037962">
      <w:marLeft w:val="0"/>
      <w:marRight w:val="0"/>
      <w:marTop w:val="0"/>
      <w:marBottom w:val="0"/>
      <w:divBdr>
        <w:top w:val="none" w:sz="0" w:space="0" w:color="auto"/>
        <w:left w:val="none" w:sz="0" w:space="0" w:color="auto"/>
        <w:bottom w:val="none" w:sz="0" w:space="0" w:color="auto"/>
        <w:right w:val="none" w:sz="0" w:space="0" w:color="auto"/>
      </w:divBdr>
    </w:div>
    <w:div w:id="14037963">
      <w:marLeft w:val="0"/>
      <w:marRight w:val="0"/>
      <w:marTop w:val="0"/>
      <w:marBottom w:val="0"/>
      <w:divBdr>
        <w:top w:val="none" w:sz="0" w:space="0" w:color="auto"/>
        <w:left w:val="none" w:sz="0" w:space="0" w:color="auto"/>
        <w:bottom w:val="none" w:sz="0" w:space="0" w:color="auto"/>
        <w:right w:val="none" w:sz="0" w:space="0" w:color="auto"/>
      </w:divBdr>
      <w:divsChild>
        <w:div w:id="1403795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4037964">
      <w:marLeft w:val="0"/>
      <w:marRight w:val="0"/>
      <w:marTop w:val="0"/>
      <w:marBottom w:val="0"/>
      <w:divBdr>
        <w:top w:val="none" w:sz="0" w:space="0" w:color="auto"/>
        <w:left w:val="none" w:sz="0" w:space="0" w:color="auto"/>
        <w:bottom w:val="none" w:sz="0" w:space="0" w:color="auto"/>
        <w:right w:val="none" w:sz="0" w:space="0" w:color="auto"/>
      </w:divBdr>
    </w:div>
    <w:div w:id="140379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eur-lex.europa.eu/LexUriServ/LexUriServ.do?uri=CELEX:31997L0054:LV:HTML" TargetMode="External"/><Relationship Id="rId18" Type="http://schemas.openxmlformats.org/officeDocument/2006/relationships/hyperlink" Target="http://eur-lex.europa.eu/LexUriServ/LexUriServ.do?uri=CELEX:31974L0347:LV:HTML" TargetMode="External"/><Relationship Id="rId26" Type="http://schemas.openxmlformats.org/officeDocument/2006/relationships/hyperlink" Target="http://eur-lex.europa.eu/LexUriServ/LexUriServ.do?uri=CELEX:31978L0933:LV:HTML" TargetMode="External"/><Relationship Id="rId39" Type="http://schemas.openxmlformats.org/officeDocument/2006/relationships/hyperlink" Target="http://eur-lex.europa.eu/LexUriServ/LexUriServ.do?uri=OJ:L:2012:274:0024:0025:LV:PDF" TargetMode="External"/><Relationship Id="rId3" Type="http://schemas.openxmlformats.org/officeDocument/2006/relationships/settings" Target="settings.xml"/><Relationship Id="rId21" Type="http://schemas.openxmlformats.org/officeDocument/2006/relationships/hyperlink" Target="http://eur-lex.europa.eu/LexUriServ/LexUriServ.do?uri=CELEX:31976L0432:LV:HTML" TargetMode="External"/><Relationship Id="rId34" Type="http://schemas.openxmlformats.org/officeDocument/2006/relationships/hyperlink" Target="http://eur-lex.europa.eu/LexUriServ/LexUriServ.do?uri=CELEX:31986L0297:LV:HTML" TargetMode="External"/><Relationship Id="rId42"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eur-lex.europa.eu/LexUriServ/LexUriServ.do?uri=CELEX:31997L0054:LV:HTML" TargetMode="External"/><Relationship Id="rId17" Type="http://schemas.openxmlformats.org/officeDocument/2006/relationships/hyperlink" Target="http://eur-lex.europa.eu/LexUriServ/LexUriServ.do?uri=CELEX:31974L0346:LV:HTML" TargetMode="External"/><Relationship Id="rId25" Type="http://schemas.openxmlformats.org/officeDocument/2006/relationships/hyperlink" Target="http://eur-lex.europa.eu/LexUriServ/LexUriServ.do?uri=CELEX:31978L0764:LV:HTML" TargetMode="External"/><Relationship Id="rId33" Type="http://schemas.openxmlformats.org/officeDocument/2006/relationships/hyperlink" Target="http://eur-lex.europa.eu/LexUriServ/LexUriServ.do?uri=CELEX:31980L0720:LV:HTML" TargetMode="External"/><Relationship Id="rId38" Type="http://schemas.openxmlformats.org/officeDocument/2006/relationships/hyperlink" Target="http://eur-lex.europa.eu/LexUriServ/LexUriServ.do?uri=OJ:L:2012:274:0024:0025:LV:PDF" TargetMode="External"/><Relationship Id="rId2" Type="http://schemas.openxmlformats.org/officeDocument/2006/relationships/styles" Target="styles.xml"/><Relationship Id="rId16" Type="http://schemas.openxmlformats.org/officeDocument/2006/relationships/hyperlink" Target="http://eur-lex.europa.eu/LexUriServ/LexUriServ.do?uri=CELEX:31974L0152:LV:HTML" TargetMode="External"/><Relationship Id="rId20" Type="http://schemas.openxmlformats.org/officeDocument/2006/relationships/hyperlink" Target="http://eur-lex.europa.eu/LexUriServ/LexUriServ.do?uri=CELEX:31975L0322:LV:HTML" TargetMode="External"/><Relationship Id="rId29" Type="http://schemas.openxmlformats.org/officeDocument/2006/relationships/hyperlink" Target="http://eur-lex.europa.eu/LexUriServ/LexUriServ.do?uri=CELEX:31986L0415:LV:HTML"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r-lex.europa.eu/LexUriServ/LexUriServ.do?uri=CELEX:31986L0297:LV:HTML" TargetMode="External"/><Relationship Id="rId24" Type="http://schemas.openxmlformats.org/officeDocument/2006/relationships/hyperlink" Target="http://eur-lex.europa.eu/LexUriServ/LexUriServ.do?uri=CELEX:31977L0537:LV:HTML" TargetMode="External"/><Relationship Id="rId32" Type="http://schemas.openxmlformats.org/officeDocument/2006/relationships/hyperlink" Target="http://eur-lex.europa.eu/LexUriServ/LexUriServ.do?uri=OJ:L:2010:238:0007:01:LV:HTML" TargetMode="External"/><Relationship Id="rId37" Type="http://schemas.openxmlformats.org/officeDocument/2006/relationships/hyperlink" Target="http://eur-lex.europa.eu/LexUriServ/LexUriServ.do?uri=OJ:L:2010:027:0033:01:LV:HTML" TargetMode="External"/><Relationship Id="rId40" Type="http://schemas.openxmlformats.org/officeDocument/2006/relationships/hyperlink" Target="http://eur-lex.europa.eu/LexUriServ/LexUriServ.do?uri=CELEX:31986L0297:LV:HTML" TargetMode="External"/><Relationship Id="rId5" Type="http://schemas.openxmlformats.org/officeDocument/2006/relationships/footnotes" Target="footnotes.xml"/><Relationship Id="rId15" Type="http://schemas.openxmlformats.org/officeDocument/2006/relationships/hyperlink" Target="http://eur-lex.europa.eu/LexUriServ/LexUriServ.do?uri=CELEX:31974L0151:LV:HTML" TargetMode="External"/><Relationship Id="rId23" Type="http://schemas.openxmlformats.org/officeDocument/2006/relationships/hyperlink" Target="http://eur-lex.europa.eu/LexUriServ/LexUriServ.do?uri=CELEX:31977L0311:LV:HTML" TargetMode="External"/><Relationship Id="rId28" Type="http://schemas.openxmlformats.org/officeDocument/2006/relationships/hyperlink" Target="http://eur-lex.europa.eu/LexUriServ/LexUriServ.do?uri=CELEX:31986L0297:LV:HTML" TargetMode="External"/><Relationship Id="rId36" Type="http://schemas.openxmlformats.org/officeDocument/2006/relationships/hyperlink" Target="http://eur-lex.europa.eu/LexUriServ/LexUriServ.do?uri=OJ:L:2009:198:0015:01:LV:HTML" TargetMode="External"/><Relationship Id="rId10" Type="http://schemas.openxmlformats.org/officeDocument/2006/relationships/footer" Target="footer2.xml"/><Relationship Id="rId19" Type="http://schemas.openxmlformats.org/officeDocument/2006/relationships/hyperlink" Target="http://eur-lex.europa.eu/LexUriServ/LexUriServ.do?uri=CELEX:31975L0321:LV:HTML" TargetMode="External"/><Relationship Id="rId31" Type="http://schemas.openxmlformats.org/officeDocument/2006/relationships/hyperlink" Target="http://eur-lex.europa.eu/LexUriServ/LexUriServ.do?uri=OJ:L:2010:238:0007:01:LV:HTM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eur-lex.europa.eu/LexUriServ/LexUriServ.do?uri=CELEX:31974L0150:LV:HTML" TargetMode="External"/><Relationship Id="rId22" Type="http://schemas.openxmlformats.org/officeDocument/2006/relationships/hyperlink" Target="http://eur-lex.europa.eu/LexUriServ/LexUriServ.do?uri=CELEX:31976L0763:LV:HTML" TargetMode="External"/><Relationship Id="rId27" Type="http://schemas.openxmlformats.org/officeDocument/2006/relationships/hyperlink" Target="http://eur-lex.europa.eu/LexUriServ/LexUriServ.do?uri=CELEX:31980L0720:LV:HTML" TargetMode="External"/><Relationship Id="rId30" Type="http://schemas.openxmlformats.org/officeDocument/2006/relationships/hyperlink" Target="http://eur-lex.europa.eu/LexUriServ/LexUriServ.do?uri=CELEX:31989L0173:LV:HTML" TargetMode="External"/><Relationship Id="rId35" Type="http://schemas.openxmlformats.org/officeDocument/2006/relationships/hyperlink" Target="http://eur-lex.europa.eu/LexUriServ/LexUriServ.do?uri=CONSLEG:2003L0037:20081211:LV:HTML" TargetMode="External"/><Relationship Id="rId4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7252</Words>
  <Characters>4135</Characters>
  <Application>Microsoft Office Word</Application>
  <DocSecurity>0</DocSecurity>
  <Lines>34</Lines>
  <Paragraphs>22</Paragraphs>
  <ScaleCrop>false</ScaleCrop>
  <Company>Zemkopības ministrija</Company>
  <LinksUpToDate>false</LinksUpToDate>
  <CharactersWithSpaces>11365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Grozījumi Ministru kabineta 2006.gada 27.jūnija noteikumos Nr.535 „Lauksaimniecībā vai mežsaimniecībā izmantojamo traktoru, piekabju un to sastāvdaļu atbilstības novērtēšanas noteikumi””</dc:title>
  <dc:subject>Noteikumu projekts</dc:subject>
  <dc:creator>Gints Melkins</dc:creator>
  <cp:keywords/>
  <dc:description>Gints.Melkins@zm.gov.lv, 67027207Fax:67027514</dc:description>
  <cp:lastModifiedBy>Renārs Žagars</cp:lastModifiedBy>
  <cp:revision>4</cp:revision>
  <cp:lastPrinted>2012-11-22T09:30:00Z</cp:lastPrinted>
  <dcterms:created xsi:type="dcterms:W3CDTF">2013-02-20T13:10:00Z</dcterms:created>
  <dcterms:modified xsi:type="dcterms:W3CDTF">2013-02-22T07:40:00Z</dcterms:modified>
</cp:coreProperties>
</file>