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E3" w:rsidRPr="009438B6" w:rsidRDefault="009438B6" w:rsidP="009438B6">
      <w:pPr>
        <w:spacing w:after="0" w:line="240" w:lineRule="auto"/>
        <w:ind w:right="-42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88554C">
        <w:rPr>
          <w:rFonts w:ascii="Times New Roman" w:hAnsi="Times New Roman"/>
          <w:sz w:val="24"/>
          <w:szCs w:val="24"/>
          <w:lang w:val="lv-LV"/>
        </w:rPr>
        <w:t>2</w:t>
      </w:r>
      <w:r w:rsidR="00B305E3" w:rsidRPr="009438B6">
        <w:rPr>
          <w:rFonts w:ascii="Times New Roman" w:hAnsi="Times New Roman"/>
          <w:sz w:val="24"/>
          <w:szCs w:val="24"/>
          <w:lang w:val="lv-LV"/>
        </w:rPr>
        <w:t>.pielikums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Informatīvajam ziņojumam</w:t>
      </w:r>
      <w:r w:rsidR="00B305E3" w:rsidRPr="009438B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F738FA" w:rsidRPr="009438B6" w:rsidRDefault="00F738FA" w:rsidP="00F738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="009438B6">
        <w:rPr>
          <w:rFonts w:ascii="Times New Roman" w:hAnsi="Times New Roman"/>
          <w:sz w:val="24"/>
          <w:szCs w:val="24"/>
          <w:lang w:val="lv-LV"/>
        </w:rPr>
        <w:t xml:space="preserve">  par piesardzības pasākumiem </w:t>
      </w:r>
    </w:p>
    <w:p w:rsidR="00F738FA" w:rsidRPr="009438B6" w:rsidRDefault="00F738FA" w:rsidP="00F738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438B6">
        <w:rPr>
          <w:rFonts w:ascii="Times New Roman" w:hAnsi="Times New Roman"/>
          <w:sz w:val="24"/>
          <w:szCs w:val="24"/>
          <w:lang w:val="lv-LV"/>
        </w:rPr>
        <w:t>pret Āfrikas cūku mēri un priekšlikumiem turpmākai</w:t>
      </w:r>
    </w:p>
    <w:p w:rsidR="00B305E3" w:rsidRPr="009438B6" w:rsidRDefault="00F738FA" w:rsidP="00F738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438B6">
        <w:rPr>
          <w:rFonts w:ascii="Times New Roman" w:hAnsi="Times New Roman"/>
          <w:sz w:val="24"/>
          <w:szCs w:val="24"/>
          <w:lang w:val="lv-LV"/>
        </w:rPr>
        <w:t xml:space="preserve"> rīcībai, lai nepieļautu tā izplatīšanos Latvijas teritorijā</w:t>
      </w:r>
    </w:p>
    <w:p w:rsidR="00F738FA" w:rsidRPr="0053168B" w:rsidRDefault="00F738FA" w:rsidP="00F738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lv-LV"/>
        </w:rPr>
      </w:pPr>
    </w:p>
    <w:p w:rsidR="00B305E3" w:rsidRPr="00E20C09" w:rsidRDefault="00A31DE5" w:rsidP="00F86A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N</w:t>
      </w:r>
      <w:r w:rsidR="00E20C09">
        <w:rPr>
          <w:rFonts w:ascii="Times New Roman" w:hAnsi="Times New Roman"/>
          <w:b/>
          <w:sz w:val="26"/>
          <w:szCs w:val="26"/>
          <w:lang w:val="lv-LV"/>
        </w:rPr>
        <w:t xml:space="preserve">epieciešamais finansējums </w:t>
      </w:r>
      <w:r w:rsidR="0088554C">
        <w:rPr>
          <w:rFonts w:ascii="Times New Roman" w:hAnsi="Times New Roman"/>
          <w:b/>
          <w:sz w:val="26"/>
          <w:szCs w:val="26"/>
          <w:lang w:val="lv-LV"/>
        </w:rPr>
        <w:t>Pārtikas un veterinārajam</w:t>
      </w:r>
      <w:r>
        <w:rPr>
          <w:rFonts w:ascii="Times New Roman" w:hAnsi="Times New Roman"/>
          <w:b/>
          <w:sz w:val="26"/>
          <w:szCs w:val="26"/>
          <w:lang w:val="lv-LV"/>
        </w:rPr>
        <w:t xml:space="preserve"> dienestam</w:t>
      </w:r>
      <w:r w:rsidRPr="00E20C0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lv-LV"/>
        </w:rPr>
        <w:t>(</w:t>
      </w:r>
      <w:proofErr w:type="spellStart"/>
      <w:r w:rsidRPr="00DB13A8">
        <w:rPr>
          <w:rFonts w:ascii="Times New Roman" w:hAnsi="Times New Roman"/>
          <w:b/>
          <w:i/>
          <w:sz w:val="26"/>
          <w:szCs w:val="26"/>
          <w:lang w:val="lv-LV"/>
        </w:rPr>
        <w:t>euro</w:t>
      </w:r>
      <w:proofErr w:type="spellEnd"/>
      <w:r>
        <w:rPr>
          <w:rFonts w:ascii="Times New Roman" w:hAnsi="Times New Roman"/>
          <w:b/>
          <w:sz w:val="26"/>
          <w:szCs w:val="26"/>
          <w:lang w:val="lv-LV"/>
        </w:rPr>
        <w:t>)</w:t>
      </w:r>
    </w:p>
    <w:p w:rsidR="006A64B1" w:rsidRPr="0053168B" w:rsidRDefault="006A64B1" w:rsidP="00B305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tbl>
      <w:tblPr>
        <w:tblW w:w="11469" w:type="dxa"/>
        <w:jc w:val="center"/>
        <w:tblInd w:w="93" w:type="dxa"/>
        <w:tblLook w:val="04A0"/>
      </w:tblPr>
      <w:tblGrid>
        <w:gridCol w:w="576"/>
        <w:gridCol w:w="2914"/>
        <w:gridCol w:w="1701"/>
        <w:gridCol w:w="1656"/>
        <w:gridCol w:w="1723"/>
        <w:gridCol w:w="1418"/>
        <w:gridCol w:w="1481"/>
      </w:tblGrid>
      <w:tr w:rsidR="009819CF" w:rsidRPr="00A31DE5" w:rsidTr="00A31DE5">
        <w:trPr>
          <w:trHeight w:val="24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</w:p>
        </w:tc>
      </w:tr>
      <w:tr w:rsidR="009819CF" w:rsidRPr="00A31DE5" w:rsidTr="00A31DE5">
        <w:trPr>
          <w:trHeight w:val="350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Pozīcija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Prognozējamie vienreizējie izdevumi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Prognozējamie uzturēšanas izdevumi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2014.gadā*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2015.gadā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2016.gadā un turpmāk ik gadu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191354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88554C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20 945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228 778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461 183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249 723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228 778</w:t>
            </w:r>
          </w:p>
        </w:tc>
      </w:tr>
      <w:tr w:rsidR="0088554C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EKK 1000 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148 465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367 831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148 465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148 465</w:t>
            </w:r>
          </w:p>
        </w:tc>
      </w:tr>
      <w:tr w:rsidR="0088554C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EKK 1100 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118 688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297 622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118 688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118 688</w:t>
            </w:r>
          </w:p>
        </w:tc>
      </w:tr>
      <w:tr w:rsidR="0088554C" w:rsidRPr="00A31DE5" w:rsidTr="00A31DE5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118 688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297 622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118 688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118 688</w:t>
            </w:r>
          </w:p>
        </w:tc>
      </w:tr>
      <w:tr w:rsidR="0088554C" w:rsidRPr="00A31DE5" w:rsidTr="00A31DE5">
        <w:trPr>
          <w:trHeight w:val="270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EKK 1200 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29 777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70 209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29 777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29 777</w:t>
            </w:r>
          </w:p>
        </w:tc>
      </w:tr>
      <w:tr w:rsidR="0088554C" w:rsidRPr="00A31DE5" w:rsidTr="00A31DE5">
        <w:trPr>
          <w:trHeight w:val="334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29 777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70 209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29 777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29 777</w:t>
            </w:r>
          </w:p>
        </w:tc>
      </w:tr>
      <w:tr w:rsidR="0088554C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EKK 2000 Preces un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2 933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80 313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93 352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83 246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80 313</w:t>
            </w:r>
          </w:p>
        </w:tc>
      </w:tr>
      <w:tr w:rsidR="0088554C" w:rsidRPr="00A31DE5" w:rsidTr="00575D4F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Tālruņa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interneta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pasta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88554C" w:rsidRPr="00A31DE5" w:rsidTr="00575D4F">
        <w:trPr>
          <w:trHeight w:val="7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1.1.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Tālruņu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iegāde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554C" w:rsidRPr="00A31DE5" w:rsidTr="00575D4F">
        <w:trPr>
          <w:trHeight w:val="10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1.2.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Tālruņa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interneta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pasta pakalpojumu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abonēšana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88554C" w:rsidRPr="00A31DE5" w:rsidTr="00575D4F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54C" w:rsidRPr="00191354" w:rsidRDefault="00885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Komandējumi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dienesta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braucieni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 w:rsidR="00575D4F"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75D4F"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75D4F"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54C" w:rsidRPr="00191354" w:rsidRDefault="00885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</w:tr>
      <w:tr w:rsidR="00575D4F" w:rsidRPr="00A31DE5" w:rsidTr="00575D4F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Speciālais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apģērbs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formas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tērpi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2 583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1 291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3 874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1 291</w:t>
            </w:r>
          </w:p>
        </w:tc>
      </w:tr>
      <w:tr w:rsidR="00575D4F" w:rsidRPr="00A31DE5" w:rsidTr="00575D4F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Vienreizlietojamais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apģērbs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individuālie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darba aizsardzības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līdzekļi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3 210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75D4F" w:rsidRPr="00A31DE5" w:rsidTr="00575D4F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lastRenderedPageBreak/>
              <w:t>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Automašīnas uzturēšana un degvielas izdevumi (paraugu nogādāšanai uz laboratoriju)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6 202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57B8"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542</w:t>
            </w:r>
            <w:r w:rsidR="000C57B8"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6 202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6 202</w:t>
            </w:r>
          </w:p>
        </w:tc>
      </w:tr>
      <w:tr w:rsidR="00575D4F" w:rsidRPr="00A31DE5" w:rsidTr="00575D4F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Kontroles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rezultātā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izņemto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produktu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utilizēšanas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71 500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71 500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71 500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71 500</w:t>
            </w:r>
          </w:p>
        </w:tc>
      </w:tr>
      <w:tr w:rsidR="00575D4F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EKK 5000 Kapitālie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18 013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18 013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5D4F" w:rsidRPr="00A31DE5" w:rsidTr="00575D4F">
        <w:trPr>
          <w:trHeight w:val="7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planšetdatoru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iegāde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biroja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programmatūru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Windows 7, Office 2013, Tildes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Birojs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2 361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2 361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5D4F" w:rsidRPr="00A31DE5" w:rsidTr="00575D4F">
        <w:trPr>
          <w:trHeight w:val="31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 w:rsidP="0057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D4F" w:rsidRPr="00191354" w:rsidRDefault="0057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Automašīnas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iegāde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(KP </w:t>
            </w:r>
            <w:proofErr w:type="spellStart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Silene</w:t>
            </w:r>
            <w:proofErr w:type="spellEnd"/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15 652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15 652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D4F" w:rsidRPr="00191354" w:rsidRDefault="00575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819CF" w:rsidRPr="00217AE5" w:rsidTr="00A31DE5">
        <w:trPr>
          <w:trHeight w:val="825"/>
          <w:jc w:val="center"/>
        </w:trPr>
        <w:tc>
          <w:tcPr>
            <w:tcW w:w="1146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354" w:rsidRPr="00191354" w:rsidRDefault="00191354" w:rsidP="001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* Lai esošo personālresursu ietvaros 2014.gadā nodrošinātu pastiprinātu kontroli robežkontroles punktos uz Latvijas ārējās robežas saistībā ar Ā</w:t>
            </w:r>
            <w:r w:rsidR="000131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C</w:t>
            </w: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M profilakses pasākumu īstenošanu, Pārtikas un veterinārā dienesta amatpersonas tiks nodarbinātas virsstundu darbā, līdz ar to Pārtikas un veterinārajam dienestam 2014.gadā nepieciešams papildu finansējums samaksai par virsstundu darbu.</w:t>
            </w:r>
          </w:p>
          <w:p w:rsidR="00191354" w:rsidRPr="00191354" w:rsidRDefault="00191354" w:rsidP="001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** Aprēķins: 100 inspektoru komandējumu braucieniem no citiem Latvijas reģioniem uz Latgali, (katrs brauciens tiek plānots uz 7 dienām, komandējuma laikā trīs naktis pavadot viesnīcā)  (7*6+43*3)*100</w:t>
            </w:r>
          </w:p>
          <w:p w:rsidR="00191354" w:rsidRPr="00191354" w:rsidRDefault="00191354" w:rsidP="001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*** Aprēķins: piecu jaunu inspektoru apmācībai Rīgā: 5*(42+6*2)*2</w:t>
            </w:r>
          </w:p>
          <w:p w:rsidR="00191354" w:rsidRPr="00104A3A" w:rsidRDefault="00191354" w:rsidP="0019135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**** Aprēķins: Ceļa apmaksa (muitas amatpersonu apmācības): Liepāja, Ventspils ~ 45</w:t>
            </w:r>
            <w:r w:rsidRPr="001913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 xml:space="preserve"> (4 grupas), Piedruja, Rēzekne, Daugavpils ~ 57 </w:t>
            </w:r>
            <w:proofErr w:type="spellStart"/>
            <w:r w:rsidRPr="001913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 xml:space="preserve"> (16 grupas) = 45x4+57x16 = 1 092 </w:t>
            </w:r>
            <w:proofErr w:type="spellStart"/>
            <w:r w:rsidRPr="001913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 xml:space="preserve">; robežšķērsošanas vietu apsekošana ~ 30 reizes x 15 </w:t>
            </w:r>
            <w:proofErr w:type="spellStart"/>
            <w:r w:rsidRPr="001913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 xml:space="preserve"> = 450 </w:t>
            </w:r>
            <w:proofErr w:type="spellStart"/>
            <w:r w:rsidRPr="001913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913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 xml:space="preserve">; kopā 1 542 </w:t>
            </w:r>
            <w:proofErr w:type="spellStart"/>
            <w:r w:rsidRPr="001913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04A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.</w:t>
            </w:r>
          </w:p>
          <w:p w:rsidR="000C57B8" w:rsidRPr="00104A3A" w:rsidRDefault="00104A3A" w:rsidP="00575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lv-LV" w:eastAsia="lv-LV"/>
              </w:rPr>
            </w:pPr>
            <w:r w:rsidRPr="00104A3A">
              <w:rPr>
                <w:rFonts w:ascii="Times New Roman" w:eastAsia="Times New Roman" w:hAnsi="Times New Roman"/>
                <w:iCs/>
                <w:lang w:val="lv-LV" w:eastAsia="lv-LV"/>
              </w:rPr>
              <w:t xml:space="preserve">***** Atlīdzības atšifrējums 2015.gadam un turpmākajiem gadiem: 79418 </w:t>
            </w:r>
            <w:proofErr w:type="spellStart"/>
            <w:r w:rsidRPr="00104A3A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euro</w:t>
            </w:r>
            <w:proofErr w:type="spellEnd"/>
            <w:r w:rsidRPr="00104A3A">
              <w:rPr>
                <w:rFonts w:ascii="Times New Roman" w:eastAsia="Times New Roman" w:hAnsi="Times New Roman"/>
                <w:iCs/>
                <w:lang w:val="lv-LV" w:eastAsia="lv-LV"/>
              </w:rPr>
              <w:t xml:space="preserve"> – 5 jauno amata vietu atlīdzībai, 47344 </w:t>
            </w:r>
            <w:proofErr w:type="spellStart"/>
            <w:r w:rsidRPr="00104A3A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euro</w:t>
            </w:r>
            <w:proofErr w:type="spellEnd"/>
            <w:r w:rsidRPr="00104A3A">
              <w:rPr>
                <w:rFonts w:ascii="Times New Roman" w:eastAsia="Times New Roman" w:hAnsi="Times New Roman"/>
                <w:iCs/>
                <w:lang w:val="lv-LV" w:eastAsia="lv-LV"/>
              </w:rPr>
              <w:t xml:space="preserve"> – regulārām tirdzniecības vietu pārbaudēm, 18642 </w:t>
            </w:r>
            <w:proofErr w:type="spellStart"/>
            <w:r w:rsidRPr="00104A3A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euro</w:t>
            </w:r>
            <w:proofErr w:type="spellEnd"/>
            <w:r w:rsidRPr="00104A3A">
              <w:rPr>
                <w:rFonts w:ascii="Times New Roman" w:eastAsia="Times New Roman" w:hAnsi="Times New Roman"/>
                <w:iCs/>
                <w:lang w:val="lv-LV" w:eastAsia="lv-LV"/>
              </w:rPr>
              <w:t xml:space="preserve"> – muitas un robežsardzes amatpersonu apmācībām (12h x 3 </w:t>
            </w:r>
            <w:r w:rsidR="00E36CE1">
              <w:rPr>
                <w:rFonts w:ascii="Times New Roman" w:eastAsia="Times New Roman" w:hAnsi="Times New Roman"/>
                <w:iCs/>
                <w:lang w:val="lv-LV" w:eastAsia="lv-LV"/>
              </w:rPr>
              <w:t>amatpersonas, kas iesaistītas informatīvajā kampaņā,</w:t>
            </w:r>
            <w:r w:rsidRPr="00104A3A">
              <w:rPr>
                <w:rFonts w:ascii="Times New Roman" w:eastAsia="Times New Roman" w:hAnsi="Times New Roman"/>
                <w:iCs/>
                <w:lang w:val="lv-LV" w:eastAsia="lv-LV"/>
              </w:rPr>
              <w:t xml:space="preserve"> x 8.38EUR (stundas likme) x 25 grupas x 200% (virsstundu likme) + 23.59% (darba devēja VSAOI)), 3061 </w:t>
            </w:r>
            <w:proofErr w:type="spellStart"/>
            <w:r w:rsidRPr="00104A3A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euro</w:t>
            </w:r>
            <w:proofErr w:type="spellEnd"/>
            <w:r w:rsidRPr="00104A3A">
              <w:rPr>
                <w:rFonts w:ascii="Times New Roman" w:eastAsia="Times New Roman" w:hAnsi="Times New Roman"/>
                <w:iCs/>
                <w:lang w:val="lv-LV" w:eastAsia="lv-LV"/>
              </w:rPr>
              <w:t xml:space="preserve"> – robežšķērsošanas vietu apsekošanai (8h x 30 reizes x 5.16EUR x 200% + 23.59% (darba devēja VSAOI))</w:t>
            </w:r>
            <w:r>
              <w:rPr>
                <w:rFonts w:ascii="Times New Roman" w:eastAsia="Times New Roman" w:hAnsi="Times New Roman"/>
                <w:iCs/>
                <w:lang w:val="lv-LV" w:eastAsia="lv-LV"/>
              </w:rPr>
              <w:t>.</w:t>
            </w:r>
          </w:p>
          <w:p w:rsidR="00575D4F" w:rsidRPr="00A31DE5" w:rsidRDefault="00575D4F" w:rsidP="00575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</w:p>
        </w:tc>
      </w:tr>
    </w:tbl>
    <w:p w:rsidR="006A64B1" w:rsidRPr="00F86A39" w:rsidRDefault="006A64B1" w:rsidP="00990954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B305E3" w:rsidRDefault="00B305E3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Zemkopības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A31DE5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J.Dūklavs</w:t>
      </w:r>
      <w:proofErr w:type="spellEnd"/>
    </w:p>
    <w:p w:rsidR="00DC5384" w:rsidRDefault="00DC5384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A31DE5" w:rsidRDefault="00A31DE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217AE5" w:rsidRDefault="00217AE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217AE5" w:rsidRDefault="00217AE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217AE5" w:rsidRDefault="00217AE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217AE5" w:rsidRDefault="00217AE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217AE5" w:rsidRDefault="00217AE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217AE5" w:rsidRDefault="00217AE5" w:rsidP="00B305E3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2014.02.03. 9:45</w:t>
      </w:r>
    </w:p>
    <w:bookmarkStart w:id="0" w:name="_GoBack"/>
    <w:bookmarkEnd w:id="0"/>
    <w:p w:rsidR="00217AE5" w:rsidRDefault="00217AE5" w:rsidP="00B305E3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fldChar w:fldCharType="begin"/>
      </w:r>
      <w:r>
        <w:rPr>
          <w:rFonts w:ascii="Times New Roman" w:hAnsi="Times New Roman"/>
          <w:sz w:val="20"/>
          <w:szCs w:val="20"/>
          <w:lang w:val="lv-LV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  <w:lang w:val="lv-LV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lv-LV"/>
        </w:rPr>
        <w:t>492</w:t>
      </w:r>
      <w:r>
        <w:rPr>
          <w:rFonts w:ascii="Times New Roman" w:hAnsi="Times New Roman"/>
          <w:sz w:val="20"/>
          <w:szCs w:val="20"/>
          <w:lang w:val="lv-LV"/>
        </w:rPr>
        <w:fldChar w:fldCharType="end"/>
      </w:r>
    </w:p>
    <w:p w:rsidR="00B305E3" w:rsidRDefault="00F738FA" w:rsidP="00B305E3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O.Vecuma-Veco</w:t>
      </w:r>
      <w:r w:rsidR="00B305E3">
        <w:rPr>
          <w:rFonts w:ascii="Times New Roman" w:hAnsi="Times New Roman"/>
          <w:sz w:val="20"/>
          <w:szCs w:val="20"/>
          <w:lang w:val="lv-LV"/>
        </w:rPr>
        <w:t>,</w:t>
      </w:r>
    </w:p>
    <w:p w:rsidR="00B305E3" w:rsidRDefault="00F738FA" w:rsidP="00DC5384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67027551</w:t>
      </w:r>
      <w:r w:rsidR="00B305E3">
        <w:rPr>
          <w:rFonts w:ascii="Times New Roman" w:hAnsi="Times New Roman"/>
          <w:sz w:val="20"/>
          <w:szCs w:val="20"/>
          <w:lang w:val="lv-LV"/>
        </w:rPr>
        <w:t xml:space="preserve">, </w:t>
      </w:r>
      <w:r>
        <w:rPr>
          <w:rFonts w:ascii="Times New Roman" w:hAnsi="Times New Roman"/>
          <w:sz w:val="20"/>
          <w:szCs w:val="20"/>
          <w:lang w:val="lv-LV"/>
        </w:rPr>
        <w:t>Olita.Vecuma-Veco</w:t>
      </w:r>
      <w:r w:rsidR="00B305E3">
        <w:rPr>
          <w:rFonts w:ascii="Times New Roman" w:hAnsi="Times New Roman"/>
          <w:sz w:val="20"/>
          <w:szCs w:val="20"/>
          <w:lang w:val="lv-LV"/>
        </w:rPr>
        <w:t>@zm.gov.lv</w:t>
      </w:r>
    </w:p>
    <w:sectPr w:rsidR="00B305E3" w:rsidSect="009438B6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426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D0" w:rsidRDefault="00983FD0" w:rsidP="00FC0633">
      <w:pPr>
        <w:spacing w:after="0" w:line="240" w:lineRule="auto"/>
      </w:pPr>
      <w:r>
        <w:separator/>
      </w:r>
    </w:p>
  </w:endnote>
  <w:endnote w:type="continuationSeparator" w:id="0">
    <w:p w:rsidR="00983FD0" w:rsidRDefault="00983FD0" w:rsidP="00F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Pr="00C9607F" w:rsidRDefault="00FC0633">
    <w:pPr>
      <w:pStyle w:val="Kjene"/>
      <w:rPr>
        <w:rFonts w:ascii="Times New Roman" w:hAnsi="Times New Roman"/>
        <w:sz w:val="24"/>
        <w:szCs w:val="24"/>
        <w:lang w:val="lv-LV"/>
      </w:rPr>
    </w:pPr>
    <w:r w:rsidRPr="00C9607F">
      <w:rPr>
        <w:rFonts w:ascii="Times New Roman" w:hAnsi="Times New Roman"/>
        <w:sz w:val="24"/>
        <w:szCs w:val="24"/>
        <w:lang w:val="lv-LV"/>
      </w:rPr>
      <w:t>ZM</w:t>
    </w:r>
    <w:r w:rsidR="00C9607F" w:rsidRPr="00C9607F">
      <w:rPr>
        <w:rFonts w:ascii="Times New Roman" w:hAnsi="Times New Roman"/>
        <w:sz w:val="24"/>
        <w:szCs w:val="24"/>
        <w:lang w:val="lv-LV"/>
      </w:rPr>
      <w:t>Zinop</w:t>
    </w:r>
    <w:r w:rsidR="00191354">
      <w:rPr>
        <w:rFonts w:ascii="Times New Roman" w:hAnsi="Times New Roman"/>
        <w:sz w:val="24"/>
        <w:szCs w:val="24"/>
        <w:lang w:val="lv-LV"/>
      </w:rPr>
      <w:t>2_0202</w:t>
    </w:r>
    <w:r w:rsidR="00F738FA" w:rsidRPr="00C9607F">
      <w:rPr>
        <w:rFonts w:ascii="Times New Roman" w:hAnsi="Times New Roman"/>
        <w:sz w:val="24"/>
        <w:szCs w:val="24"/>
        <w:lang w:val="lv-LV"/>
      </w:rPr>
      <w:t>14_Ā</w:t>
    </w:r>
    <w:r w:rsidR="0046427B" w:rsidRPr="00C9607F">
      <w:rPr>
        <w:rFonts w:ascii="Times New Roman" w:hAnsi="Times New Roman"/>
        <w:sz w:val="24"/>
        <w:szCs w:val="24"/>
        <w:lang w:val="lv-LV"/>
      </w:rPr>
      <w:t>CM</w:t>
    </w:r>
    <w:r w:rsidR="00191354">
      <w:rPr>
        <w:rFonts w:ascii="Times New Roman" w:hAnsi="Times New Roman"/>
        <w:sz w:val="24"/>
        <w:szCs w:val="24"/>
        <w:lang w:val="lv-LV"/>
      </w:rPr>
      <w:t>_papildu</w:t>
    </w:r>
    <w:r w:rsidR="00F738FA" w:rsidRPr="00C9607F">
      <w:rPr>
        <w:rFonts w:ascii="Times New Roman" w:hAnsi="Times New Roman"/>
        <w:sz w:val="24"/>
        <w:szCs w:val="24"/>
        <w:lang w:val="lv-LV"/>
      </w:rPr>
      <w:t xml:space="preserve"> pasākumi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54" w:rsidRPr="00C9607F" w:rsidRDefault="00191354" w:rsidP="00191354">
    <w:pPr>
      <w:pStyle w:val="Kjene"/>
      <w:rPr>
        <w:rFonts w:ascii="Times New Roman" w:hAnsi="Times New Roman"/>
        <w:sz w:val="24"/>
        <w:szCs w:val="24"/>
        <w:lang w:val="lv-LV"/>
      </w:rPr>
    </w:pPr>
    <w:r w:rsidRPr="00C9607F">
      <w:rPr>
        <w:rFonts w:ascii="Times New Roman" w:hAnsi="Times New Roman"/>
        <w:sz w:val="24"/>
        <w:szCs w:val="24"/>
        <w:lang w:val="lv-LV"/>
      </w:rPr>
      <w:t>ZMZinop</w:t>
    </w:r>
    <w:r>
      <w:rPr>
        <w:rFonts w:ascii="Times New Roman" w:hAnsi="Times New Roman"/>
        <w:sz w:val="24"/>
        <w:szCs w:val="24"/>
        <w:lang w:val="lv-LV"/>
      </w:rPr>
      <w:t>2_0202</w:t>
    </w:r>
    <w:r w:rsidRPr="00C9607F">
      <w:rPr>
        <w:rFonts w:ascii="Times New Roman" w:hAnsi="Times New Roman"/>
        <w:sz w:val="24"/>
        <w:szCs w:val="24"/>
        <w:lang w:val="lv-LV"/>
      </w:rPr>
      <w:t>14_ĀCM</w:t>
    </w:r>
    <w:r>
      <w:rPr>
        <w:rFonts w:ascii="Times New Roman" w:hAnsi="Times New Roman"/>
        <w:sz w:val="24"/>
        <w:szCs w:val="24"/>
        <w:lang w:val="lv-LV"/>
      </w:rPr>
      <w:t>_papildu</w:t>
    </w:r>
    <w:r w:rsidRPr="00C9607F">
      <w:rPr>
        <w:rFonts w:ascii="Times New Roman" w:hAnsi="Times New Roman"/>
        <w:sz w:val="24"/>
        <w:szCs w:val="24"/>
        <w:lang w:val="lv-LV"/>
      </w:rPr>
      <w:t xml:space="preserve"> pasākumi </w:t>
    </w:r>
  </w:p>
  <w:p w:rsidR="00C9607F" w:rsidRPr="00191354" w:rsidRDefault="00C9607F" w:rsidP="0019135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D0" w:rsidRDefault="00983FD0" w:rsidP="00FC0633">
      <w:pPr>
        <w:spacing w:after="0" w:line="240" w:lineRule="auto"/>
      </w:pPr>
      <w:r>
        <w:separator/>
      </w:r>
    </w:p>
  </w:footnote>
  <w:footnote w:type="continuationSeparator" w:id="0">
    <w:p w:rsidR="00983FD0" w:rsidRDefault="00983FD0" w:rsidP="00FC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9891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438B6" w:rsidRPr="009438B6" w:rsidRDefault="00765818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9438B6">
          <w:rPr>
            <w:rFonts w:ascii="Times New Roman" w:hAnsi="Times New Roman"/>
            <w:sz w:val="24"/>
            <w:szCs w:val="24"/>
          </w:rPr>
          <w:fldChar w:fldCharType="begin"/>
        </w:r>
        <w:r w:rsidR="009438B6" w:rsidRPr="009438B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438B6">
          <w:rPr>
            <w:rFonts w:ascii="Times New Roman" w:hAnsi="Times New Roman"/>
            <w:sz w:val="24"/>
            <w:szCs w:val="24"/>
          </w:rPr>
          <w:fldChar w:fldCharType="separate"/>
        </w:r>
        <w:r w:rsidR="00217AE5">
          <w:rPr>
            <w:rFonts w:ascii="Times New Roman" w:hAnsi="Times New Roman"/>
            <w:noProof/>
            <w:sz w:val="24"/>
            <w:szCs w:val="24"/>
          </w:rPr>
          <w:t>2</w:t>
        </w:r>
        <w:r w:rsidRPr="009438B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438B6" w:rsidRDefault="009438B6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E9"/>
    <w:rsid w:val="00013183"/>
    <w:rsid w:val="000C57B8"/>
    <w:rsid w:val="00104A3A"/>
    <w:rsid w:val="00151299"/>
    <w:rsid w:val="00191354"/>
    <w:rsid w:val="001E42B6"/>
    <w:rsid w:val="001E7E2B"/>
    <w:rsid w:val="00217AE5"/>
    <w:rsid w:val="00261874"/>
    <w:rsid w:val="00284A9A"/>
    <w:rsid w:val="002A4CD3"/>
    <w:rsid w:val="002F4CE1"/>
    <w:rsid w:val="00316331"/>
    <w:rsid w:val="0040499F"/>
    <w:rsid w:val="00415493"/>
    <w:rsid w:val="00460679"/>
    <w:rsid w:val="0046427B"/>
    <w:rsid w:val="0047348F"/>
    <w:rsid w:val="004E58DC"/>
    <w:rsid w:val="00521007"/>
    <w:rsid w:val="0053168B"/>
    <w:rsid w:val="00575D4F"/>
    <w:rsid w:val="00667D98"/>
    <w:rsid w:val="00673D81"/>
    <w:rsid w:val="0068742E"/>
    <w:rsid w:val="006A64B1"/>
    <w:rsid w:val="00716789"/>
    <w:rsid w:val="00765818"/>
    <w:rsid w:val="007A61EB"/>
    <w:rsid w:val="007C3082"/>
    <w:rsid w:val="007C62F4"/>
    <w:rsid w:val="007C7D95"/>
    <w:rsid w:val="0088554C"/>
    <w:rsid w:val="008D6D01"/>
    <w:rsid w:val="009438B6"/>
    <w:rsid w:val="009819CF"/>
    <w:rsid w:val="00983FD0"/>
    <w:rsid w:val="00990954"/>
    <w:rsid w:val="009931C8"/>
    <w:rsid w:val="009C0CF2"/>
    <w:rsid w:val="009E6A50"/>
    <w:rsid w:val="009F0FB9"/>
    <w:rsid w:val="00A31DE5"/>
    <w:rsid w:val="00AA521D"/>
    <w:rsid w:val="00AE2C6B"/>
    <w:rsid w:val="00B27DE0"/>
    <w:rsid w:val="00B305E3"/>
    <w:rsid w:val="00BD7CD8"/>
    <w:rsid w:val="00C5414E"/>
    <w:rsid w:val="00C657A6"/>
    <w:rsid w:val="00C9607F"/>
    <w:rsid w:val="00CA3482"/>
    <w:rsid w:val="00D24137"/>
    <w:rsid w:val="00D349E9"/>
    <w:rsid w:val="00D534C2"/>
    <w:rsid w:val="00D93598"/>
    <w:rsid w:val="00DB13A8"/>
    <w:rsid w:val="00DB3C64"/>
    <w:rsid w:val="00DC5384"/>
    <w:rsid w:val="00E20C09"/>
    <w:rsid w:val="00E36CE1"/>
    <w:rsid w:val="00EC2BE4"/>
    <w:rsid w:val="00ED4F94"/>
    <w:rsid w:val="00EF5489"/>
    <w:rsid w:val="00F32AD6"/>
    <w:rsid w:val="00F738FA"/>
    <w:rsid w:val="00F86A39"/>
    <w:rsid w:val="00FC063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349E9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0633"/>
    <w:rPr>
      <w:rFonts w:ascii="Calibri" w:eastAsia="Calibri" w:hAnsi="Calibri" w:cs="Times New Roman"/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0633"/>
    <w:rPr>
      <w:rFonts w:ascii="Calibri" w:eastAsia="Calibri" w:hAnsi="Calibri" w:cs="Times New Roman"/>
      <w:lang w:val="en-US"/>
    </w:rPr>
  </w:style>
  <w:style w:type="paragraph" w:styleId="Bezatstarpm">
    <w:name w:val="No Spacing"/>
    <w:uiPriority w:val="1"/>
    <w:qFormat/>
    <w:rsid w:val="00AE2C6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68742E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68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49E9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0633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0633"/>
    <w:rPr>
      <w:rFonts w:ascii="Calibri" w:eastAsia="Calibri" w:hAnsi="Calibri" w:cs="Times New Roman"/>
      <w:lang w:val="en-US"/>
    </w:rPr>
  </w:style>
  <w:style w:type="paragraph" w:styleId="Bezatstarpm">
    <w:name w:val="No Spacing"/>
    <w:uiPriority w:val="1"/>
    <w:qFormat/>
    <w:rsid w:val="00AE2C6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68742E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68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3620-0D04-4FE3-8451-3174D174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2858</Characters>
  <Application>Microsoft Office Word</Application>
  <DocSecurity>0</DocSecurity>
  <Lines>219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Āfrikas cūku mēra profilakses pasākumu īstenošanu robežkontroles punktos uz Latvijas ārējās robežas</vt:lpstr>
      <vt:lpstr>Informatīvais ziņojums par Āfrikas cūku mēra profilakses pasākumu īstenošanu robežkontroles punktos uz Latvijas ārējās robežas</vt:lpstr>
    </vt:vector>
  </TitlesOfParts>
  <Manager>Veterinārais un pārtikas departaments</Manager>
  <Company>Zemkopības ministrija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Āfrikas cūku mēra profilakses pasākumu īstenošanu robežkontroles punktos uz Latvijas ārējās robežas</dc:title>
  <dc:subject>1.pielikums</dc:subject>
  <dc:creator>sanita.vanaga</dc:creator>
  <dc:description>Sanita.vanaga@zm.gov.lv, 67027363</dc:description>
  <cp:lastModifiedBy>Renārs Žagars</cp:lastModifiedBy>
  <cp:revision>9</cp:revision>
  <cp:lastPrinted>2014-01-31T07:19:00Z</cp:lastPrinted>
  <dcterms:created xsi:type="dcterms:W3CDTF">2014-02-02T12:30:00Z</dcterms:created>
  <dcterms:modified xsi:type="dcterms:W3CDTF">2014-02-03T07:45:00Z</dcterms:modified>
</cp:coreProperties>
</file>