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AD" w:rsidRPr="00353E66" w:rsidRDefault="00DA60AD" w:rsidP="00CD373B">
      <w:pPr>
        <w:spacing w:before="0" w:beforeAutospacing="0" w:after="0" w:afterAutospacing="0"/>
        <w:jc w:val="center"/>
        <w:rPr>
          <w:b/>
        </w:rPr>
      </w:pPr>
      <w:r w:rsidRPr="00D65F29">
        <w:rPr>
          <w:b/>
          <w:bCs/>
        </w:rPr>
        <w:t xml:space="preserve">Ministru kabineta </w:t>
      </w:r>
      <w:r>
        <w:rPr>
          <w:b/>
          <w:bCs/>
        </w:rPr>
        <w:t>rīkojuma</w:t>
      </w:r>
      <w:r w:rsidRPr="00D65F29">
        <w:rPr>
          <w:b/>
          <w:bCs/>
        </w:rPr>
        <w:t xml:space="preserve"> </w:t>
      </w:r>
      <w:r w:rsidRPr="00353E66">
        <w:rPr>
          <w:b/>
          <w:bCs/>
        </w:rPr>
        <w:t xml:space="preserve">projekta </w:t>
      </w:r>
      <w:r w:rsidRPr="00353E66">
        <w:rPr>
          <w:b/>
        </w:rPr>
        <w:t>„Par Ministru kabineta 2010.gada 15.marta rīkojuma Nr.</w:t>
      </w:r>
      <w:r w:rsidRPr="00353E66">
        <w:rPr>
          <w:b/>
          <w:bCs/>
        </w:rPr>
        <w:t>147</w:t>
      </w:r>
      <w:r w:rsidRPr="00353E66">
        <w:rPr>
          <w:b/>
        </w:rPr>
        <w:t xml:space="preserve"> „Par elektroniskās pārvaldes un informācijas sabiedrības attīstības prioritāro projektu sarakstu” atzīšanu par spēku zaudējušu”</w:t>
      </w:r>
    </w:p>
    <w:p w:rsidR="00DA60AD" w:rsidRDefault="00DA60AD" w:rsidP="00BC04C1">
      <w:pPr>
        <w:spacing w:before="0" w:beforeAutospacing="0" w:after="0" w:afterAutospacing="0"/>
        <w:jc w:val="center"/>
        <w:rPr>
          <w:b/>
        </w:rPr>
      </w:pPr>
      <w:r w:rsidRPr="00D65F29">
        <w:rPr>
          <w:b/>
        </w:rPr>
        <w:t xml:space="preserve">sākotnējās ietekmes novērtējuma </w:t>
      </w:r>
      <w:smartTag w:uri="schemas-tilde-lv/tildestengine" w:element="veidnes">
        <w:smartTagPr>
          <w:attr w:name="id" w:val="-1"/>
          <w:attr w:name="baseform" w:val="ziņojums"/>
          <w:attr w:name="text" w:val="ziņojums"/>
        </w:smartTagPr>
        <w:r w:rsidRPr="00D65F29">
          <w:rPr>
            <w:b/>
          </w:rPr>
          <w:t>ziņojums</w:t>
        </w:r>
      </w:smartTag>
      <w:r w:rsidRPr="00D65F29">
        <w:rPr>
          <w:b/>
        </w:rPr>
        <w:t xml:space="preserve"> (anotācija)</w:t>
      </w:r>
    </w:p>
    <w:p w:rsidR="00DA60AD" w:rsidRPr="00D65F29" w:rsidRDefault="00DA60AD" w:rsidP="00BC04C1">
      <w:pPr>
        <w:spacing w:before="0" w:beforeAutospacing="0" w:after="0" w:afterAutospacing="0"/>
        <w:jc w:val="cente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953"/>
      </w:tblGrid>
      <w:tr w:rsidR="00DA60AD" w:rsidRPr="00542F93" w:rsidTr="007B3198">
        <w:tc>
          <w:tcPr>
            <w:tcW w:w="9786" w:type="dxa"/>
            <w:gridSpan w:val="3"/>
            <w:vAlign w:val="center"/>
          </w:tcPr>
          <w:p w:rsidR="00DA60AD" w:rsidRPr="00D65F29" w:rsidRDefault="00DA60AD" w:rsidP="004D34C7">
            <w:pPr>
              <w:pStyle w:val="naisnod"/>
              <w:spacing w:before="0" w:after="0"/>
            </w:pPr>
            <w:r w:rsidRPr="00D65F29">
              <w:rPr>
                <w:bCs w:val="0"/>
              </w:rPr>
              <w:t>I</w:t>
            </w:r>
            <w:r>
              <w:rPr>
                <w:bCs w:val="0"/>
              </w:rPr>
              <w:t>.</w:t>
            </w:r>
            <w:r w:rsidRPr="00D65F29">
              <w:rPr>
                <w:bCs w:val="0"/>
              </w:rPr>
              <w:t xml:space="preserve"> Tiesību akta projekta izstrādes nepieciešamība</w:t>
            </w:r>
          </w:p>
        </w:tc>
      </w:tr>
      <w:tr w:rsidR="00DA60AD" w:rsidRPr="00542F93" w:rsidTr="00DE49DB">
        <w:trPr>
          <w:trHeight w:val="467"/>
        </w:trPr>
        <w:tc>
          <w:tcPr>
            <w:tcW w:w="550" w:type="dxa"/>
          </w:tcPr>
          <w:p w:rsidR="00DA60AD" w:rsidRPr="00542F93" w:rsidRDefault="00DA60AD" w:rsidP="007B3198">
            <w:pPr>
              <w:pStyle w:val="naiskr"/>
              <w:spacing w:before="0" w:after="0"/>
            </w:pPr>
            <w:r w:rsidRPr="00542F93">
              <w:t>1.</w:t>
            </w:r>
          </w:p>
        </w:tc>
        <w:tc>
          <w:tcPr>
            <w:tcW w:w="3283" w:type="dxa"/>
          </w:tcPr>
          <w:p w:rsidR="00DA60AD" w:rsidRDefault="00DA60AD" w:rsidP="007B3198">
            <w:r>
              <w:t>Pamatojums</w:t>
            </w:r>
          </w:p>
        </w:tc>
        <w:tc>
          <w:tcPr>
            <w:tcW w:w="5953" w:type="dxa"/>
          </w:tcPr>
          <w:p w:rsidR="00DA60AD" w:rsidRPr="00B4781C" w:rsidRDefault="00DA60AD" w:rsidP="0016107B">
            <w:pPr>
              <w:pStyle w:val="Heading3"/>
              <w:spacing w:before="0" w:beforeAutospacing="0" w:after="0" w:afterAutospacing="0"/>
              <w:jc w:val="both"/>
              <w:rPr>
                <w:rFonts w:ascii="Times New Roman" w:hAnsi="Times New Roman"/>
                <w:sz w:val="24"/>
                <w:szCs w:val="24"/>
              </w:rPr>
            </w:pPr>
            <w:r w:rsidRPr="00B4781C">
              <w:rPr>
                <w:rFonts w:ascii="Times New Roman" w:hAnsi="Times New Roman"/>
                <w:b w:val="0"/>
                <w:bCs w:val="0"/>
                <w:sz w:val="24"/>
                <w:szCs w:val="24"/>
              </w:rPr>
              <w:t xml:space="preserve">Ministru kabineta rīkojuma projektu </w:t>
            </w:r>
            <w:r w:rsidRPr="00B4781C">
              <w:rPr>
                <w:rFonts w:ascii="Times New Roman" w:hAnsi="Times New Roman"/>
                <w:b w:val="0"/>
                <w:sz w:val="24"/>
                <w:szCs w:val="24"/>
              </w:rPr>
              <w:t>„Par Ministru kabineta 2010.gada 15.marta rīkojuma Nr.</w:t>
            </w:r>
            <w:r w:rsidRPr="00B4781C">
              <w:rPr>
                <w:rFonts w:ascii="Times New Roman" w:hAnsi="Times New Roman"/>
                <w:b w:val="0"/>
                <w:bCs w:val="0"/>
                <w:sz w:val="24"/>
                <w:szCs w:val="24"/>
              </w:rPr>
              <w:t>147</w:t>
            </w:r>
            <w:r w:rsidRPr="00B4781C">
              <w:rPr>
                <w:rFonts w:ascii="Times New Roman" w:hAnsi="Times New Roman"/>
                <w:b w:val="0"/>
                <w:sz w:val="24"/>
                <w:szCs w:val="24"/>
              </w:rPr>
              <w:t xml:space="preserve"> „Par elektroniskās pārvaldes un informācijas sabiedrības attīstības prioritāro projektu sarakstu” atzīšanu par spēku zaudējušu” (turpmāk – rīkojuma projekts) Vides aizsardzības un reģionālās attīstības ministrija izstrādājusi saskaņā ar Eiropas Savienības struktūrfondu un Kohēzijas fonda vadības likuma 18.panta 10.punktu</w:t>
            </w:r>
            <w:r>
              <w:rPr>
                <w:rFonts w:ascii="Times New Roman" w:hAnsi="Times New Roman"/>
                <w:b w:val="0"/>
                <w:sz w:val="24"/>
                <w:szCs w:val="24"/>
              </w:rPr>
              <w:t>.</w:t>
            </w:r>
          </w:p>
        </w:tc>
      </w:tr>
      <w:tr w:rsidR="00DA60AD" w:rsidRPr="00542F93" w:rsidTr="00DE49DB">
        <w:trPr>
          <w:trHeight w:val="523"/>
        </w:trPr>
        <w:tc>
          <w:tcPr>
            <w:tcW w:w="550" w:type="dxa"/>
          </w:tcPr>
          <w:p w:rsidR="00DA60AD" w:rsidRPr="00542F93" w:rsidRDefault="00DA60AD" w:rsidP="007B3198">
            <w:pPr>
              <w:pStyle w:val="naiskr"/>
              <w:spacing w:before="0" w:after="0"/>
            </w:pPr>
            <w:r w:rsidRPr="00542F93">
              <w:t>2.</w:t>
            </w:r>
          </w:p>
        </w:tc>
        <w:tc>
          <w:tcPr>
            <w:tcW w:w="3283" w:type="dxa"/>
          </w:tcPr>
          <w:p w:rsidR="00DA60AD" w:rsidRDefault="00DA60AD" w:rsidP="007B3198">
            <w:r>
              <w:t>Pašreizējā situācija un problēmas</w:t>
            </w:r>
          </w:p>
        </w:tc>
        <w:tc>
          <w:tcPr>
            <w:tcW w:w="5953" w:type="dxa"/>
          </w:tcPr>
          <w:p w:rsidR="00DA60AD" w:rsidRPr="00012D5B" w:rsidRDefault="00DA60AD" w:rsidP="00842840">
            <w:pPr>
              <w:spacing w:before="0" w:beforeAutospacing="0" w:after="0" w:afterAutospacing="0"/>
              <w:jc w:val="both"/>
              <w:rPr>
                <w:b/>
                <w:bCs/>
              </w:rPr>
            </w:pPr>
            <w:r w:rsidRPr="00B4781C">
              <w:t xml:space="preserve">Visi 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 (turpmāk – </w:t>
            </w:r>
            <w:proofErr w:type="spellStart"/>
            <w:r w:rsidRPr="00B4781C">
              <w:t>apakšaktivitāte</w:t>
            </w:r>
            <w:proofErr w:type="spellEnd"/>
            <w:r w:rsidRPr="00B4781C">
              <w:t>) projektu iesniegumu atlases pirmās kārtas projekti, kas noteikti Ministru kabineta 2010.gada 15.marta rīkojuma Nr.</w:t>
            </w:r>
            <w:r w:rsidRPr="00B4781C">
              <w:rPr>
                <w:bCs/>
              </w:rPr>
              <w:t>147</w:t>
            </w:r>
            <w:r w:rsidRPr="00B4781C">
              <w:t xml:space="preserve"> „Par elektroniskās pārvaldes un informācijas sabiedrības attīstības prioritāro projektu sarakstu” (turpmāk – MK rīkojums Nr.147) pielikuma 1.sadaļā „I.Apstiprinātie projekti”, ir apstiprināti ieviešanai no </w:t>
            </w:r>
            <w:r w:rsidRPr="00B4781C">
              <w:rPr>
                <w:iCs/>
              </w:rPr>
              <w:t xml:space="preserve">Eiropas </w:t>
            </w:r>
            <w:r w:rsidRPr="00243B9A">
              <w:t xml:space="preserve">Reģionālā attīstības fonda finansējuma </w:t>
            </w:r>
            <w:proofErr w:type="spellStart"/>
            <w:r w:rsidRPr="00B4781C">
              <w:t>apakšaktivitātes</w:t>
            </w:r>
            <w:proofErr w:type="spellEnd"/>
            <w:r w:rsidRPr="00B4781C">
              <w:t xml:space="preserve"> ietvaros</w:t>
            </w:r>
            <w:r>
              <w:t xml:space="preserve">, kā arī tie ir ietverti </w:t>
            </w:r>
            <w:r w:rsidRPr="00243B9A">
              <w:t>Ministru kabineta noteikumu projekt</w:t>
            </w:r>
            <w:r>
              <w:t>ā</w:t>
            </w:r>
            <w:r w:rsidRPr="00243B9A">
              <w:t xml:space="preserve"> „Grozījumi Ministru kabineta 2008.gada 21.jūlija noteikumos Nr.576 „Noteikumi par darbības programmas „Infrastruktūra un pakalpojumi” papildinājuma 3.2.2.1.1.apakšaktivitātes „Informācijas sistēmu un elektronisko pakalpojumu attīstība” projektu iesniegumu atlases pirmo kārtu””</w:t>
            </w:r>
            <w:r w:rsidR="000A6062">
              <w:t xml:space="preserve"> (noteikumu projekts </w:t>
            </w:r>
            <w:r w:rsidR="00842840">
              <w:t>tiks</w:t>
            </w:r>
            <w:r w:rsidR="000A6062">
              <w:t xml:space="preserve"> iesniegts </w:t>
            </w:r>
            <w:r w:rsidR="00842840">
              <w:t xml:space="preserve">izskatīšanai </w:t>
            </w:r>
            <w:r w:rsidR="000A6062">
              <w:t>Ministru kabinet</w:t>
            </w:r>
            <w:r w:rsidR="00842840">
              <w:t>a komitejas</w:t>
            </w:r>
            <w:r w:rsidR="000A6062">
              <w:t xml:space="preserve"> </w:t>
            </w:r>
            <w:r w:rsidR="00842840">
              <w:t>sēdē</w:t>
            </w:r>
            <w:r w:rsidR="000A6062">
              <w:t>)</w:t>
            </w:r>
            <w:r w:rsidRPr="00B4781C">
              <w:t>. Savukārt MK rīkojuma</w:t>
            </w:r>
            <w:r>
              <w:t xml:space="preserve"> Nr.</w:t>
            </w:r>
            <w:r w:rsidRPr="00B4781C">
              <w:t xml:space="preserve"> </w:t>
            </w:r>
            <w:r>
              <w:t>1</w:t>
            </w:r>
            <w:r w:rsidRPr="00B4781C">
              <w:t xml:space="preserve">47 pielikuma 2.sadaļā „II. Plānotie projekti” papildus ir apstiprināti </w:t>
            </w:r>
            <w:hyperlink r:id="rId6" w:tgtFrame="_blank" w:history="1">
              <w:r w:rsidRPr="00B4781C">
                <w:t>Ministru kabineta 2010.gada 10.augusta noteikumu Nr.766 „Noteikumi par darbības programmas „Infrastruktūra un pakalpojumi” papildinājuma 3.2.2.1.1.apakšaktivitātes „Informācijas sistēmu un elektronisko pakalpojumu attīstība” projektu iesniegumu atlases otro kārtu”</w:t>
              </w:r>
            </w:hyperlink>
            <w:r>
              <w:t xml:space="preserve"> (turpmāk – MK noteikumi Nr.766)</w:t>
            </w:r>
            <w:r w:rsidRPr="00B4781C">
              <w:t xml:space="preserve"> 1.pielikumā „</w:t>
            </w:r>
            <w:r w:rsidRPr="00B4781C">
              <w:rPr>
                <w:bCs/>
              </w:rPr>
              <w:t>3.2.2.1.1.apakšaktivitātes "Informācijas sistēmu un elektronisko pakalpojumu attīstība" ietvaros plānoto projektu saraksts un to kopējās attiecināmās izmaksas</w:t>
            </w:r>
            <w:r w:rsidRPr="00B4781C">
              <w:t>”</w:t>
            </w:r>
            <w:r>
              <w:t>.</w:t>
            </w:r>
          </w:p>
        </w:tc>
      </w:tr>
      <w:tr w:rsidR="00DA60AD" w:rsidRPr="00542F93" w:rsidTr="00DE49DB">
        <w:trPr>
          <w:trHeight w:val="517"/>
        </w:trPr>
        <w:tc>
          <w:tcPr>
            <w:tcW w:w="550" w:type="dxa"/>
          </w:tcPr>
          <w:p w:rsidR="00DA60AD" w:rsidRPr="00542F93" w:rsidRDefault="00DA60AD" w:rsidP="007B3198">
            <w:pPr>
              <w:pStyle w:val="naiskr"/>
              <w:spacing w:before="0" w:after="0"/>
            </w:pPr>
            <w:r w:rsidRPr="00542F93">
              <w:t>3.</w:t>
            </w:r>
          </w:p>
        </w:tc>
        <w:tc>
          <w:tcPr>
            <w:tcW w:w="3283" w:type="dxa"/>
          </w:tcPr>
          <w:p w:rsidR="00DA60AD" w:rsidRDefault="00DA60AD" w:rsidP="007B3198">
            <w:r>
              <w:t>Saistītie politikas ietekmes novērtējumi un pētījumi</w:t>
            </w:r>
          </w:p>
        </w:tc>
        <w:tc>
          <w:tcPr>
            <w:tcW w:w="5953" w:type="dxa"/>
          </w:tcPr>
          <w:p w:rsidR="00DA60AD" w:rsidRDefault="00DA60AD" w:rsidP="00DE49DB">
            <w:pPr>
              <w:ind w:left="74"/>
            </w:pPr>
            <w:r>
              <w:t>Nav attiecināms</w:t>
            </w:r>
          </w:p>
        </w:tc>
      </w:tr>
      <w:tr w:rsidR="00DA60AD" w:rsidRPr="00542F93" w:rsidTr="00DE49DB">
        <w:trPr>
          <w:trHeight w:val="517"/>
        </w:trPr>
        <w:tc>
          <w:tcPr>
            <w:tcW w:w="550" w:type="dxa"/>
          </w:tcPr>
          <w:p w:rsidR="00DA60AD" w:rsidRPr="00542F93" w:rsidRDefault="00DA60AD" w:rsidP="007B3198">
            <w:pPr>
              <w:pStyle w:val="naiskr"/>
              <w:spacing w:before="0" w:after="0"/>
            </w:pPr>
            <w:r w:rsidRPr="00542F93">
              <w:lastRenderedPageBreak/>
              <w:t>4.</w:t>
            </w:r>
          </w:p>
        </w:tc>
        <w:tc>
          <w:tcPr>
            <w:tcW w:w="3283" w:type="dxa"/>
          </w:tcPr>
          <w:p w:rsidR="00DA60AD" w:rsidRDefault="00DA60AD" w:rsidP="007B3198">
            <w:r>
              <w:t>Tiesiskā regulējuma mērķis un būtība</w:t>
            </w:r>
          </w:p>
        </w:tc>
        <w:tc>
          <w:tcPr>
            <w:tcW w:w="5953" w:type="dxa"/>
          </w:tcPr>
          <w:p w:rsidR="00DA60AD" w:rsidRPr="00ED05C1" w:rsidRDefault="00DA60AD" w:rsidP="00005B1A">
            <w:pPr>
              <w:pStyle w:val="naisf"/>
              <w:spacing w:before="0" w:beforeAutospacing="0" w:after="0" w:afterAutospacing="0"/>
              <w:ind w:left="74" w:right="113"/>
              <w:rPr>
                <w:lang w:val="lv-LV"/>
              </w:rPr>
            </w:pPr>
            <w:r w:rsidRPr="00621F5E">
              <w:rPr>
                <w:color w:val="000000"/>
                <w:lang w:val="lv-LV"/>
              </w:rPr>
              <w:t xml:space="preserve">Rīkojuma projekts paredz atzīt par spēku zaudējušu </w:t>
            </w:r>
            <w:r>
              <w:rPr>
                <w:lang w:val="lv-LV"/>
              </w:rPr>
              <w:t>MK</w:t>
            </w:r>
            <w:r w:rsidRPr="00621F5E">
              <w:rPr>
                <w:lang w:val="lv-LV"/>
              </w:rPr>
              <w:t xml:space="preserve"> rīkojumu Nr.</w:t>
            </w:r>
            <w:r w:rsidRPr="00621F5E">
              <w:rPr>
                <w:bCs/>
                <w:lang w:val="lv-LV"/>
              </w:rPr>
              <w:t>147</w:t>
            </w:r>
            <w:r w:rsidRPr="00621F5E">
              <w:rPr>
                <w:lang w:val="lv-LV"/>
              </w:rPr>
              <w:t>, lai nedublētu normatīvos aktos esošu informāciju, kā arī</w:t>
            </w:r>
            <w:r>
              <w:rPr>
                <w:lang w:val="lv-LV"/>
              </w:rPr>
              <w:t xml:space="preserve"> lai novērstu aktualitāti zaudējušas informācijas esamību normatīvajos aktos</w:t>
            </w:r>
            <w:r w:rsidRPr="008B48B4">
              <w:rPr>
                <w:lang w:val="lv-LV"/>
              </w:rPr>
              <w:t>.</w:t>
            </w:r>
          </w:p>
        </w:tc>
      </w:tr>
      <w:tr w:rsidR="00DA60AD" w:rsidRPr="00542F93" w:rsidTr="00DE49DB">
        <w:trPr>
          <w:trHeight w:val="531"/>
        </w:trPr>
        <w:tc>
          <w:tcPr>
            <w:tcW w:w="550" w:type="dxa"/>
          </w:tcPr>
          <w:p w:rsidR="00DA60AD" w:rsidRPr="00542F93" w:rsidRDefault="00DA60AD" w:rsidP="007B3198">
            <w:pPr>
              <w:pStyle w:val="naiskr"/>
              <w:spacing w:before="0" w:after="0"/>
            </w:pPr>
            <w:r w:rsidRPr="00542F93">
              <w:t>5.</w:t>
            </w:r>
          </w:p>
        </w:tc>
        <w:tc>
          <w:tcPr>
            <w:tcW w:w="3283" w:type="dxa"/>
          </w:tcPr>
          <w:p w:rsidR="00DA60AD" w:rsidRDefault="00DA60AD" w:rsidP="007B3198">
            <w:r>
              <w:t>Projekta izstrādē iesaistītās institūcijas</w:t>
            </w:r>
          </w:p>
        </w:tc>
        <w:tc>
          <w:tcPr>
            <w:tcW w:w="5953" w:type="dxa"/>
          </w:tcPr>
          <w:p w:rsidR="00DA60AD" w:rsidRDefault="00DA60AD" w:rsidP="00DE49DB">
            <w:pPr>
              <w:ind w:left="74" w:right="114"/>
            </w:pPr>
            <w:r>
              <w:t>Nav attiecināms</w:t>
            </w:r>
          </w:p>
        </w:tc>
      </w:tr>
      <w:tr w:rsidR="00DA60AD" w:rsidRPr="00542F93" w:rsidTr="003E747E">
        <w:trPr>
          <w:trHeight w:val="3997"/>
        </w:trPr>
        <w:tc>
          <w:tcPr>
            <w:tcW w:w="550" w:type="dxa"/>
          </w:tcPr>
          <w:p w:rsidR="00DA60AD" w:rsidRPr="00542F93" w:rsidRDefault="00DA60AD" w:rsidP="007B3198">
            <w:pPr>
              <w:pStyle w:val="naiskr"/>
              <w:spacing w:before="0" w:after="0"/>
            </w:pPr>
            <w:r w:rsidRPr="00542F93">
              <w:t>6.</w:t>
            </w:r>
          </w:p>
        </w:tc>
        <w:tc>
          <w:tcPr>
            <w:tcW w:w="3283" w:type="dxa"/>
          </w:tcPr>
          <w:p w:rsidR="00DA60AD" w:rsidRDefault="00DA60AD" w:rsidP="007B3198">
            <w:r>
              <w:t>Iemesli, kādēļ netika nodrošināta sabiedrības līdzdalība</w:t>
            </w:r>
          </w:p>
        </w:tc>
        <w:tc>
          <w:tcPr>
            <w:tcW w:w="5953" w:type="dxa"/>
          </w:tcPr>
          <w:p w:rsidR="00DA60AD" w:rsidRDefault="00DA60AD" w:rsidP="00776FAB">
            <w:pPr>
              <w:ind w:left="74" w:right="114"/>
              <w:jc w:val="both"/>
            </w:pPr>
            <w:r>
              <w:t>Ņemot vērā, ka v</w:t>
            </w:r>
            <w:r w:rsidRPr="00B4781C">
              <w:t xml:space="preserve">isi </w:t>
            </w:r>
            <w:proofErr w:type="spellStart"/>
            <w:r w:rsidRPr="00B4781C">
              <w:t>apakš</w:t>
            </w:r>
            <w:r>
              <w:t>aktivitātes</w:t>
            </w:r>
            <w:proofErr w:type="spellEnd"/>
            <w:r w:rsidRPr="00B4781C">
              <w:t xml:space="preserve"> projektu iesniegumu atlases pirmās kārtas projekti, kas noteikti MK rīkojum</w:t>
            </w:r>
            <w:r>
              <w:t>a</w:t>
            </w:r>
            <w:r w:rsidRPr="00B4781C">
              <w:t xml:space="preserve"> Nr.147 pielikuma 1.sadaļā „I.Apstiprinātie projekti ir apstiprināti”, ir apstiprināti ieviešanai no </w:t>
            </w:r>
            <w:r w:rsidRPr="00B4781C">
              <w:rPr>
                <w:iCs/>
              </w:rPr>
              <w:t xml:space="preserve">Eiropas Reģionālā attīstības fonda finansējuma </w:t>
            </w:r>
            <w:proofErr w:type="spellStart"/>
            <w:r w:rsidRPr="00B4781C">
              <w:t>apakšaktivitātes</w:t>
            </w:r>
            <w:proofErr w:type="spellEnd"/>
            <w:r w:rsidRPr="00B4781C">
              <w:t xml:space="preserve"> ietvaros</w:t>
            </w:r>
            <w:r>
              <w:t xml:space="preserve"> un</w:t>
            </w:r>
            <w:r w:rsidRPr="00B4781C">
              <w:t xml:space="preserve"> MK rīkojuma 147 pielikuma 2.sadaļā „II. Plānotie projekti” papildus ir apstiprināti </w:t>
            </w:r>
            <w:r>
              <w:t>MK noteikumu Nr.766</w:t>
            </w:r>
            <w:r w:rsidRPr="00B4781C">
              <w:t xml:space="preserve"> 1.pielikumā „</w:t>
            </w:r>
            <w:r w:rsidRPr="00B4781C">
              <w:rPr>
                <w:bCs/>
              </w:rPr>
              <w:t>3.2.2.1.1.apakšaktivitātes "Informācijas sistēmu un elektronisko pakalpojumu attīstība" ietvaros plānoto projektu saraksts un to kopējās attiecināmās izmaksas</w:t>
            </w:r>
            <w:r w:rsidRPr="00B4781C">
              <w:t>”</w:t>
            </w:r>
            <w:r>
              <w:t>, kā arī to, ka 2</w:t>
            </w:r>
            <w:r w:rsidRPr="00BC04C1">
              <w:t>010.gadā, izstrādājot prioritāro projektu sarakstu, tika nodrošināta visu tiešo valsts pārvaldes iestāžu, tām pakļautībā un pārraudzībā esošo institūciju līdzdalība,</w:t>
            </w:r>
            <w:r>
              <w:t xml:space="preserve"> izstrādājot šo rīkojuma projektu, </w:t>
            </w:r>
            <w:r w:rsidRPr="00BC04C1">
              <w:t xml:space="preserve">sabiedrības līdzdalība </w:t>
            </w:r>
            <w:r>
              <w:t>nebija</w:t>
            </w:r>
            <w:r w:rsidRPr="00BC04C1">
              <w:t xml:space="preserve"> nepieciešama.</w:t>
            </w:r>
          </w:p>
        </w:tc>
      </w:tr>
      <w:tr w:rsidR="00DA60AD" w:rsidRPr="00542F93" w:rsidTr="00DE49DB">
        <w:tc>
          <w:tcPr>
            <w:tcW w:w="550" w:type="dxa"/>
          </w:tcPr>
          <w:p w:rsidR="00DA60AD" w:rsidRPr="00542F93" w:rsidRDefault="00DA60AD" w:rsidP="007B3198">
            <w:pPr>
              <w:pStyle w:val="naiskr"/>
              <w:spacing w:before="0" w:after="0"/>
            </w:pPr>
            <w:r w:rsidRPr="00542F93">
              <w:t>7.</w:t>
            </w:r>
          </w:p>
        </w:tc>
        <w:tc>
          <w:tcPr>
            <w:tcW w:w="3283" w:type="dxa"/>
          </w:tcPr>
          <w:p w:rsidR="00DA60AD" w:rsidRDefault="00DA60AD" w:rsidP="007B3198">
            <w:r>
              <w:t>Cita informācija</w:t>
            </w:r>
          </w:p>
        </w:tc>
        <w:tc>
          <w:tcPr>
            <w:tcW w:w="5953" w:type="dxa"/>
          </w:tcPr>
          <w:p w:rsidR="00DA60AD" w:rsidRDefault="00DA60AD" w:rsidP="00DE49DB">
            <w:pPr>
              <w:ind w:left="74"/>
            </w:pPr>
            <w:r>
              <w:t>Nav attiecināms</w:t>
            </w:r>
          </w:p>
        </w:tc>
      </w:tr>
    </w:tbl>
    <w:p w:rsidR="00DA60AD" w:rsidRDefault="00DA60AD" w:rsidP="00D65F29">
      <w:pPr>
        <w:spacing w:before="0" w:beforeAutospacing="0" w:after="0" w:afterAutospacing="0"/>
        <w:ind w:firstLine="720"/>
        <w:jc w:val="both"/>
      </w:pPr>
    </w:p>
    <w:tbl>
      <w:tblPr>
        <w:tblpPr w:leftFromText="180" w:rightFromText="180" w:vertAnchor="text" w:horzAnchor="margin" w:tblpXSpec="center" w:tblpY="14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81"/>
      </w:tblGrid>
      <w:tr w:rsidR="00DA60AD" w:rsidRPr="00542F93" w:rsidTr="00D22743">
        <w:tc>
          <w:tcPr>
            <w:tcW w:w="9781" w:type="dxa"/>
          </w:tcPr>
          <w:p w:rsidR="00DA60AD" w:rsidRPr="00542F93" w:rsidRDefault="00DA60AD" w:rsidP="00621F5E">
            <w:pPr>
              <w:pStyle w:val="naisf"/>
              <w:spacing w:before="0" w:after="0"/>
              <w:jc w:val="left"/>
            </w:pPr>
            <w:proofErr w:type="spellStart"/>
            <w:r w:rsidRPr="00542F93">
              <w:t>Anotācijas</w:t>
            </w:r>
            <w:proofErr w:type="spellEnd"/>
            <w:r w:rsidRPr="00542F93">
              <w:t xml:space="preserve"> </w:t>
            </w:r>
            <w:r>
              <w:t xml:space="preserve"> </w:t>
            </w:r>
            <w:r w:rsidRPr="00542F93">
              <w:t xml:space="preserve"> </w:t>
            </w:r>
            <w:r>
              <w:t xml:space="preserve">II, </w:t>
            </w:r>
            <w:r w:rsidRPr="00542F93">
              <w:t>III, IV, V</w:t>
            </w:r>
            <w:r>
              <w:t>,</w:t>
            </w:r>
            <w:r w:rsidRPr="00542F93">
              <w:t xml:space="preserve"> VI</w:t>
            </w:r>
            <w:r>
              <w:t xml:space="preserve"> un </w:t>
            </w:r>
            <w:r>
              <w:rPr>
                <w:bCs/>
              </w:rPr>
              <w:t xml:space="preserve">VII </w:t>
            </w:r>
            <w:proofErr w:type="spellStart"/>
            <w:r w:rsidRPr="004D34C7">
              <w:t>s</w:t>
            </w:r>
            <w:r w:rsidRPr="00542F93">
              <w:t>adaļas</w:t>
            </w:r>
            <w:proofErr w:type="spellEnd"/>
            <w:r w:rsidRPr="00542F93">
              <w:t xml:space="preserve"> – </w:t>
            </w:r>
            <w:proofErr w:type="spellStart"/>
            <w:r w:rsidRPr="00542F93">
              <w:t>nav</w:t>
            </w:r>
            <w:proofErr w:type="spellEnd"/>
            <w:r w:rsidRPr="00542F93">
              <w:t xml:space="preserve"> </w:t>
            </w:r>
            <w:proofErr w:type="spellStart"/>
            <w:r w:rsidRPr="00542F93">
              <w:t>attiecināmas</w:t>
            </w:r>
            <w:proofErr w:type="spellEnd"/>
            <w:r w:rsidRPr="00542F93">
              <w:t>.</w:t>
            </w:r>
          </w:p>
        </w:tc>
      </w:tr>
    </w:tbl>
    <w:p w:rsidR="00DA60AD" w:rsidRDefault="00DA60AD" w:rsidP="0033733A">
      <w:pPr>
        <w:ind w:firstLine="720"/>
        <w:jc w:val="both"/>
      </w:pPr>
    </w:p>
    <w:p w:rsidR="00DA60AD" w:rsidRDefault="00DA60AD" w:rsidP="0033733A">
      <w:pPr>
        <w:ind w:firstLine="720"/>
        <w:jc w:val="both"/>
      </w:pPr>
    </w:p>
    <w:p w:rsidR="00DA60AD" w:rsidRPr="00D22743" w:rsidRDefault="00DA60AD" w:rsidP="001307EA">
      <w:pPr>
        <w:pStyle w:val="BodyTextIndent"/>
        <w:tabs>
          <w:tab w:val="num" w:pos="1090"/>
        </w:tabs>
        <w:rPr>
          <w:sz w:val="24"/>
          <w:szCs w:val="24"/>
        </w:rPr>
      </w:pPr>
      <w:r w:rsidRPr="00D22743">
        <w:rPr>
          <w:sz w:val="24"/>
          <w:szCs w:val="24"/>
        </w:rPr>
        <w:t xml:space="preserve">Iesniedzējs: </w:t>
      </w:r>
    </w:p>
    <w:p w:rsidR="00DA60AD" w:rsidRPr="00D22743" w:rsidRDefault="00DA60AD" w:rsidP="00E55D4E">
      <w:pPr>
        <w:spacing w:before="0" w:beforeAutospacing="0" w:after="0" w:afterAutospacing="0"/>
        <w:jc w:val="both"/>
        <w:rPr>
          <w:lang w:bidi="lo-LA"/>
        </w:rPr>
      </w:pPr>
      <w:r w:rsidRPr="00D22743">
        <w:rPr>
          <w:lang w:bidi="lo-LA"/>
        </w:rPr>
        <w:t>Vides aizsardzības un reģionālās attīstības ministrs</w:t>
      </w:r>
      <w:r w:rsidRPr="00D22743">
        <w:rPr>
          <w:lang w:bidi="lo-LA"/>
        </w:rPr>
        <w:tab/>
      </w:r>
      <w:r w:rsidRPr="00D22743">
        <w:rPr>
          <w:lang w:bidi="lo-LA"/>
        </w:rPr>
        <w:tab/>
      </w:r>
      <w:r w:rsidRPr="00D22743">
        <w:rPr>
          <w:lang w:bidi="lo-LA"/>
        </w:rPr>
        <w:tab/>
      </w:r>
      <w:r w:rsidRPr="00D22743">
        <w:rPr>
          <w:lang w:bidi="lo-LA"/>
        </w:rPr>
        <w:tab/>
      </w:r>
      <w:r>
        <w:rPr>
          <w:lang w:bidi="lo-LA"/>
        </w:rPr>
        <w:tab/>
      </w:r>
      <w:proofErr w:type="spellStart"/>
      <w:r>
        <w:rPr>
          <w:lang w:bidi="lo-LA"/>
        </w:rPr>
        <w:t>E.Sprūdžs</w:t>
      </w:r>
      <w:proofErr w:type="spellEnd"/>
    </w:p>
    <w:p w:rsidR="00DA60AD" w:rsidRPr="00D22743" w:rsidRDefault="00DA60AD" w:rsidP="001307EA">
      <w:pPr>
        <w:spacing w:before="0" w:beforeAutospacing="0" w:after="0" w:afterAutospacing="0"/>
        <w:jc w:val="both"/>
      </w:pPr>
    </w:p>
    <w:p w:rsidR="00DA60AD" w:rsidRPr="00D22743" w:rsidRDefault="00DA60AD" w:rsidP="001307EA">
      <w:pPr>
        <w:spacing w:before="0" w:beforeAutospacing="0" w:after="0" w:afterAutospacing="0"/>
        <w:jc w:val="both"/>
      </w:pPr>
    </w:p>
    <w:p w:rsidR="00DA60AD" w:rsidRPr="00D22743" w:rsidRDefault="00DA60AD" w:rsidP="001307EA">
      <w:pPr>
        <w:spacing w:before="0" w:beforeAutospacing="0" w:after="0" w:afterAutospacing="0"/>
        <w:jc w:val="both"/>
      </w:pPr>
      <w:r w:rsidRPr="00D22743">
        <w:t xml:space="preserve">Vizē: </w:t>
      </w:r>
    </w:p>
    <w:p w:rsidR="00DA60AD" w:rsidRPr="00D22743" w:rsidRDefault="00DA60AD" w:rsidP="001307EA">
      <w:pPr>
        <w:spacing w:before="0" w:beforeAutospacing="0" w:after="0" w:afterAutospacing="0"/>
        <w:jc w:val="both"/>
      </w:pPr>
      <w:r w:rsidRPr="00D22743">
        <w:t>Valsts sekretārs</w:t>
      </w:r>
      <w:r w:rsidRPr="00D22743">
        <w:tab/>
      </w:r>
      <w:r w:rsidRPr="00D22743">
        <w:tab/>
      </w:r>
      <w:r w:rsidRPr="00D22743">
        <w:tab/>
      </w:r>
      <w:r w:rsidRPr="00D22743">
        <w:tab/>
      </w:r>
      <w:r w:rsidRPr="00D22743">
        <w:tab/>
      </w:r>
      <w:r w:rsidRPr="00D22743">
        <w:tab/>
      </w:r>
      <w:r w:rsidRPr="00D22743">
        <w:tab/>
      </w:r>
      <w:r w:rsidRPr="00D22743">
        <w:tab/>
      </w:r>
      <w:r w:rsidRPr="00D22743">
        <w:tab/>
        <w:t>G.Puķītis</w:t>
      </w:r>
    </w:p>
    <w:p w:rsidR="00DA60AD" w:rsidRPr="00D22743" w:rsidRDefault="00DA60AD" w:rsidP="001307EA">
      <w:pPr>
        <w:spacing w:before="0" w:beforeAutospacing="0" w:after="0" w:afterAutospacing="0"/>
        <w:rPr>
          <w:noProof/>
        </w:rPr>
      </w:pPr>
    </w:p>
    <w:p w:rsidR="00DA60AD" w:rsidRPr="00E35765" w:rsidRDefault="00DA60AD" w:rsidP="001307EA">
      <w:pPr>
        <w:spacing w:before="0" w:beforeAutospacing="0" w:after="0" w:afterAutospacing="0"/>
        <w:rPr>
          <w:noProof/>
          <w:sz w:val="20"/>
          <w:szCs w:val="20"/>
        </w:rPr>
      </w:pPr>
    </w:p>
    <w:p w:rsidR="00DA60AD" w:rsidRDefault="00DA60AD" w:rsidP="001307EA">
      <w:pPr>
        <w:spacing w:before="0" w:beforeAutospacing="0" w:after="0" w:afterAutospacing="0"/>
        <w:rPr>
          <w:noProof/>
          <w:sz w:val="20"/>
          <w:szCs w:val="20"/>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7947F7">
      <w:pPr>
        <w:pStyle w:val="naisf"/>
        <w:spacing w:before="0" w:beforeAutospacing="0" w:after="0" w:afterAutospacing="0"/>
        <w:rPr>
          <w:sz w:val="16"/>
          <w:szCs w:val="16"/>
        </w:rPr>
      </w:pPr>
    </w:p>
    <w:p w:rsidR="00DA60AD" w:rsidRDefault="00DA60AD" w:rsidP="0016107B">
      <w:pPr>
        <w:pStyle w:val="naisf"/>
        <w:spacing w:before="0" w:beforeAutospacing="0" w:after="0" w:afterAutospacing="0"/>
        <w:rPr>
          <w:sz w:val="16"/>
          <w:szCs w:val="16"/>
        </w:rPr>
      </w:pPr>
    </w:p>
    <w:p w:rsidR="00DA60AD" w:rsidRDefault="00DA60AD" w:rsidP="0016107B">
      <w:pPr>
        <w:pStyle w:val="naisf"/>
        <w:spacing w:before="0" w:beforeAutospacing="0" w:after="0" w:afterAutospacing="0"/>
        <w:rPr>
          <w:sz w:val="16"/>
          <w:szCs w:val="16"/>
        </w:rPr>
      </w:pPr>
    </w:p>
    <w:p w:rsidR="00DA60AD" w:rsidRPr="00D22743" w:rsidRDefault="00B7700E" w:rsidP="0016107B">
      <w:pPr>
        <w:pStyle w:val="naisf"/>
        <w:spacing w:before="0" w:beforeAutospacing="0" w:after="0" w:afterAutospacing="0"/>
        <w:rPr>
          <w:sz w:val="16"/>
          <w:szCs w:val="16"/>
          <w:lang w:val="lv-LV"/>
        </w:rPr>
      </w:pPr>
      <w:r w:rsidRPr="008C0B9E">
        <w:rPr>
          <w:sz w:val="16"/>
          <w:szCs w:val="16"/>
        </w:rPr>
        <w:fldChar w:fldCharType="begin"/>
      </w:r>
      <w:r w:rsidR="00DA60AD" w:rsidRPr="008C0B9E">
        <w:rPr>
          <w:sz w:val="16"/>
          <w:szCs w:val="16"/>
        </w:rPr>
        <w:instrText xml:space="preserve"> TIME  \@ "dd.MM.yyyy. H:mm" </w:instrText>
      </w:r>
      <w:r w:rsidRPr="008C0B9E">
        <w:rPr>
          <w:sz w:val="16"/>
          <w:szCs w:val="16"/>
        </w:rPr>
        <w:fldChar w:fldCharType="separate"/>
      </w:r>
      <w:r w:rsidR="00AF4CFA">
        <w:rPr>
          <w:noProof/>
          <w:sz w:val="16"/>
          <w:szCs w:val="16"/>
        </w:rPr>
        <w:t>13.12.2011. 15:00</w:t>
      </w:r>
      <w:r w:rsidRPr="008C0B9E">
        <w:rPr>
          <w:sz w:val="16"/>
          <w:szCs w:val="16"/>
        </w:rPr>
        <w:fldChar w:fldCharType="end"/>
      </w:r>
    </w:p>
    <w:p w:rsidR="00DA60AD" w:rsidRPr="00D22743" w:rsidRDefault="00B7700E" w:rsidP="0016107B">
      <w:pPr>
        <w:pStyle w:val="naisf"/>
        <w:spacing w:before="0" w:beforeAutospacing="0" w:after="0" w:afterAutospacing="0"/>
        <w:rPr>
          <w:sz w:val="16"/>
          <w:szCs w:val="16"/>
          <w:lang w:val="lv-LV"/>
        </w:rPr>
      </w:pPr>
      <w:r w:rsidRPr="00D22743">
        <w:rPr>
          <w:sz w:val="16"/>
          <w:szCs w:val="16"/>
          <w:lang w:val="lv-LV"/>
        </w:rPr>
        <w:fldChar w:fldCharType="begin"/>
      </w:r>
      <w:r w:rsidR="00DA60AD" w:rsidRPr="00D22743">
        <w:rPr>
          <w:sz w:val="16"/>
          <w:szCs w:val="16"/>
          <w:lang w:val="lv-LV"/>
        </w:rPr>
        <w:instrText xml:space="preserve"> NUMWORDS  \* Arabic </w:instrText>
      </w:r>
      <w:r w:rsidRPr="00D22743">
        <w:rPr>
          <w:sz w:val="16"/>
          <w:szCs w:val="16"/>
          <w:lang w:val="lv-LV"/>
        </w:rPr>
        <w:fldChar w:fldCharType="separate"/>
      </w:r>
      <w:r w:rsidR="00AF4CFA">
        <w:rPr>
          <w:noProof/>
          <w:sz w:val="16"/>
          <w:szCs w:val="16"/>
          <w:lang w:val="lv-LV"/>
        </w:rPr>
        <w:t>459</w:t>
      </w:r>
      <w:r w:rsidRPr="00D22743">
        <w:rPr>
          <w:sz w:val="16"/>
          <w:szCs w:val="16"/>
          <w:lang w:val="lv-LV"/>
        </w:rPr>
        <w:fldChar w:fldCharType="end"/>
      </w:r>
    </w:p>
    <w:p w:rsidR="00A80FD5" w:rsidRDefault="00A80FD5" w:rsidP="00A80FD5">
      <w:pPr>
        <w:pStyle w:val="naisf"/>
        <w:spacing w:before="0" w:beforeAutospacing="0" w:after="0" w:afterAutospacing="0"/>
        <w:rPr>
          <w:sz w:val="20"/>
          <w:szCs w:val="20"/>
        </w:rPr>
      </w:pPr>
      <w:r>
        <w:rPr>
          <w:sz w:val="20"/>
          <w:szCs w:val="20"/>
        </w:rPr>
        <w:t>R.Timermanis</w:t>
      </w:r>
    </w:p>
    <w:p w:rsidR="00A80FD5" w:rsidRPr="00964975" w:rsidRDefault="00A80FD5" w:rsidP="00A80FD5">
      <w:pPr>
        <w:pStyle w:val="naisf"/>
        <w:spacing w:before="0" w:beforeAutospacing="0" w:after="0" w:afterAutospacing="0"/>
        <w:rPr>
          <w:sz w:val="16"/>
          <w:szCs w:val="16"/>
        </w:rPr>
      </w:pPr>
      <w:r w:rsidRPr="00C8117C">
        <w:rPr>
          <w:sz w:val="20"/>
          <w:szCs w:val="20"/>
        </w:rPr>
        <w:t>6777032</w:t>
      </w:r>
      <w:r>
        <w:rPr>
          <w:sz w:val="20"/>
          <w:szCs w:val="20"/>
        </w:rPr>
        <w:t>4</w:t>
      </w:r>
      <w:r w:rsidRPr="00C8117C">
        <w:rPr>
          <w:sz w:val="20"/>
          <w:szCs w:val="20"/>
        </w:rPr>
        <w:t xml:space="preserve">, </w:t>
      </w:r>
      <w:r>
        <w:rPr>
          <w:sz w:val="20"/>
          <w:szCs w:val="20"/>
        </w:rPr>
        <w:t>Ritvars.Timermanis</w:t>
      </w:r>
      <w:r w:rsidRPr="00C8117C">
        <w:rPr>
          <w:sz w:val="20"/>
          <w:szCs w:val="20"/>
        </w:rPr>
        <w:t>@varam.gov.lv</w:t>
      </w:r>
      <w:r>
        <w:rPr>
          <w:sz w:val="16"/>
          <w:szCs w:val="16"/>
        </w:rPr>
        <w:tab/>
      </w:r>
    </w:p>
    <w:p w:rsidR="00DA60AD" w:rsidRDefault="00DA60AD" w:rsidP="00A80FD5">
      <w:pPr>
        <w:pStyle w:val="naisf"/>
        <w:spacing w:before="0" w:beforeAutospacing="0" w:after="0" w:afterAutospacing="0"/>
      </w:pPr>
    </w:p>
    <w:sectPr w:rsidR="00DA60AD" w:rsidSect="006D02BA">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AD" w:rsidRDefault="00DA60AD">
      <w:r>
        <w:separator/>
      </w:r>
    </w:p>
  </w:endnote>
  <w:endnote w:type="continuationSeparator" w:id="0">
    <w:p w:rsidR="00DA60AD" w:rsidRDefault="00DA6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AD" w:rsidRPr="00353E66" w:rsidRDefault="00DA60AD" w:rsidP="00353E66">
    <w:pPr>
      <w:pStyle w:val="Footer"/>
      <w:jc w:val="both"/>
      <w:rPr>
        <w:sz w:val="20"/>
        <w:szCs w:val="20"/>
      </w:rPr>
    </w:pPr>
    <w:r w:rsidRPr="00434D60">
      <w:rPr>
        <w:color w:val="000000"/>
        <w:sz w:val="20"/>
        <w:szCs w:val="20"/>
      </w:rPr>
      <w:t>VARAM</w:t>
    </w:r>
    <w:r>
      <w:rPr>
        <w:color w:val="000000"/>
        <w:sz w:val="20"/>
        <w:szCs w:val="20"/>
      </w:rPr>
      <w:t>An</w:t>
    </w:r>
    <w:r w:rsidRPr="00434D60">
      <w:rPr>
        <w:color w:val="000000"/>
        <w:sz w:val="20"/>
        <w:szCs w:val="20"/>
      </w:rPr>
      <w:t>ot_</w:t>
    </w:r>
    <w:r w:rsidR="00A80FD5">
      <w:rPr>
        <w:sz w:val="20"/>
        <w:szCs w:val="20"/>
      </w:rPr>
      <w:t>1312</w:t>
    </w:r>
    <w:r w:rsidRPr="00434D60">
      <w:rPr>
        <w:sz w:val="20"/>
        <w:szCs w:val="20"/>
      </w:rPr>
      <w:t>11</w:t>
    </w:r>
    <w:r w:rsidRPr="00434D60">
      <w:rPr>
        <w:color w:val="000000"/>
        <w:sz w:val="20"/>
        <w:szCs w:val="20"/>
      </w:rPr>
      <w:t>_</w:t>
    </w:r>
    <w:r>
      <w:rPr>
        <w:color w:val="000000"/>
        <w:sz w:val="20"/>
        <w:szCs w:val="20"/>
      </w:rPr>
      <w:t>groz147</w:t>
    </w:r>
    <w:r w:rsidRPr="00434D60">
      <w:rPr>
        <w:color w:val="000000"/>
        <w:sz w:val="20"/>
        <w:szCs w:val="20"/>
      </w:rPr>
      <w:t xml:space="preserve">; </w:t>
    </w:r>
    <w:r w:rsidRPr="00C8117C">
      <w:rPr>
        <w:sz w:val="20"/>
        <w:szCs w:val="20"/>
      </w:rPr>
      <w:t>Par Ministru kabineta 2010.gada 15.marta rīkojuma Nr.</w:t>
    </w:r>
    <w:r w:rsidRPr="00C8117C">
      <w:rPr>
        <w:bCs/>
        <w:sz w:val="20"/>
        <w:szCs w:val="20"/>
      </w:rPr>
      <w:t>147</w:t>
    </w:r>
    <w:r w:rsidRPr="00C8117C">
      <w:rPr>
        <w:sz w:val="20"/>
        <w:szCs w:val="20"/>
      </w:rPr>
      <w:t xml:space="preserve"> „Par elektroniskās pārvaldes un informācijas sabiedrības attīstības prioritāro projektu sarakstu” atzīšanu par spēku zaudējušu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AD" w:rsidRPr="00D22743" w:rsidRDefault="00DA60AD" w:rsidP="00353E66">
    <w:pPr>
      <w:pStyle w:val="Footer"/>
      <w:jc w:val="both"/>
      <w:rPr>
        <w:sz w:val="20"/>
        <w:szCs w:val="20"/>
      </w:rPr>
    </w:pPr>
    <w:r w:rsidRPr="00434D60">
      <w:rPr>
        <w:color w:val="000000"/>
        <w:sz w:val="20"/>
        <w:szCs w:val="20"/>
      </w:rPr>
      <w:t>VARAM</w:t>
    </w:r>
    <w:r>
      <w:rPr>
        <w:color w:val="000000"/>
        <w:sz w:val="20"/>
        <w:szCs w:val="20"/>
      </w:rPr>
      <w:t>An</w:t>
    </w:r>
    <w:r w:rsidRPr="00434D60">
      <w:rPr>
        <w:color w:val="000000"/>
        <w:sz w:val="20"/>
        <w:szCs w:val="20"/>
      </w:rPr>
      <w:t>ot_</w:t>
    </w:r>
    <w:r w:rsidR="00A80FD5">
      <w:rPr>
        <w:sz w:val="20"/>
        <w:szCs w:val="20"/>
      </w:rPr>
      <w:t>1312</w:t>
    </w:r>
    <w:r w:rsidR="00A80FD5" w:rsidRPr="00434D60">
      <w:rPr>
        <w:sz w:val="20"/>
        <w:szCs w:val="20"/>
      </w:rPr>
      <w:t>11</w:t>
    </w:r>
    <w:r w:rsidRPr="00434D60">
      <w:rPr>
        <w:color w:val="000000"/>
        <w:sz w:val="20"/>
        <w:szCs w:val="20"/>
      </w:rPr>
      <w:t>_</w:t>
    </w:r>
    <w:r>
      <w:rPr>
        <w:color w:val="000000"/>
        <w:sz w:val="20"/>
        <w:szCs w:val="20"/>
      </w:rPr>
      <w:t>groz147</w:t>
    </w:r>
    <w:r w:rsidRPr="00434D60">
      <w:rPr>
        <w:color w:val="000000"/>
        <w:sz w:val="20"/>
        <w:szCs w:val="20"/>
      </w:rPr>
      <w:t xml:space="preserve">; </w:t>
    </w:r>
    <w:r w:rsidRPr="00C8117C">
      <w:rPr>
        <w:sz w:val="20"/>
        <w:szCs w:val="20"/>
      </w:rPr>
      <w:t>Par Ministru kabineta 2010.gada 15.marta rīkojuma Nr.</w:t>
    </w:r>
    <w:r w:rsidRPr="00C8117C">
      <w:rPr>
        <w:bCs/>
        <w:sz w:val="20"/>
        <w:szCs w:val="20"/>
      </w:rPr>
      <w:t>147</w:t>
    </w:r>
    <w:r w:rsidRPr="00C8117C">
      <w:rPr>
        <w:sz w:val="20"/>
        <w:szCs w:val="20"/>
      </w:rPr>
      <w:t xml:space="preserve"> „Par elektroniskās pārvaldes un informācijas sabiedrības attīstības prioritāro projektu sarakstu” atzīšanu par spēku zaudējušu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AD" w:rsidRDefault="00DA60AD">
      <w:r>
        <w:separator/>
      </w:r>
    </w:p>
  </w:footnote>
  <w:footnote w:type="continuationSeparator" w:id="0">
    <w:p w:rsidR="00DA60AD" w:rsidRDefault="00DA6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AD" w:rsidRDefault="00B7700E" w:rsidP="004210C4">
    <w:pPr>
      <w:pStyle w:val="Header"/>
      <w:framePr w:wrap="around" w:vAnchor="text" w:hAnchor="margin" w:xAlign="center" w:y="1"/>
      <w:rPr>
        <w:rStyle w:val="PageNumber"/>
      </w:rPr>
    </w:pPr>
    <w:r>
      <w:rPr>
        <w:rStyle w:val="PageNumber"/>
      </w:rPr>
      <w:fldChar w:fldCharType="begin"/>
    </w:r>
    <w:r w:rsidR="00DA60AD">
      <w:rPr>
        <w:rStyle w:val="PageNumber"/>
      </w:rPr>
      <w:instrText xml:space="preserve">PAGE  </w:instrText>
    </w:r>
    <w:r>
      <w:rPr>
        <w:rStyle w:val="PageNumber"/>
      </w:rPr>
      <w:fldChar w:fldCharType="separate"/>
    </w:r>
    <w:r w:rsidR="00DA60AD">
      <w:rPr>
        <w:rStyle w:val="PageNumber"/>
        <w:noProof/>
      </w:rPr>
      <w:t>2</w:t>
    </w:r>
    <w:r>
      <w:rPr>
        <w:rStyle w:val="PageNumber"/>
      </w:rPr>
      <w:fldChar w:fldCharType="end"/>
    </w:r>
  </w:p>
  <w:p w:rsidR="00DA60AD" w:rsidRDefault="00DA6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AD" w:rsidRDefault="00B7700E" w:rsidP="004210C4">
    <w:pPr>
      <w:pStyle w:val="Header"/>
      <w:framePr w:wrap="around" w:vAnchor="text" w:hAnchor="margin" w:xAlign="center" w:y="1"/>
      <w:rPr>
        <w:rStyle w:val="PageNumber"/>
      </w:rPr>
    </w:pPr>
    <w:r>
      <w:rPr>
        <w:rStyle w:val="PageNumber"/>
      </w:rPr>
      <w:fldChar w:fldCharType="begin"/>
    </w:r>
    <w:r w:rsidR="00DA60AD">
      <w:rPr>
        <w:rStyle w:val="PageNumber"/>
      </w:rPr>
      <w:instrText xml:space="preserve">PAGE  </w:instrText>
    </w:r>
    <w:r>
      <w:rPr>
        <w:rStyle w:val="PageNumber"/>
      </w:rPr>
      <w:fldChar w:fldCharType="separate"/>
    </w:r>
    <w:r w:rsidR="00AF4CFA">
      <w:rPr>
        <w:rStyle w:val="PageNumber"/>
        <w:noProof/>
      </w:rPr>
      <w:t>2</w:t>
    </w:r>
    <w:r>
      <w:rPr>
        <w:rStyle w:val="PageNumber"/>
      </w:rPr>
      <w:fldChar w:fldCharType="end"/>
    </w:r>
  </w:p>
  <w:p w:rsidR="00DA60AD" w:rsidRDefault="00DA6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BA"/>
    <w:rsid w:val="0000045A"/>
    <w:rsid w:val="000042AD"/>
    <w:rsid w:val="00005B1A"/>
    <w:rsid w:val="00005D0E"/>
    <w:rsid w:val="0000637D"/>
    <w:rsid w:val="00012D5B"/>
    <w:rsid w:val="000154CB"/>
    <w:rsid w:val="00031B23"/>
    <w:rsid w:val="00055411"/>
    <w:rsid w:val="000A3740"/>
    <w:rsid w:val="000A6062"/>
    <w:rsid w:val="000B05A9"/>
    <w:rsid w:val="000C0661"/>
    <w:rsid w:val="000D2F5E"/>
    <w:rsid w:val="000D4369"/>
    <w:rsid w:val="000F3793"/>
    <w:rsid w:val="00102E9E"/>
    <w:rsid w:val="0011744C"/>
    <w:rsid w:val="00127A5D"/>
    <w:rsid w:val="001307EA"/>
    <w:rsid w:val="00152DB2"/>
    <w:rsid w:val="0016107B"/>
    <w:rsid w:val="00161F68"/>
    <w:rsid w:val="00175F41"/>
    <w:rsid w:val="001835DF"/>
    <w:rsid w:val="0019213E"/>
    <w:rsid w:val="001E7278"/>
    <w:rsid w:val="001E7DAA"/>
    <w:rsid w:val="002172CC"/>
    <w:rsid w:val="00243B9A"/>
    <w:rsid w:val="00252472"/>
    <w:rsid w:val="002651C7"/>
    <w:rsid w:val="002A2473"/>
    <w:rsid w:val="002B6263"/>
    <w:rsid w:val="002D6FDC"/>
    <w:rsid w:val="002F1AED"/>
    <w:rsid w:val="002F5DFA"/>
    <w:rsid w:val="0030188C"/>
    <w:rsid w:val="00302F42"/>
    <w:rsid w:val="0031023E"/>
    <w:rsid w:val="00315F34"/>
    <w:rsid w:val="00322417"/>
    <w:rsid w:val="00324E11"/>
    <w:rsid w:val="00333FF2"/>
    <w:rsid w:val="0033733A"/>
    <w:rsid w:val="00353E66"/>
    <w:rsid w:val="00355F15"/>
    <w:rsid w:val="003663FA"/>
    <w:rsid w:val="00391204"/>
    <w:rsid w:val="003B4241"/>
    <w:rsid w:val="003B598C"/>
    <w:rsid w:val="003E747E"/>
    <w:rsid w:val="004020E7"/>
    <w:rsid w:val="00404E87"/>
    <w:rsid w:val="004210C4"/>
    <w:rsid w:val="00421252"/>
    <w:rsid w:val="00421B90"/>
    <w:rsid w:val="00421E77"/>
    <w:rsid w:val="00434D60"/>
    <w:rsid w:val="004809E4"/>
    <w:rsid w:val="00483FA1"/>
    <w:rsid w:val="00485099"/>
    <w:rsid w:val="0049083E"/>
    <w:rsid w:val="004C77B1"/>
    <w:rsid w:val="004D34C7"/>
    <w:rsid w:val="004D600A"/>
    <w:rsid w:val="004F2F71"/>
    <w:rsid w:val="00506615"/>
    <w:rsid w:val="005122FF"/>
    <w:rsid w:val="00516FAD"/>
    <w:rsid w:val="00530325"/>
    <w:rsid w:val="00537D29"/>
    <w:rsid w:val="00542F93"/>
    <w:rsid w:val="00546397"/>
    <w:rsid w:val="00565FFC"/>
    <w:rsid w:val="00573770"/>
    <w:rsid w:val="00583831"/>
    <w:rsid w:val="0058740D"/>
    <w:rsid w:val="00593B00"/>
    <w:rsid w:val="005A7B26"/>
    <w:rsid w:val="005C6545"/>
    <w:rsid w:val="005E313E"/>
    <w:rsid w:val="00603A20"/>
    <w:rsid w:val="00606BB1"/>
    <w:rsid w:val="0061387B"/>
    <w:rsid w:val="00621F5E"/>
    <w:rsid w:val="00623C81"/>
    <w:rsid w:val="00634DDA"/>
    <w:rsid w:val="00641C5F"/>
    <w:rsid w:val="006424BB"/>
    <w:rsid w:val="00677CC2"/>
    <w:rsid w:val="00687F32"/>
    <w:rsid w:val="00691865"/>
    <w:rsid w:val="00693056"/>
    <w:rsid w:val="00693E09"/>
    <w:rsid w:val="006A3D78"/>
    <w:rsid w:val="006D02BA"/>
    <w:rsid w:val="006D2D82"/>
    <w:rsid w:val="006D6833"/>
    <w:rsid w:val="006E03EC"/>
    <w:rsid w:val="006F0B27"/>
    <w:rsid w:val="006F471C"/>
    <w:rsid w:val="007003DF"/>
    <w:rsid w:val="00716AA6"/>
    <w:rsid w:val="00721BD8"/>
    <w:rsid w:val="007267C6"/>
    <w:rsid w:val="0075734F"/>
    <w:rsid w:val="007671BC"/>
    <w:rsid w:val="00774648"/>
    <w:rsid w:val="00776FAB"/>
    <w:rsid w:val="0078224C"/>
    <w:rsid w:val="007947F7"/>
    <w:rsid w:val="007A4E6B"/>
    <w:rsid w:val="007B3198"/>
    <w:rsid w:val="007C00D3"/>
    <w:rsid w:val="007C1A44"/>
    <w:rsid w:val="007C5711"/>
    <w:rsid w:val="00817CC5"/>
    <w:rsid w:val="00842840"/>
    <w:rsid w:val="008549A4"/>
    <w:rsid w:val="00855D73"/>
    <w:rsid w:val="00870A45"/>
    <w:rsid w:val="008A1513"/>
    <w:rsid w:val="008B48B4"/>
    <w:rsid w:val="008C0B9E"/>
    <w:rsid w:val="008C6801"/>
    <w:rsid w:val="008D7D74"/>
    <w:rsid w:val="008F0243"/>
    <w:rsid w:val="00906071"/>
    <w:rsid w:val="0091018E"/>
    <w:rsid w:val="00920063"/>
    <w:rsid w:val="00937BE0"/>
    <w:rsid w:val="00950378"/>
    <w:rsid w:val="00953DDC"/>
    <w:rsid w:val="00953F8B"/>
    <w:rsid w:val="00956BC2"/>
    <w:rsid w:val="009750CB"/>
    <w:rsid w:val="00976096"/>
    <w:rsid w:val="009764BA"/>
    <w:rsid w:val="009C6970"/>
    <w:rsid w:val="009E0C73"/>
    <w:rsid w:val="009F40E3"/>
    <w:rsid w:val="00A05AC4"/>
    <w:rsid w:val="00A21B13"/>
    <w:rsid w:val="00A511ED"/>
    <w:rsid w:val="00A52CC8"/>
    <w:rsid w:val="00A62D63"/>
    <w:rsid w:val="00A7172E"/>
    <w:rsid w:val="00A80FD5"/>
    <w:rsid w:val="00A82340"/>
    <w:rsid w:val="00A87F8B"/>
    <w:rsid w:val="00A936A1"/>
    <w:rsid w:val="00AD5C58"/>
    <w:rsid w:val="00AF4CFA"/>
    <w:rsid w:val="00B03E2E"/>
    <w:rsid w:val="00B05C5B"/>
    <w:rsid w:val="00B13D11"/>
    <w:rsid w:val="00B17161"/>
    <w:rsid w:val="00B179C7"/>
    <w:rsid w:val="00B4781C"/>
    <w:rsid w:val="00B50B54"/>
    <w:rsid w:val="00B60CA1"/>
    <w:rsid w:val="00B636B6"/>
    <w:rsid w:val="00B65DF2"/>
    <w:rsid w:val="00B751DE"/>
    <w:rsid w:val="00B7700E"/>
    <w:rsid w:val="00BC04C1"/>
    <w:rsid w:val="00BC5E31"/>
    <w:rsid w:val="00BC6C7B"/>
    <w:rsid w:val="00BF12E9"/>
    <w:rsid w:val="00C25C29"/>
    <w:rsid w:val="00C52287"/>
    <w:rsid w:val="00C63710"/>
    <w:rsid w:val="00C8117C"/>
    <w:rsid w:val="00C94E2D"/>
    <w:rsid w:val="00C95300"/>
    <w:rsid w:val="00CA258F"/>
    <w:rsid w:val="00CA397E"/>
    <w:rsid w:val="00CC3EB1"/>
    <w:rsid w:val="00CD3430"/>
    <w:rsid w:val="00CD373B"/>
    <w:rsid w:val="00CE4F45"/>
    <w:rsid w:val="00CF53CC"/>
    <w:rsid w:val="00CF6435"/>
    <w:rsid w:val="00D16022"/>
    <w:rsid w:val="00D17769"/>
    <w:rsid w:val="00D22743"/>
    <w:rsid w:val="00D403FA"/>
    <w:rsid w:val="00D405A2"/>
    <w:rsid w:val="00D622CB"/>
    <w:rsid w:val="00D6572D"/>
    <w:rsid w:val="00D65F29"/>
    <w:rsid w:val="00D96068"/>
    <w:rsid w:val="00DA60AD"/>
    <w:rsid w:val="00DC5E0A"/>
    <w:rsid w:val="00DD0EE4"/>
    <w:rsid w:val="00DE49DB"/>
    <w:rsid w:val="00DF3054"/>
    <w:rsid w:val="00DF5D11"/>
    <w:rsid w:val="00E00297"/>
    <w:rsid w:val="00E20AF9"/>
    <w:rsid w:val="00E23390"/>
    <w:rsid w:val="00E25341"/>
    <w:rsid w:val="00E276F0"/>
    <w:rsid w:val="00E35765"/>
    <w:rsid w:val="00E5412E"/>
    <w:rsid w:val="00E54D60"/>
    <w:rsid w:val="00E55D4E"/>
    <w:rsid w:val="00E7586E"/>
    <w:rsid w:val="00E80E1A"/>
    <w:rsid w:val="00E823DF"/>
    <w:rsid w:val="00E877D5"/>
    <w:rsid w:val="00E979DB"/>
    <w:rsid w:val="00EC5A04"/>
    <w:rsid w:val="00ED05C1"/>
    <w:rsid w:val="00EE232F"/>
    <w:rsid w:val="00EE2C4C"/>
    <w:rsid w:val="00EE6E3F"/>
    <w:rsid w:val="00EF50FB"/>
    <w:rsid w:val="00F3538B"/>
    <w:rsid w:val="00F54711"/>
    <w:rsid w:val="00F55006"/>
    <w:rsid w:val="00F82B3D"/>
    <w:rsid w:val="00F84818"/>
    <w:rsid w:val="00F84D1C"/>
    <w:rsid w:val="00F8655F"/>
    <w:rsid w:val="00F93213"/>
    <w:rsid w:val="00F9635C"/>
    <w:rsid w:val="00F96F5A"/>
    <w:rsid w:val="00FA0A80"/>
    <w:rsid w:val="00FB13E7"/>
    <w:rsid w:val="00FC3715"/>
    <w:rsid w:val="00FF5533"/>
    <w:rsid w:val="00FF5C7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BA"/>
    <w:pPr>
      <w:spacing w:before="100" w:beforeAutospacing="1" w:after="100" w:afterAutospacing="1"/>
    </w:pPr>
    <w:rPr>
      <w:sz w:val="24"/>
      <w:szCs w:val="24"/>
    </w:rPr>
  </w:style>
  <w:style w:type="paragraph" w:styleId="Heading3">
    <w:name w:val="heading 3"/>
    <w:basedOn w:val="Normal"/>
    <w:next w:val="Normal"/>
    <w:link w:val="Heading3Char"/>
    <w:uiPriority w:val="99"/>
    <w:qFormat/>
    <w:rsid w:val="00175F41"/>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9764BA"/>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75F41"/>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9D01B7"/>
    <w:rPr>
      <w:rFonts w:asciiTheme="minorHAnsi" w:eastAsiaTheme="minorEastAsia" w:hAnsiTheme="minorHAnsi" w:cstheme="minorBidi"/>
      <w:b/>
      <w:bCs/>
      <w:sz w:val="28"/>
      <w:szCs w:val="28"/>
    </w:rPr>
  </w:style>
  <w:style w:type="paragraph" w:styleId="NormalWeb">
    <w:name w:val="Normal (Web)"/>
    <w:basedOn w:val="Normal"/>
    <w:uiPriority w:val="99"/>
    <w:rsid w:val="009764BA"/>
    <w:pPr>
      <w:jc w:val="both"/>
    </w:pPr>
    <w:rPr>
      <w:color w:val="000000"/>
      <w:sz w:val="20"/>
      <w:szCs w:val="20"/>
    </w:rPr>
  </w:style>
  <w:style w:type="paragraph" w:styleId="BodyTextIndent">
    <w:name w:val="Body Text Indent"/>
    <w:basedOn w:val="Normal"/>
    <w:link w:val="BodyTextIndentChar"/>
    <w:uiPriority w:val="99"/>
    <w:rsid w:val="001307EA"/>
    <w:pPr>
      <w:spacing w:before="0" w:beforeAutospacing="0" w:after="0" w:afterAutospacing="0"/>
      <w:jc w:val="both"/>
    </w:pPr>
    <w:rPr>
      <w:sz w:val="28"/>
      <w:szCs w:val="20"/>
      <w:lang w:eastAsia="en-US"/>
    </w:rPr>
  </w:style>
  <w:style w:type="character" w:customStyle="1" w:styleId="BodyTextIndentChar">
    <w:name w:val="Body Text Indent Char"/>
    <w:basedOn w:val="DefaultParagraphFont"/>
    <w:link w:val="BodyTextIndent"/>
    <w:uiPriority w:val="99"/>
    <w:semiHidden/>
    <w:rsid w:val="009D01B7"/>
    <w:rPr>
      <w:sz w:val="24"/>
      <w:szCs w:val="24"/>
    </w:rPr>
  </w:style>
  <w:style w:type="character" w:styleId="Hyperlink">
    <w:name w:val="Hyperlink"/>
    <w:basedOn w:val="DefaultParagraphFont"/>
    <w:uiPriority w:val="99"/>
    <w:rsid w:val="001307EA"/>
    <w:rPr>
      <w:rFonts w:cs="Times New Roman"/>
      <w:color w:val="0000FF"/>
      <w:u w:val="single"/>
    </w:rPr>
  </w:style>
  <w:style w:type="paragraph" w:styleId="Header">
    <w:name w:val="header"/>
    <w:basedOn w:val="Normal"/>
    <w:link w:val="HeaderChar"/>
    <w:uiPriority w:val="99"/>
    <w:rsid w:val="006D02BA"/>
    <w:pPr>
      <w:tabs>
        <w:tab w:val="center" w:pos="4153"/>
        <w:tab w:val="right" w:pos="8306"/>
      </w:tabs>
    </w:pPr>
  </w:style>
  <w:style w:type="character" w:customStyle="1" w:styleId="HeaderChar">
    <w:name w:val="Header Char"/>
    <w:basedOn w:val="DefaultParagraphFont"/>
    <w:link w:val="Header"/>
    <w:uiPriority w:val="99"/>
    <w:semiHidden/>
    <w:rsid w:val="009D01B7"/>
    <w:rPr>
      <w:sz w:val="24"/>
      <w:szCs w:val="24"/>
    </w:rPr>
  </w:style>
  <w:style w:type="paragraph" w:styleId="Footer">
    <w:name w:val="footer"/>
    <w:basedOn w:val="Normal"/>
    <w:link w:val="FooterChar"/>
    <w:uiPriority w:val="99"/>
    <w:rsid w:val="006D02BA"/>
    <w:pPr>
      <w:tabs>
        <w:tab w:val="center" w:pos="4153"/>
        <w:tab w:val="right" w:pos="8306"/>
      </w:tabs>
    </w:pPr>
  </w:style>
  <w:style w:type="character" w:customStyle="1" w:styleId="FooterChar">
    <w:name w:val="Footer Char"/>
    <w:basedOn w:val="DefaultParagraphFont"/>
    <w:link w:val="Footer"/>
    <w:uiPriority w:val="99"/>
    <w:locked/>
    <w:rsid w:val="00353E66"/>
    <w:rPr>
      <w:rFonts w:cs="Times New Roman"/>
      <w:sz w:val="24"/>
      <w:szCs w:val="24"/>
    </w:rPr>
  </w:style>
  <w:style w:type="character" w:styleId="PageNumber">
    <w:name w:val="page number"/>
    <w:basedOn w:val="DefaultParagraphFont"/>
    <w:uiPriority w:val="99"/>
    <w:rsid w:val="006D02BA"/>
    <w:rPr>
      <w:rFonts w:cs="Times New Roman"/>
    </w:rPr>
  </w:style>
  <w:style w:type="paragraph" w:customStyle="1" w:styleId="naisc">
    <w:name w:val="naisc"/>
    <w:basedOn w:val="Normal"/>
    <w:uiPriority w:val="99"/>
    <w:rsid w:val="002A2473"/>
    <w:pPr>
      <w:spacing w:before="75" w:beforeAutospacing="0" w:after="75" w:afterAutospacing="0"/>
      <w:jc w:val="center"/>
    </w:pPr>
  </w:style>
  <w:style w:type="paragraph" w:customStyle="1" w:styleId="naisf">
    <w:name w:val="naisf"/>
    <w:basedOn w:val="Normal"/>
    <w:uiPriority w:val="99"/>
    <w:rsid w:val="0033733A"/>
    <w:pPr>
      <w:jc w:val="both"/>
    </w:pPr>
    <w:rPr>
      <w:lang w:val="en-GB" w:eastAsia="en-US"/>
    </w:rPr>
  </w:style>
  <w:style w:type="paragraph" w:customStyle="1" w:styleId="naiskr">
    <w:name w:val="naiskr"/>
    <w:basedOn w:val="Normal"/>
    <w:uiPriority w:val="99"/>
    <w:rsid w:val="0033733A"/>
    <w:pPr>
      <w:spacing w:before="75" w:beforeAutospacing="0" w:after="75" w:afterAutospacing="0"/>
    </w:pPr>
  </w:style>
  <w:style w:type="character" w:styleId="Strong">
    <w:name w:val="Strong"/>
    <w:basedOn w:val="DefaultParagraphFont"/>
    <w:uiPriority w:val="99"/>
    <w:qFormat/>
    <w:rsid w:val="008B48B4"/>
    <w:rPr>
      <w:rFonts w:cs="Times New Roman"/>
      <w:b/>
      <w:bCs/>
    </w:rPr>
  </w:style>
  <w:style w:type="paragraph" w:customStyle="1" w:styleId="naisnod">
    <w:name w:val="naisnod"/>
    <w:basedOn w:val="Normal"/>
    <w:uiPriority w:val="99"/>
    <w:rsid w:val="00BC04C1"/>
    <w:pPr>
      <w:spacing w:before="150" w:beforeAutospacing="0" w:after="150" w:afterAutospacing="0"/>
      <w:jc w:val="center"/>
    </w:pPr>
    <w:rPr>
      <w:b/>
      <w:bCs/>
    </w:rPr>
  </w:style>
  <w:style w:type="paragraph" w:styleId="BalloonText">
    <w:name w:val="Balloon Text"/>
    <w:basedOn w:val="Normal"/>
    <w:link w:val="BalloonTextChar"/>
    <w:uiPriority w:val="99"/>
    <w:rsid w:val="0016107B"/>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locked/>
    <w:rsid w:val="0016107B"/>
    <w:rPr>
      <w:rFonts w:ascii="Tahoma" w:hAnsi="Tahoma" w:cs="Tahoma"/>
      <w:sz w:val="16"/>
      <w:szCs w:val="16"/>
    </w:rPr>
  </w:style>
  <w:style w:type="character" w:styleId="CommentReference">
    <w:name w:val="annotation reference"/>
    <w:basedOn w:val="DefaultParagraphFont"/>
    <w:uiPriority w:val="99"/>
    <w:semiHidden/>
    <w:rsid w:val="00FA0A80"/>
    <w:rPr>
      <w:rFonts w:cs="Times New Roman"/>
      <w:sz w:val="16"/>
      <w:szCs w:val="16"/>
    </w:rPr>
  </w:style>
  <w:style w:type="paragraph" w:styleId="CommentText">
    <w:name w:val="annotation text"/>
    <w:basedOn w:val="Normal"/>
    <w:link w:val="CommentTextChar"/>
    <w:uiPriority w:val="99"/>
    <w:semiHidden/>
    <w:rsid w:val="00FA0A80"/>
    <w:rPr>
      <w:sz w:val="20"/>
      <w:szCs w:val="20"/>
    </w:rPr>
  </w:style>
  <w:style w:type="character" w:customStyle="1" w:styleId="CommentTextChar">
    <w:name w:val="Comment Text Char"/>
    <w:basedOn w:val="DefaultParagraphFont"/>
    <w:link w:val="CommentText"/>
    <w:uiPriority w:val="99"/>
    <w:semiHidden/>
    <w:rsid w:val="009D01B7"/>
    <w:rPr>
      <w:sz w:val="20"/>
      <w:szCs w:val="20"/>
    </w:rPr>
  </w:style>
  <w:style w:type="paragraph" w:styleId="CommentSubject">
    <w:name w:val="annotation subject"/>
    <w:basedOn w:val="CommentText"/>
    <w:next w:val="CommentText"/>
    <w:link w:val="CommentSubjectChar"/>
    <w:uiPriority w:val="99"/>
    <w:semiHidden/>
    <w:rsid w:val="00FA0A80"/>
    <w:rPr>
      <w:b/>
      <w:bCs/>
    </w:rPr>
  </w:style>
  <w:style w:type="character" w:customStyle="1" w:styleId="CommentSubjectChar">
    <w:name w:val="Comment Subject Char"/>
    <w:basedOn w:val="CommentTextChar"/>
    <w:link w:val="CommentSubject"/>
    <w:uiPriority w:val="99"/>
    <w:semiHidden/>
    <w:rsid w:val="009D01B7"/>
    <w:rPr>
      <w:b/>
      <w:bCs/>
    </w:rPr>
  </w:style>
</w:styles>
</file>

<file path=word/webSettings.xml><?xml version="1.0" encoding="utf-8"?>
<w:webSettings xmlns:r="http://schemas.openxmlformats.org/officeDocument/2006/relationships" xmlns:w="http://schemas.openxmlformats.org/wordprocessingml/2006/main">
  <w:divs>
    <w:div w:id="1950578321">
      <w:marLeft w:val="45"/>
      <w:marRight w:val="45"/>
      <w:marTop w:val="90"/>
      <w:marBottom w:val="90"/>
      <w:divBdr>
        <w:top w:val="none" w:sz="0" w:space="0" w:color="auto"/>
        <w:left w:val="none" w:sz="0" w:space="0" w:color="auto"/>
        <w:bottom w:val="none" w:sz="0" w:space="0" w:color="auto"/>
        <w:right w:val="none" w:sz="0" w:space="0" w:color="auto"/>
      </w:divBdr>
      <w:divsChild>
        <w:div w:id="19505783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21566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3852</Characters>
  <Application>Microsoft Office Word</Application>
  <DocSecurity>0</DocSecurity>
  <Lines>124</Lines>
  <Paragraphs>38</Paragraphs>
  <ScaleCrop>false</ScaleCrop>
  <Company>VARAM</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28.jūlija noteikumos Nr.606 „Noteikumi par darbības programmas „Infrastruktūra un pakalpojumi” papildinājuma 3.4.1.1.aktivitāti „Ūdenssaimniecības infrastruktūras attīstība apdzīv</dc:title>
  <dc:subject>sākotnējās ietekmes novērtējuma ziņojums (anotācija)</dc:subject>
  <dc:creator>Ieva Brinke</dc:creator>
  <dc:description>sarmite.klavina@varam.gov.lv66016758</dc:description>
  <cp:lastModifiedBy>DanaTihomirova</cp:lastModifiedBy>
  <cp:revision>5</cp:revision>
  <cp:lastPrinted>2011-03-10T15:16:00Z</cp:lastPrinted>
  <dcterms:created xsi:type="dcterms:W3CDTF">2011-11-03T07:24:00Z</dcterms:created>
  <dcterms:modified xsi:type="dcterms:W3CDTF">2011-12-13T13:01:00Z</dcterms:modified>
</cp:coreProperties>
</file>