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C2" w:rsidRPr="002F0E65" w:rsidRDefault="009301C2" w:rsidP="009301C2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2F0E6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Pielikums </w:t>
      </w:r>
    </w:p>
    <w:p w:rsidR="009301C2" w:rsidRPr="002F0E65" w:rsidRDefault="00960047" w:rsidP="009301C2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2F0E6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Likumprojekta „Grozījumi Ķīmisko vielu likumā”</w:t>
      </w:r>
      <w:r w:rsidR="009301C2" w:rsidRPr="002F0E6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</w:p>
    <w:p w:rsidR="009301C2" w:rsidRPr="002F0E65" w:rsidRDefault="009301C2" w:rsidP="009301C2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2F0E6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sākotnējās ietekmes novērtējuma ziņojumam (anotācijai)</w:t>
      </w:r>
    </w:p>
    <w:p w:rsidR="009301C2" w:rsidRPr="009301C2" w:rsidRDefault="009301C2" w:rsidP="009301C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9301C2" w:rsidRPr="009301C2" w:rsidRDefault="009301C2" w:rsidP="009301C2">
      <w:pPr>
        <w:jc w:val="center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007F40">
        <w:rPr>
          <w:rFonts w:ascii="Times New Roman" w:eastAsia="Calibri" w:hAnsi="Times New Roman" w:cs="Times New Roman"/>
          <w:sz w:val="28"/>
          <w:szCs w:val="28"/>
          <w:lang w:eastAsia="lv-LV"/>
        </w:rPr>
        <w:t>Aprēķins finansējumam</w:t>
      </w:r>
      <w:r w:rsidR="005856AC" w:rsidRPr="00007F4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Patērētāju tiesību aizsardzības centram</w:t>
      </w:r>
      <w:r w:rsidRPr="00007F4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5856AC" w:rsidRPr="00007F40">
        <w:rPr>
          <w:rFonts w:ascii="Times New Roman" w:eastAsia="Calibri" w:hAnsi="Times New Roman" w:cs="Times New Roman"/>
          <w:sz w:val="28"/>
          <w:szCs w:val="28"/>
          <w:lang w:eastAsia="lv-LV"/>
        </w:rPr>
        <w:t>ar biocīdiem apstrādāto izstrādājumu uzraudzībai</w:t>
      </w:r>
    </w:p>
    <w:tbl>
      <w:tblPr>
        <w:tblStyle w:val="TableGrid"/>
        <w:tblpPr w:leftFromText="180" w:rightFromText="180" w:vertAnchor="text" w:horzAnchor="margin" w:tblpXSpec="center" w:tblpY="19"/>
        <w:tblW w:w="14639" w:type="dxa"/>
        <w:tblLayout w:type="fixed"/>
        <w:tblLook w:val="01E0"/>
      </w:tblPr>
      <w:tblGrid>
        <w:gridCol w:w="540"/>
        <w:gridCol w:w="6870"/>
        <w:gridCol w:w="5528"/>
        <w:gridCol w:w="1701"/>
      </w:tblGrid>
      <w:tr w:rsidR="00960047" w:rsidRPr="009301C2" w:rsidTr="00007F40">
        <w:tc>
          <w:tcPr>
            <w:tcW w:w="540" w:type="dxa"/>
            <w:shd w:val="clear" w:color="auto" w:fill="auto"/>
          </w:tcPr>
          <w:p w:rsidR="00007F40" w:rsidRDefault="00007F40" w:rsidP="00007F40">
            <w:pPr>
              <w:jc w:val="center"/>
              <w:rPr>
                <w:szCs w:val="24"/>
              </w:rPr>
            </w:pPr>
          </w:p>
          <w:p w:rsidR="00960047" w:rsidRPr="009301C2" w:rsidRDefault="00960047" w:rsidP="00007F40">
            <w:pPr>
              <w:jc w:val="center"/>
              <w:rPr>
                <w:szCs w:val="24"/>
              </w:rPr>
            </w:pPr>
            <w:r w:rsidRPr="009301C2">
              <w:rPr>
                <w:szCs w:val="24"/>
              </w:rPr>
              <w:t>Nr.</w:t>
            </w:r>
          </w:p>
        </w:tc>
        <w:tc>
          <w:tcPr>
            <w:tcW w:w="6870" w:type="dxa"/>
            <w:shd w:val="clear" w:color="auto" w:fill="auto"/>
          </w:tcPr>
          <w:p w:rsidR="00007F40" w:rsidRDefault="00007F40" w:rsidP="00007F40">
            <w:pPr>
              <w:jc w:val="center"/>
              <w:rPr>
                <w:szCs w:val="24"/>
              </w:rPr>
            </w:pPr>
          </w:p>
          <w:p w:rsidR="00960047" w:rsidRPr="00007F40" w:rsidRDefault="00960047" w:rsidP="00007F40">
            <w:pPr>
              <w:jc w:val="center"/>
              <w:rPr>
                <w:szCs w:val="24"/>
              </w:rPr>
            </w:pPr>
            <w:r w:rsidRPr="00007F40">
              <w:rPr>
                <w:szCs w:val="24"/>
              </w:rPr>
              <w:t>Pozīcija</w:t>
            </w:r>
          </w:p>
        </w:tc>
        <w:tc>
          <w:tcPr>
            <w:tcW w:w="5528" w:type="dxa"/>
            <w:shd w:val="clear" w:color="auto" w:fill="auto"/>
          </w:tcPr>
          <w:p w:rsidR="00007F40" w:rsidRDefault="00007F40" w:rsidP="00007F40">
            <w:pPr>
              <w:jc w:val="center"/>
              <w:rPr>
                <w:szCs w:val="24"/>
              </w:rPr>
            </w:pPr>
          </w:p>
          <w:p w:rsidR="00960047" w:rsidRPr="00007F40" w:rsidRDefault="00960047" w:rsidP="00007F40">
            <w:pPr>
              <w:jc w:val="center"/>
              <w:rPr>
                <w:szCs w:val="24"/>
              </w:rPr>
            </w:pPr>
            <w:r w:rsidRPr="00007F40">
              <w:rPr>
                <w:szCs w:val="24"/>
              </w:rPr>
              <w:t>Satura aprēķins</w:t>
            </w:r>
          </w:p>
        </w:tc>
        <w:tc>
          <w:tcPr>
            <w:tcW w:w="1701" w:type="dxa"/>
            <w:shd w:val="clear" w:color="auto" w:fill="auto"/>
          </w:tcPr>
          <w:p w:rsidR="00960047" w:rsidRPr="009301C2" w:rsidRDefault="00960047" w:rsidP="00960047">
            <w:pPr>
              <w:jc w:val="both"/>
              <w:rPr>
                <w:szCs w:val="24"/>
              </w:rPr>
            </w:pPr>
            <w:r w:rsidRPr="009301C2">
              <w:rPr>
                <w:szCs w:val="24"/>
              </w:rPr>
              <w:t>Nepieciešamais</w:t>
            </w:r>
          </w:p>
          <w:p w:rsidR="00960047" w:rsidRPr="009301C2" w:rsidRDefault="00960047" w:rsidP="00C423A8">
            <w:pPr>
              <w:jc w:val="both"/>
              <w:rPr>
                <w:szCs w:val="24"/>
              </w:rPr>
            </w:pPr>
            <w:r w:rsidRPr="009301C2">
              <w:rPr>
                <w:szCs w:val="24"/>
              </w:rPr>
              <w:t xml:space="preserve">Finansējums, </w:t>
            </w:r>
            <w:r w:rsidR="00C423A8">
              <w:rPr>
                <w:szCs w:val="24"/>
              </w:rPr>
              <w:t>EUR</w:t>
            </w:r>
          </w:p>
        </w:tc>
      </w:tr>
      <w:tr w:rsidR="00960047" w:rsidRPr="009301C2" w:rsidTr="00007F40">
        <w:tc>
          <w:tcPr>
            <w:tcW w:w="14639" w:type="dxa"/>
            <w:gridSpan w:val="4"/>
            <w:shd w:val="clear" w:color="auto" w:fill="auto"/>
          </w:tcPr>
          <w:p w:rsidR="00960047" w:rsidRPr="00007F40" w:rsidRDefault="00960047" w:rsidP="00C423A8">
            <w:pPr>
              <w:jc w:val="center"/>
              <w:rPr>
                <w:b/>
                <w:szCs w:val="24"/>
              </w:rPr>
            </w:pPr>
            <w:r w:rsidRPr="00007F40">
              <w:rPr>
                <w:b/>
                <w:szCs w:val="24"/>
              </w:rPr>
              <w:t>201</w:t>
            </w:r>
            <w:r w:rsidR="00C423A8" w:rsidRPr="00007F40">
              <w:rPr>
                <w:b/>
                <w:szCs w:val="24"/>
              </w:rPr>
              <w:t>5</w:t>
            </w:r>
            <w:r w:rsidRPr="00007F40">
              <w:rPr>
                <w:b/>
                <w:szCs w:val="24"/>
              </w:rPr>
              <w:t>.gads</w:t>
            </w:r>
          </w:p>
        </w:tc>
      </w:tr>
      <w:tr w:rsidR="00960047" w:rsidRPr="009301C2" w:rsidTr="00007F40">
        <w:tc>
          <w:tcPr>
            <w:tcW w:w="14639" w:type="dxa"/>
            <w:gridSpan w:val="4"/>
            <w:shd w:val="clear" w:color="auto" w:fill="auto"/>
          </w:tcPr>
          <w:p w:rsidR="00960047" w:rsidRPr="00007F40" w:rsidRDefault="00960047" w:rsidP="00960047">
            <w:pPr>
              <w:jc w:val="center"/>
              <w:rPr>
                <w:b/>
                <w:szCs w:val="24"/>
              </w:rPr>
            </w:pPr>
            <w:r w:rsidRPr="00007F40">
              <w:rPr>
                <w:b/>
                <w:szCs w:val="24"/>
              </w:rPr>
              <w:t>Patērētāju tiesību aizsardzības centra uzraudzības pasākumu tāme</w:t>
            </w:r>
          </w:p>
        </w:tc>
      </w:tr>
      <w:tr w:rsidR="00960047" w:rsidRPr="009301C2" w:rsidTr="00007F40">
        <w:trPr>
          <w:trHeight w:val="597"/>
        </w:trPr>
        <w:tc>
          <w:tcPr>
            <w:tcW w:w="540" w:type="dxa"/>
            <w:shd w:val="clear" w:color="auto" w:fill="auto"/>
          </w:tcPr>
          <w:p w:rsidR="00960047" w:rsidRPr="009301C2" w:rsidRDefault="00960047" w:rsidP="00960047">
            <w:pPr>
              <w:jc w:val="both"/>
              <w:rPr>
                <w:szCs w:val="24"/>
              </w:rPr>
            </w:pPr>
            <w:r w:rsidRPr="009301C2">
              <w:rPr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7C252F" w:rsidRDefault="00B22FA1" w:rsidP="008B47F7">
            <w:pPr>
              <w:suppressAutoHyphens/>
              <w:autoSpaceDN w:val="0"/>
              <w:spacing w:before="120"/>
              <w:jc w:val="both"/>
              <w:textAlignment w:val="baseline"/>
            </w:pPr>
            <w:r w:rsidRPr="007F7039">
              <w:rPr>
                <w:b/>
              </w:rPr>
              <w:t>Atlīdzība 2 darbiniekiem</w:t>
            </w:r>
          </w:p>
          <w:p w:rsidR="00960047" w:rsidRDefault="00960047" w:rsidP="008B47F7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>Darba alga 2</w:t>
            </w:r>
            <w:r w:rsidR="007C252F">
              <w:t xml:space="preserve"> PTAC</w:t>
            </w:r>
            <w:r>
              <w:t xml:space="preserve"> darbiniekiem</w:t>
            </w:r>
            <w:r w:rsidR="008B47F7">
              <w:t xml:space="preserve">, kas būs atbildīgi par </w:t>
            </w:r>
            <w:r w:rsidR="007C252F">
              <w:t xml:space="preserve">„Ķīmisko vielu likumā” noteikto ar biocīdiem apstrādāto izstrādājumu uzraudzību. </w:t>
            </w:r>
            <w:r w:rsidR="005856AC">
              <w:t xml:space="preserve">Ar biocīdiem apstrādāto izstrādājumu uzraudzība aptver ļoti plašas jomas (piemēri norādīti pielikuma 2.daļā), kam nepieciešams vismaz 2 ķīmisko vielu ekspertu resurss. </w:t>
            </w:r>
            <w:r w:rsidR="00DE66FF">
              <w:t>Darbinieku</w:t>
            </w:r>
            <w:r w:rsidR="005856AC">
              <w:t xml:space="preserve"> pienākumos ietilps:</w:t>
            </w:r>
          </w:p>
          <w:p w:rsidR="00346415" w:rsidRDefault="001D56BD" w:rsidP="008B47F7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>-ar biocīdiem apstrādāto izstrādājumu kontroles uz robežas;</w:t>
            </w:r>
          </w:p>
          <w:p w:rsidR="001D56BD" w:rsidRDefault="001D56BD" w:rsidP="008B47F7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>-ar biocīdiem apstrādāto izstrādājumu marķējuma kontroles tirdzniecības vietās;</w:t>
            </w:r>
          </w:p>
          <w:p w:rsidR="00346415" w:rsidRDefault="001D56BD" w:rsidP="008B47F7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>-testēšanai paredzēto izstrādājumu paraugu izņemšana tirdzniecības vietās;</w:t>
            </w:r>
          </w:p>
          <w:p w:rsidR="00641579" w:rsidRDefault="00B22FA1" w:rsidP="00641579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>-</w:t>
            </w:r>
            <w:r w:rsidR="00C2092E">
              <w:t>lēmumu</w:t>
            </w:r>
            <w:r w:rsidR="00641579">
              <w:t xml:space="preserve"> sagatavošana;</w:t>
            </w:r>
          </w:p>
          <w:p w:rsidR="00C2092E" w:rsidRDefault="00C2092E" w:rsidP="00641579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>-korektīvo darbību veikšana;</w:t>
            </w:r>
          </w:p>
          <w:p w:rsidR="00C2092E" w:rsidRDefault="00C2092E" w:rsidP="00641579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>-uzraudzības projektu veikšana;</w:t>
            </w:r>
          </w:p>
          <w:p w:rsidR="009B3364" w:rsidRDefault="009B3364" w:rsidP="009B3364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 xml:space="preserve">-atskaišu sniegšana Eiropas Komisijai saskaņā ar regulu </w:t>
            </w:r>
            <w:r w:rsidRPr="009B3364">
              <w:t xml:space="preserve">528/2012 </w:t>
            </w:r>
            <w:r>
              <w:t xml:space="preserve">par uzraudzības aktivitātēm ar biocīdiem apstrādātu izstrādājumu uzraudzībai. </w:t>
            </w:r>
          </w:p>
          <w:p w:rsidR="009B3364" w:rsidRPr="009301C2" w:rsidRDefault="009B3364" w:rsidP="004D1E86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 xml:space="preserve">-patērētāju un komersantu konsultēšana </w:t>
            </w:r>
            <w:r w:rsidR="001D56BD">
              <w:t xml:space="preserve">un iesniegumu izskatīšana </w:t>
            </w:r>
            <w:r>
              <w:t xml:space="preserve">par </w:t>
            </w:r>
            <w:r w:rsidR="00346415">
              <w:t xml:space="preserve">ar biocīdiem apstrādātu izstrādājumu uzraudzību. Ņemot vērā, ka regula 528/2012 nosaka jaunas prasības ar biocīdiem apstrādātiem izstrādājumiem, paredzams, ka būs nepieciešama intensīva komersantu informēšana par marķējuma u.c. regulā 528/2012 noteiktajām prasībām par </w:t>
            </w:r>
            <w:r w:rsidR="004D1E86">
              <w:t>patērētājiem paredzētajiem</w:t>
            </w:r>
            <w:r w:rsidR="00346415">
              <w:t xml:space="preserve"> </w:t>
            </w:r>
            <w:r w:rsidR="004D1E86">
              <w:t xml:space="preserve">izstrādājumiem, kas apstrādāti </w:t>
            </w:r>
            <w:r w:rsidR="00346415">
              <w:t>ar biocīdiem.</w:t>
            </w:r>
          </w:p>
        </w:tc>
        <w:tc>
          <w:tcPr>
            <w:tcW w:w="5528" w:type="dxa"/>
            <w:shd w:val="clear" w:color="auto" w:fill="auto"/>
          </w:tcPr>
          <w:p w:rsidR="008B47F7" w:rsidRDefault="008B47F7" w:rsidP="008B47F7">
            <w:pPr>
              <w:suppressAutoHyphens/>
              <w:autoSpaceDN w:val="0"/>
              <w:spacing w:before="120"/>
              <w:jc w:val="both"/>
              <w:textAlignment w:val="baseline"/>
            </w:pPr>
            <w:r w:rsidRPr="007F7039">
              <w:t>26.3 saime,</w:t>
            </w:r>
            <w:r w:rsidR="00DE3BA6">
              <w:t xml:space="preserve"> IV līmenis, 11.mēnešalgu grupa</w:t>
            </w:r>
            <w:r w:rsidRPr="007F7039">
              <w:t xml:space="preserve">: EUR 1 382 x 12 </w:t>
            </w:r>
            <w:proofErr w:type="spellStart"/>
            <w:r w:rsidRPr="007F7039">
              <w:t>mēn</w:t>
            </w:r>
            <w:proofErr w:type="spellEnd"/>
            <w:r w:rsidRPr="007F7039">
              <w:t>. x 2cilv. = EUR 33 168</w:t>
            </w:r>
          </w:p>
          <w:p w:rsidR="00891433" w:rsidRDefault="00DD284D" w:rsidP="00DD284D">
            <w:pPr>
              <w:suppressAutoHyphens/>
              <w:autoSpaceDN w:val="0"/>
              <w:jc w:val="both"/>
              <w:textAlignment w:val="baseline"/>
            </w:pPr>
            <w:r>
              <w:t xml:space="preserve">- </w:t>
            </w:r>
            <w:r w:rsidRPr="007F7039">
              <w:t>10% piemaksa par papildu darbu, augstu darba kvalitāti u.c. (EUR 3</w:t>
            </w:r>
            <w:r w:rsidR="00A74DF2">
              <w:t>317</w:t>
            </w:r>
            <w:r w:rsidRPr="007F7039">
              <w:t>)</w:t>
            </w:r>
          </w:p>
          <w:p w:rsidR="00DD284D" w:rsidRPr="007F7039" w:rsidRDefault="00DD284D" w:rsidP="00DD284D">
            <w:pPr>
              <w:suppressAutoHyphens/>
              <w:autoSpaceDN w:val="0"/>
              <w:jc w:val="both"/>
              <w:textAlignment w:val="baseline"/>
            </w:pPr>
            <w:r>
              <w:t xml:space="preserve">- 10% </w:t>
            </w:r>
            <w:r w:rsidRPr="007F7039">
              <w:t>vid.</w:t>
            </w:r>
            <w:r w:rsidR="002F0E65">
              <w:t xml:space="preserve"> </w:t>
            </w:r>
            <w:r w:rsidRPr="007F7039">
              <w:t>gada novērtēšanas prēmija</w:t>
            </w:r>
            <w:r>
              <w:t xml:space="preserve"> un atvaļinājuma pabalsts </w:t>
            </w:r>
            <w:r w:rsidRPr="007F7039">
              <w:t>(EUR 3</w:t>
            </w:r>
            <w:r w:rsidR="00A74DF2">
              <w:t>317</w:t>
            </w:r>
            <w:r w:rsidRPr="007F7039">
              <w:t>)</w:t>
            </w:r>
            <w:r>
              <w:t xml:space="preserve"> </w:t>
            </w:r>
          </w:p>
          <w:p w:rsidR="008B47F7" w:rsidRPr="007F7039" w:rsidRDefault="00A74DF2" w:rsidP="00A74DF2">
            <w:pPr>
              <w:suppressAutoHyphens/>
              <w:autoSpaceDN w:val="0"/>
              <w:jc w:val="both"/>
              <w:textAlignment w:val="baseline"/>
            </w:pPr>
            <w:r>
              <w:t xml:space="preserve">- </w:t>
            </w:r>
            <w:r w:rsidR="008B47F7" w:rsidRPr="007F7039">
              <w:t>valsts soci</w:t>
            </w:r>
            <w:r>
              <w:t>ālās apdrošināšanas iema</w:t>
            </w:r>
            <w:r w:rsidR="00E15689">
              <w:t>ks</w:t>
            </w:r>
            <w:r>
              <w:t>as: 23,5</w:t>
            </w:r>
            <w:r w:rsidR="008B47F7" w:rsidRPr="007F7039">
              <w:t xml:space="preserve">9% x( EUR 33 168+EUR </w:t>
            </w:r>
            <w:r w:rsidR="00E15689">
              <w:t>3317 + EUR 3317</w:t>
            </w:r>
            <w:r w:rsidR="008B47F7" w:rsidRPr="007F7039">
              <w:t>) = EUR 9</w:t>
            </w:r>
            <w:r w:rsidR="00E15689">
              <w:t>389</w:t>
            </w:r>
          </w:p>
          <w:p w:rsidR="00960047" w:rsidRPr="00A74DF2" w:rsidRDefault="00A74DF2" w:rsidP="00A74DF2">
            <w:pPr>
              <w:jc w:val="both"/>
              <w:rPr>
                <w:szCs w:val="24"/>
              </w:rPr>
            </w:pPr>
            <w:r>
              <w:t>- 5% sociālo garantiju izmaksas</w:t>
            </w:r>
            <w:r w:rsidR="008B47F7" w:rsidRPr="00A74DF2">
              <w:t xml:space="preserve"> (EUR </w:t>
            </w:r>
            <w:r>
              <w:t>1658</w:t>
            </w:r>
            <w:r w:rsidR="008B47F7" w:rsidRPr="00A74DF2">
              <w:t>);</w:t>
            </w:r>
          </w:p>
        </w:tc>
        <w:tc>
          <w:tcPr>
            <w:tcW w:w="1701" w:type="dxa"/>
            <w:shd w:val="clear" w:color="auto" w:fill="auto"/>
          </w:tcPr>
          <w:p w:rsidR="00960047" w:rsidRPr="009301C2" w:rsidRDefault="00D45C55" w:rsidP="00E15689">
            <w:pPr>
              <w:jc w:val="both"/>
              <w:rPr>
                <w:szCs w:val="24"/>
              </w:rPr>
            </w:pPr>
            <w:r w:rsidRPr="007F7039">
              <w:rPr>
                <w:b/>
              </w:rPr>
              <w:t xml:space="preserve">EUR 50 </w:t>
            </w:r>
            <w:r w:rsidR="00E15689">
              <w:rPr>
                <w:b/>
              </w:rPr>
              <w:t>849</w:t>
            </w:r>
          </w:p>
        </w:tc>
      </w:tr>
      <w:tr w:rsidR="00960047" w:rsidRPr="009301C2" w:rsidTr="00007F40">
        <w:tc>
          <w:tcPr>
            <w:tcW w:w="540" w:type="dxa"/>
            <w:shd w:val="clear" w:color="auto" w:fill="auto"/>
          </w:tcPr>
          <w:p w:rsidR="00960047" w:rsidRPr="009301C2" w:rsidRDefault="00960047" w:rsidP="00960047">
            <w:pPr>
              <w:jc w:val="both"/>
              <w:rPr>
                <w:szCs w:val="24"/>
              </w:rPr>
            </w:pPr>
            <w:r w:rsidRPr="009301C2">
              <w:rPr>
                <w:szCs w:val="24"/>
              </w:rPr>
              <w:t xml:space="preserve">2. </w:t>
            </w:r>
          </w:p>
        </w:tc>
        <w:tc>
          <w:tcPr>
            <w:tcW w:w="6870" w:type="dxa"/>
            <w:shd w:val="clear" w:color="auto" w:fill="auto"/>
          </w:tcPr>
          <w:p w:rsidR="00960047" w:rsidRDefault="00B22FA1" w:rsidP="00960047">
            <w:pPr>
              <w:jc w:val="both"/>
              <w:rPr>
                <w:b/>
              </w:rPr>
            </w:pPr>
            <w:r w:rsidRPr="007F7039">
              <w:rPr>
                <w:b/>
              </w:rPr>
              <w:t>Pakalpojumu apmaksa darbiniekiem</w:t>
            </w:r>
          </w:p>
          <w:p w:rsidR="00B22FA1" w:rsidRPr="005B2922" w:rsidRDefault="009B3364" w:rsidP="00007F40">
            <w:pPr>
              <w:suppressAutoHyphens/>
              <w:autoSpaceDN w:val="0"/>
              <w:spacing w:after="240"/>
              <w:jc w:val="both"/>
              <w:textAlignment w:val="baseline"/>
            </w:pPr>
            <w:r>
              <w:t>Ņemot vērā pašreizējo PTAC ierobežoto platību, pieņemot jaunus darbiniekus</w:t>
            </w:r>
            <w:r w:rsidR="00C2092E">
              <w:t>,</w:t>
            </w:r>
            <w:r>
              <w:t xml:space="preserve"> plānots īrēt papildus telpas, kam būs nepieciešams</w:t>
            </w:r>
            <w:r w:rsidR="00C2092E">
              <w:t xml:space="preserve"> aprēķinā</w:t>
            </w:r>
            <w:r>
              <w:t xml:space="preserve"> norādītais finansējums. Attiecībā uz telekomunikāciju pakalpojumiem, PTAC sniedz arī telefoniskas konsultācijas, tāpēc katru PTAC darbinieku nepieciešams nodrošināt arī ar telekomunikāciju pakalpojumiem. Sniedzot rakstiskas konsultācijas un gatavojot atbildes uz komersantu </w:t>
            </w:r>
            <w:r w:rsidR="001D56BD">
              <w:t xml:space="preserve">un patērētāju iesniegumiem </w:t>
            </w:r>
            <w:r>
              <w:t>par ar biocīdiem apstrādātiem izstrādājumiem</w:t>
            </w:r>
            <w:r w:rsidR="00346415">
              <w:t xml:space="preserve"> PTAC darbiniekiem darba uzdevumu veikšanai nepieciešami arī interneta, Komercreģistra un pasta pakalpojumi. </w:t>
            </w:r>
          </w:p>
        </w:tc>
        <w:tc>
          <w:tcPr>
            <w:tcW w:w="5528" w:type="dxa"/>
            <w:shd w:val="clear" w:color="auto" w:fill="auto"/>
          </w:tcPr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 xml:space="preserve">- telpu noma (ieskaitot komunālos maksājumus) – EUR 30 x 12 </w:t>
            </w:r>
            <w:proofErr w:type="spellStart"/>
            <w:r w:rsidRPr="007F7039">
              <w:t>mēn</w:t>
            </w:r>
            <w:proofErr w:type="spellEnd"/>
            <w:r w:rsidRPr="007F7039">
              <w:t xml:space="preserve">. = EUR 3600; 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 xml:space="preserve">- telekomunikāciju pakalpojumi (EUR 57 x 12 </w:t>
            </w:r>
            <w:proofErr w:type="spellStart"/>
            <w:r w:rsidRPr="007F7039">
              <w:t>mēn</w:t>
            </w:r>
            <w:proofErr w:type="spellEnd"/>
            <w:r w:rsidRPr="007F7039">
              <w:t xml:space="preserve">.) x 2 </w:t>
            </w:r>
            <w:proofErr w:type="spellStart"/>
            <w:r w:rsidRPr="007F7039">
              <w:t>cilv</w:t>
            </w:r>
            <w:proofErr w:type="spellEnd"/>
            <w:r w:rsidRPr="007F7039">
              <w:t>. = EUR 1368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 xml:space="preserve">- internets, Komercreģistrs un citi sakari (EUR 14 x 12 </w:t>
            </w:r>
            <w:proofErr w:type="spellStart"/>
            <w:r w:rsidRPr="007F7039">
              <w:t>mēn</w:t>
            </w:r>
            <w:proofErr w:type="spellEnd"/>
            <w:r w:rsidRPr="007F7039">
              <w:t xml:space="preserve">.) x 2 </w:t>
            </w:r>
            <w:proofErr w:type="spellStart"/>
            <w:r w:rsidRPr="007F7039">
              <w:t>cilv</w:t>
            </w:r>
            <w:proofErr w:type="spellEnd"/>
            <w:r w:rsidRPr="007F7039">
              <w:t>. = EUR 336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>- pasta pakalpojumi EUR 142 x 2cilv. = EUR 284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 xml:space="preserve">- darbinieku apmācība EUR 426 x 2 </w:t>
            </w:r>
            <w:proofErr w:type="spellStart"/>
            <w:r w:rsidRPr="007F7039">
              <w:t>cilv</w:t>
            </w:r>
            <w:proofErr w:type="spellEnd"/>
            <w:r w:rsidRPr="007F7039">
              <w:t>. = EUR 852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>- komandējumi = EUR 2610, tai skaitā: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 xml:space="preserve">Latvija 6 reizes gadā x 69 EUR (dienas nauda EUR 6 x 2 + viesnīca EUR 43 + transports EUR 14) = EUR 414 x 2 </w:t>
            </w:r>
            <w:proofErr w:type="spellStart"/>
            <w:r w:rsidRPr="007F7039">
              <w:t>cilv</w:t>
            </w:r>
            <w:proofErr w:type="spellEnd"/>
            <w:r w:rsidRPr="007F7039">
              <w:t>. = EUR 828;</w:t>
            </w:r>
          </w:p>
          <w:p w:rsidR="00960047" w:rsidRPr="009301C2" w:rsidRDefault="005B2922" w:rsidP="005B2922">
            <w:pPr>
              <w:jc w:val="both"/>
              <w:rPr>
                <w:szCs w:val="24"/>
              </w:rPr>
            </w:pPr>
            <w:r w:rsidRPr="007F7039">
              <w:t xml:space="preserve">Ārvalstis 1 reizes gadā (apmācības, semināri kvalifikācijas celšanai): x 2 </w:t>
            </w:r>
            <w:proofErr w:type="spellStart"/>
            <w:r w:rsidRPr="007F7039">
              <w:t>cilv</w:t>
            </w:r>
            <w:proofErr w:type="spellEnd"/>
            <w:r w:rsidRPr="007F7039">
              <w:t xml:space="preserve">. = EUR 891 (dienas nauda EUR 47 x 3 = 141 EUR ; viesnīca EUR 300; transports EUR 450) x 2 </w:t>
            </w:r>
            <w:proofErr w:type="spellStart"/>
            <w:r w:rsidRPr="007F7039">
              <w:t>cilv</w:t>
            </w:r>
            <w:proofErr w:type="spellEnd"/>
            <w:r w:rsidRPr="007F7039">
              <w:t>.= EUR 1782</w:t>
            </w:r>
          </w:p>
        </w:tc>
        <w:tc>
          <w:tcPr>
            <w:tcW w:w="1701" w:type="dxa"/>
            <w:shd w:val="clear" w:color="auto" w:fill="auto"/>
          </w:tcPr>
          <w:p w:rsidR="00960047" w:rsidRPr="009301C2" w:rsidRDefault="005B2922" w:rsidP="005B2922">
            <w:pPr>
              <w:jc w:val="both"/>
              <w:rPr>
                <w:szCs w:val="24"/>
              </w:rPr>
            </w:pPr>
            <w:r w:rsidRPr="007F7039">
              <w:rPr>
                <w:b/>
              </w:rPr>
              <w:t xml:space="preserve">EUR </w:t>
            </w:r>
            <w:r w:rsidR="00D45C55" w:rsidRPr="007F7039">
              <w:rPr>
                <w:b/>
              </w:rPr>
              <w:t>9050</w:t>
            </w:r>
            <w:r w:rsidR="00D45C55" w:rsidRPr="007F7039">
              <w:t xml:space="preserve"> </w:t>
            </w:r>
          </w:p>
        </w:tc>
      </w:tr>
      <w:tr w:rsidR="00960047" w:rsidRPr="009301C2" w:rsidTr="00007F40">
        <w:tc>
          <w:tcPr>
            <w:tcW w:w="540" w:type="dxa"/>
            <w:shd w:val="clear" w:color="auto" w:fill="auto"/>
          </w:tcPr>
          <w:p w:rsidR="00960047" w:rsidRPr="009301C2" w:rsidRDefault="00960047" w:rsidP="00960047">
            <w:pPr>
              <w:jc w:val="both"/>
              <w:rPr>
                <w:szCs w:val="24"/>
              </w:rPr>
            </w:pPr>
            <w:r w:rsidRPr="009301C2">
              <w:rPr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960047" w:rsidRDefault="00B22FA1" w:rsidP="005B2922">
            <w:pPr>
              <w:suppressAutoHyphens/>
              <w:autoSpaceDN w:val="0"/>
              <w:spacing w:after="100"/>
              <w:jc w:val="both"/>
              <w:textAlignment w:val="baseline"/>
            </w:pPr>
            <w:r w:rsidRPr="007F7039">
              <w:rPr>
                <w:b/>
              </w:rPr>
              <w:t xml:space="preserve">Materiālais nodrošinājums darbiniekiem </w:t>
            </w:r>
          </w:p>
          <w:p w:rsidR="008E300D" w:rsidRPr="008E300D" w:rsidRDefault="008E300D" w:rsidP="005B2922">
            <w:pPr>
              <w:suppressAutoHyphens/>
              <w:autoSpaceDN w:val="0"/>
              <w:spacing w:after="100"/>
              <w:jc w:val="both"/>
              <w:textAlignment w:val="baseline"/>
            </w:pPr>
          </w:p>
        </w:tc>
        <w:tc>
          <w:tcPr>
            <w:tcW w:w="5528" w:type="dxa"/>
            <w:shd w:val="clear" w:color="auto" w:fill="auto"/>
          </w:tcPr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>- biroja tehnikas uzturēšana – kopētāju kasetes (2 x EUR 43 = EUR 86), lāzerprinteru kasetes (</w:t>
            </w:r>
            <w:r w:rsidR="00C2092E">
              <w:t>3</w:t>
            </w:r>
            <w:r w:rsidRPr="007F7039">
              <w:t xml:space="preserve"> x EUR 68 = EUR </w:t>
            </w:r>
            <w:r w:rsidR="00C2092E">
              <w:t>204</w:t>
            </w:r>
            <w:r w:rsidRPr="007F7039">
              <w:t xml:space="preserve">), kasetes (1 x EUR 78 = EUR 78) = kopā EUR </w:t>
            </w:r>
            <w:r w:rsidR="00917513">
              <w:t>368</w:t>
            </w:r>
            <w:r w:rsidRPr="007F7039">
              <w:t>;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 xml:space="preserve">- kancelejas piederumi – (EUR 9 x 12 </w:t>
            </w:r>
            <w:proofErr w:type="spellStart"/>
            <w:r w:rsidRPr="007F7039">
              <w:t>mēn</w:t>
            </w:r>
            <w:proofErr w:type="spellEnd"/>
            <w:r w:rsidRPr="007F7039">
              <w:t xml:space="preserve">.) x 2 </w:t>
            </w:r>
            <w:proofErr w:type="spellStart"/>
            <w:r w:rsidRPr="007F7039">
              <w:t>cilv</w:t>
            </w:r>
            <w:proofErr w:type="spellEnd"/>
            <w:r w:rsidRPr="007F7039">
              <w:t xml:space="preserve">. = EUR 216; 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>- 2 darba krēsli EUR 130 x 2  = EUR 260</w:t>
            </w:r>
          </w:p>
          <w:p w:rsidR="00960047" w:rsidRPr="009301C2" w:rsidRDefault="005B2922" w:rsidP="005B2922">
            <w:pPr>
              <w:jc w:val="both"/>
              <w:rPr>
                <w:szCs w:val="24"/>
              </w:rPr>
            </w:pPr>
            <w:r w:rsidRPr="007F7039">
              <w:t>- drēbju pakaramais EUR 70 x1=EUR 70</w:t>
            </w:r>
          </w:p>
        </w:tc>
        <w:tc>
          <w:tcPr>
            <w:tcW w:w="1701" w:type="dxa"/>
            <w:shd w:val="clear" w:color="auto" w:fill="auto"/>
          </w:tcPr>
          <w:p w:rsidR="00960047" w:rsidRPr="009301C2" w:rsidRDefault="00D45C55" w:rsidP="00EE1C86">
            <w:pPr>
              <w:jc w:val="both"/>
              <w:rPr>
                <w:szCs w:val="24"/>
              </w:rPr>
            </w:pPr>
            <w:r w:rsidRPr="007F7039">
              <w:rPr>
                <w:b/>
              </w:rPr>
              <w:t>EUR</w:t>
            </w:r>
            <w:r w:rsidRPr="007F7039">
              <w:t xml:space="preserve"> </w:t>
            </w:r>
            <w:r w:rsidR="00EE1C86">
              <w:rPr>
                <w:b/>
              </w:rPr>
              <w:t>914</w:t>
            </w:r>
          </w:p>
        </w:tc>
      </w:tr>
      <w:tr w:rsidR="00960047" w:rsidRPr="009301C2" w:rsidTr="00007F40">
        <w:tc>
          <w:tcPr>
            <w:tcW w:w="540" w:type="dxa"/>
            <w:shd w:val="clear" w:color="auto" w:fill="auto"/>
          </w:tcPr>
          <w:p w:rsidR="00960047" w:rsidRPr="009301C2" w:rsidRDefault="00960047" w:rsidP="00960047">
            <w:pPr>
              <w:jc w:val="both"/>
              <w:rPr>
                <w:szCs w:val="24"/>
              </w:rPr>
            </w:pPr>
            <w:r w:rsidRPr="009301C2">
              <w:rPr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B22FA1" w:rsidRPr="007F7039" w:rsidRDefault="00B22FA1" w:rsidP="00B22FA1">
            <w:pPr>
              <w:suppressAutoHyphens/>
              <w:autoSpaceDN w:val="0"/>
              <w:textAlignment w:val="baseline"/>
              <w:rPr>
                <w:b/>
              </w:rPr>
            </w:pPr>
            <w:r w:rsidRPr="007F7039">
              <w:rPr>
                <w:b/>
              </w:rPr>
              <w:t>Preču paraugu testēšana</w:t>
            </w:r>
          </w:p>
          <w:p w:rsidR="00960047" w:rsidRPr="009301C2" w:rsidRDefault="00960047" w:rsidP="00B22FA1">
            <w:pPr>
              <w:jc w:val="both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60047" w:rsidRPr="009301C2" w:rsidRDefault="005B2922" w:rsidP="00960047">
            <w:pPr>
              <w:jc w:val="both"/>
              <w:rPr>
                <w:szCs w:val="24"/>
              </w:rPr>
            </w:pPr>
            <w:r w:rsidRPr="007F7039">
              <w:t>- 30 testi x EUR 1000 = EUR 30 000</w:t>
            </w:r>
          </w:p>
        </w:tc>
        <w:tc>
          <w:tcPr>
            <w:tcW w:w="1701" w:type="dxa"/>
            <w:shd w:val="clear" w:color="auto" w:fill="auto"/>
          </w:tcPr>
          <w:p w:rsidR="00960047" w:rsidRPr="009301C2" w:rsidRDefault="00DE3BA6" w:rsidP="00960047">
            <w:pPr>
              <w:jc w:val="both"/>
              <w:rPr>
                <w:szCs w:val="24"/>
              </w:rPr>
            </w:pPr>
            <w:r w:rsidRPr="007F7039">
              <w:rPr>
                <w:b/>
              </w:rPr>
              <w:t>EUR 30 000</w:t>
            </w:r>
          </w:p>
        </w:tc>
      </w:tr>
      <w:tr w:rsidR="00960047" w:rsidRPr="009301C2" w:rsidTr="00007F40">
        <w:tc>
          <w:tcPr>
            <w:tcW w:w="540" w:type="dxa"/>
            <w:shd w:val="clear" w:color="auto" w:fill="auto"/>
          </w:tcPr>
          <w:p w:rsidR="00960047" w:rsidRPr="009301C2" w:rsidRDefault="00960047" w:rsidP="00960047">
            <w:pPr>
              <w:jc w:val="both"/>
              <w:rPr>
                <w:szCs w:val="24"/>
              </w:rPr>
            </w:pPr>
            <w:r w:rsidRPr="009301C2">
              <w:rPr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B22FA1" w:rsidRPr="007F7039" w:rsidRDefault="00B22FA1" w:rsidP="00B22FA1">
            <w:pPr>
              <w:suppressAutoHyphens/>
              <w:autoSpaceDN w:val="0"/>
              <w:jc w:val="both"/>
              <w:textAlignment w:val="baseline"/>
            </w:pPr>
            <w:r w:rsidRPr="007F7039">
              <w:rPr>
                <w:b/>
              </w:rPr>
              <w:t xml:space="preserve">Kapitālās izmaksas </w:t>
            </w:r>
          </w:p>
          <w:p w:rsidR="00960047" w:rsidRPr="009301C2" w:rsidRDefault="005B2922" w:rsidP="00007F40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Ņemot vērā, ka ar biocīdiem apstrādātu izstrādājumu uzraudzībai nepieciešamas pārbaudes tirdzniecības vietās (pārbaudot marķējumam noteiktās prasības un </w:t>
            </w:r>
            <w:r w:rsidR="00342C29">
              <w:rPr>
                <w:szCs w:val="24"/>
              </w:rPr>
              <w:t xml:space="preserve">ņemot produktu paraugus), PTAC inspektoriem nepieciešams portatīvais dators un printeris, lai būtu iespējams klātienē sastādīt </w:t>
            </w:r>
            <w:r w:rsidR="006D6E59">
              <w:rPr>
                <w:szCs w:val="24"/>
              </w:rPr>
              <w:t>protokolus</w:t>
            </w:r>
            <w:r w:rsidR="00342C29">
              <w:rPr>
                <w:szCs w:val="24"/>
              </w:rPr>
              <w:t xml:space="preserve"> un </w:t>
            </w:r>
            <w:r w:rsidR="008E300D">
              <w:rPr>
                <w:szCs w:val="24"/>
              </w:rPr>
              <w:t xml:space="preserve">nodot tos komersantam. Tāpat portatīvā aparatūra nepieciešama veicot ražojumu paraugu izņemšanu tirdzniecības </w:t>
            </w:r>
            <w:r w:rsidR="009468AB">
              <w:rPr>
                <w:szCs w:val="24"/>
              </w:rPr>
              <w:t>vietās</w:t>
            </w:r>
            <w:r w:rsidR="006D6E59">
              <w:rPr>
                <w:szCs w:val="24"/>
              </w:rPr>
              <w:t>, komersantam izsniedzot apliecinājumu par paņemtajiem paraugiem un to skaitu. Portatīvais dators nepieciešams arī darbiniekiem</w:t>
            </w:r>
            <w:r w:rsidR="009468AB">
              <w:rPr>
                <w:szCs w:val="24"/>
              </w:rPr>
              <w:t xml:space="preserve"> darba uzdevumu veikšanai atrodoties kom</w:t>
            </w:r>
            <w:r w:rsidR="003D2041">
              <w:rPr>
                <w:szCs w:val="24"/>
              </w:rPr>
              <w:t>andējumos.</w:t>
            </w:r>
            <w:r w:rsidR="006D6E59">
              <w:rPr>
                <w:szCs w:val="24"/>
              </w:rPr>
              <w:t xml:space="preserve"> Papildus jau minētajam, portatīvais dators tiek izmantots, lai pārbaudītu, vai tirdzniecības vietā esošie izstrādājumi nav tikuši ziņoti RAPEX sistēmā (Komisijas uzturēta </w:t>
            </w:r>
            <w:r w:rsidR="006D6E59" w:rsidRPr="006D6E59">
              <w:rPr>
                <w:szCs w:val="24"/>
              </w:rPr>
              <w:t>Ātrās informācijas apmaiņas sistēmas par nepārtikas preču un pakalpojumu drošumu</w:t>
            </w:r>
            <w:r w:rsidR="006D6E59">
              <w:rPr>
                <w:szCs w:val="24"/>
              </w:rPr>
              <w:t>).</w:t>
            </w:r>
          </w:p>
        </w:tc>
        <w:tc>
          <w:tcPr>
            <w:tcW w:w="5528" w:type="dxa"/>
            <w:shd w:val="clear" w:color="auto" w:fill="auto"/>
          </w:tcPr>
          <w:p w:rsidR="005B2922" w:rsidRPr="007F7039" w:rsidRDefault="005B2922" w:rsidP="005B2922">
            <w:pPr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</w:pPr>
            <w:r w:rsidRPr="007F7039">
              <w:t xml:space="preserve">2 stacionārie datori (EUR 996 x 2) = EUR 1992 </w:t>
            </w:r>
          </w:p>
          <w:p w:rsidR="005B2922" w:rsidRPr="007F7039" w:rsidRDefault="005B2922" w:rsidP="005B2922">
            <w:pPr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</w:pPr>
            <w:r w:rsidRPr="007F7039">
              <w:t>2 darba galdi (EUR 427 x 2) = EUR 854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>- 1 krāsainais tīkla printeris = EUR 570;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>- skeneris EUR 285 x1= EUR 285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>- dokumentu skapis = EUR 356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>- zems dokumentu skapis EUR 285x1= EUR 285</w:t>
            </w:r>
          </w:p>
          <w:p w:rsidR="005B2922" w:rsidRPr="007F7039" w:rsidRDefault="005B2922" w:rsidP="005B2922">
            <w:pPr>
              <w:suppressAutoHyphens/>
              <w:autoSpaceDN w:val="0"/>
              <w:textAlignment w:val="baseline"/>
            </w:pPr>
            <w:r w:rsidRPr="007F7039">
              <w:t>- portatīvais dators un portatīvais printeris  EUR 1700</w:t>
            </w:r>
          </w:p>
          <w:p w:rsidR="00960047" w:rsidRPr="009301C2" w:rsidRDefault="00960047" w:rsidP="0096004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0047" w:rsidRPr="009301C2" w:rsidRDefault="00DE3BA6" w:rsidP="00960047">
            <w:pPr>
              <w:jc w:val="both"/>
              <w:rPr>
                <w:szCs w:val="24"/>
              </w:rPr>
            </w:pPr>
            <w:r w:rsidRPr="007F7039">
              <w:rPr>
                <w:b/>
                <w:bCs/>
              </w:rPr>
              <w:t>EUR 6042</w:t>
            </w:r>
          </w:p>
        </w:tc>
      </w:tr>
      <w:tr w:rsidR="00960047" w:rsidRPr="009301C2" w:rsidTr="00007F40">
        <w:tc>
          <w:tcPr>
            <w:tcW w:w="540" w:type="dxa"/>
            <w:shd w:val="clear" w:color="auto" w:fill="auto"/>
          </w:tcPr>
          <w:p w:rsidR="00960047" w:rsidRPr="009301C2" w:rsidRDefault="00960047" w:rsidP="00960047">
            <w:pPr>
              <w:jc w:val="both"/>
              <w:rPr>
                <w:b/>
                <w:szCs w:val="24"/>
              </w:rPr>
            </w:pPr>
          </w:p>
        </w:tc>
        <w:tc>
          <w:tcPr>
            <w:tcW w:w="6870" w:type="dxa"/>
            <w:shd w:val="clear" w:color="auto" w:fill="auto"/>
          </w:tcPr>
          <w:p w:rsidR="00960047" w:rsidRPr="009301C2" w:rsidRDefault="00960047" w:rsidP="00960047">
            <w:pPr>
              <w:jc w:val="both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60047" w:rsidRPr="009301C2" w:rsidRDefault="00960047" w:rsidP="00960047">
            <w:pPr>
              <w:jc w:val="right"/>
              <w:rPr>
                <w:b/>
                <w:szCs w:val="24"/>
              </w:rPr>
            </w:pPr>
            <w:r w:rsidRPr="009301C2">
              <w:rPr>
                <w:b/>
                <w:szCs w:val="24"/>
              </w:rPr>
              <w:t>Kopā</w:t>
            </w:r>
          </w:p>
        </w:tc>
        <w:tc>
          <w:tcPr>
            <w:tcW w:w="1701" w:type="dxa"/>
            <w:shd w:val="clear" w:color="auto" w:fill="auto"/>
          </w:tcPr>
          <w:p w:rsidR="00960047" w:rsidRPr="009301C2" w:rsidRDefault="003D2041" w:rsidP="00EE1C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EE1C86">
              <w:rPr>
                <w:b/>
                <w:szCs w:val="24"/>
              </w:rPr>
              <w:t>6855</w:t>
            </w:r>
            <w:bookmarkStart w:id="0" w:name="_GoBack"/>
            <w:bookmarkEnd w:id="0"/>
            <w:r w:rsidR="00960047" w:rsidRPr="009301C2">
              <w:rPr>
                <w:b/>
                <w:szCs w:val="24"/>
              </w:rPr>
              <w:t xml:space="preserve">,-  </w:t>
            </w:r>
          </w:p>
        </w:tc>
      </w:tr>
    </w:tbl>
    <w:p w:rsidR="009301C2" w:rsidRPr="009301C2" w:rsidRDefault="009301C2" w:rsidP="009301C2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9301C2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</w:p>
    <w:p w:rsidR="00E7422B" w:rsidRDefault="00E7422B">
      <w:r>
        <w:br w:type="page"/>
      </w:r>
    </w:p>
    <w:p w:rsidR="00DE66FF" w:rsidRPr="00DE66FF" w:rsidRDefault="00DE66FF" w:rsidP="00DE66FF">
      <w:pPr>
        <w:spacing w:after="240"/>
        <w:jc w:val="center"/>
        <w:rPr>
          <w:rFonts w:ascii="Times New Roman" w:hAnsi="Times New Roman" w:cs="Times New Roman"/>
          <w:b/>
        </w:rPr>
      </w:pPr>
      <w:r w:rsidRPr="00DE66FF">
        <w:rPr>
          <w:rFonts w:ascii="Times New Roman" w:hAnsi="Times New Roman" w:cs="Times New Roman"/>
          <w:b/>
        </w:rPr>
        <w:t>Ar biocīdiem apstrādātu izstrādājumu piemēri pa jomām</w:t>
      </w:r>
      <w:r w:rsidR="00917513"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DE66FF" w:rsidRPr="00DE66FF" w:rsidRDefault="00DE66FF" w:rsidP="00DE66F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E66FF">
        <w:rPr>
          <w:rFonts w:ascii="Times New Roman" w:hAnsi="Times New Roman" w:cs="Times New Roman"/>
        </w:rPr>
        <w:t xml:space="preserve">Tekstilizstrādājumi </w:t>
      </w:r>
      <w:r>
        <w:rPr>
          <w:rFonts w:ascii="Times New Roman" w:hAnsi="Times New Roman" w:cs="Times New Roman"/>
        </w:rPr>
        <w:t>–</w:t>
      </w:r>
      <w:r w:rsidRPr="00DE66FF">
        <w:rPr>
          <w:rFonts w:ascii="Times New Roman" w:hAnsi="Times New Roman" w:cs="Times New Roman"/>
        </w:rPr>
        <w:t xml:space="preserve"> sporta</w:t>
      </w:r>
      <w:r>
        <w:rPr>
          <w:rFonts w:ascii="Times New Roman" w:hAnsi="Times New Roman" w:cs="Times New Roman"/>
        </w:rPr>
        <w:t xml:space="preserve"> apģērbs</w:t>
      </w:r>
      <w:r w:rsidRPr="00DE66FF">
        <w:rPr>
          <w:rFonts w:ascii="Times New Roman" w:hAnsi="Times New Roman" w:cs="Times New Roman"/>
        </w:rPr>
        <w:t>, apakšveļa, apavu zoles, cepures, cimdi, zeķes, matrači, matraču pārvalki, spilveni, gultas piederumi, dvieļi, paklāji, mēbeles, aizkari, auduma tapetes;</w:t>
      </w:r>
    </w:p>
    <w:p w:rsidR="00DE66FF" w:rsidRPr="00DE66FF" w:rsidRDefault="00DE66FF" w:rsidP="00DE66F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E66FF">
        <w:rPr>
          <w:rFonts w:ascii="Times New Roman" w:hAnsi="Times New Roman" w:cs="Times New Roman"/>
        </w:rPr>
        <w:t>Celtniecības produkti - grīdu un sienu segumi (poliuretāna, keramikas flīzes, PVC, kvarca u</w:t>
      </w:r>
      <w:r>
        <w:rPr>
          <w:rFonts w:ascii="Times New Roman" w:hAnsi="Times New Roman" w:cs="Times New Roman"/>
        </w:rPr>
        <w:t>.</w:t>
      </w:r>
      <w:r w:rsidRPr="00DE66F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DE66FF">
        <w:rPr>
          <w:rFonts w:ascii="Times New Roman" w:hAnsi="Times New Roman" w:cs="Times New Roman"/>
        </w:rPr>
        <w:t>), izolācijas materiāls santehnika</w:t>
      </w:r>
      <w:r>
        <w:rPr>
          <w:rFonts w:ascii="Times New Roman" w:hAnsi="Times New Roman" w:cs="Times New Roman"/>
        </w:rPr>
        <w:t xml:space="preserve">i, dažāda veida </w:t>
      </w:r>
      <w:r w:rsidRPr="00DE66FF">
        <w:rPr>
          <w:rFonts w:ascii="Times New Roman" w:hAnsi="Times New Roman" w:cs="Times New Roman"/>
        </w:rPr>
        <w:t>rokturi;</w:t>
      </w:r>
    </w:p>
    <w:p w:rsidR="00DE66FF" w:rsidRPr="00DE66FF" w:rsidRDefault="00DE66FF" w:rsidP="00DE66F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E66FF">
        <w:rPr>
          <w:rFonts w:ascii="Times New Roman" w:hAnsi="Times New Roman" w:cs="Times New Roman"/>
        </w:rPr>
        <w:t>Virtuves trauki - dēlīši, pārtikas kastes, naži, salātu bļodas, šķīvji, trauki, trauku sukas, plastmasas maisiņi, ledusskapji, saldētavas, trauku mazgājamās mašīnas;</w:t>
      </w:r>
    </w:p>
    <w:p w:rsidR="00DE66FF" w:rsidRPr="00DE66FF" w:rsidRDefault="00DE66FF" w:rsidP="00DE66F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E66FF">
        <w:rPr>
          <w:rFonts w:ascii="Times New Roman" w:hAnsi="Times New Roman" w:cs="Times New Roman"/>
        </w:rPr>
        <w:t>Vannas istabas piederumi - dušas šļūtenes, flīzes, vannas, zobu sukas, dušas aizkari, vannas paklāji, tualetes papīr</w:t>
      </w:r>
      <w:r>
        <w:rPr>
          <w:rFonts w:ascii="Times New Roman" w:hAnsi="Times New Roman" w:cs="Times New Roman"/>
        </w:rPr>
        <w:t>s</w:t>
      </w:r>
      <w:r w:rsidRPr="00DE66FF">
        <w:rPr>
          <w:rFonts w:ascii="Times New Roman" w:hAnsi="Times New Roman" w:cs="Times New Roman"/>
        </w:rPr>
        <w:t xml:space="preserve">, tualetes vāki, kaķu </w:t>
      </w:r>
      <w:r>
        <w:rPr>
          <w:rFonts w:ascii="Times New Roman" w:hAnsi="Times New Roman" w:cs="Times New Roman"/>
        </w:rPr>
        <w:t>smiltiņas</w:t>
      </w:r>
      <w:r w:rsidRPr="00DE66FF">
        <w:rPr>
          <w:rFonts w:ascii="Times New Roman" w:hAnsi="Times New Roman" w:cs="Times New Roman"/>
        </w:rPr>
        <w:t>;</w:t>
      </w:r>
    </w:p>
    <w:p w:rsidR="00DE66FF" w:rsidRPr="00DE66FF" w:rsidRDefault="00DE66FF" w:rsidP="00DE66F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E66FF">
        <w:rPr>
          <w:rFonts w:ascii="Times New Roman" w:hAnsi="Times New Roman" w:cs="Times New Roman"/>
        </w:rPr>
        <w:t>Uzkopšanas</w:t>
      </w:r>
      <w:r>
        <w:rPr>
          <w:rFonts w:ascii="Times New Roman" w:hAnsi="Times New Roman" w:cs="Times New Roman"/>
        </w:rPr>
        <w:t xml:space="preserve"> līdzekļi - tīrīšanas sūkļi, lupatiņas,</w:t>
      </w:r>
      <w:r w:rsidRPr="00DE66FF">
        <w:rPr>
          <w:rFonts w:ascii="Times New Roman" w:hAnsi="Times New Roman" w:cs="Times New Roman"/>
        </w:rPr>
        <w:t xml:space="preserve"> putekļu sūcēji;</w:t>
      </w:r>
    </w:p>
    <w:p w:rsidR="00DE66FF" w:rsidRPr="00DE66FF" w:rsidRDefault="00DE66FF" w:rsidP="00DE66F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E66FF">
        <w:rPr>
          <w:rFonts w:ascii="Times New Roman" w:hAnsi="Times New Roman" w:cs="Times New Roman"/>
        </w:rPr>
        <w:t xml:space="preserve">Biroja piederumi - zīmuļi, tastatūras, datoru peles, kalkulatori, zīmogi, austiņas, </w:t>
      </w:r>
      <w:proofErr w:type="spellStart"/>
      <w:r w:rsidRPr="00DE66FF">
        <w:rPr>
          <w:rFonts w:ascii="Times New Roman" w:hAnsi="Times New Roman" w:cs="Times New Roman"/>
        </w:rPr>
        <w:t>iPod</w:t>
      </w:r>
      <w:proofErr w:type="spellEnd"/>
      <w:r w:rsidRPr="00DE66FF">
        <w:rPr>
          <w:rFonts w:ascii="Times New Roman" w:hAnsi="Times New Roman" w:cs="Times New Roman"/>
        </w:rPr>
        <w:t xml:space="preserve"> un mobilo telefonu aksesuāri;</w:t>
      </w:r>
    </w:p>
    <w:p w:rsidR="00DE66FF" w:rsidRDefault="00DE66FF" w:rsidP="00DE66F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E66FF">
        <w:rPr>
          <w:rFonts w:ascii="Times New Roman" w:hAnsi="Times New Roman" w:cs="Times New Roman"/>
        </w:rPr>
        <w:t xml:space="preserve">Bērnu aprūpes priekšmeti - rotaļu lāči, zīdaiņu pudelītes, māsu spilventiņi, </w:t>
      </w:r>
      <w:r>
        <w:rPr>
          <w:rFonts w:ascii="Times New Roman" w:hAnsi="Times New Roman" w:cs="Times New Roman"/>
        </w:rPr>
        <w:t xml:space="preserve">pārtīšanas </w:t>
      </w:r>
      <w:r w:rsidRPr="00DE66FF">
        <w:rPr>
          <w:rFonts w:ascii="Times New Roman" w:hAnsi="Times New Roman" w:cs="Times New Roman"/>
        </w:rPr>
        <w:t>stacijas, autiņbiksītes, bērnu šķēre</w:t>
      </w:r>
      <w:r>
        <w:rPr>
          <w:rFonts w:ascii="Times New Roman" w:hAnsi="Times New Roman" w:cs="Times New Roman"/>
        </w:rPr>
        <w:t>s;</w:t>
      </w:r>
    </w:p>
    <w:p w:rsidR="00DE66FF" w:rsidRPr="00DE66FF" w:rsidRDefault="00DE66FF" w:rsidP="00DE66F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u.c.</w:t>
      </w:r>
    </w:p>
    <w:p w:rsidR="00E7422B" w:rsidRPr="00DE66FF" w:rsidRDefault="00E7422B" w:rsidP="00E7422B">
      <w:pPr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sectPr w:rsidR="00E7422B" w:rsidRPr="00DE66FF" w:rsidSect="00007F4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BD" w:rsidRDefault="00F821BD" w:rsidP="009301C2">
      <w:r>
        <w:separator/>
      </w:r>
    </w:p>
  </w:endnote>
  <w:endnote w:type="continuationSeparator" w:id="0">
    <w:p w:rsidR="00F821BD" w:rsidRDefault="00F821BD" w:rsidP="0093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65" w:rsidRPr="002F0E65" w:rsidRDefault="002F0E65">
    <w:pPr>
      <w:pStyle w:val="Footer"/>
      <w:rPr>
        <w:rFonts w:ascii="Times New Roman" w:hAnsi="Times New Roman" w:cs="Times New Roman"/>
      </w:rPr>
    </w:pPr>
    <w:r w:rsidRPr="002F0E65">
      <w:rPr>
        <w:rFonts w:ascii="Times New Roman" w:hAnsi="Times New Roman" w:cs="Times New Roman"/>
      </w:rPr>
      <w:t>VARAMAnotp_280214; Pielikums likumprojekta „Grozījumi Ķīmisko vielu likumā” anotācijai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BD" w:rsidRDefault="00F821BD" w:rsidP="009301C2">
      <w:r>
        <w:separator/>
      </w:r>
    </w:p>
  </w:footnote>
  <w:footnote w:type="continuationSeparator" w:id="0">
    <w:p w:rsidR="00F821BD" w:rsidRDefault="00F821BD" w:rsidP="009301C2">
      <w:r>
        <w:continuationSeparator/>
      </w:r>
    </w:p>
  </w:footnote>
  <w:footnote w:id="1">
    <w:p w:rsidR="00917513" w:rsidRDefault="00917513" w:rsidP="009175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</w:rPr>
        <w:t>Biocide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articles-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Internet </w:t>
      </w:r>
      <w:proofErr w:type="spellStart"/>
      <w:r>
        <w:rPr>
          <w:i/>
        </w:rPr>
        <w:t>survey</w:t>
      </w:r>
      <w:proofErr w:type="spellEnd"/>
      <w:r>
        <w:t xml:space="preserve">;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(</w:t>
      </w:r>
      <w:proofErr w:type="spellStart"/>
      <w:r>
        <w:t>ww.kemi.se</w:t>
      </w:r>
      <w:proofErr w:type="spellEnd"/>
      <w:r>
        <w:t xml:space="preserve">) </w:t>
      </w:r>
      <w:hyperlink r:id="rId1" w:history="1">
        <w:r>
          <w:rPr>
            <w:rStyle w:val="Hyperlink"/>
            <w:rFonts w:eastAsiaTheme="majorEastAsia"/>
          </w:rPr>
          <w:t>https://www.kemi.se/Documents/Publikationer/Trycksaker/PM/PM2_12_Biocide_treated_articles.pdf</w:t>
        </w:r>
      </w:hyperlink>
      <w:r>
        <w:t xml:space="preserve"> </w:t>
      </w:r>
    </w:p>
    <w:p w:rsidR="00917513" w:rsidRDefault="00917513" w:rsidP="00917513">
      <w:pPr>
        <w:pStyle w:val="FootnoteText"/>
      </w:pPr>
      <w:proofErr w:type="spellStart"/>
      <w:r>
        <w:rPr>
          <w:i/>
        </w:rPr>
        <w:t>Biocide-treated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Consumer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Markets-Policies-Risks</w:t>
      </w:r>
      <w:r>
        <w:t>;</w:t>
      </w:r>
      <w:proofErr w:type="spellEnd"/>
      <w:r>
        <w:t xml:space="preserve"> </w:t>
      </w:r>
      <w:proofErr w:type="spellStart"/>
      <w:r>
        <w:t>Pesticide</w:t>
      </w:r>
      <w:proofErr w:type="spellEnd"/>
      <w:r>
        <w:t xml:space="preserve"> </w:t>
      </w:r>
      <w:proofErr w:type="spellStart"/>
      <w:r>
        <w:t>Aktions-Netzwerk</w:t>
      </w:r>
      <w:proofErr w:type="spellEnd"/>
      <w:r>
        <w:t xml:space="preserve"> (PAN) e. V; </w:t>
      </w:r>
      <w:proofErr w:type="spellStart"/>
      <w:r>
        <w:t>Germany</w:t>
      </w:r>
      <w:proofErr w:type="spellEnd"/>
    </w:p>
    <w:p w:rsidR="00917513" w:rsidRDefault="00B8508D">
      <w:pPr>
        <w:pStyle w:val="FootnoteText"/>
      </w:pPr>
      <w:hyperlink r:id="rId2" w:history="1">
        <w:r w:rsidR="00917513">
          <w:rPr>
            <w:rStyle w:val="Hyperlink"/>
            <w:rFonts w:eastAsiaTheme="majorEastAsia"/>
          </w:rPr>
          <w:t>http://www.pan-germany.org/download/biocides/biocide-treated_consumer_products.pdf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666A"/>
    <w:multiLevelType w:val="hybridMultilevel"/>
    <w:tmpl w:val="79FAD8F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C572A"/>
    <w:multiLevelType w:val="multilevel"/>
    <w:tmpl w:val="4810E832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7F3858FE"/>
    <w:multiLevelType w:val="multilevel"/>
    <w:tmpl w:val="A474A092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1C2"/>
    <w:rsid w:val="00007F40"/>
    <w:rsid w:val="001D56BD"/>
    <w:rsid w:val="002E10FB"/>
    <w:rsid w:val="002F0E65"/>
    <w:rsid w:val="00342C29"/>
    <w:rsid w:val="00346415"/>
    <w:rsid w:val="003D2041"/>
    <w:rsid w:val="003E2D0E"/>
    <w:rsid w:val="00475BA7"/>
    <w:rsid w:val="004D1E86"/>
    <w:rsid w:val="005248E5"/>
    <w:rsid w:val="005856AC"/>
    <w:rsid w:val="005B2922"/>
    <w:rsid w:val="005D4A48"/>
    <w:rsid w:val="00641579"/>
    <w:rsid w:val="006D6E59"/>
    <w:rsid w:val="007C252F"/>
    <w:rsid w:val="00891433"/>
    <w:rsid w:val="008B47F7"/>
    <w:rsid w:val="008E300D"/>
    <w:rsid w:val="00917513"/>
    <w:rsid w:val="009301C2"/>
    <w:rsid w:val="009468AB"/>
    <w:rsid w:val="00947D4B"/>
    <w:rsid w:val="00960047"/>
    <w:rsid w:val="009B3364"/>
    <w:rsid w:val="00A01A65"/>
    <w:rsid w:val="00A74DF2"/>
    <w:rsid w:val="00B22FA1"/>
    <w:rsid w:val="00B8508D"/>
    <w:rsid w:val="00C2092E"/>
    <w:rsid w:val="00C423A8"/>
    <w:rsid w:val="00C854B4"/>
    <w:rsid w:val="00CD2E1E"/>
    <w:rsid w:val="00D45C55"/>
    <w:rsid w:val="00D6508C"/>
    <w:rsid w:val="00DD284D"/>
    <w:rsid w:val="00DE3BA6"/>
    <w:rsid w:val="00DE66FF"/>
    <w:rsid w:val="00E15689"/>
    <w:rsid w:val="00E7422B"/>
    <w:rsid w:val="00E83011"/>
    <w:rsid w:val="00EE1C86"/>
    <w:rsid w:val="00F44DDC"/>
    <w:rsid w:val="00F821BD"/>
    <w:rsid w:val="00F85FAC"/>
    <w:rsid w:val="00FD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11"/>
  </w:style>
  <w:style w:type="paragraph" w:styleId="Heading1">
    <w:name w:val="heading 1"/>
    <w:basedOn w:val="Normal"/>
    <w:next w:val="Normal"/>
    <w:link w:val="Heading1Char"/>
    <w:uiPriority w:val="9"/>
    <w:qFormat/>
    <w:rsid w:val="00E83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0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qFormat/>
    <w:rsid w:val="00E83011"/>
    <w:rPr>
      <w:b/>
      <w:bCs/>
    </w:rPr>
  </w:style>
  <w:style w:type="character" w:styleId="Emphasis">
    <w:name w:val="Emphasis"/>
    <w:basedOn w:val="DefaultParagraphFont"/>
    <w:qFormat/>
    <w:rsid w:val="00E83011"/>
    <w:rPr>
      <w:i/>
      <w:iCs/>
    </w:rPr>
  </w:style>
  <w:style w:type="paragraph" w:styleId="ListParagraph">
    <w:name w:val="List Paragraph"/>
    <w:basedOn w:val="Normal"/>
    <w:uiPriority w:val="34"/>
    <w:qFormat/>
    <w:rsid w:val="00E83011"/>
    <w:pPr>
      <w:ind w:left="720"/>
      <w:contextualSpacing/>
    </w:pPr>
  </w:style>
  <w:style w:type="table" w:styleId="TableGrid">
    <w:name w:val="Table Grid"/>
    <w:basedOn w:val="TableNormal"/>
    <w:rsid w:val="009301C2"/>
    <w:rPr>
      <w:rFonts w:ascii="Times New Roman" w:eastAsia="Calibri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301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9301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rsid w:val="009301C2"/>
    <w:rPr>
      <w:vertAlign w:val="superscript"/>
    </w:rPr>
  </w:style>
  <w:style w:type="character" w:styleId="Hyperlink">
    <w:name w:val="Hyperlink"/>
    <w:semiHidden/>
    <w:unhideWhenUsed/>
    <w:rsid w:val="009175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0E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E65"/>
  </w:style>
  <w:style w:type="paragraph" w:styleId="Footer">
    <w:name w:val="footer"/>
    <w:basedOn w:val="Normal"/>
    <w:link w:val="FooterChar"/>
    <w:uiPriority w:val="99"/>
    <w:semiHidden/>
    <w:unhideWhenUsed/>
    <w:rsid w:val="002F0E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11"/>
  </w:style>
  <w:style w:type="paragraph" w:styleId="Heading1">
    <w:name w:val="heading 1"/>
    <w:basedOn w:val="Normal"/>
    <w:next w:val="Normal"/>
    <w:link w:val="Heading1Char"/>
    <w:uiPriority w:val="9"/>
    <w:qFormat/>
    <w:rsid w:val="00E83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0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qFormat/>
    <w:rsid w:val="00E83011"/>
    <w:rPr>
      <w:b/>
      <w:bCs/>
    </w:rPr>
  </w:style>
  <w:style w:type="character" w:styleId="Emphasis">
    <w:name w:val="Emphasis"/>
    <w:basedOn w:val="DefaultParagraphFont"/>
    <w:qFormat/>
    <w:rsid w:val="00E83011"/>
    <w:rPr>
      <w:i/>
      <w:iCs/>
    </w:rPr>
  </w:style>
  <w:style w:type="paragraph" w:styleId="ListParagraph">
    <w:name w:val="List Paragraph"/>
    <w:basedOn w:val="Normal"/>
    <w:uiPriority w:val="34"/>
    <w:qFormat/>
    <w:rsid w:val="00E83011"/>
    <w:pPr>
      <w:ind w:left="720"/>
      <w:contextualSpacing/>
    </w:pPr>
  </w:style>
  <w:style w:type="table" w:styleId="TableGrid">
    <w:name w:val="Table Grid"/>
    <w:basedOn w:val="TableNormal"/>
    <w:rsid w:val="009301C2"/>
    <w:rPr>
      <w:rFonts w:ascii="Times New Roman" w:eastAsia="Calibri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301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9301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rsid w:val="009301C2"/>
    <w:rPr>
      <w:vertAlign w:val="superscript"/>
    </w:rPr>
  </w:style>
  <w:style w:type="character" w:styleId="Hyperlink">
    <w:name w:val="Hyperlink"/>
    <w:semiHidden/>
    <w:unhideWhenUsed/>
    <w:rsid w:val="00917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-germany.org/download/biocides/biocide-treated_consumer_products.pdf" TargetMode="External"/><Relationship Id="rId1" Type="http://schemas.openxmlformats.org/officeDocument/2006/relationships/hyperlink" Target="https://www.kemi.se/Documents/Publikationer/Trycksaker/PM/PM2_12_Biocide_treated_artic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13E18-76F2-4004-9E21-58FF92BD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larisat</cp:lastModifiedBy>
  <cp:revision>2</cp:revision>
  <cp:lastPrinted>2014-02-28T13:08:00Z</cp:lastPrinted>
  <dcterms:created xsi:type="dcterms:W3CDTF">2014-03-05T14:44:00Z</dcterms:created>
  <dcterms:modified xsi:type="dcterms:W3CDTF">2014-03-05T14:44:00Z</dcterms:modified>
</cp:coreProperties>
</file>