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E" w:rsidRPr="00120AC8" w:rsidRDefault="0059509E" w:rsidP="005950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AC8">
        <w:rPr>
          <w:rFonts w:ascii="Times New Roman" w:hAnsi="Times New Roman"/>
          <w:sz w:val="28"/>
          <w:szCs w:val="28"/>
        </w:rPr>
        <w:t>1.pielikums</w:t>
      </w:r>
    </w:p>
    <w:p w:rsidR="0059509E" w:rsidRPr="00120AC8" w:rsidRDefault="0059509E" w:rsidP="005950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AC8">
        <w:rPr>
          <w:rFonts w:ascii="Times New Roman" w:hAnsi="Times New Roman"/>
          <w:sz w:val="28"/>
          <w:szCs w:val="28"/>
        </w:rPr>
        <w:t>Ministru kabineta</w:t>
      </w:r>
    </w:p>
    <w:p w:rsidR="0059509E" w:rsidRPr="00120AC8" w:rsidRDefault="0059509E" w:rsidP="005950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AC8">
        <w:rPr>
          <w:rFonts w:ascii="Times New Roman" w:hAnsi="Times New Roman"/>
          <w:sz w:val="28"/>
          <w:szCs w:val="28"/>
        </w:rPr>
        <w:t>____.gada ___.________</w:t>
      </w:r>
    </w:p>
    <w:p w:rsidR="0059509E" w:rsidRPr="00120AC8" w:rsidRDefault="0059509E" w:rsidP="005950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AC8">
        <w:rPr>
          <w:rFonts w:ascii="Times New Roman" w:hAnsi="Times New Roman"/>
          <w:sz w:val="28"/>
          <w:szCs w:val="28"/>
        </w:rPr>
        <w:t>noteikumiem Nr.___</w:t>
      </w:r>
    </w:p>
    <w:p w:rsidR="0059509E" w:rsidRPr="00120AC8" w:rsidRDefault="0059509E" w:rsidP="005950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509E" w:rsidRPr="00120AC8" w:rsidRDefault="0059509E" w:rsidP="00595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AC8">
        <w:rPr>
          <w:rFonts w:ascii="Times New Roman" w:hAnsi="Times New Roman"/>
          <w:b/>
          <w:sz w:val="28"/>
          <w:szCs w:val="28"/>
        </w:rPr>
        <w:t>Būvju iedalījums grupās atbilstoši būvniecības procesam</w:t>
      </w:r>
    </w:p>
    <w:p w:rsidR="0059509E" w:rsidRPr="00120AC8" w:rsidRDefault="0059509E" w:rsidP="00595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09E" w:rsidRPr="00120AC8" w:rsidRDefault="0059509E" w:rsidP="0059509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C8">
        <w:rPr>
          <w:rFonts w:ascii="Times New Roman" w:hAnsi="Times New Roman" w:cs="Times New Roman"/>
          <w:b/>
          <w:sz w:val="28"/>
          <w:szCs w:val="28"/>
        </w:rPr>
        <w:t>Ēku iedalījums grupās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50"/>
        <w:gridCol w:w="5030"/>
        <w:gridCol w:w="1690"/>
        <w:gridCol w:w="5572"/>
      </w:tblGrid>
      <w:tr w:rsidR="0059509E" w:rsidRPr="00120AC8" w:rsidTr="00702EF0"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Klasifikācijas pazīme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 grupa *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II grupa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III grupa*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09E" w:rsidRPr="00120AC8" w:rsidTr="00702EF0">
        <w:tc>
          <w:tcPr>
            <w:tcW w:w="1850" w:type="dxa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1. Stāvu skaits</w:t>
            </w:r>
          </w:p>
        </w:tc>
        <w:tc>
          <w:tcPr>
            <w:tcW w:w="5030" w:type="dxa"/>
          </w:tcPr>
          <w:p w:rsidR="0059509E" w:rsidRPr="00120AC8" w:rsidRDefault="0059509E" w:rsidP="00B338C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Ēkas, kuras neietilpst 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1. vai 3.grupā</w:t>
            </w:r>
          </w:p>
        </w:tc>
        <w:tc>
          <w:tcPr>
            <w:tcW w:w="5572" w:type="dxa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1) Ēka, kurai ir 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rāk nekā pieci virszemes stāvi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Vairāk nekā viens apakšzemes stāvs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1850" w:type="dxa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2. Cilvēku skaits</w:t>
            </w:r>
          </w:p>
        </w:tc>
        <w:tc>
          <w:tcPr>
            <w:tcW w:w="5030" w:type="dxa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Publiskā ēka, kurā paredzēts vienlaikus uztur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ēties vairāk nekā 100 cilvēkiem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1850" w:type="dxa"/>
            <w:tcBorders>
              <w:bottom w:val="single" w:sz="4" w:space="0" w:color="auto"/>
            </w:tcBorders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3. Platība, apbūves laukums 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59509E" w:rsidRPr="00DD761C" w:rsidRDefault="0059509E" w:rsidP="0070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</w:t>
            </w:r>
            <w:proofErr w:type="spellStart"/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Mazēka</w:t>
            </w:r>
            <w:proofErr w:type="spellEnd"/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(vienstāva ēka, </w:t>
            </w:r>
            <w:proofErr w:type="spellStart"/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</w:t>
            </w:r>
            <w:proofErr w:type="spellEnd"/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nojume un palīgēka,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kuras apbūves laukums nav lielāks par </w:t>
            </w:r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 m</w:t>
            </w:r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  <w:p w:rsidR="0059509E" w:rsidRPr="00DD761C" w:rsidRDefault="0059509E" w:rsidP="0070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9509E" w:rsidRPr="00DD761C" w:rsidRDefault="0059509E" w:rsidP="00702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2) Ārpus pilsētu un ciema teritorijām v</w:t>
            </w:r>
            <w:r w:rsidRPr="00DD76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ienstāva lauku saimniecību nedzīvojamā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ēka, kura nav paredzēta dzīvnieku turēšanai un palīgēka (piemēram, saimniecības ēkas, noliktavas, šķūņi, pagrabi, nojumes, garāžas), ar apbūves laukumu līdz 60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338C3" w:rsidRPr="00DD761C" w:rsidRDefault="00B338C3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B338C3" w:rsidP="00702EF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3) Atsevišķa rūpnieciski izgatavota vienstāva ēka ar apbūves laukumu līdz 60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, tai skaitā konteinertipa ēka vai būvizstrādājums, izņemot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ēka,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kurāstiek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izvietota bīstamā iekārta</w:t>
            </w:r>
          </w:p>
          <w:p w:rsidR="00B338C3" w:rsidRPr="00DD761C" w:rsidRDefault="00B338C3" w:rsidP="00702EF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  <w:p w:rsidR="0059509E" w:rsidRPr="00DD761C" w:rsidRDefault="00B338C3" w:rsidP="00702EF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DD761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4</w:t>
            </w:r>
            <w:r w:rsidR="0059509E" w:rsidRPr="00DD761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) Betonēts laukums pakaišu kūtsmēslu uzkrāšanai (uzglabāšanai ar vircas uzkrāšanas tvertni.) līdz </w:t>
            </w:r>
            <w:r w:rsidR="00141590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5</w:t>
            </w:r>
            <w:r w:rsidR="0059509E" w:rsidRPr="00DD761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0m</w:t>
            </w:r>
            <w:r w:rsidR="0059509E" w:rsidRPr="00DD761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1) Ražošanas ēka, kuras kopējā platība ir lielāka par 1000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2) Noliktavas ēka, kuras kopējā platība ir lielāka par 2000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1850" w:type="dxa"/>
            <w:tcBorders>
              <w:bottom w:val="single" w:sz="4" w:space="0" w:color="auto"/>
            </w:tcBorders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Būvtilpums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Ārpus pilsētu un ciema teritorijām ūdens rezervuāri (pazemes un virszemes) līdz 50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9509E" w:rsidRPr="00DD761C" w:rsidRDefault="0059509E" w:rsidP="00702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0" w:type="dxa"/>
            <w:vMerge/>
          </w:tcPr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1) Ēka - </w:t>
            </w:r>
            <w:r w:rsidRPr="00DD7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šķidras, gāzveida vielas vai </w:t>
            </w:r>
            <w:r w:rsidRPr="00DD7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beramu materiālu uzglabāšanai, pārkraušanai vai pārstrādei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būvtilpumu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virs 5000 m</w:t>
            </w:r>
            <w:r w:rsidRPr="00DD7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2) Ūdens rezervuāri (pazemes un virszemes) </w:t>
            </w:r>
            <w:r w:rsidRPr="00DD761C">
              <w:rPr>
                <w:rFonts w:ascii="Times New Roman" w:hAnsi="Times New Roman" w:cs="Times New Roman"/>
              </w:rPr>
              <w:t>virs 1000 m</w:t>
            </w:r>
            <w:r w:rsidRPr="00DD761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9509E" w:rsidRPr="00120AC8" w:rsidTr="00702EF0">
        <w:trPr>
          <w:trHeight w:val="1115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59509E" w:rsidRPr="00120AC8" w:rsidRDefault="00B338C3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09E" w:rsidRPr="00120AC8">
              <w:rPr>
                <w:rFonts w:ascii="Times New Roman" w:hAnsi="Times New Roman" w:cs="Times New Roman"/>
                <w:sz w:val="24"/>
                <w:szCs w:val="24"/>
              </w:rPr>
              <w:t>. Jauda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1) K</w:t>
            </w:r>
            <w:r w:rsidRPr="00DD761C">
              <w:rPr>
                <w:rFonts w:ascii="Times New Roman" w:eastAsia="Calibri" w:hAnsi="Times New Roman" w:cs="Times New Roman"/>
                <w:sz w:val="24"/>
                <w:szCs w:val="24"/>
              </w:rPr>
              <w:t>ompaktās (konteinertipa) t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ransformatoru apakšstacijas un sadales ietaises</w:t>
            </w:r>
            <w:r w:rsidRPr="00DD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ar nominālo spriegumu līdz 20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ārpus pilsētām, un ja tās atrodas </w:t>
            </w:r>
            <w:r w:rsidRPr="00DD761C">
              <w:rPr>
                <w:rFonts w:ascii="Times New Roman" w:eastAsia="Calibri" w:hAnsi="Times New Roman" w:cs="Times New Roman"/>
                <w:sz w:val="24"/>
                <w:szCs w:val="24"/>
              </w:rPr>
              <w:t>ārpus esošo spēkstaciju un apakšstaciju teritorijām</w:t>
            </w:r>
          </w:p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eastAsia="Calibri" w:hAnsi="Times New Roman" w:cs="Times New Roman"/>
                <w:sz w:val="24"/>
                <w:szCs w:val="24"/>
              </w:rPr>
              <w:t>2) Elektroietaišu ēkas ar pamatiem, mazākas par 60 m</w:t>
            </w:r>
            <w:r w:rsidRPr="00DD76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D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ārpus pilsētām un ciemiem</w:t>
            </w:r>
          </w:p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59509E" w:rsidRPr="00DD761C" w:rsidRDefault="0059509E" w:rsidP="00702EF0">
            <w:pPr>
              <w:jc w:val="both"/>
              <w:rPr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1) Katlu mājas un termoelektrostacijas ar siltuma jaudu lielāku par 2 MW un/vai elektrisko jaudu lielāku par 2 MW</w:t>
            </w:r>
          </w:p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8">
        <w:rPr>
          <w:rFonts w:ascii="Times New Roman" w:hAnsi="Times New Roman" w:cs="Times New Roman"/>
          <w:sz w:val="24"/>
          <w:szCs w:val="24"/>
        </w:rPr>
        <w:t>Piezīmes.</w:t>
      </w:r>
    </w:p>
    <w:p w:rsidR="0059509E" w:rsidRPr="00120AC8" w:rsidRDefault="0059509E" w:rsidP="005950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8">
        <w:rPr>
          <w:rFonts w:ascii="Times New Roman" w:hAnsi="Times New Roman" w:cs="Times New Roman"/>
          <w:sz w:val="24"/>
          <w:szCs w:val="24"/>
        </w:rPr>
        <w:t>* - Lai noteiktu, vai ēka ir klasificējama pie konkrētās grupas ēkām, jāizpildās vienai no dotajām klasifikācijas pazīmēm</w:t>
      </w: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09E" w:rsidRPr="00120AC8" w:rsidRDefault="0059509E" w:rsidP="0059509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C8">
        <w:rPr>
          <w:rFonts w:ascii="Times New Roman" w:hAnsi="Times New Roman" w:cs="Times New Roman"/>
          <w:b/>
          <w:sz w:val="28"/>
          <w:szCs w:val="28"/>
        </w:rPr>
        <w:t>Inženierbūvju klasifikācija un iedalījums grupās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176"/>
        <w:gridCol w:w="5042"/>
        <w:gridCol w:w="1927"/>
        <w:gridCol w:w="4997"/>
      </w:tblGrid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Speciālie būvnoteikumi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 grupa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II grupa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8">
              <w:rPr>
                <w:rFonts w:ascii="Times New Roman" w:hAnsi="Times New Roman" w:cs="Times New Roman"/>
                <w:b/>
                <w:sz w:val="28"/>
                <w:szCs w:val="28"/>
              </w:rPr>
              <w:t>III grupa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lastRenderedPageBreak/>
              <w:t>1. Autoceļi un ielas (valsts un pašvaldību)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C15101" w:rsidRDefault="00B338C3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Māju ceļš viena īpašnieka zemes gabalā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Inženierbūves, kuras neietilpst 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1. vai 3.grupā</w:t>
            </w: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1) Automaģistrāles un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ātrsatiksmes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autoceļi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Tilti, viadukti un ceļu pārvadi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3) Tuneļi garāki par 100 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2. Dzelzceļa būves (valsts, pašvaldību un privātie)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Dzelzceļa gājēju pārejas un dzelzceļa tehnoloģiskās pārbrauktuves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1) Publiskās lietošanas dzelzceļi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Tilti, viadukti un ceļu pārvadi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3) Tuneļi garāki par 100 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3. Elektronisko sakaru būves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Inženiertīklu pievadi</w:t>
            </w:r>
          </w:p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1) Maģistrālās sakaru līnijas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Torņi augstāki par 100 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4. Enerģijas ražošanas, glabāšanas, pārvades un sadales būves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DD761C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1) Elektropārvades līnijas ar nominālo spriegumu līdz 20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, tajā skaitā elektroapgādes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sadalnes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(uzskaites,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relejaizsardzības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, kabeļu komutācijas u.c.) un komutācijas un aizsardzības iekārtas</w:t>
            </w:r>
          </w:p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2) Inženiertīklu pievadi </w:t>
            </w:r>
          </w:p>
          <w:p w:rsidR="0059509E" w:rsidRPr="00DD761C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59509E" w:rsidP="00B338C3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DD761C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1) Elektropārvades līnijas ar nominālo spriegumu 110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un augstāku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2) Transformatoru apakšstacijas ar augstāko spriegumu 110 </w:t>
            </w:r>
            <w:proofErr w:type="spellStart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un augstāku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DD761C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09E"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) Gāzes pārvades un uzglabāšanas sistēmas ar darba spiedienu virs 1,6 </w:t>
            </w:r>
            <w:proofErr w:type="spellStart"/>
            <w:r w:rsidR="0059509E" w:rsidRPr="00DD761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DD761C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09E"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) Spēkstaciju būves ar jaudu virs </w:t>
            </w: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09E" w:rsidRPr="00DD761C">
              <w:rPr>
                <w:rFonts w:ascii="Times New Roman" w:hAnsi="Times New Roman" w:cs="Times New Roman"/>
                <w:sz w:val="24"/>
                <w:szCs w:val="24"/>
              </w:rPr>
              <w:t xml:space="preserve"> kW, tai skaitā vēja elektrostacijas (vēja parki) 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DD761C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09E" w:rsidRPr="00DD761C">
              <w:rPr>
                <w:rFonts w:ascii="Times New Roman" w:hAnsi="Times New Roman" w:cs="Times New Roman"/>
                <w:sz w:val="24"/>
                <w:szCs w:val="24"/>
              </w:rPr>
              <w:t>) Dūmeņi virs 60 m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5. Hidrotehniskajām un meliorācijas būves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0A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1) Viena īpašnieka meliorācijas sistēm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vai atsevišķas būves, ierīces</w:t>
            </w:r>
          </w:p>
          <w:p w:rsidR="0059509E" w:rsidRPr="00120AC8" w:rsidRDefault="0059509E" w:rsidP="00702EF0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9509E" w:rsidRDefault="0059509E" w:rsidP="00702EF0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0A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2) Rakti dīķi ar virsmas laukumu vienas </w:t>
            </w:r>
          </w:p>
          <w:p w:rsidR="0059509E" w:rsidRPr="00141590" w:rsidRDefault="0059509E" w:rsidP="00702EF0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0A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zemes vienības </w:t>
            </w:r>
            <w:r w:rsidRPr="001415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robežās līdz 0,5 ha platībā</w:t>
            </w:r>
          </w:p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1) Ūdens noteces un līmeņu regulēšanas hidrotehniskās būves, ja aizsprosta augstums pārsniedz 15 metrus vai </w:t>
            </w:r>
            <w:proofErr w:type="spellStart"/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novadbūves</w:t>
            </w:r>
            <w:proofErr w:type="spellEnd"/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caurplūde </w:t>
            </w: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pārsniedz 500m</w:t>
            </w: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/s</w:t>
            </w:r>
          </w:p>
          <w:p w:rsidR="0059509E" w:rsidRPr="00120AC8" w:rsidRDefault="0059509E" w:rsidP="00702E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2) Ūdens resursu izmantošanas hidrotehniskās būves, ja hidroelektrostacijas projektētā jauda ir lielāka par 2 MW vai sūkņu stacijas ražīgums ir lielāks par 5 m</w:t>
            </w: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120A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/s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lastRenderedPageBreak/>
              <w:t>6. Ostu hidrotehniskās būves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Iekšējie ūdensceļi un ostas, kas paredzētas iekšzemes ūdenstransportam ar 1000 t un lielāku tilpību</w:t>
            </w: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7. Ar radiācijas drošību saistītās būves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Visām ar radiācijas drošību saistītām būvēm</w:t>
            </w: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8. Būves Latvijas Republikas teritoriālajos ūdeņos un ekskluzīvajā ekonomiskajā zonā</w:t>
            </w:r>
          </w:p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 xml:space="preserve">Visām </w:t>
            </w:r>
            <w:r w:rsidRPr="00120AC8">
              <w:rPr>
                <w:sz w:val="24"/>
                <w:szCs w:val="24"/>
              </w:rPr>
              <w:t xml:space="preserve">būvēm </w:t>
            </w:r>
            <w:r w:rsidRPr="00120AC8">
              <w:rPr>
                <w:color w:val="auto"/>
                <w:sz w:val="24"/>
                <w:szCs w:val="24"/>
              </w:rPr>
              <w:t xml:space="preserve"> Latvijas Republikas teritoriālajos ūdeņos un ekskluzīvajā ekonomiskajā zonā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9E" w:rsidRPr="00120AC8" w:rsidTr="00702EF0">
        <w:tc>
          <w:tcPr>
            <w:tcW w:w="2036" w:type="dxa"/>
            <w:shd w:val="clear" w:color="auto" w:fill="auto"/>
          </w:tcPr>
          <w:p w:rsidR="0059509E" w:rsidRPr="00120AC8" w:rsidRDefault="0059509E" w:rsidP="00702EF0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20AC8">
              <w:rPr>
                <w:color w:val="auto"/>
                <w:sz w:val="24"/>
                <w:szCs w:val="24"/>
              </w:rPr>
              <w:t>9. Citas, atsevišķi neklasificētas, inženierbūves</w:t>
            </w:r>
          </w:p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1) Publiskās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ārtelpas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*  atsevišķie labiekārtojuma elementi – soliņi, bērnu rotaļu ierīces, sporta aprīkojuma, atsevišķās laternas un apgaismes ķermeņi, karogu masti, velosipēdu statīvi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u.tml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9E" w:rsidRPr="00120AC8" w:rsidRDefault="0059509E" w:rsidP="00702EF0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Stacionārie reklāmas un informācijas stendi ar augstumu līdz 2,5 m un citi tiem pielīdzināmi objekti, tai skaitā ielu norāžu stabi līdz 4 m (bez elektrības pieslēguma)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Žogi 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un mūri viena zemes gabala robežās</w:t>
            </w:r>
          </w:p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 Ārpus pilsētu un ciemu teritorijas labiekārtoti (betona, šķembu u.c.) laukumi līdz </w:t>
            </w:r>
            <w:r w:rsidR="0014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0m</w:t>
            </w:r>
            <w:r w:rsidRPr="00120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lauksaimnieciskās ražošanas vajadzībām;</w:t>
            </w:r>
          </w:p>
          <w:p w:rsidR="0059509E" w:rsidRPr="00120AC8" w:rsidRDefault="0059509E" w:rsidP="00702EF0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Inženiertīklu pievadi</w:t>
            </w:r>
          </w:p>
          <w:p w:rsidR="0059509E" w:rsidRPr="00120AC8" w:rsidRDefault="0059509E" w:rsidP="00702EF0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9509E" w:rsidRPr="00120AC8" w:rsidRDefault="0059509E" w:rsidP="0070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1) Rūpnieciskās ražošanas būve (ieguves rūpniecības vai </w:t>
            </w:r>
            <w:proofErr w:type="spellStart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iežieguves</w:t>
            </w:r>
            <w:proofErr w:type="spellEnd"/>
            <w:r w:rsidRPr="00120AC8">
              <w:rPr>
                <w:rFonts w:ascii="Times New Roman" w:hAnsi="Times New Roman" w:cs="Times New Roman"/>
                <w:sz w:val="24"/>
                <w:szCs w:val="24"/>
              </w:rPr>
              <w:t xml:space="preserve"> būves, ķīmiskās ražošanas būves, smagās rūpniecības uzņēmumu būves)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2) Visa veida estrādes, atklātie sporta laukumi un baseini ar tribīnēm, kuras paredzētas vairāk nekā 100 cilvēkiem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1C">
              <w:rPr>
                <w:rFonts w:ascii="Times New Roman" w:hAnsi="Times New Roman" w:cs="Times New Roman"/>
                <w:sz w:val="24"/>
                <w:szCs w:val="24"/>
              </w:rPr>
              <w:t>3) Visa veida maģistrālie cauruļvadi un to pārvades estakādes</w:t>
            </w:r>
          </w:p>
          <w:p w:rsidR="0059509E" w:rsidRPr="00DD761C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Notekūdeņu attīrīšanas ietaises ar jaudu virs 200 m</w:t>
            </w:r>
            <w:r w:rsidRPr="00120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Kanalizācijas notekūdeņu pārsūknēšanas stacijas ar jaudu virs 200 m</w:t>
            </w:r>
            <w:r w:rsidRPr="00120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Ūdens un kanalizācijas maģistrāles ar diametru no 1000 mm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Ūdens attīrīšanas ietaises ar jaudu virs 200 m</w:t>
            </w:r>
            <w:r w:rsidRPr="00120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Lidlauku skrejceļi, kas ir garāki par 2,0 km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AC8">
              <w:rPr>
                <w:rFonts w:ascii="Times New Roman" w:hAnsi="Times New Roman" w:cs="Times New Roman"/>
                <w:sz w:val="24"/>
                <w:szCs w:val="24"/>
              </w:rPr>
              <w:t>) Torņi augstāki par 100 m</w:t>
            </w:r>
          </w:p>
          <w:p w:rsidR="0059509E" w:rsidRPr="00120AC8" w:rsidRDefault="0059509E" w:rsidP="0070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8">
        <w:rPr>
          <w:rFonts w:ascii="Times New Roman" w:hAnsi="Times New Roman" w:cs="Times New Roman"/>
          <w:sz w:val="24"/>
          <w:szCs w:val="24"/>
        </w:rPr>
        <w:t>Piezīmes.</w:t>
      </w:r>
    </w:p>
    <w:p w:rsidR="0059509E" w:rsidRPr="00120AC8" w:rsidRDefault="0059509E" w:rsidP="005950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8">
        <w:rPr>
          <w:rFonts w:ascii="Times New Roman" w:hAnsi="Times New Roman" w:cs="Times New Roman"/>
          <w:sz w:val="24"/>
          <w:szCs w:val="24"/>
        </w:rPr>
        <w:t>Tabulā ir dots atbilstoši būvju grupām inženierbūvju uzskatījums, kas ir jāņem vērā piemērojot speciālajos būvnoteikumos noteikto būvniecības procesu.</w:t>
      </w:r>
    </w:p>
    <w:p w:rsidR="0059509E" w:rsidRPr="00120AC8" w:rsidRDefault="0059509E" w:rsidP="005950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9E" w:rsidRPr="00120AC8" w:rsidRDefault="0059509E" w:rsidP="0059509E">
      <w:pPr>
        <w:pStyle w:val="ListParagraph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AC8">
        <w:rPr>
          <w:rFonts w:ascii="Times New Roman" w:hAnsi="Times New Roman" w:cs="Times New Roman"/>
          <w:sz w:val="24"/>
          <w:szCs w:val="24"/>
        </w:rPr>
        <w:t xml:space="preserve">* - Atsevišķu labiekārtojuma elementu izvietošana </w:t>
      </w:r>
      <w:proofErr w:type="spellStart"/>
      <w:r w:rsidRPr="00120AC8">
        <w:rPr>
          <w:rFonts w:ascii="Times New Roman" w:hAnsi="Times New Roman" w:cs="Times New Roman"/>
          <w:sz w:val="24"/>
          <w:szCs w:val="24"/>
        </w:rPr>
        <w:t>ārtelpā</w:t>
      </w:r>
      <w:proofErr w:type="spellEnd"/>
      <w:r w:rsidRPr="00120AC8">
        <w:rPr>
          <w:rFonts w:ascii="Times New Roman" w:hAnsi="Times New Roman" w:cs="Times New Roman"/>
          <w:sz w:val="24"/>
          <w:szCs w:val="24"/>
        </w:rPr>
        <w:t xml:space="preserve">, kura atbilstoši teritorijas attīstības plānošanas jomas normatīvajiem aktiem netiek noteikta kā „publiskā </w:t>
      </w:r>
      <w:proofErr w:type="spellStart"/>
      <w:r w:rsidRPr="00120AC8">
        <w:rPr>
          <w:rFonts w:ascii="Times New Roman" w:hAnsi="Times New Roman" w:cs="Times New Roman"/>
          <w:sz w:val="24"/>
          <w:szCs w:val="24"/>
        </w:rPr>
        <w:t>ārtelpa</w:t>
      </w:r>
      <w:proofErr w:type="spellEnd"/>
      <w:r w:rsidRPr="00120AC8">
        <w:rPr>
          <w:rFonts w:ascii="Times New Roman" w:hAnsi="Times New Roman" w:cs="Times New Roman"/>
          <w:sz w:val="24"/>
          <w:szCs w:val="24"/>
        </w:rPr>
        <w:t>” vai „publiskiem mērķiem paredzēta teritorija” un neatrodas pilsētbūvniecības pieminekļa teritorijā un tā aizsardzības zonā, netiek regulēta.</w:t>
      </w: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9E" w:rsidRPr="00120AC8" w:rsidRDefault="0059509E" w:rsidP="005950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0AC8">
        <w:rPr>
          <w:rFonts w:ascii="Times New Roman" w:hAnsi="Times New Roman"/>
          <w:bCs/>
          <w:sz w:val="28"/>
          <w:szCs w:val="28"/>
        </w:rPr>
        <w:t xml:space="preserve">Ekonomikas ministrs </w:t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  <w:t xml:space="preserve">         </w:t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r w:rsidRPr="00120AC8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120AC8">
        <w:rPr>
          <w:rFonts w:ascii="Times New Roman" w:hAnsi="Times New Roman"/>
          <w:bCs/>
          <w:sz w:val="28"/>
          <w:szCs w:val="28"/>
        </w:rPr>
        <w:t>V.Dombrovskis</w:t>
      </w:r>
      <w:proofErr w:type="spellEnd"/>
      <w:r w:rsidRPr="00120AC8">
        <w:rPr>
          <w:rFonts w:ascii="Times New Roman" w:hAnsi="Times New Roman"/>
          <w:bCs/>
          <w:sz w:val="28"/>
          <w:szCs w:val="28"/>
        </w:rPr>
        <w:t xml:space="preserve"> </w:t>
      </w:r>
    </w:p>
    <w:p w:rsidR="0059509E" w:rsidRPr="00120AC8" w:rsidRDefault="0059509E" w:rsidP="0059509E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59509E" w:rsidRPr="00120AC8" w:rsidRDefault="00777A39" w:rsidP="0059509E">
      <w:pPr>
        <w:tabs>
          <w:tab w:val="left" w:pos="6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B2411E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.03.</w:t>
      </w:r>
      <w:r w:rsidR="0059509E" w:rsidRPr="00120AC8">
        <w:rPr>
          <w:rFonts w:ascii="Times New Roman" w:hAnsi="Times New Roman" w:cs="Times New Roman"/>
          <w:sz w:val="16"/>
          <w:szCs w:val="16"/>
        </w:rPr>
        <w:t>2014.</w:t>
      </w:r>
      <w:r w:rsidR="0059509E" w:rsidRPr="00120AC8">
        <w:rPr>
          <w:rFonts w:ascii="Times New Roman" w:hAnsi="Times New Roman" w:cs="Times New Roman"/>
          <w:sz w:val="16"/>
          <w:szCs w:val="16"/>
        </w:rPr>
        <w:tab/>
      </w:r>
    </w:p>
    <w:p w:rsidR="0059509E" w:rsidRPr="00120AC8" w:rsidRDefault="002E09B8" w:rsidP="0059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B2411E" w:rsidRPr="00B2411E">
        <w:rPr>
          <w:rFonts w:ascii="Times New Roman" w:hAnsi="Times New Roman" w:cs="Times New Roman"/>
          <w:noProof/>
          <w:sz w:val="16"/>
          <w:szCs w:val="16"/>
        </w:rPr>
        <w:t>838</w:t>
      </w:r>
      <w:r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59509E" w:rsidRPr="00120AC8" w:rsidRDefault="0059509E" w:rsidP="0059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0AC8">
        <w:rPr>
          <w:rFonts w:ascii="Times New Roman" w:hAnsi="Times New Roman" w:cs="Times New Roman"/>
          <w:sz w:val="16"/>
          <w:szCs w:val="16"/>
        </w:rPr>
        <w:t>E.Bučinska,</w:t>
      </w:r>
    </w:p>
    <w:p w:rsidR="0059509E" w:rsidRPr="00120AC8" w:rsidRDefault="0059509E" w:rsidP="005950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20AC8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8" w:history="1">
        <w:r w:rsidRPr="00120AC8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Elga.Bucinska@em.gov.lv</w:t>
        </w:r>
      </w:hyperlink>
      <w:r w:rsidRPr="00120AC8">
        <w:rPr>
          <w:rFonts w:ascii="Times New Roman" w:hAnsi="Times New Roman"/>
          <w:sz w:val="16"/>
          <w:szCs w:val="16"/>
        </w:rPr>
        <w:t xml:space="preserve"> </w:t>
      </w:r>
    </w:p>
    <w:p w:rsidR="00DD6FA7" w:rsidRDefault="00DD6FA7">
      <w:bookmarkStart w:id="0" w:name="_GoBack"/>
      <w:bookmarkEnd w:id="0"/>
    </w:p>
    <w:sectPr w:rsidR="00DD6FA7" w:rsidSect="00F7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8" w:rsidRDefault="002E09B8" w:rsidP="00777A39">
      <w:pPr>
        <w:spacing w:after="0" w:line="240" w:lineRule="auto"/>
      </w:pPr>
      <w:r>
        <w:separator/>
      </w:r>
    </w:p>
  </w:endnote>
  <w:endnote w:type="continuationSeparator" w:id="0">
    <w:p w:rsidR="002E09B8" w:rsidRDefault="002E09B8" w:rsidP="0077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56" w:rsidRDefault="00745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9" w:rsidRPr="00F758A9" w:rsidRDefault="002E09B8">
    <w:pPr>
      <w:pStyle w:val="Footer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45B56" w:rsidRPr="00745B56">
      <w:rPr>
        <w:rFonts w:ascii="Times New Roman" w:hAnsi="Times New Roman" w:cs="Times New Roman"/>
        <w:noProof/>
        <w:sz w:val="20"/>
        <w:szCs w:val="20"/>
      </w:rPr>
      <w:t>EMnotp1_270314_VBN_Buvjugrupas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8A1C50" w:rsidRPr="00F758A9">
      <w:rPr>
        <w:rFonts w:ascii="Times New Roman" w:hAnsi="Times New Roman" w:cs="Times New Roman"/>
        <w:sz w:val="20"/>
        <w:szCs w:val="20"/>
      </w:rPr>
      <w:t>; Noteikumu projekta „Vispārīgie būvnoteikumi” 1.pielikums „Būvju grupas”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9" w:rsidRPr="00F758A9" w:rsidRDefault="002E09B8" w:rsidP="00F758A9">
    <w:pPr>
      <w:pStyle w:val="Footer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45B56" w:rsidRPr="00745B56">
      <w:rPr>
        <w:rFonts w:ascii="Times New Roman" w:hAnsi="Times New Roman" w:cs="Times New Roman"/>
        <w:noProof/>
        <w:sz w:val="20"/>
        <w:szCs w:val="20"/>
      </w:rPr>
      <w:t>EMnotp1_270314_VBN_Buvjugrupas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8A1C50" w:rsidRPr="00F758A9">
      <w:rPr>
        <w:rFonts w:ascii="Times New Roman" w:hAnsi="Times New Roman" w:cs="Times New Roman"/>
        <w:sz w:val="20"/>
        <w:szCs w:val="20"/>
      </w:rPr>
      <w:t>; Noteikumu projekta „Vispārīgie būvnoteikumi” 1.pielikums „Būvju grupas”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8" w:rsidRDefault="002E09B8" w:rsidP="00777A39">
      <w:pPr>
        <w:spacing w:after="0" w:line="240" w:lineRule="auto"/>
      </w:pPr>
      <w:r>
        <w:separator/>
      </w:r>
    </w:p>
  </w:footnote>
  <w:footnote w:type="continuationSeparator" w:id="0">
    <w:p w:rsidR="002E09B8" w:rsidRDefault="002E09B8" w:rsidP="0077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56" w:rsidRDefault="00745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6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8A9" w:rsidRDefault="00864CFF">
        <w:pPr>
          <w:pStyle w:val="Header"/>
          <w:jc w:val="center"/>
        </w:pPr>
        <w:r>
          <w:fldChar w:fldCharType="begin"/>
        </w:r>
        <w:r w:rsidR="008A1C50">
          <w:instrText xml:space="preserve"> PAGE   \* MERGEFORMAT </w:instrText>
        </w:r>
        <w:r>
          <w:fldChar w:fldCharType="separate"/>
        </w:r>
        <w:r w:rsidR="00B24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8A9" w:rsidRDefault="002E0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56" w:rsidRDefault="00745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786"/>
    <w:multiLevelType w:val="hybridMultilevel"/>
    <w:tmpl w:val="58DC8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053"/>
    <w:multiLevelType w:val="hybridMultilevel"/>
    <w:tmpl w:val="BF4A2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9E"/>
    <w:rsid w:val="00141590"/>
    <w:rsid w:val="002E09B8"/>
    <w:rsid w:val="004D6E3A"/>
    <w:rsid w:val="0059509E"/>
    <w:rsid w:val="00745B56"/>
    <w:rsid w:val="00777A39"/>
    <w:rsid w:val="007A2EB1"/>
    <w:rsid w:val="00864CFF"/>
    <w:rsid w:val="008A1C50"/>
    <w:rsid w:val="0093699A"/>
    <w:rsid w:val="00AF1BB4"/>
    <w:rsid w:val="00B2411E"/>
    <w:rsid w:val="00B338C3"/>
    <w:rsid w:val="00C6349B"/>
    <w:rsid w:val="00DD6FA7"/>
    <w:rsid w:val="00DD761C"/>
    <w:rsid w:val="00E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9E"/>
  </w:style>
  <w:style w:type="paragraph" w:styleId="Footer">
    <w:name w:val="footer"/>
    <w:basedOn w:val="Normal"/>
    <w:link w:val="FooterChar"/>
    <w:uiPriority w:val="99"/>
    <w:unhideWhenUsed/>
    <w:rsid w:val="0059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9E"/>
  </w:style>
  <w:style w:type="paragraph" w:customStyle="1" w:styleId="tv2131">
    <w:name w:val="tv2131"/>
    <w:basedOn w:val="Normal"/>
    <w:rsid w:val="0059509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9E"/>
  </w:style>
  <w:style w:type="paragraph" w:styleId="Footer">
    <w:name w:val="footer"/>
    <w:basedOn w:val="Normal"/>
    <w:link w:val="FooterChar"/>
    <w:uiPriority w:val="99"/>
    <w:unhideWhenUsed/>
    <w:rsid w:val="0059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9E"/>
  </w:style>
  <w:style w:type="paragraph" w:customStyle="1" w:styleId="tv2131">
    <w:name w:val="tv2131"/>
    <w:basedOn w:val="Normal"/>
    <w:rsid w:val="0059509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870</Words>
  <Characters>5389</Characters>
  <Application>Microsoft Office Word</Application>
  <DocSecurity>0</DocSecurity>
  <Lines>299</Lines>
  <Paragraphs>118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10</cp:revision>
  <dcterms:created xsi:type="dcterms:W3CDTF">2014-03-24T09:40:00Z</dcterms:created>
  <dcterms:modified xsi:type="dcterms:W3CDTF">2014-03-28T11:41:00Z</dcterms:modified>
</cp:coreProperties>
</file>