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042" w:rsidRPr="007C0F2C" w:rsidRDefault="00852042" w:rsidP="00214094">
      <w:pPr>
        <w:pStyle w:val="naislab"/>
        <w:spacing w:before="0" w:after="0"/>
        <w:rPr>
          <w:sz w:val="28"/>
          <w:szCs w:val="28"/>
        </w:rPr>
      </w:pPr>
    </w:p>
    <w:p w:rsidR="001D7CDA" w:rsidRPr="00737C0F" w:rsidRDefault="001D7CDA" w:rsidP="001D7CDA">
      <w:pPr>
        <w:jc w:val="center"/>
        <w:rPr>
          <w:b/>
          <w:sz w:val="28"/>
          <w:szCs w:val="28"/>
        </w:rPr>
      </w:pPr>
      <w:bookmarkStart w:id="0" w:name="OLE_LINK6"/>
      <w:bookmarkStart w:id="1" w:name="OLE_LINK7"/>
      <w:bookmarkStart w:id="2" w:name="OLE_LINK10"/>
      <w:r w:rsidRPr="00737C0F">
        <w:rPr>
          <w:b/>
          <w:sz w:val="28"/>
          <w:szCs w:val="28"/>
        </w:rPr>
        <w:t>Ministru kabineta noteikumu projekta „</w:t>
      </w:r>
      <w:bookmarkStart w:id="3" w:name="OLE_LINK1"/>
      <w:bookmarkStart w:id="4" w:name="OLE_LINK2"/>
      <w:bookmarkStart w:id="5" w:name="OLE_LINK3"/>
      <w:r w:rsidR="004027BF" w:rsidRPr="00737C0F">
        <w:rPr>
          <w:b/>
          <w:bCs/>
          <w:sz w:val="28"/>
          <w:szCs w:val="28"/>
        </w:rPr>
        <w:t>Noteikumi par speciālo</w:t>
      </w:r>
      <w:r w:rsidRPr="00737C0F">
        <w:rPr>
          <w:b/>
          <w:bCs/>
          <w:sz w:val="28"/>
          <w:szCs w:val="28"/>
        </w:rPr>
        <w:t xml:space="preserve"> zināšanu </w:t>
      </w:r>
      <w:r w:rsidR="004550DD" w:rsidRPr="00737C0F">
        <w:rPr>
          <w:b/>
          <w:bCs/>
          <w:sz w:val="28"/>
          <w:szCs w:val="28"/>
        </w:rPr>
        <w:t>bērnu tiesību aizsardzības jomā</w:t>
      </w:r>
      <w:r w:rsidRPr="00737C0F">
        <w:rPr>
          <w:b/>
          <w:bCs/>
          <w:sz w:val="28"/>
          <w:szCs w:val="28"/>
        </w:rPr>
        <w:t xml:space="preserve"> apguves kārtību, šo zināšanu saturu un apjomu</w:t>
      </w:r>
      <w:r w:rsidRPr="00737C0F">
        <w:rPr>
          <w:b/>
          <w:sz w:val="28"/>
          <w:szCs w:val="28"/>
        </w:rPr>
        <w:t>”</w:t>
      </w:r>
      <w:bookmarkEnd w:id="3"/>
      <w:bookmarkEnd w:id="4"/>
      <w:bookmarkEnd w:id="5"/>
      <w:r w:rsidRPr="00737C0F">
        <w:rPr>
          <w:b/>
          <w:sz w:val="28"/>
          <w:szCs w:val="28"/>
        </w:rPr>
        <w:t xml:space="preserve"> </w:t>
      </w:r>
      <w:bookmarkEnd w:id="0"/>
      <w:bookmarkEnd w:id="1"/>
      <w:bookmarkEnd w:id="2"/>
      <w:r w:rsidRPr="00737C0F">
        <w:rPr>
          <w:b/>
          <w:sz w:val="28"/>
          <w:szCs w:val="28"/>
        </w:rPr>
        <w:t xml:space="preserve">sākotnējās ietekmes novērtējuma </w:t>
      </w:r>
      <w:smartTag w:uri="schemas-tilde-lv/tildestengine" w:element="veidnes">
        <w:smartTagPr>
          <w:attr w:name="text" w:val="ziņojums"/>
          <w:attr w:name="id" w:val="-1"/>
          <w:attr w:name="baseform" w:val="ziņojum|s"/>
        </w:smartTagPr>
        <w:r w:rsidRPr="00737C0F">
          <w:rPr>
            <w:b/>
            <w:sz w:val="28"/>
            <w:szCs w:val="28"/>
          </w:rPr>
          <w:t>ziņojums</w:t>
        </w:r>
      </w:smartTag>
      <w:r w:rsidRPr="00737C0F">
        <w:rPr>
          <w:b/>
          <w:sz w:val="28"/>
          <w:szCs w:val="28"/>
        </w:rPr>
        <w:t xml:space="preserve">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2432"/>
        <w:gridCol w:w="6743"/>
      </w:tblGrid>
      <w:tr w:rsidR="00852042" w:rsidRPr="00737C0F">
        <w:tc>
          <w:tcPr>
            <w:tcW w:w="9725" w:type="dxa"/>
            <w:gridSpan w:val="3"/>
            <w:vAlign w:val="center"/>
          </w:tcPr>
          <w:p w:rsidR="00852042" w:rsidRPr="00737C0F" w:rsidRDefault="00852042" w:rsidP="006C4607">
            <w:pPr>
              <w:pStyle w:val="naisnod"/>
              <w:spacing w:before="0" w:after="0"/>
            </w:pPr>
            <w:r w:rsidRPr="00737C0F">
              <w:t>I</w:t>
            </w:r>
            <w:r w:rsidR="000941C5" w:rsidRPr="00737C0F">
              <w:t>.</w:t>
            </w:r>
            <w:r w:rsidRPr="00737C0F">
              <w:t xml:space="preserve"> Tiesību akta </w:t>
            </w:r>
            <w:r w:rsidR="002E3FF4" w:rsidRPr="00737C0F">
              <w:t xml:space="preserve">projekta </w:t>
            </w:r>
            <w:r w:rsidRPr="00737C0F">
              <w:t>izstrādes nepieciešamība</w:t>
            </w:r>
          </w:p>
        </w:tc>
      </w:tr>
      <w:tr w:rsidR="00262E2B" w:rsidRPr="00737C0F" w:rsidTr="009565A5">
        <w:trPr>
          <w:trHeight w:val="630"/>
        </w:trPr>
        <w:tc>
          <w:tcPr>
            <w:tcW w:w="550" w:type="dxa"/>
          </w:tcPr>
          <w:p w:rsidR="00262E2B" w:rsidRPr="00737C0F" w:rsidRDefault="00262E2B" w:rsidP="006C4607">
            <w:pPr>
              <w:pStyle w:val="naiskr"/>
              <w:spacing w:before="0" w:after="0"/>
              <w:rPr>
                <w:sz w:val="22"/>
                <w:szCs w:val="22"/>
              </w:rPr>
            </w:pPr>
            <w:r w:rsidRPr="00737C0F">
              <w:rPr>
                <w:sz w:val="22"/>
                <w:szCs w:val="22"/>
              </w:rPr>
              <w:t>1.</w:t>
            </w:r>
          </w:p>
        </w:tc>
        <w:tc>
          <w:tcPr>
            <w:tcW w:w="2432" w:type="dxa"/>
          </w:tcPr>
          <w:p w:rsidR="00262E2B" w:rsidRPr="00737C0F" w:rsidRDefault="002D7F54" w:rsidP="006C4607">
            <w:pPr>
              <w:pStyle w:val="naiskr"/>
              <w:spacing w:before="0" w:after="0"/>
              <w:ind w:hanging="10"/>
              <w:rPr>
                <w:sz w:val="22"/>
                <w:szCs w:val="22"/>
              </w:rPr>
            </w:pPr>
            <w:r w:rsidRPr="00737C0F">
              <w:rPr>
                <w:sz w:val="22"/>
                <w:szCs w:val="22"/>
              </w:rPr>
              <w:t>Pamatojums</w:t>
            </w:r>
          </w:p>
        </w:tc>
        <w:tc>
          <w:tcPr>
            <w:tcW w:w="6743" w:type="dxa"/>
          </w:tcPr>
          <w:p w:rsidR="00FB1CD7" w:rsidRPr="00737C0F" w:rsidRDefault="00FB1CD7" w:rsidP="004737C9">
            <w:pPr>
              <w:pStyle w:val="naiskr"/>
              <w:spacing w:before="0" w:after="0"/>
              <w:ind w:hanging="5"/>
              <w:jc w:val="both"/>
              <w:rPr>
                <w:szCs w:val="22"/>
              </w:rPr>
            </w:pPr>
            <w:r w:rsidRPr="00737C0F">
              <w:rPr>
                <w:szCs w:val="22"/>
              </w:rPr>
              <w:t>2013.gada 4.jūlijā spēkā stājušies grozījumi Bērnu tiesību aizsardzības likumā</w:t>
            </w:r>
            <w:r w:rsidR="000D59EE" w:rsidRPr="00737C0F">
              <w:rPr>
                <w:szCs w:val="22"/>
              </w:rPr>
              <w:t xml:space="preserve">, tostarp tika grozīts </w:t>
            </w:r>
            <w:r w:rsidR="000C776B" w:rsidRPr="00737C0F">
              <w:rPr>
                <w:szCs w:val="22"/>
              </w:rPr>
              <w:t>likuma pants, uz kura pamata tika izdoti Ministru kabineta 2005.gada 27.septembra noteikumi Nr.729 „Noteikumi par speciālu zināšanu apguves kārtību bērnu tiesību aizsardzības jomā un šo zināšanu saturu”</w:t>
            </w:r>
            <w:r w:rsidR="00027DFA" w:rsidRPr="00737C0F">
              <w:rPr>
                <w:szCs w:val="22"/>
              </w:rPr>
              <w:t xml:space="preserve"> (turpmāk – MK noteikumi Nr. 729)</w:t>
            </w:r>
            <w:r w:rsidR="000C776B" w:rsidRPr="00737C0F">
              <w:rPr>
                <w:szCs w:val="22"/>
              </w:rPr>
              <w:t>. Bērnu tiesību aizsardzības likums tika papildināts ar jaunu</w:t>
            </w:r>
            <w:r w:rsidRPr="00737C0F">
              <w:rPr>
                <w:szCs w:val="22"/>
              </w:rPr>
              <w:t xml:space="preserve"> 5</w:t>
            </w:r>
            <w:r w:rsidRPr="00737C0F">
              <w:rPr>
                <w:szCs w:val="22"/>
                <w:vertAlign w:val="superscript"/>
              </w:rPr>
              <w:t>1</w:t>
            </w:r>
            <w:r w:rsidR="000C776B" w:rsidRPr="00737C0F">
              <w:rPr>
                <w:szCs w:val="22"/>
              </w:rPr>
              <w:t>.pantu, kurā</w:t>
            </w:r>
            <w:r w:rsidRPr="00737C0F">
              <w:rPr>
                <w:szCs w:val="22"/>
              </w:rPr>
              <w:t xml:space="preserve"> </w:t>
            </w:r>
            <w:r w:rsidR="000C776B" w:rsidRPr="00737C0F">
              <w:rPr>
                <w:szCs w:val="22"/>
              </w:rPr>
              <w:t xml:space="preserve">tika </w:t>
            </w:r>
            <w:r w:rsidRPr="00737C0F">
              <w:rPr>
                <w:szCs w:val="22"/>
              </w:rPr>
              <w:t>definēt</w:t>
            </w:r>
            <w:r w:rsidR="000C776B" w:rsidRPr="00737C0F">
              <w:rPr>
                <w:szCs w:val="22"/>
              </w:rPr>
              <w:t>i</w:t>
            </w:r>
            <w:r w:rsidRPr="00737C0F">
              <w:rPr>
                <w:szCs w:val="22"/>
              </w:rPr>
              <w:t xml:space="preserve"> s</w:t>
            </w:r>
            <w:r w:rsidR="000C776B" w:rsidRPr="00737C0F">
              <w:rPr>
                <w:bCs/>
                <w:szCs w:val="22"/>
              </w:rPr>
              <w:t>ubjekti</w:t>
            </w:r>
            <w:r w:rsidRPr="00737C0F">
              <w:rPr>
                <w:bCs/>
                <w:szCs w:val="22"/>
              </w:rPr>
              <w:t>, kuriem nepieciešamas speciāl</w:t>
            </w:r>
            <w:r w:rsidR="004027BF" w:rsidRPr="00737C0F">
              <w:rPr>
                <w:bCs/>
                <w:szCs w:val="22"/>
              </w:rPr>
              <w:t>ā</w:t>
            </w:r>
            <w:r w:rsidRPr="00737C0F">
              <w:rPr>
                <w:bCs/>
                <w:szCs w:val="22"/>
              </w:rPr>
              <w:t xml:space="preserve">s zināšanas bērnu tiesību </w:t>
            </w:r>
            <w:r w:rsidR="000C776B" w:rsidRPr="00737C0F">
              <w:rPr>
                <w:bCs/>
                <w:szCs w:val="22"/>
              </w:rPr>
              <w:t>aizsardzības jomā, kā arī noteikts</w:t>
            </w:r>
            <w:r w:rsidRPr="00737C0F">
              <w:rPr>
                <w:bCs/>
                <w:szCs w:val="22"/>
              </w:rPr>
              <w:t>, ka k</w:t>
            </w:r>
            <w:r w:rsidRPr="00737C0F">
              <w:rPr>
                <w:szCs w:val="22"/>
              </w:rPr>
              <w:t>ārtību, kādā apgūstamas speciāl</w:t>
            </w:r>
            <w:r w:rsidR="004027BF" w:rsidRPr="00737C0F">
              <w:rPr>
                <w:szCs w:val="22"/>
              </w:rPr>
              <w:t>ā</w:t>
            </w:r>
            <w:r w:rsidRPr="00737C0F">
              <w:rPr>
                <w:szCs w:val="22"/>
              </w:rPr>
              <w:t>s zināšanas bērnu tiesību aizsardzības jomā, kā arī šo zināšanu saturu un apjomu nosaka Ministru kabinets.</w:t>
            </w:r>
            <w:r w:rsidR="001076D7" w:rsidRPr="00737C0F">
              <w:rPr>
                <w:szCs w:val="22"/>
              </w:rPr>
              <w:t xml:space="preserve"> </w:t>
            </w:r>
            <w:r w:rsidRPr="00737C0F">
              <w:rPr>
                <w:szCs w:val="22"/>
              </w:rPr>
              <w:t xml:space="preserve">Līdz ar šiem grozījumiem spēku zaudēja </w:t>
            </w:r>
            <w:r w:rsidR="00027DFA" w:rsidRPr="00737C0F">
              <w:rPr>
                <w:szCs w:val="22"/>
              </w:rPr>
              <w:t>MK noteikumi Nr. 729</w:t>
            </w:r>
            <w:r w:rsidRPr="00737C0F">
              <w:rPr>
                <w:szCs w:val="22"/>
              </w:rPr>
              <w:t xml:space="preserve">. </w:t>
            </w:r>
          </w:p>
          <w:p w:rsidR="000D601D" w:rsidRPr="00737C0F" w:rsidRDefault="002B6599" w:rsidP="004737C9">
            <w:pPr>
              <w:pStyle w:val="naiskr"/>
              <w:spacing w:before="0" w:after="0"/>
              <w:ind w:hanging="5"/>
              <w:jc w:val="both"/>
              <w:rPr>
                <w:szCs w:val="22"/>
              </w:rPr>
            </w:pPr>
            <w:r w:rsidRPr="00737C0F">
              <w:rPr>
                <w:szCs w:val="22"/>
              </w:rPr>
              <w:t>2014.gada 6.martā Saeima 3.lasījumā atbalstīja grozījumus Bērnu tiesību aizsardzības likuma 5</w:t>
            </w:r>
            <w:r w:rsidRPr="00737C0F">
              <w:rPr>
                <w:szCs w:val="22"/>
                <w:vertAlign w:val="superscript"/>
              </w:rPr>
              <w:t>1</w:t>
            </w:r>
            <w:r w:rsidRPr="00737C0F">
              <w:rPr>
                <w:szCs w:val="22"/>
              </w:rPr>
              <w:t>.pantā, lai ieviestu Eiropas Parlamenta un Padomes Direktīva 2011/93/ES par seksuālas vardarbības pret bērniem, bērnu seksuālas izmantošanas un bērnu pornogrāfijas apkarošanu, un ar kuru aizstāj Padomes Pamatlēmumu 2004/68/TI.</w:t>
            </w:r>
            <w:r w:rsidR="000D601D" w:rsidRPr="00737C0F">
              <w:t xml:space="preserve"> </w:t>
            </w:r>
            <w:r w:rsidR="000D601D" w:rsidRPr="00737C0F">
              <w:rPr>
                <w:szCs w:val="22"/>
              </w:rPr>
              <w:t>Bērnu tiesību aizsardzības likuma 5</w:t>
            </w:r>
            <w:r w:rsidR="000D601D" w:rsidRPr="00737C0F">
              <w:rPr>
                <w:szCs w:val="22"/>
                <w:vertAlign w:val="superscript"/>
              </w:rPr>
              <w:t>1</w:t>
            </w:r>
            <w:r w:rsidR="000D601D" w:rsidRPr="00737C0F">
              <w:rPr>
                <w:szCs w:val="22"/>
              </w:rPr>
              <w:t xml:space="preserve">.pants papildināts ar pirmo </w:t>
            </w:r>
            <w:proofErr w:type="spellStart"/>
            <w:r w:rsidR="000D601D" w:rsidRPr="00737C0F">
              <w:rPr>
                <w:szCs w:val="22"/>
              </w:rPr>
              <w:t>prim</w:t>
            </w:r>
            <w:proofErr w:type="spellEnd"/>
            <w:r w:rsidR="000D601D" w:rsidRPr="00737C0F">
              <w:rPr>
                <w:szCs w:val="22"/>
              </w:rPr>
              <w:t xml:space="preserve"> daļu, nosakot, ka lai ieslodzījuma vietu darbinieki, kuri strādā ar nepilngadīgajiem, tiesneši, prokurori, Valsts policijas amatpersonas, kuras strādā ar bērniem, un advokāti apgūtu speciālās zināšanas bērnu tiesību aizsardzības jomā, tajā skaitā par saskarsmi ar nepilngadīgo kriminālprocesa laikā, Valsts bērnu tiesību aizsardzības inspekcija organizē mācības atbilstoši likumā par valsts budžetu kārtējam gadam piešķirtajiem līdzekļiem</w:t>
            </w:r>
            <w:r w:rsidR="00E45AE7" w:rsidRPr="00737C0F">
              <w:rPr>
                <w:szCs w:val="22"/>
              </w:rPr>
              <w:t>.</w:t>
            </w:r>
          </w:p>
          <w:p w:rsidR="000D601D" w:rsidRPr="00737C0F" w:rsidRDefault="000D601D" w:rsidP="004737C9">
            <w:pPr>
              <w:pStyle w:val="naiskr"/>
              <w:spacing w:before="0" w:after="0"/>
              <w:ind w:hanging="5"/>
              <w:jc w:val="both"/>
              <w:rPr>
                <w:szCs w:val="22"/>
              </w:rPr>
            </w:pPr>
          </w:p>
          <w:p w:rsidR="00CF695A" w:rsidRPr="00737C0F" w:rsidRDefault="00FB1CD7" w:rsidP="00CF695A">
            <w:pPr>
              <w:pStyle w:val="naiskr"/>
              <w:spacing w:before="0" w:after="0"/>
              <w:ind w:hanging="5"/>
              <w:jc w:val="both"/>
              <w:rPr>
                <w:szCs w:val="22"/>
              </w:rPr>
            </w:pPr>
            <w:r w:rsidRPr="00737C0F">
              <w:rPr>
                <w:szCs w:val="22"/>
              </w:rPr>
              <w:t xml:space="preserve">Noteikumu projekts </w:t>
            </w:r>
            <w:r w:rsidR="004550DD" w:rsidRPr="00737C0F">
              <w:rPr>
                <w:szCs w:val="22"/>
              </w:rPr>
              <w:t>„Noteikumi par speciāl</w:t>
            </w:r>
            <w:r w:rsidR="004027BF" w:rsidRPr="00737C0F">
              <w:rPr>
                <w:szCs w:val="22"/>
              </w:rPr>
              <w:t>o</w:t>
            </w:r>
            <w:r w:rsidR="004550DD" w:rsidRPr="00737C0F">
              <w:rPr>
                <w:szCs w:val="22"/>
              </w:rPr>
              <w:t xml:space="preserve"> zināšanu bērnu tiesību aizsardzības jomā apguves kārtību, šo zināšanu saturu un apjomu” (turpmāk – noteikumu projekts) </w:t>
            </w:r>
            <w:r w:rsidRPr="00737C0F">
              <w:rPr>
                <w:szCs w:val="22"/>
              </w:rPr>
              <w:t>sagatavots saskaņā ar Bērnu tiesību aizsardzības likuma 5</w:t>
            </w:r>
            <w:r w:rsidRPr="00737C0F">
              <w:rPr>
                <w:szCs w:val="22"/>
                <w:vertAlign w:val="superscript"/>
              </w:rPr>
              <w:t>1</w:t>
            </w:r>
            <w:r w:rsidR="00654D82" w:rsidRPr="00737C0F">
              <w:rPr>
                <w:szCs w:val="22"/>
              </w:rPr>
              <w:t>.panta otrajā daļā noteikto</w:t>
            </w:r>
            <w:r w:rsidRPr="00737C0F">
              <w:rPr>
                <w:szCs w:val="22"/>
              </w:rPr>
              <w:t xml:space="preserve"> deleģējumu. </w:t>
            </w:r>
          </w:p>
        </w:tc>
      </w:tr>
      <w:tr w:rsidR="00262E2B" w:rsidRPr="00737C0F" w:rsidTr="009565A5">
        <w:trPr>
          <w:trHeight w:val="472"/>
        </w:trPr>
        <w:tc>
          <w:tcPr>
            <w:tcW w:w="550" w:type="dxa"/>
          </w:tcPr>
          <w:p w:rsidR="00262E2B" w:rsidRPr="00737C0F" w:rsidRDefault="00262E2B" w:rsidP="006C4607">
            <w:pPr>
              <w:pStyle w:val="naiskr"/>
              <w:spacing w:before="0" w:after="0"/>
              <w:rPr>
                <w:sz w:val="22"/>
                <w:szCs w:val="22"/>
              </w:rPr>
            </w:pPr>
            <w:r w:rsidRPr="00737C0F">
              <w:rPr>
                <w:sz w:val="22"/>
                <w:szCs w:val="22"/>
              </w:rPr>
              <w:t>2.</w:t>
            </w:r>
          </w:p>
        </w:tc>
        <w:tc>
          <w:tcPr>
            <w:tcW w:w="2432" w:type="dxa"/>
          </w:tcPr>
          <w:p w:rsidR="00262E2B" w:rsidRPr="00737C0F" w:rsidRDefault="00262E2B" w:rsidP="006C4607">
            <w:pPr>
              <w:pStyle w:val="naiskr"/>
              <w:tabs>
                <w:tab w:val="left" w:pos="170"/>
              </w:tabs>
              <w:spacing w:before="0" w:after="0"/>
              <w:rPr>
                <w:sz w:val="22"/>
                <w:szCs w:val="22"/>
              </w:rPr>
            </w:pPr>
            <w:r w:rsidRPr="00737C0F">
              <w:rPr>
                <w:sz w:val="22"/>
                <w:szCs w:val="22"/>
              </w:rPr>
              <w:t>Pašreizējā situācija</w:t>
            </w:r>
            <w:r w:rsidR="001F5CD6" w:rsidRPr="00737C0F">
              <w:rPr>
                <w:sz w:val="22"/>
                <w:szCs w:val="22"/>
              </w:rPr>
              <w:t xml:space="preserve"> un problēmas</w:t>
            </w:r>
          </w:p>
        </w:tc>
        <w:tc>
          <w:tcPr>
            <w:tcW w:w="6743" w:type="dxa"/>
          </w:tcPr>
          <w:p w:rsidR="00FB1CD7" w:rsidRPr="00737C0F" w:rsidRDefault="00FB1CD7" w:rsidP="00FB1CD7">
            <w:pPr>
              <w:pStyle w:val="naiskr"/>
              <w:spacing w:before="0" w:after="0"/>
              <w:ind w:hanging="5"/>
              <w:jc w:val="both"/>
              <w:rPr>
                <w:szCs w:val="22"/>
              </w:rPr>
            </w:pPr>
            <w:r w:rsidRPr="00737C0F">
              <w:rPr>
                <w:szCs w:val="22"/>
              </w:rPr>
              <w:t>Līdz ar grozījumiem Bērnu tiesību aizsardzīb</w:t>
            </w:r>
            <w:r w:rsidR="004027BF" w:rsidRPr="00737C0F">
              <w:rPr>
                <w:szCs w:val="22"/>
              </w:rPr>
              <w:t>as likumā spēku zaudēja MK noteikumi Nr.729</w:t>
            </w:r>
            <w:r w:rsidRPr="00737C0F">
              <w:rPr>
                <w:szCs w:val="22"/>
              </w:rPr>
              <w:t xml:space="preserve">, un ir jāizdod jauns regulējums, kas </w:t>
            </w:r>
            <w:r w:rsidR="00D726B7" w:rsidRPr="00737C0F">
              <w:rPr>
                <w:szCs w:val="22"/>
              </w:rPr>
              <w:t xml:space="preserve">nosaka </w:t>
            </w:r>
            <w:r w:rsidRPr="00737C0F">
              <w:rPr>
                <w:szCs w:val="22"/>
              </w:rPr>
              <w:t>kārtību, kādā apgūstamas</w:t>
            </w:r>
            <w:r w:rsidR="004550DD" w:rsidRPr="00737C0F">
              <w:rPr>
                <w:szCs w:val="22"/>
              </w:rPr>
              <w:t xml:space="preserve"> </w:t>
            </w:r>
            <w:r w:rsidR="004027BF" w:rsidRPr="00737C0F">
              <w:rPr>
                <w:szCs w:val="22"/>
              </w:rPr>
              <w:t>speciālā</w:t>
            </w:r>
            <w:r w:rsidRPr="00737C0F">
              <w:rPr>
                <w:szCs w:val="22"/>
              </w:rPr>
              <w:t xml:space="preserve">s zināšanas </w:t>
            </w:r>
            <w:r w:rsidR="004550DD" w:rsidRPr="00737C0F">
              <w:rPr>
                <w:szCs w:val="22"/>
              </w:rPr>
              <w:t>bērnu tiesību aizsardzības jomā</w:t>
            </w:r>
            <w:r w:rsidR="00B31718" w:rsidRPr="00737C0F">
              <w:rPr>
                <w:szCs w:val="22"/>
              </w:rPr>
              <w:t xml:space="preserve"> </w:t>
            </w:r>
            <w:r w:rsidR="004027BF" w:rsidRPr="00737C0F">
              <w:rPr>
                <w:iCs/>
              </w:rPr>
              <w:t>(turpmāk – speciālā</w:t>
            </w:r>
            <w:r w:rsidR="00B31718" w:rsidRPr="00737C0F">
              <w:rPr>
                <w:iCs/>
              </w:rPr>
              <w:t>s zināšanas)</w:t>
            </w:r>
            <w:r w:rsidR="004550DD" w:rsidRPr="00737C0F">
              <w:rPr>
                <w:szCs w:val="22"/>
              </w:rPr>
              <w:t>, kā arī šo zināšanu saturu un apjomu.</w:t>
            </w:r>
          </w:p>
          <w:p w:rsidR="00FF1917" w:rsidRPr="00737C0F" w:rsidRDefault="00FF1917" w:rsidP="00FB1CD7">
            <w:pPr>
              <w:pStyle w:val="naiskr"/>
              <w:spacing w:before="0" w:after="0"/>
              <w:ind w:hanging="5"/>
              <w:jc w:val="both"/>
              <w:rPr>
                <w:szCs w:val="22"/>
              </w:rPr>
            </w:pPr>
          </w:p>
          <w:p w:rsidR="004550DD" w:rsidRPr="00737C0F" w:rsidRDefault="00AE60D4" w:rsidP="004550DD">
            <w:pPr>
              <w:pStyle w:val="naiskr"/>
              <w:spacing w:before="0" w:after="0"/>
              <w:jc w:val="both"/>
              <w:rPr>
                <w:szCs w:val="22"/>
              </w:rPr>
            </w:pPr>
            <w:r w:rsidRPr="00737C0F">
              <w:rPr>
                <w:szCs w:val="22"/>
              </w:rPr>
              <w:t>MK noteikumu Nr.729</w:t>
            </w:r>
            <w:r w:rsidR="004550DD" w:rsidRPr="00737C0F">
              <w:rPr>
                <w:szCs w:val="22"/>
              </w:rPr>
              <w:t xml:space="preserve"> darbības laikā</w:t>
            </w:r>
            <w:r w:rsidR="00654D82" w:rsidRPr="00737C0F">
              <w:rPr>
                <w:szCs w:val="22"/>
              </w:rPr>
              <w:t xml:space="preserve"> tika konstatētas šādas problēmas</w:t>
            </w:r>
            <w:r w:rsidR="004550DD" w:rsidRPr="00737C0F">
              <w:rPr>
                <w:szCs w:val="22"/>
              </w:rPr>
              <w:t>:</w:t>
            </w:r>
          </w:p>
          <w:p w:rsidR="00133E50" w:rsidRPr="00737C0F" w:rsidRDefault="00133E50" w:rsidP="004842EA">
            <w:pPr>
              <w:pStyle w:val="naiskr"/>
              <w:spacing w:before="0" w:after="0"/>
              <w:jc w:val="both"/>
              <w:rPr>
                <w:szCs w:val="22"/>
              </w:rPr>
            </w:pPr>
            <w:r w:rsidRPr="00737C0F">
              <w:rPr>
                <w:szCs w:val="22"/>
              </w:rPr>
              <w:t>- nebija precīzi atrunāts, ka jaunatnes lietu speciālisti u</w:t>
            </w:r>
            <w:r w:rsidR="004027BF" w:rsidRPr="00737C0F">
              <w:rPr>
                <w:szCs w:val="22"/>
              </w:rPr>
              <w:t>n bāriņtiesu darbinieki speciālā</w:t>
            </w:r>
            <w:r w:rsidRPr="00737C0F">
              <w:rPr>
                <w:szCs w:val="22"/>
              </w:rPr>
              <w:t>s zināšanas apgūst atbilstoši normatīvajiem aktiem, kuri regulē viņu kompetenci, un viņiem nav jāapgūst</w:t>
            </w:r>
            <w:r w:rsidR="00784C83" w:rsidRPr="00737C0F">
              <w:rPr>
                <w:szCs w:val="22"/>
              </w:rPr>
              <w:t xml:space="preserve"> vēl viena </w:t>
            </w:r>
            <w:r w:rsidR="000D59EE" w:rsidRPr="00737C0F">
              <w:rPr>
                <w:szCs w:val="22"/>
              </w:rPr>
              <w:t>izglītības</w:t>
            </w:r>
            <w:r w:rsidRPr="00737C0F">
              <w:rPr>
                <w:szCs w:val="22"/>
              </w:rPr>
              <w:t xml:space="preserve"> programma;</w:t>
            </w:r>
          </w:p>
          <w:p w:rsidR="00F77926" w:rsidRPr="00737C0F" w:rsidRDefault="009572FA" w:rsidP="00F77926">
            <w:pPr>
              <w:pStyle w:val="naiskr"/>
              <w:spacing w:before="0" w:after="0"/>
              <w:jc w:val="both"/>
              <w:rPr>
                <w:szCs w:val="22"/>
              </w:rPr>
            </w:pPr>
            <w:r w:rsidRPr="00737C0F">
              <w:rPr>
                <w:szCs w:val="22"/>
              </w:rPr>
              <w:t xml:space="preserve">- nebija izstrādāts vienots apliecības </w:t>
            </w:r>
            <w:r w:rsidR="004027BF" w:rsidRPr="00737C0F">
              <w:rPr>
                <w:szCs w:val="22"/>
              </w:rPr>
              <w:t>par speciālo</w:t>
            </w:r>
            <w:r w:rsidR="00152105" w:rsidRPr="00737C0F">
              <w:rPr>
                <w:szCs w:val="22"/>
              </w:rPr>
              <w:t xml:space="preserve"> zināšanu bērnu tiesību aizsardzības jomā apguvi </w:t>
            </w:r>
            <w:r w:rsidRPr="00737C0F">
              <w:rPr>
                <w:szCs w:val="22"/>
              </w:rPr>
              <w:t>paraugs</w:t>
            </w:r>
            <w:r w:rsidR="00F77926" w:rsidRPr="00737C0F">
              <w:rPr>
                <w:szCs w:val="22"/>
              </w:rPr>
              <w:t>;</w:t>
            </w:r>
          </w:p>
          <w:p w:rsidR="00F77926" w:rsidRPr="00737C0F" w:rsidRDefault="00F77926" w:rsidP="00F77926">
            <w:pPr>
              <w:pStyle w:val="naiskr"/>
              <w:spacing w:before="0" w:after="0"/>
              <w:jc w:val="both"/>
              <w:rPr>
                <w:szCs w:val="22"/>
              </w:rPr>
            </w:pPr>
            <w:r w:rsidRPr="00737C0F">
              <w:rPr>
                <w:szCs w:val="22"/>
              </w:rPr>
              <w:t>- nebija izstrādāts un apstiprināts programmas paraugs zināšanu pilnveide</w:t>
            </w:r>
            <w:r w:rsidR="004B5BAC" w:rsidRPr="00737C0F">
              <w:rPr>
                <w:szCs w:val="22"/>
              </w:rPr>
              <w:t xml:space="preserve">s </w:t>
            </w:r>
            <w:r w:rsidR="000D59EE" w:rsidRPr="00737C0F">
              <w:rPr>
                <w:szCs w:val="22"/>
              </w:rPr>
              <w:t>izglītības</w:t>
            </w:r>
            <w:r w:rsidRPr="00737C0F">
              <w:rPr>
                <w:szCs w:val="22"/>
              </w:rPr>
              <w:t xml:space="preserve"> programmai. </w:t>
            </w:r>
            <w:r w:rsidR="004027BF" w:rsidRPr="00737C0F">
              <w:rPr>
                <w:szCs w:val="22"/>
              </w:rPr>
              <w:t>Savukārt speciālo</w:t>
            </w:r>
            <w:r w:rsidR="007F3F7D" w:rsidRPr="00737C0F">
              <w:rPr>
                <w:szCs w:val="22"/>
              </w:rPr>
              <w:t xml:space="preserve"> zināšanu </w:t>
            </w:r>
            <w:r w:rsidR="007F3F7D" w:rsidRPr="00737C0F">
              <w:rPr>
                <w:szCs w:val="22"/>
              </w:rPr>
              <w:lastRenderedPageBreak/>
              <w:t>sākotnējā kursa paraugs, kuru apstiprināja bērnu un ģimenes lietu ministrs 2005.gada 25.novembrī (turpmāk – apstiprinātais programmas paraugs), bija vienāds visiem speciālistiem, n</w:t>
            </w:r>
            <w:r w:rsidRPr="00737C0F">
              <w:rPr>
                <w:szCs w:val="22"/>
              </w:rPr>
              <w:t>eskatoties uz speciālistu plašu loku, viņu dažādu pieredzi, izglītību un vajadzībām</w:t>
            </w:r>
            <w:r w:rsidR="001076D7" w:rsidRPr="00737C0F">
              <w:rPr>
                <w:szCs w:val="22"/>
              </w:rPr>
              <w:t>.</w:t>
            </w:r>
          </w:p>
          <w:p w:rsidR="009572FA" w:rsidRPr="00737C0F" w:rsidRDefault="009572FA" w:rsidP="00B31718">
            <w:pPr>
              <w:pStyle w:val="naiskr"/>
              <w:spacing w:before="0" w:after="0"/>
              <w:jc w:val="both"/>
              <w:rPr>
                <w:szCs w:val="22"/>
              </w:rPr>
            </w:pPr>
          </w:p>
        </w:tc>
      </w:tr>
      <w:tr w:rsidR="00262E2B" w:rsidRPr="00737C0F" w:rsidTr="009565A5">
        <w:trPr>
          <w:trHeight w:val="1071"/>
        </w:trPr>
        <w:tc>
          <w:tcPr>
            <w:tcW w:w="550" w:type="dxa"/>
          </w:tcPr>
          <w:p w:rsidR="00262E2B" w:rsidRPr="00737C0F" w:rsidRDefault="00262E2B" w:rsidP="006C4607">
            <w:pPr>
              <w:pStyle w:val="naiskr"/>
              <w:spacing w:before="0" w:after="0"/>
              <w:rPr>
                <w:sz w:val="22"/>
                <w:szCs w:val="22"/>
              </w:rPr>
            </w:pPr>
            <w:r w:rsidRPr="00737C0F">
              <w:rPr>
                <w:sz w:val="22"/>
                <w:szCs w:val="22"/>
              </w:rPr>
              <w:lastRenderedPageBreak/>
              <w:t>3.</w:t>
            </w:r>
          </w:p>
        </w:tc>
        <w:tc>
          <w:tcPr>
            <w:tcW w:w="2432" w:type="dxa"/>
          </w:tcPr>
          <w:p w:rsidR="00262E2B" w:rsidRPr="00737C0F" w:rsidRDefault="00420870" w:rsidP="006C4607">
            <w:pPr>
              <w:pStyle w:val="naiskr"/>
              <w:spacing w:before="0" w:after="0"/>
              <w:rPr>
                <w:sz w:val="22"/>
                <w:szCs w:val="22"/>
              </w:rPr>
            </w:pPr>
            <w:r w:rsidRPr="00737C0F">
              <w:rPr>
                <w:sz w:val="22"/>
                <w:szCs w:val="22"/>
              </w:rPr>
              <w:t>S</w:t>
            </w:r>
            <w:r w:rsidR="000B69CF" w:rsidRPr="00737C0F">
              <w:rPr>
                <w:sz w:val="22"/>
                <w:szCs w:val="22"/>
              </w:rPr>
              <w:t xml:space="preserve">aistītie </w:t>
            </w:r>
            <w:r w:rsidR="001A6AE4" w:rsidRPr="00737C0F">
              <w:rPr>
                <w:sz w:val="22"/>
                <w:szCs w:val="22"/>
              </w:rPr>
              <w:t>politikas ietekmes novērtējumi</w:t>
            </w:r>
            <w:r w:rsidR="00CB0247" w:rsidRPr="00737C0F">
              <w:rPr>
                <w:sz w:val="22"/>
                <w:szCs w:val="22"/>
              </w:rPr>
              <w:t xml:space="preserve"> un</w:t>
            </w:r>
            <w:r w:rsidR="001A6AE4" w:rsidRPr="00737C0F">
              <w:rPr>
                <w:sz w:val="22"/>
                <w:szCs w:val="22"/>
              </w:rPr>
              <w:t xml:space="preserve"> </w:t>
            </w:r>
            <w:r w:rsidR="000B69CF" w:rsidRPr="00737C0F">
              <w:rPr>
                <w:sz w:val="22"/>
                <w:szCs w:val="22"/>
              </w:rPr>
              <w:t>pētījumi</w:t>
            </w:r>
          </w:p>
        </w:tc>
        <w:tc>
          <w:tcPr>
            <w:tcW w:w="6743" w:type="dxa"/>
          </w:tcPr>
          <w:p w:rsidR="00CE520F" w:rsidRPr="00737C0F" w:rsidRDefault="004842EA" w:rsidP="00CE520F">
            <w:pPr>
              <w:jc w:val="both"/>
              <w:rPr>
                <w:noProof/>
                <w:szCs w:val="22"/>
              </w:rPr>
            </w:pPr>
            <w:r w:rsidRPr="00737C0F">
              <w:rPr>
                <w:szCs w:val="22"/>
              </w:rPr>
              <w:t>ANO Bērnu tiesību komitejas 2006.gada 28.jūnija ieteikumos par Latvijas Otro periodisko ziņojumu CRC/C/LVA/CO/2 19(c).punktā tiek rekomendēts „</w:t>
            </w:r>
            <w:r w:rsidRPr="00737C0F">
              <w:rPr>
                <w:noProof/>
                <w:szCs w:val="22"/>
              </w:rPr>
              <w:t>palielināt pūles, lai nodrošinātu atbilstošu un sistemātisku apmācību bērnu tiesību jautājumos attiecīgo profesiju pārstāvjiem, kas strādā ar bērniem un ar bērnu jautājumiem, tostarp tiesnešiem, juristiem, tiesībaizsardzības iestāžu darbiniekiem, skolotājiem, veselības aprūpes speciālistiem un sociālajiem darbiniekiem”.</w:t>
            </w:r>
          </w:p>
          <w:p w:rsidR="004842EA" w:rsidRPr="00737C0F" w:rsidRDefault="004842EA" w:rsidP="00CE520F">
            <w:pPr>
              <w:jc w:val="both"/>
              <w:rPr>
                <w:szCs w:val="22"/>
              </w:rPr>
            </w:pPr>
            <w:r w:rsidRPr="00737C0F">
              <w:rPr>
                <w:noProof/>
                <w:szCs w:val="22"/>
              </w:rPr>
              <w:t xml:space="preserve"> </w:t>
            </w:r>
          </w:p>
          <w:p w:rsidR="00D20FF4" w:rsidRPr="00737C0F" w:rsidRDefault="00CE520F" w:rsidP="00CE520F">
            <w:pPr>
              <w:pStyle w:val="FootnoteText"/>
              <w:jc w:val="both"/>
              <w:rPr>
                <w:sz w:val="24"/>
                <w:szCs w:val="22"/>
              </w:rPr>
            </w:pPr>
            <w:r w:rsidRPr="00737C0F">
              <w:rPr>
                <w:sz w:val="24"/>
                <w:szCs w:val="22"/>
              </w:rPr>
              <w:t xml:space="preserve">2009.gadā Tiesībsarga biroja pētījums par vardarbību jeb </w:t>
            </w:r>
            <w:proofErr w:type="spellStart"/>
            <w:r w:rsidRPr="00737C0F">
              <w:rPr>
                <w:sz w:val="24"/>
                <w:szCs w:val="22"/>
              </w:rPr>
              <w:t>mobingu</w:t>
            </w:r>
            <w:proofErr w:type="spellEnd"/>
            <w:r w:rsidRPr="00737C0F">
              <w:rPr>
                <w:sz w:val="24"/>
                <w:szCs w:val="22"/>
              </w:rPr>
              <w:t xml:space="preserve"> skolās (</w:t>
            </w:r>
            <w:hyperlink r:id="rId9" w:history="1">
              <w:r w:rsidRPr="00737C0F">
                <w:rPr>
                  <w:rStyle w:val="Hyperlink"/>
                  <w:sz w:val="24"/>
                  <w:szCs w:val="22"/>
                </w:rPr>
                <w:t>http://www.tiesibsargs.lv/lat/petijumi_un_viedokli/petijumi/</w:t>
              </w:r>
            </w:hyperlink>
            <w:r w:rsidRPr="00737C0F">
              <w:rPr>
                <w:sz w:val="24"/>
                <w:szCs w:val="22"/>
              </w:rPr>
              <w:t>), kurā atzīts, ka pedagogiem būtu nepieciešami papildus izglītojoši pasākumu par to, kā atklāt un risināt vardarbības (</w:t>
            </w:r>
            <w:proofErr w:type="spellStart"/>
            <w:r w:rsidRPr="00737C0F">
              <w:rPr>
                <w:sz w:val="24"/>
                <w:szCs w:val="22"/>
              </w:rPr>
              <w:t>mobinga</w:t>
            </w:r>
            <w:proofErr w:type="spellEnd"/>
            <w:r w:rsidRPr="00737C0F">
              <w:rPr>
                <w:sz w:val="24"/>
                <w:szCs w:val="22"/>
              </w:rPr>
              <w:t>) gadījumus.</w:t>
            </w:r>
          </w:p>
        </w:tc>
      </w:tr>
      <w:tr w:rsidR="00262E2B" w:rsidRPr="00737C0F" w:rsidTr="009565A5">
        <w:trPr>
          <w:trHeight w:val="384"/>
        </w:trPr>
        <w:tc>
          <w:tcPr>
            <w:tcW w:w="550" w:type="dxa"/>
          </w:tcPr>
          <w:p w:rsidR="00262E2B" w:rsidRPr="00737C0F" w:rsidRDefault="00262E2B" w:rsidP="006C4607">
            <w:pPr>
              <w:pStyle w:val="naiskr"/>
              <w:spacing w:before="0" w:after="0"/>
              <w:rPr>
                <w:sz w:val="22"/>
                <w:szCs w:val="22"/>
              </w:rPr>
            </w:pPr>
            <w:r w:rsidRPr="00737C0F">
              <w:rPr>
                <w:sz w:val="22"/>
                <w:szCs w:val="22"/>
              </w:rPr>
              <w:t>4.</w:t>
            </w:r>
          </w:p>
        </w:tc>
        <w:tc>
          <w:tcPr>
            <w:tcW w:w="2432" w:type="dxa"/>
          </w:tcPr>
          <w:p w:rsidR="00262E2B" w:rsidRPr="00737C0F" w:rsidRDefault="000C790C" w:rsidP="006C4607">
            <w:pPr>
              <w:pStyle w:val="naiskr"/>
              <w:spacing w:before="0" w:after="0"/>
              <w:rPr>
                <w:sz w:val="22"/>
                <w:szCs w:val="22"/>
              </w:rPr>
            </w:pPr>
            <w:r w:rsidRPr="00737C0F">
              <w:rPr>
                <w:sz w:val="22"/>
                <w:szCs w:val="22"/>
              </w:rPr>
              <w:t>Tiesiskā r</w:t>
            </w:r>
            <w:r w:rsidR="00400032" w:rsidRPr="00737C0F">
              <w:rPr>
                <w:sz w:val="22"/>
                <w:szCs w:val="22"/>
              </w:rPr>
              <w:t xml:space="preserve">egulējuma </w:t>
            </w:r>
            <w:r w:rsidR="00262E2B" w:rsidRPr="00737C0F">
              <w:rPr>
                <w:sz w:val="22"/>
                <w:szCs w:val="22"/>
              </w:rPr>
              <w:t>mērķis un būtība</w:t>
            </w:r>
          </w:p>
        </w:tc>
        <w:tc>
          <w:tcPr>
            <w:tcW w:w="6743" w:type="dxa"/>
          </w:tcPr>
          <w:p w:rsidR="00262E2B" w:rsidRPr="00737C0F" w:rsidRDefault="00F77926" w:rsidP="00FC260E">
            <w:pPr>
              <w:pStyle w:val="naiskr"/>
              <w:spacing w:before="0" w:after="0"/>
              <w:jc w:val="both"/>
              <w:rPr>
                <w:iCs/>
              </w:rPr>
            </w:pPr>
            <w:r w:rsidRPr="00737C0F">
              <w:rPr>
                <w:iCs/>
              </w:rPr>
              <w:t xml:space="preserve">Noteikumu projekts neparedz būtiski mainīt kopš 2005.gada ieviesto kārtību, </w:t>
            </w:r>
            <w:r w:rsidR="004027BF" w:rsidRPr="00737C0F">
              <w:rPr>
                <w:iCs/>
              </w:rPr>
              <w:t>kādā speciālisti apgūst speciālā</w:t>
            </w:r>
            <w:r w:rsidRPr="00737C0F">
              <w:rPr>
                <w:iCs/>
              </w:rPr>
              <w:t xml:space="preserve">s zināšanas. Vienlaikus tā mērķis ir risināt tās problēmas un neskaidrības, kuras tika konstatētas, piemērojot </w:t>
            </w:r>
            <w:r w:rsidR="00B656B2" w:rsidRPr="00737C0F">
              <w:rPr>
                <w:iCs/>
              </w:rPr>
              <w:t xml:space="preserve">MK </w:t>
            </w:r>
            <w:r w:rsidRPr="00737C0F">
              <w:rPr>
                <w:iCs/>
              </w:rPr>
              <w:t>noteikumus</w:t>
            </w:r>
            <w:r w:rsidR="00B656B2" w:rsidRPr="00737C0F">
              <w:rPr>
                <w:iCs/>
              </w:rPr>
              <w:t xml:space="preserve"> Nr.729</w:t>
            </w:r>
            <w:r w:rsidRPr="00737C0F">
              <w:rPr>
                <w:iCs/>
              </w:rPr>
              <w:t xml:space="preserve"> praksē.</w:t>
            </w:r>
          </w:p>
          <w:p w:rsidR="00D50957" w:rsidRPr="00737C0F" w:rsidRDefault="00D50957" w:rsidP="00FC260E">
            <w:pPr>
              <w:pStyle w:val="naiskr"/>
              <w:spacing w:before="0" w:after="0"/>
              <w:jc w:val="both"/>
              <w:rPr>
                <w:iCs/>
              </w:rPr>
            </w:pPr>
            <w:r w:rsidRPr="00737C0F">
              <w:rPr>
                <w:iCs/>
              </w:rPr>
              <w:t>Tāpat kā līdz šim:</w:t>
            </w:r>
          </w:p>
          <w:p w:rsidR="00D50957" w:rsidRPr="00737C0F" w:rsidRDefault="004027BF" w:rsidP="00FC260E">
            <w:pPr>
              <w:pStyle w:val="naiskr"/>
              <w:spacing w:before="0" w:after="0"/>
              <w:jc w:val="both"/>
            </w:pPr>
            <w:r w:rsidRPr="00737C0F">
              <w:t>- speciālists speciālā</w:t>
            </w:r>
            <w:r w:rsidR="00D50957" w:rsidRPr="00737C0F">
              <w:t xml:space="preserve">s zināšanas </w:t>
            </w:r>
            <w:r w:rsidR="00FC34BD" w:rsidRPr="00737C0F">
              <w:t xml:space="preserve">(profesionālās kvalifikācijas pilnveides programmu) </w:t>
            </w:r>
            <w:r w:rsidR="00D50957" w:rsidRPr="00737C0F">
              <w:t>apgūst gada laikā pēc tam, kad ir stā</w:t>
            </w:r>
            <w:r w:rsidR="00275F91" w:rsidRPr="00737C0F">
              <w:t>jies amatā vai pieņemts darbā (3</w:t>
            </w:r>
            <w:r w:rsidR="00D50957" w:rsidRPr="00737C0F">
              <w:t>.punkts);</w:t>
            </w:r>
          </w:p>
          <w:p w:rsidR="00D50957" w:rsidRPr="00737C0F" w:rsidRDefault="004027BF" w:rsidP="00FC260E">
            <w:pPr>
              <w:pStyle w:val="naiskr"/>
              <w:spacing w:before="0" w:after="0"/>
              <w:jc w:val="both"/>
            </w:pPr>
            <w:r w:rsidRPr="00737C0F">
              <w:t>- speciālā</w:t>
            </w:r>
            <w:r w:rsidR="00D50957" w:rsidRPr="00737C0F">
              <w:t xml:space="preserve">s zināšanas pilnveido periodiski ik pēc pieciem gadiem </w:t>
            </w:r>
            <w:r w:rsidR="00275F91" w:rsidRPr="00737C0F">
              <w:t>(5</w:t>
            </w:r>
            <w:r w:rsidR="00D50957" w:rsidRPr="00737C0F">
              <w:t>.punkts);</w:t>
            </w:r>
          </w:p>
          <w:p w:rsidR="00D50957" w:rsidRPr="00737C0F" w:rsidRDefault="004027BF" w:rsidP="00FC260E">
            <w:pPr>
              <w:pStyle w:val="naiskr"/>
              <w:spacing w:before="0" w:after="0"/>
              <w:jc w:val="both"/>
            </w:pPr>
            <w:r w:rsidRPr="00737C0F">
              <w:t>- ja speciālists speciālā</w:t>
            </w:r>
            <w:r w:rsidR="00D50957" w:rsidRPr="00737C0F">
              <w:t>s zinā</w:t>
            </w:r>
            <w:r w:rsidRPr="00737C0F">
              <w:t>šanas (pilnu kursu vai atsevišķas tēmas</w:t>
            </w:r>
            <w:r w:rsidR="00D50957" w:rsidRPr="00737C0F">
              <w:t xml:space="preserve">) apguvis, iegūstot augstāko izglītību vai </w:t>
            </w:r>
            <w:r w:rsidR="00FC34BD" w:rsidRPr="00737C0F">
              <w:t>apgūstot citu formālās izglītības programmu</w:t>
            </w:r>
            <w:r w:rsidR="00D50957" w:rsidRPr="00737C0F">
              <w:t>, šis kurss vai tēma nav jāapgūst atkārtoti</w:t>
            </w:r>
            <w:r w:rsidR="001332E9" w:rsidRPr="00737C0F">
              <w:t xml:space="preserve"> (</w:t>
            </w:r>
            <w:r w:rsidR="00275F91" w:rsidRPr="00737C0F">
              <w:t>3. Un 4</w:t>
            </w:r>
            <w:r w:rsidR="00D50957" w:rsidRPr="00737C0F">
              <w:t>.punkts)</w:t>
            </w:r>
            <w:r w:rsidR="00DA09E7" w:rsidRPr="00737C0F">
              <w:t>. Beidzoties 5 gadu periodam, speci</w:t>
            </w:r>
            <w:r w:rsidRPr="00737C0F">
              <w:t>ālists, kurš speciālā</w:t>
            </w:r>
            <w:r w:rsidR="00033152" w:rsidRPr="00737C0F">
              <w:t>s zināšanas apguvis, i</w:t>
            </w:r>
            <w:r w:rsidR="00FC34BD" w:rsidRPr="00737C0F">
              <w:t>egūstot augstāko izglītību vai apgūstot citu formālās izglītības programmu</w:t>
            </w:r>
            <w:r w:rsidR="00033152" w:rsidRPr="00737C0F">
              <w:t>, pilnveido savas zināšanas periodiski ik pēc 5 gadiem, tāpat kā pārējie speciālisti</w:t>
            </w:r>
            <w:r w:rsidR="00D50957" w:rsidRPr="00737C0F">
              <w:t xml:space="preserve">; </w:t>
            </w:r>
          </w:p>
          <w:p w:rsidR="004B5BAC" w:rsidRPr="00737C0F" w:rsidRDefault="00832285" w:rsidP="00FC260E">
            <w:pPr>
              <w:pStyle w:val="naiskr"/>
              <w:spacing w:before="0" w:after="0"/>
              <w:jc w:val="both"/>
            </w:pPr>
            <w:r w:rsidRPr="00737C0F">
              <w:t xml:space="preserve">- speciālo zināšanu </w:t>
            </w:r>
            <w:r w:rsidR="000D59EE" w:rsidRPr="00737C0F">
              <w:t>izglītības</w:t>
            </w:r>
            <w:r w:rsidR="00BE16E1" w:rsidRPr="00737C0F">
              <w:t xml:space="preserve"> programmas </w:t>
            </w:r>
            <w:r w:rsidRPr="00737C0F">
              <w:t xml:space="preserve">apjoms ir 40 stundas, </w:t>
            </w:r>
            <w:r w:rsidR="00BE16E1" w:rsidRPr="00737C0F">
              <w:t xml:space="preserve">zināšanu pilnveides </w:t>
            </w:r>
            <w:r w:rsidR="000D59EE" w:rsidRPr="00737C0F">
              <w:t xml:space="preserve">izglītības </w:t>
            </w:r>
            <w:r w:rsidR="00BE16E1" w:rsidRPr="00737C0F">
              <w:t>programmas apjoms</w:t>
            </w:r>
            <w:r w:rsidRPr="00737C0F">
              <w:t xml:space="preserve"> – 24 stundas</w:t>
            </w:r>
            <w:r w:rsidR="001B0EAB" w:rsidRPr="00737C0F">
              <w:t xml:space="preserve"> </w:t>
            </w:r>
            <w:r w:rsidR="0023766C" w:rsidRPr="00737C0F">
              <w:t>(</w:t>
            </w:r>
            <w:r w:rsidR="00275F91" w:rsidRPr="00737C0F">
              <w:t>6</w:t>
            </w:r>
            <w:r w:rsidR="00687229" w:rsidRPr="00737C0F">
              <w:t>.punkts)</w:t>
            </w:r>
            <w:r w:rsidR="007E7481" w:rsidRPr="00737C0F">
              <w:t>, atsev</w:t>
            </w:r>
            <w:r w:rsidR="00E550C9" w:rsidRPr="00737C0F">
              <w:t>išķām speciālistu grupām noteikts</w:t>
            </w:r>
            <w:r w:rsidR="007E7481" w:rsidRPr="00737C0F">
              <w:t xml:space="preserve"> </w:t>
            </w:r>
            <w:r w:rsidR="00C36FF9" w:rsidRPr="00737C0F">
              <w:t>cit</w:t>
            </w:r>
            <w:r w:rsidR="00E550C9" w:rsidRPr="00737C0F">
              <w:t xml:space="preserve">s apjoms vai norādīts cits </w:t>
            </w:r>
            <w:r w:rsidR="001B0EAB" w:rsidRPr="00737C0F">
              <w:t>normatīvais</w:t>
            </w:r>
            <w:r w:rsidR="00E550C9" w:rsidRPr="00737C0F">
              <w:t xml:space="preserve"> regulējums</w:t>
            </w:r>
            <w:r w:rsidR="00B60331" w:rsidRPr="00737C0F">
              <w:t xml:space="preserve"> (</w:t>
            </w:r>
            <w:r w:rsidR="00275F91" w:rsidRPr="00737C0F">
              <w:t xml:space="preserve">2.1. un </w:t>
            </w:r>
            <w:proofErr w:type="gramStart"/>
            <w:r w:rsidR="00275F91" w:rsidRPr="00737C0F">
              <w:t>2.3. apakšpunkti</w:t>
            </w:r>
            <w:proofErr w:type="gramEnd"/>
            <w:r w:rsidR="001B0EAB" w:rsidRPr="00737C0F">
              <w:t>)</w:t>
            </w:r>
            <w:r w:rsidR="009565A5" w:rsidRPr="00737C0F">
              <w:t>;</w:t>
            </w:r>
          </w:p>
          <w:p w:rsidR="009565A5" w:rsidRPr="00737C0F" w:rsidRDefault="009565A5" w:rsidP="00FC260E">
            <w:pPr>
              <w:pStyle w:val="naiskr"/>
              <w:spacing w:before="0" w:after="0"/>
              <w:jc w:val="both"/>
            </w:pPr>
            <w:r w:rsidRPr="00737C0F">
              <w:t xml:space="preserve">- apmācības īsteno Izglītības iestāžu reģistrā reģistrēta </w:t>
            </w:r>
            <w:r w:rsidR="000D59EE" w:rsidRPr="00737C0F">
              <w:t xml:space="preserve">izglītības </w:t>
            </w:r>
            <w:r w:rsidRPr="00737C0F">
              <w:t>iestāde</w:t>
            </w:r>
            <w:r w:rsidR="00184CD3" w:rsidRPr="00737C0F">
              <w:t xml:space="preserve"> </w:t>
            </w:r>
            <w:r w:rsidR="00275F91" w:rsidRPr="00737C0F">
              <w:t>(11</w:t>
            </w:r>
            <w:r w:rsidR="00184CD3" w:rsidRPr="00737C0F">
              <w:t>.punkts);</w:t>
            </w:r>
          </w:p>
          <w:p w:rsidR="00184CD3" w:rsidRPr="00737C0F" w:rsidRDefault="00184CD3" w:rsidP="00FC260E">
            <w:pPr>
              <w:pStyle w:val="naiskr"/>
              <w:spacing w:before="0" w:after="0"/>
              <w:jc w:val="both"/>
            </w:pPr>
            <w:r w:rsidRPr="00737C0F">
              <w:t>- </w:t>
            </w:r>
            <w:r w:rsidR="000D59EE" w:rsidRPr="00737C0F">
              <w:t>izglītības</w:t>
            </w:r>
            <w:r w:rsidRPr="00737C0F">
              <w:t xml:space="preserve"> programmu var īstenot kā daļu no plašākas izglītības programmas (</w:t>
            </w:r>
            <w:r w:rsidR="00275F91" w:rsidRPr="00737C0F">
              <w:t>18</w:t>
            </w:r>
            <w:r w:rsidRPr="00737C0F">
              <w:t>.punkts).</w:t>
            </w:r>
          </w:p>
          <w:p w:rsidR="00832285" w:rsidRPr="00737C0F" w:rsidRDefault="00687229" w:rsidP="00FC260E">
            <w:pPr>
              <w:pStyle w:val="naiskr"/>
              <w:spacing w:before="0" w:after="0"/>
              <w:jc w:val="both"/>
              <w:rPr>
                <w:iCs/>
              </w:rPr>
            </w:pPr>
            <w:r w:rsidRPr="00737C0F">
              <w:rPr>
                <w:iCs/>
              </w:rPr>
              <w:t xml:space="preserve"> </w:t>
            </w:r>
          </w:p>
          <w:p w:rsidR="00D50957" w:rsidRPr="00737C0F" w:rsidRDefault="00D50957" w:rsidP="00FC260E">
            <w:pPr>
              <w:pStyle w:val="naiskr"/>
              <w:spacing w:before="0" w:after="0"/>
              <w:jc w:val="both"/>
            </w:pPr>
            <w:r w:rsidRPr="00737C0F">
              <w:t>Noteikumu projekts ievieš š</w:t>
            </w:r>
            <w:r w:rsidR="004B5BAC" w:rsidRPr="00737C0F">
              <w:t>ādu</w:t>
            </w:r>
            <w:r w:rsidRPr="00737C0F">
              <w:t xml:space="preserve">s </w:t>
            </w:r>
            <w:r w:rsidR="004B5BAC" w:rsidRPr="00737C0F">
              <w:t xml:space="preserve">precizējumus un </w:t>
            </w:r>
            <w:r w:rsidRPr="00737C0F">
              <w:t>izmaiņ</w:t>
            </w:r>
            <w:r w:rsidR="004B5BAC" w:rsidRPr="00737C0F">
              <w:t>a</w:t>
            </w:r>
            <w:r w:rsidRPr="00737C0F">
              <w:t>s:</w:t>
            </w:r>
          </w:p>
          <w:p w:rsidR="00D50957" w:rsidRPr="00737C0F" w:rsidRDefault="00D50957" w:rsidP="00FC260E">
            <w:pPr>
              <w:pStyle w:val="naiskr"/>
              <w:spacing w:before="0" w:after="0"/>
              <w:jc w:val="both"/>
            </w:pPr>
            <w:r w:rsidRPr="00737C0F">
              <w:t>-</w:t>
            </w:r>
            <w:r w:rsidR="004B5BAC" w:rsidRPr="00737C0F">
              <w:t xml:space="preserve"> precizētas </w:t>
            </w:r>
            <w:r w:rsidR="000D59EE" w:rsidRPr="00737C0F">
              <w:t>izglītības</w:t>
            </w:r>
            <w:r w:rsidR="004B5BAC" w:rsidRPr="00737C0F">
              <w:t xml:space="preserve"> programmā iekļautas tēmas, papildus izdalot tēmu par starpinstitucionālo sadarbību bērnu tiesību aizsardzības nodrošināšanā un tēmu p</w:t>
            </w:r>
            <w:r w:rsidR="0023766C" w:rsidRPr="00737C0F">
              <w:t>ar nepilngadīgo administratīvo pārkāpumu</w:t>
            </w:r>
            <w:r w:rsidR="004B5BAC" w:rsidRPr="00737C0F">
              <w:t xml:space="preserve"> procesā, ci</w:t>
            </w:r>
            <w:r w:rsidR="00275F91" w:rsidRPr="00737C0F">
              <w:t>vilprocesā un kriminālprocesā (8</w:t>
            </w:r>
            <w:r w:rsidR="004B5BAC" w:rsidRPr="00737C0F">
              <w:t xml:space="preserve">.punkts). </w:t>
            </w:r>
            <w:r w:rsidR="00EA1591" w:rsidRPr="00737C0F">
              <w:t xml:space="preserve">Praksē šīs tēmas jau iepriekš tika integrētas </w:t>
            </w:r>
            <w:r w:rsidR="00EC422E" w:rsidRPr="00737C0F">
              <w:t>ap</w:t>
            </w:r>
            <w:r w:rsidR="00EA1591" w:rsidRPr="00737C0F">
              <w:t xml:space="preserve">mācībās, tomēr, ņemot vērā to </w:t>
            </w:r>
            <w:r w:rsidR="00EA1591" w:rsidRPr="00737C0F">
              <w:lastRenderedPageBreak/>
              <w:t xml:space="preserve">aktualitāti, ir nozīmīgi </w:t>
            </w:r>
            <w:r w:rsidR="00DB2E15" w:rsidRPr="00737C0F">
              <w:t xml:space="preserve">noteikumu projektā </w:t>
            </w:r>
            <w:r w:rsidR="00EA1591" w:rsidRPr="00737C0F">
              <w:t xml:space="preserve">tās </w:t>
            </w:r>
            <w:r w:rsidR="00DB2E15" w:rsidRPr="00737C0F">
              <w:t xml:space="preserve">minēt </w:t>
            </w:r>
            <w:r w:rsidR="001332E9" w:rsidRPr="00737C0F">
              <w:t>atsevišķi;</w:t>
            </w:r>
          </w:p>
          <w:p w:rsidR="001C25CA" w:rsidRPr="00737C0F" w:rsidRDefault="001C25CA" w:rsidP="00FC260E">
            <w:pPr>
              <w:pStyle w:val="naiskr"/>
              <w:spacing w:before="0" w:after="0"/>
              <w:jc w:val="both"/>
            </w:pPr>
            <w:r w:rsidRPr="00737C0F">
              <w:t xml:space="preserve">- vairākām speciālistu grupām noteikts stundu apjoms, kāds </w:t>
            </w:r>
            <w:r w:rsidR="00275F91" w:rsidRPr="00737C0F">
              <w:t>jāatvēl konkrētām tēmām (12</w:t>
            </w:r>
            <w:r w:rsidRPr="00737C0F">
              <w:t>.punkts). Speciālistiem, kuri saskārās ar nepilngadīgajiem, kuri cietuši noziedzīgajos nodarījumos</w:t>
            </w:r>
            <w:r w:rsidR="00B64EE8" w:rsidRPr="00737C0F">
              <w:t>,</w:t>
            </w:r>
            <w:r w:rsidRPr="00737C0F">
              <w:t xml:space="preserve"> vai </w:t>
            </w:r>
            <w:r w:rsidR="00FC34BD" w:rsidRPr="00737C0F">
              <w:t xml:space="preserve">ar </w:t>
            </w:r>
            <w:r w:rsidRPr="00737C0F">
              <w:t>nepilngadīgajiem, pret kuriem ir ierosināts kriminālprocess</w:t>
            </w:r>
            <w:r w:rsidR="00B64EE8" w:rsidRPr="00737C0F">
              <w:t xml:space="preserve"> vai administratīvā pārkāpuma lietvedība</w:t>
            </w:r>
            <w:r w:rsidRPr="00737C0F">
              <w:t xml:space="preserve">, ir ļoti būtiski apgūt </w:t>
            </w:r>
            <w:r w:rsidR="00B64EE8" w:rsidRPr="00737C0F">
              <w:t>saskarsmes ar nepilngadīgajiem īpatnības, lai pratināšana un paskaidrojumu ņemšana noritētu pēc iespējas saudzīgāk</w:t>
            </w:r>
            <w:r w:rsidR="00FC34BD" w:rsidRPr="00737C0F">
              <w:t xml:space="preserve"> nepilngadīgo psihei</w:t>
            </w:r>
            <w:r w:rsidR="00B64EE8" w:rsidRPr="00737C0F">
              <w:t xml:space="preserve">. </w:t>
            </w:r>
            <w:r w:rsidR="00450649" w:rsidRPr="00737C0F">
              <w:t xml:space="preserve">Savukārt speciālistiem, kuri saskārās ar nepilngadīgajiem no riska ģimenēm, ir būtiski pilnveidot zināšanas vardarbības </w:t>
            </w:r>
            <w:r w:rsidR="00CE2498" w:rsidRPr="00737C0F">
              <w:t xml:space="preserve">pret bērnu </w:t>
            </w:r>
            <w:r w:rsidR="00450649" w:rsidRPr="00737C0F">
              <w:t xml:space="preserve">atpazīšanā.  </w:t>
            </w:r>
            <w:r w:rsidR="00B64EE8" w:rsidRPr="00737C0F">
              <w:t xml:space="preserve"> </w:t>
            </w:r>
            <w:r w:rsidRPr="00737C0F">
              <w:t xml:space="preserve"> </w:t>
            </w:r>
          </w:p>
          <w:p w:rsidR="00FC260E" w:rsidRPr="00737C0F" w:rsidRDefault="00FC260E" w:rsidP="004C52E2">
            <w:pPr>
              <w:pStyle w:val="naisc"/>
              <w:spacing w:before="0" w:after="0"/>
              <w:jc w:val="both"/>
            </w:pPr>
            <w:r w:rsidRPr="00737C0F">
              <w:t>- noteiktas prasības lektoriem</w:t>
            </w:r>
            <w:r w:rsidR="001332E9" w:rsidRPr="00737C0F">
              <w:t>, kuri vada mācības (</w:t>
            </w:r>
            <w:r w:rsidR="00275F91" w:rsidRPr="00737C0F">
              <w:t>9</w:t>
            </w:r>
            <w:r w:rsidR="001332E9" w:rsidRPr="00737C0F">
              <w:t>.</w:t>
            </w:r>
            <w:r w:rsidR="00EC422E" w:rsidRPr="00737C0F">
              <w:t>punkts</w:t>
            </w:r>
            <w:r w:rsidRPr="00737C0F">
              <w:t xml:space="preserve">). Līdz šim šādas prasības tika noteiktas apstiprinātajā </w:t>
            </w:r>
            <w:r w:rsidR="000D59EE" w:rsidRPr="00737C0F">
              <w:t xml:space="preserve">izglītības </w:t>
            </w:r>
            <w:r w:rsidRPr="00737C0F">
              <w:t xml:space="preserve">programmas paraugā, un </w:t>
            </w:r>
            <w:r w:rsidR="00EC422E" w:rsidRPr="00737C0F">
              <w:t xml:space="preserve">praksē </w:t>
            </w:r>
            <w:r w:rsidRPr="00737C0F">
              <w:t>izglītī</w:t>
            </w:r>
            <w:r w:rsidR="00784C83" w:rsidRPr="00737C0F">
              <w:t xml:space="preserve">bas iestāde nevarēja saskaņot </w:t>
            </w:r>
            <w:r w:rsidRPr="00737C0F">
              <w:t>mācību programmu</w:t>
            </w:r>
            <w:r w:rsidR="00DB2E15" w:rsidRPr="00737C0F">
              <w:t xml:space="preserve"> ar Labklājības ministriju</w:t>
            </w:r>
            <w:r w:rsidRPr="00737C0F">
              <w:t xml:space="preserve">, ja lektoru </w:t>
            </w:r>
            <w:r w:rsidR="001332E9" w:rsidRPr="00737C0F">
              <w:t xml:space="preserve">izglītība un </w:t>
            </w:r>
            <w:r w:rsidR="00305FB0" w:rsidRPr="00737C0F">
              <w:t xml:space="preserve">pieredze nebija atbilstoša. Lektoriem izvirzītā prasība - </w:t>
            </w:r>
            <w:r w:rsidR="00305FB0" w:rsidRPr="00737C0F">
              <w:rPr>
                <w:color w:val="000000"/>
              </w:rPr>
              <w:t>akadēm</w:t>
            </w:r>
            <w:r w:rsidR="00FC34BD" w:rsidRPr="00737C0F">
              <w:rPr>
                <w:color w:val="000000"/>
              </w:rPr>
              <w:t xml:space="preserve">iskā augstākā </w:t>
            </w:r>
            <w:r w:rsidR="00305FB0" w:rsidRPr="00737C0F">
              <w:rPr>
                <w:color w:val="000000"/>
              </w:rPr>
              <w:t xml:space="preserve">vai </w:t>
            </w:r>
            <w:r w:rsidR="00FC34BD" w:rsidRPr="00737C0F">
              <w:rPr>
                <w:color w:val="000000"/>
              </w:rPr>
              <w:t xml:space="preserve">otrā līmeņa </w:t>
            </w:r>
            <w:r w:rsidR="00305FB0" w:rsidRPr="00737C0F">
              <w:rPr>
                <w:color w:val="000000"/>
              </w:rPr>
              <w:t xml:space="preserve">profesionālā </w:t>
            </w:r>
            <w:r w:rsidR="00FC34BD" w:rsidRPr="00737C0F">
              <w:rPr>
                <w:color w:val="000000"/>
              </w:rPr>
              <w:t xml:space="preserve">augstākā </w:t>
            </w:r>
            <w:r w:rsidR="00305FB0" w:rsidRPr="00737C0F">
              <w:rPr>
                <w:color w:val="000000"/>
              </w:rPr>
              <w:t>izglītība, kas var būt iegūta jebkurā jomā, vienlaikus papildus lektoriem ir jābūt teorētiskajām zināšanām un praktiskajām iemaņām atbilstošajā jomā</w:t>
            </w:r>
            <w:r w:rsidR="00FC34BD" w:rsidRPr="00737C0F">
              <w:rPr>
                <w:color w:val="000000"/>
              </w:rPr>
              <w:t xml:space="preserve">, t.i., </w:t>
            </w:r>
            <w:r w:rsidR="00305FB0" w:rsidRPr="00737C0F">
              <w:rPr>
                <w:color w:val="000000"/>
              </w:rPr>
              <w:t>bērnu tiesību aizsardzībā, psiholoģijā vai sociālajā darbā.</w:t>
            </w:r>
            <w:r w:rsidR="00305FB0" w:rsidRPr="00737C0F">
              <w:rPr>
                <w:rFonts w:ascii="Courier" w:hAnsi="Courier" w:cs="Courier"/>
                <w:color w:val="000000"/>
                <w:sz w:val="20"/>
                <w:szCs w:val="20"/>
              </w:rPr>
              <w:br/>
            </w:r>
            <w:r w:rsidRPr="00737C0F">
              <w:t>- saskaņā ar grozījumiem Bērnu tiesību aizsardzības likumā speciāl</w:t>
            </w:r>
            <w:r w:rsidR="00992C13" w:rsidRPr="00737C0F">
              <w:t>ā</w:t>
            </w:r>
            <w:r w:rsidRPr="00737C0F">
              <w:t xml:space="preserve">s zināšanas ir jāapgūst arī pedagogiem. </w:t>
            </w:r>
            <w:r w:rsidR="00F76693" w:rsidRPr="00737C0F">
              <w:t>Ņemot vērā to, ka atbilstoši Ministru kabineta 2011.gada 7.jūnija noteikumiem Nr. 431 „Pedagogu profesionālās kvalifikācijas pilnveides kārtība” pedagoga pienākums ir apgūt profesionālās kvalifikācijas pilnveides programmas, kuru apjoms triju gadu laikā nav mazāks par 36 stundām (kopsummā), noteikumu projekts paredz</w:t>
            </w:r>
            <w:r w:rsidR="00615889" w:rsidRPr="00737C0F">
              <w:t xml:space="preserve">, ka </w:t>
            </w:r>
            <w:r w:rsidR="00FC34BD" w:rsidRPr="00737C0F">
              <w:t>pedagog</w:t>
            </w:r>
            <w:r w:rsidR="00615889" w:rsidRPr="00737C0F">
              <w:t>i speciālas zināšanas bērnu tiesību aizsardzības jomā apgūst un pilnveido atbilstoši normatīvajiem aktiem par pedagogu profesionālās kvalifikācijas pilnveides kārtībai</w:t>
            </w:r>
            <w:r w:rsidR="00F76693" w:rsidRPr="00737C0F">
              <w:t xml:space="preserve"> </w:t>
            </w:r>
            <w:r w:rsidR="00275F91" w:rsidRPr="00737C0F">
              <w:t>(2.1.3</w:t>
            </w:r>
            <w:r w:rsidR="001332E9" w:rsidRPr="00737C0F">
              <w:t>.</w:t>
            </w:r>
            <w:r w:rsidR="00275F91" w:rsidRPr="00737C0F">
              <w:t>apakš</w:t>
            </w:r>
            <w:r w:rsidR="001332E9" w:rsidRPr="00737C0F">
              <w:t>punkts)</w:t>
            </w:r>
            <w:r w:rsidR="00615889" w:rsidRPr="00737C0F">
              <w:t>. Ņemot vērā to, ka</w:t>
            </w:r>
            <w:proofErr w:type="gramStart"/>
            <w:r w:rsidR="00615889" w:rsidRPr="00737C0F">
              <w:t xml:space="preserve"> </w:t>
            </w:r>
            <w:r w:rsidR="004C52E2" w:rsidRPr="00737C0F">
              <w:t xml:space="preserve"> </w:t>
            </w:r>
            <w:proofErr w:type="gramEnd"/>
            <w:r w:rsidR="004C52E2" w:rsidRPr="00737C0F">
              <w:t xml:space="preserve">patlaban spēkā esošajos MK 2013.gada 2.jūlija noteikumos Nr. 363 „Noteikumi par pedagogiem nepieciešamo izglītību un profesionālo kvalifikāciju un pedagogu profesionālās kvalifikācijas pilnveides kārtību” </w:t>
            </w:r>
            <w:r w:rsidR="004C52E2" w:rsidRPr="00737C0F">
              <w:rPr>
                <w:u w:val="single"/>
              </w:rPr>
              <w:t>nav paredzēts</w:t>
            </w:r>
            <w:r w:rsidR="004C52E2" w:rsidRPr="00737C0F">
              <w:t>, ka pedagogi apgūst tēmas par bērnu tiesību aizsardzību A vai B profesionālās kvalifikācijas pilnveides programmas ietvaros, šajā normatīvajā aktā ir nepieciešams veikt grozījumus;</w:t>
            </w:r>
          </w:p>
          <w:p w:rsidR="007D12EB" w:rsidRPr="00737C0F" w:rsidRDefault="00F76693" w:rsidP="00FC260E">
            <w:pPr>
              <w:pStyle w:val="naiskr"/>
              <w:spacing w:before="0" w:after="0"/>
              <w:jc w:val="both"/>
            </w:pPr>
            <w:r w:rsidRPr="00737C0F">
              <w:t xml:space="preserve">- </w:t>
            </w:r>
            <w:r w:rsidR="007D12EB" w:rsidRPr="00737C0F">
              <w:t xml:space="preserve">noteikumu projekts paredz, ka prokurori apgūst 40 stundu </w:t>
            </w:r>
            <w:r w:rsidR="000D59EE" w:rsidRPr="00737C0F">
              <w:t>izglītības</w:t>
            </w:r>
            <w:r w:rsidR="001332E9" w:rsidRPr="00737C0F">
              <w:t xml:space="preserve"> progra</w:t>
            </w:r>
            <w:r w:rsidR="00784C83" w:rsidRPr="00737C0F">
              <w:t xml:space="preserve">mmu un 24 zināšanu pilnveides </w:t>
            </w:r>
            <w:r w:rsidR="000D59EE" w:rsidRPr="00737C0F">
              <w:t>izglītības</w:t>
            </w:r>
            <w:r w:rsidR="001332E9" w:rsidRPr="00737C0F">
              <w:t xml:space="preserve"> pro</w:t>
            </w:r>
            <w:r w:rsidR="00784C83" w:rsidRPr="00737C0F">
              <w:t xml:space="preserve">grammu (nevis 20 un 12 stundu </w:t>
            </w:r>
            <w:r w:rsidR="000D59EE" w:rsidRPr="00737C0F">
              <w:t>izglītības</w:t>
            </w:r>
            <w:r w:rsidR="001332E9" w:rsidRPr="00737C0F">
              <w:t xml:space="preserve"> programmu, kā bija paredzēts iepriekš</w:t>
            </w:r>
            <w:r w:rsidR="001B0EAB" w:rsidRPr="00737C0F">
              <w:t xml:space="preserve"> MK noteikumos Nr.729</w:t>
            </w:r>
            <w:r w:rsidR="00DB448B" w:rsidRPr="00737C0F">
              <w:t>)</w:t>
            </w:r>
            <w:r w:rsidR="00D44FE8" w:rsidRPr="00737C0F">
              <w:t xml:space="preserve">, kas dos iespēju labāk </w:t>
            </w:r>
            <w:r w:rsidR="00240E0A" w:rsidRPr="00737C0F">
              <w:t>apgūt bērna pratināšanas iemaņas</w:t>
            </w:r>
            <w:r w:rsidR="00615889" w:rsidRPr="00737C0F">
              <w:t>. Šī prasība izstrādāta</w:t>
            </w:r>
            <w:r w:rsidR="007D12EB" w:rsidRPr="00737C0F">
              <w:t xml:space="preserve"> </w:t>
            </w:r>
            <w:r w:rsidR="00615889" w:rsidRPr="00737C0F">
              <w:t xml:space="preserve">saskaņā </w:t>
            </w:r>
            <w:proofErr w:type="gramStart"/>
            <w:r w:rsidR="00615889" w:rsidRPr="00737C0F">
              <w:t>ar Eiropas Parlamenta un Padomes</w:t>
            </w:r>
            <w:proofErr w:type="gramEnd"/>
            <w:r w:rsidR="00615889" w:rsidRPr="00737C0F">
              <w:t xml:space="preserve"> 2011.gada 13.decembra direktīvas 2011/93/ES par seksuālas vardarbības pret bērniem, bērnu seksuālas izmantošanas un bērnu pornogrāfijas apkarošanu, un ar kuru aizstāj Padomes Pamatlēmumu 2004/68/TI 20.pantu, kas paredz, ka cietušo bērnu nopratina minētajam nolūkam īpaši apmācīti speciālisti;</w:t>
            </w:r>
          </w:p>
          <w:p w:rsidR="00D50957" w:rsidRPr="00737C0F" w:rsidRDefault="00FC260E" w:rsidP="00FC260E">
            <w:pPr>
              <w:pStyle w:val="naiskr"/>
              <w:spacing w:before="0" w:after="0"/>
              <w:jc w:val="both"/>
            </w:pPr>
            <w:r w:rsidRPr="00737C0F">
              <w:t xml:space="preserve">- skaidri noteikts, ka </w:t>
            </w:r>
            <w:r w:rsidR="004B5BAC" w:rsidRPr="00737C0F">
              <w:rPr>
                <w:iCs/>
              </w:rPr>
              <w:t>jaunatnes lietu speciā</w:t>
            </w:r>
            <w:r w:rsidR="00992C13" w:rsidRPr="00737C0F">
              <w:rPr>
                <w:iCs/>
              </w:rPr>
              <w:t>listi speciālā</w:t>
            </w:r>
            <w:r w:rsidR="004B5BAC" w:rsidRPr="00737C0F">
              <w:rPr>
                <w:iCs/>
              </w:rPr>
              <w:t>s zināšanas apg</w:t>
            </w:r>
            <w:r w:rsidR="00DB2E15" w:rsidRPr="00737C0F">
              <w:rPr>
                <w:iCs/>
              </w:rPr>
              <w:t>ūst</w:t>
            </w:r>
            <w:r w:rsidR="004B5BAC" w:rsidRPr="00737C0F">
              <w:t xml:space="preserve"> Ministra kabineta 2008.gada 16.decembra noteikumos Nr.1047 „Jaunatnes lietu speciālistu apmācības kārtība” noteiktajā kārtībā, </w:t>
            </w:r>
            <w:r w:rsidRPr="00737C0F">
              <w:t>bet bāriņtiesas darbinieki</w:t>
            </w:r>
            <w:r w:rsidR="004B5BAC" w:rsidRPr="00737C0F">
              <w:t xml:space="preserve"> </w:t>
            </w:r>
            <w:r w:rsidR="000D59EE" w:rsidRPr="00737C0F">
              <w:t>izglītības programmu</w:t>
            </w:r>
            <w:r w:rsidRPr="00737C0F">
              <w:t xml:space="preserve"> apgūst atbilstoši</w:t>
            </w:r>
            <w:r w:rsidR="004B5BAC" w:rsidRPr="00737C0F">
              <w:t xml:space="preserve"> Ministru kabineta 2006.gada 5.decembra noteikumos </w:t>
            </w:r>
            <w:r w:rsidR="004B5BAC" w:rsidRPr="00737C0F">
              <w:lastRenderedPageBreak/>
              <w:t>Nr.984 „Noteikumi par bāriņtiesas priekšsēdētāja, bāriņtiesas priekšsēdētāja vietnieka un bāriņtiesas locekļa mācību programmas saturu un apmācības kārtību”</w:t>
            </w:r>
            <w:r w:rsidR="00B83EB6" w:rsidRPr="00737C0F">
              <w:t xml:space="preserve"> noteiktajam (</w:t>
            </w:r>
            <w:r w:rsidR="00240E0A" w:rsidRPr="00737C0F">
              <w:t>2.1</w:t>
            </w:r>
            <w:r w:rsidR="00EC422E" w:rsidRPr="00737C0F">
              <w:t>.</w:t>
            </w:r>
            <w:r w:rsidR="00240E0A" w:rsidRPr="00737C0F">
              <w:t>apakš</w:t>
            </w:r>
            <w:r w:rsidR="00EC422E" w:rsidRPr="00737C0F">
              <w:t>punkts</w:t>
            </w:r>
            <w:r w:rsidRPr="00737C0F">
              <w:t>)</w:t>
            </w:r>
            <w:r w:rsidR="0009211F" w:rsidRPr="00737C0F">
              <w:t xml:space="preserve">. Šajos noteikumos paredzēts, ka jaunatnes lietu speciālisti apgūst pamatprogrammu ne mazāk kā 80 akadēmisko stundu apmērā, tai skaitā 8 stundas tiek atvēlētas tiesību pamatiem un bērnu tiesību aizsardzībai, savukārt </w:t>
            </w:r>
            <w:r w:rsidR="000F0349" w:rsidRPr="00737C0F">
              <w:rPr>
                <w:bCs/>
              </w:rPr>
              <w:t>bāriņtiesu</w:t>
            </w:r>
            <w:r w:rsidR="0009211F" w:rsidRPr="00737C0F">
              <w:rPr>
                <w:bCs/>
              </w:rPr>
              <w:t xml:space="preserve"> priekšsēdētāji, bāriņties</w:t>
            </w:r>
            <w:r w:rsidR="000F0349" w:rsidRPr="00737C0F">
              <w:rPr>
                <w:bCs/>
              </w:rPr>
              <w:t>u</w:t>
            </w:r>
            <w:r w:rsidR="0009211F" w:rsidRPr="00737C0F">
              <w:rPr>
                <w:bCs/>
              </w:rPr>
              <w:t xml:space="preserve"> priek</w:t>
            </w:r>
            <w:r w:rsidR="000F0349" w:rsidRPr="00737C0F">
              <w:rPr>
                <w:bCs/>
              </w:rPr>
              <w:t>šsēdētāju</w:t>
            </w:r>
            <w:r w:rsidR="0009211F" w:rsidRPr="00737C0F">
              <w:rPr>
                <w:bCs/>
              </w:rPr>
              <w:t xml:space="preserve"> vietnieki</w:t>
            </w:r>
            <w:r w:rsidR="000F0349" w:rsidRPr="00737C0F">
              <w:rPr>
                <w:bCs/>
              </w:rPr>
              <w:t xml:space="preserve"> un bāriņtiesu</w:t>
            </w:r>
            <w:r w:rsidR="0009211F" w:rsidRPr="00737C0F">
              <w:rPr>
                <w:bCs/>
              </w:rPr>
              <w:t xml:space="preserve"> locekļi apgūst programmu ne mazāk kā 150 stundu apjomā, kā arī ik pēc 5 gadiem pilnveido zināšanas, apgūstot programmu 24 stundu apjomā. </w:t>
            </w:r>
            <w:r w:rsidR="00BC65B9" w:rsidRPr="00737C0F">
              <w:rPr>
                <w:bCs/>
              </w:rPr>
              <w:t>Izglītības</w:t>
            </w:r>
            <w:r w:rsidR="0009211F" w:rsidRPr="00737C0F">
              <w:rPr>
                <w:bCs/>
              </w:rPr>
              <w:t xml:space="preserve"> programmā</w:t>
            </w:r>
            <w:r w:rsidR="00BC65B9" w:rsidRPr="00737C0F">
              <w:rPr>
                <w:bCs/>
              </w:rPr>
              <w:t xml:space="preserve"> bāriņtiesu speciālistiem</w:t>
            </w:r>
            <w:r w:rsidR="0009211F" w:rsidRPr="00737C0F">
              <w:rPr>
                <w:bCs/>
              </w:rPr>
              <w:t xml:space="preserve"> tiek iekļautas tēmas par bērna tiesībām un vardarbību pret bērniem</w:t>
            </w:r>
            <w:r w:rsidRPr="00737C0F">
              <w:t>;</w:t>
            </w:r>
          </w:p>
          <w:p w:rsidR="009565A5" w:rsidRPr="00737C0F" w:rsidRDefault="00FC260E" w:rsidP="009565A5">
            <w:pPr>
              <w:pStyle w:val="naiskr"/>
              <w:spacing w:before="0" w:after="0"/>
              <w:jc w:val="both"/>
            </w:pPr>
            <w:r w:rsidRPr="00737C0F">
              <w:t xml:space="preserve">- </w:t>
            </w:r>
            <w:r w:rsidR="000D59EE" w:rsidRPr="00737C0F">
              <w:t>izglītības</w:t>
            </w:r>
            <w:r w:rsidR="009565A5" w:rsidRPr="00737C0F">
              <w:t xml:space="preserve"> programmu paraugus apstiprin</w:t>
            </w:r>
            <w:r w:rsidR="00184CD3" w:rsidRPr="00737C0F">
              <w:t>a</w:t>
            </w:r>
            <w:r w:rsidR="00636955" w:rsidRPr="00737C0F">
              <w:t xml:space="preserve"> labklājības ministrs </w:t>
            </w:r>
            <w:r w:rsidR="00240E0A" w:rsidRPr="00737C0F">
              <w:t>(10</w:t>
            </w:r>
            <w:r w:rsidR="007F3187" w:rsidRPr="00737C0F">
              <w:t xml:space="preserve">.punkts). </w:t>
            </w:r>
            <w:r w:rsidR="00D80017" w:rsidRPr="00737C0F">
              <w:t>Izglītības</w:t>
            </w:r>
            <w:r w:rsidR="007F3187" w:rsidRPr="00737C0F">
              <w:t xml:space="preserve"> programmu paraugiem ir rekomendējošs raksturs. Izglītības iestādes var izmantot </w:t>
            </w:r>
            <w:r w:rsidR="00D80017" w:rsidRPr="00737C0F">
              <w:t>izglītības</w:t>
            </w:r>
            <w:r w:rsidR="007F3187" w:rsidRPr="00737C0F">
              <w:t xml:space="preserve"> programmu paraugus, izstrādājot savas programmas par speciālajām zināšanām b</w:t>
            </w:r>
            <w:r w:rsidR="00D80017" w:rsidRPr="00737C0F">
              <w:t>ērnu tiesību aizsardzības jomā;</w:t>
            </w:r>
          </w:p>
          <w:p w:rsidR="00240E0A" w:rsidRPr="00737C0F" w:rsidRDefault="00D80017" w:rsidP="009565A5">
            <w:pPr>
              <w:pStyle w:val="naiskr"/>
              <w:spacing w:before="0" w:after="0"/>
              <w:jc w:val="both"/>
            </w:pPr>
            <w:r w:rsidRPr="00737C0F">
              <w:t>- izglītības programmu var īstenot ne tikai izglītības iestādes, bet arī ministriju padotības iestādes, kuru nolikums paredz izglītojošas darbības veikšanu (1</w:t>
            </w:r>
            <w:r w:rsidR="00240E0A" w:rsidRPr="00737C0F">
              <w:t>1</w:t>
            </w:r>
            <w:r w:rsidRPr="00737C0F">
              <w:t>.punkts);</w:t>
            </w:r>
          </w:p>
          <w:p w:rsidR="00184CD3" w:rsidRPr="00737C0F" w:rsidRDefault="00184CD3" w:rsidP="009565A5">
            <w:pPr>
              <w:pStyle w:val="naiskr"/>
              <w:spacing w:before="0" w:after="0"/>
              <w:jc w:val="both"/>
            </w:pPr>
            <w:r w:rsidRPr="00737C0F">
              <w:t>- pirms</w:t>
            </w:r>
            <w:r w:rsidR="00EC422E" w:rsidRPr="00737C0F">
              <w:t xml:space="preserve"> īstenošanas izglītības iestāde</w:t>
            </w:r>
            <w:r w:rsidR="00BC65B9" w:rsidRPr="00737C0F">
              <w:t>s</w:t>
            </w:r>
            <w:r w:rsidR="00D80017" w:rsidRPr="00737C0F">
              <w:t xml:space="preserve"> vai ministriju padotības iestādes, kuru nolikums paredz izglītojošas darbības veikšanu,</w:t>
            </w:r>
            <w:r w:rsidR="00784C83" w:rsidRPr="00737C0F">
              <w:t xml:space="preserve"> </w:t>
            </w:r>
            <w:r w:rsidR="00D80017" w:rsidRPr="00737C0F">
              <w:t>izglītības</w:t>
            </w:r>
            <w:r w:rsidR="00DB2E15" w:rsidRPr="00737C0F">
              <w:t xml:space="preserve"> programmu </w:t>
            </w:r>
            <w:r w:rsidRPr="00737C0F">
              <w:t>saskaņo ar Valsts bērnu tie</w:t>
            </w:r>
            <w:r w:rsidR="00A3212B" w:rsidRPr="00737C0F">
              <w:t>sību</w:t>
            </w:r>
            <w:r w:rsidR="00B66825" w:rsidRPr="00737C0F">
              <w:t xml:space="preserve"> aizsardzības inspekciju (1</w:t>
            </w:r>
            <w:r w:rsidR="00240E0A" w:rsidRPr="00737C0F">
              <w:t>1</w:t>
            </w:r>
            <w:r w:rsidRPr="00737C0F">
              <w:t>. punkts)</w:t>
            </w:r>
            <w:r w:rsidR="00062571" w:rsidRPr="00737C0F">
              <w:t>, nevis ar Labklājības ministriju</w:t>
            </w:r>
            <w:r w:rsidRPr="00737C0F">
              <w:t>;</w:t>
            </w:r>
          </w:p>
          <w:p w:rsidR="00407D76" w:rsidRPr="00737C0F" w:rsidRDefault="003F0D3A" w:rsidP="00407D76">
            <w:pPr>
              <w:jc w:val="both"/>
            </w:pPr>
            <w:r w:rsidRPr="00737C0F">
              <w:t xml:space="preserve">- </w:t>
            </w:r>
            <w:r w:rsidR="00407D76" w:rsidRPr="00737C0F">
              <w:t>Noteikumu projekts paredz atšķirīgu kārtību, kā Bērnu tiesību aizsardzības likuma 5.</w:t>
            </w:r>
            <w:r w:rsidR="00407D76" w:rsidRPr="00737C0F">
              <w:rPr>
                <w:vertAlign w:val="superscript"/>
              </w:rPr>
              <w:t>1</w:t>
            </w:r>
            <w:r w:rsidR="00407D76" w:rsidRPr="00737C0F">
              <w:t xml:space="preserve"> panta pirmās daļas 20.punktā minētās citas personas, ar kuru pieņemtu pārvaldes lēmumu, faktisku rīcību vai cita veida darba vai dienesta pienākumu veikšanu tiek vai var tikt skartas bērna tiesības un tiesiskās intereses, apgūst un pilnveido speciālās zināšanas bērnu tiesību aizsardzības jomā (</w:t>
            </w:r>
            <w:r w:rsidR="00240E0A" w:rsidRPr="00737C0F">
              <w:t>2.3. apakš</w:t>
            </w:r>
            <w:r w:rsidR="00407D76" w:rsidRPr="00737C0F">
              <w:t>punkts</w:t>
            </w:r>
            <w:r w:rsidR="00240E0A" w:rsidRPr="00737C0F">
              <w:t>. 15.punkts</w:t>
            </w:r>
            <w:r w:rsidR="00407D76" w:rsidRPr="00737C0F">
              <w:t>). Bērnu tiesību aizsardzības likuma 5.1 panta pirmās daļas 20.punkta minēto subjektu lokā neietilpst Bērnu tiesību aizsardzības likuma 5.</w:t>
            </w:r>
            <w:r w:rsidR="00407D76" w:rsidRPr="00737C0F">
              <w:rPr>
                <w:vertAlign w:val="superscript"/>
              </w:rPr>
              <w:t>1</w:t>
            </w:r>
            <w:r w:rsidR="00407D76" w:rsidRPr="00737C0F">
              <w:t xml:space="preserve"> panta pirmās daļas 1.-19.punktā minētie subjekti, tomēr ietilpst to profesiju pārstāvji, kuri, veicot savus ikdienas pienākumus, var laicīgi pamanīt un novērst bērnu tiesību pārkāpumus.  Piemēram, tie var būt pašvaldības policijas policisti, kuri pilda kārtībnieka pienākumus un savā ikdienas darbā var saskarties ar Latvijas Administratīvo pārkāpumu kodeksa 172.pantā minētajām situācijām, kad nepilngadīgo iesaista alkoholisko dzērienu lietošanā, par ko nepieciešams sastādīt administratīvo protokolu.   Bērnu tiesību aizsardzības likuma 5.</w:t>
            </w:r>
            <w:r w:rsidR="00407D76" w:rsidRPr="00737C0F">
              <w:rPr>
                <w:vertAlign w:val="superscript"/>
              </w:rPr>
              <w:t>1</w:t>
            </w:r>
            <w:r w:rsidR="00407D76" w:rsidRPr="00737C0F">
              <w:t xml:space="preserve"> panta pirmās daļas 20.punktā minētais personu loks neaptver tās personas, kuru pieņemtais pārvaldes lēmums, faktiskā rīcība vai cita veida darba vai dienesta pienākumu veikšana ietekmē bērna tiesības pastarpināti vai kuriem atbilstoši normatīvajos aktos noteiktajam,</w:t>
            </w:r>
            <w:proofErr w:type="gramStart"/>
            <w:r w:rsidR="00407D76" w:rsidRPr="00737C0F">
              <w:t xml:space="preserve">  </w:t>
            </w:r>
            <w:proofErr w:type="gramEnd"/>
            <w:r w:rsidR="00407D76" w:rsidRPr="00737C0F">
              <w:t xml:space="preserve">nav iespējas vai tiesību vērtēt, cik lielā mērā pieņemtais lēmums ietekmē bērna tiesības. Piemēram, Uzturlīdzekļu garantiju fonda administrācija, kuras pienākums ir bez sevišķa tiesas lēmuma stāties piedzinēja vietā uzturlīdzekļu lietā, nevērtēs, vai šāda rīcība skar vai var skart citus parādnieka apgādībā esošus bērnus. </w:t>
            </w:r>
          </w:p>
          <w:p w:rsidR="00407D76" w:rsidRPr="00737C0F" w:rsidRDefault="00407D76" w:rsidP="00407D76">
            <w:pPr>
              <w:jc w:val="both"/>
            </w:pPr>
            <w:r w:rsidRPr="00737C0F">
              <w:t>Noteikumu</w:t>
            </w:r>
            <w:proofErr w:type="gramStart"/>
            <w:r w:rsidRPr="00737C0F">
              <w:t xml:space="preserve">  </w:t>
            </w:r>
            <w:proofErr w:type="gramEnd"/>
            <w:r w:rsidRPr="00737C0F">
              <w:t>projekts  paredz, ka Bērnu tiesību aizsardzības likuma 5.</w:t>
            </w:r>
            <w:r w:rsidRPr="00737C0F">
              <w:rPr>
                <w:vertAlign w:val="superscript"/>
              </w:rPr>
              <w:t>1</w:t>
            </w:r>
            <w:r w:rsidRPr="00737C0F">
              <w:t xml:space="preserve"> panta pirmās  daļas  20.punkta minētajām citām personām, ar kuru </w:t>
            </w:r>
            <w:r w:rsidRPr="00737C0F">
              <w:lastRenderedPageBreak/>
              <w:t xml:space="preserve">pieņemtu pārvaldes lēmumu,  faktisku  rīcību  vai  cita  veida  darba  vai  dienesta pienākumu veikšanu  tiek  vai var tikt skartas bērna tiesības un tiesiskās intereses, speciālo  zināšanu  bērnu  tiesību  aizsardzības jomā apguvi un pilnveidi organizē darba devējs. Šādu apmācību (gan sākotnējo, gan zināšanu pilnveides – reizi piecos gados) apjoms nav  mazāks par astoņām akadēmiskām  stundām. Apmācību saturu (tēmas) darba devējs  saskaņo  ar  Valsts  bērnu  tiesību aizsardzības  inspekciju. Apmācību tēmas tiek </w:t>
            </w:r>
            <w:r w:rsidR="00540C49" w:rsidRPr="00737C0F">
              <w:t>izvēlētas atbilstoši noteikumu 8</w:t>
            </w:r>
            <w:r w:rsidRPr="00737C0F">
              <w:t>.punktā minētajām apmācību tēmām,</w:t>
            </w:r>
            <w:proofErr w:type="gramStart"/>
            <w:r w:rsidRPr="00737C0F">
              <w:t xml:space="preserve">  </w:t>
            </w:r>
            <w:proofErr w:type="gramEnd"/>
            <w:r w:rsidRPr="00737C0F">
              <w:t xml:space="preserve">ņemot vērā apmācāmo  personu  darba  specifiku.  Detalizēta programma un pasniedzēju piesaiste paliek darba devēja ziņā un, ja nepieciešams, apmācību nodrošināšanai darba devējs var piesaistīt kvalificētus lektorus. Piemēram, ja darba devējs uzskata, ka ir jābūt apmācībām tikai par darbu ar nepilngadīgo, kurš izdarīja administratīvos pārkāpumus, tad   organizē apmācības atbilstoši šai vajadzībai. VBTAI rakstiski tiek informēta,  par kādām tēmām un kādā apmērā  tiks organizētas apmācības. Darba  devējs  var  lemt,  vai pēc šo apmācību  apgūšanas  ir  nepieciešams organizēt pārbaudes darbu. Par darba devēja organizētajām apmācībām noteikumu pielikumā pievienotā apliecība  netiek  izsniegta,  apmācību apgūšanas fakts tiek fiksēts darbinieka lietā. </w:t>
            </w:r>
          </w:p>
          <w:p w:rsidR="00407D76" w:rsidRPr="00737C0F" w:rsidRDefault="00407D76" w:rsidP="003F0D3A">
            <w:pPr>
              <w:jc w:val="both"/>
              <w:rPr>
                <w:rFonts w:eastAsiaTheme="minorHAnsi"/>
                <w:lang w:eastAsia="en-US"/>
              </w:rPr>
            </w:pPr>
            <w:r w:rsidRPr="00737C0F">
              <w:t>Šajos noteikumos minētās profesionālās kvalifikācijas pilnveides programmas un darba devēja organizētā apmācība tiek saskaņota ar VBTAI, tā netiek licencēta vai akreditēta.</w:t>
            </w:r>
          </w:p>
          <w:p w:rsidR="00FC260E" w:rsidRPr="00737C0F" w:rsidRDefault="009565A5" w:rsidP="009444AD">
            <w:pPr>
              <w:pStyle w:val="naiskr"/>
              <w:spacing w:before="0" w:after="0"/>
              <w:jc w:val="both"/>
            </w:pPr>
            <w:r w:rsidRPr="00737C0F">
              <w:t xml:space="preserve">- tiek noteiktas vienotā parauga apliecības </w:t>
            </w:r>
            <w:r w:rsidR="00B66825" w:rsidRPr="00737C0F">
              <w:t>(</w:t>
            </w:r>
            <w:r w:rsidR="009444AD" w:rsidRPr="00737C0F">
              <w:t>pielikums), kā arī noteiktas prasības</w:t>
            </w:r>
            <w:r w:rsidR="00DB2E15" w:rsidRPr="00737C0F">
              <w:t>, kad</w:t>
            </w:r>
            <w:r w:rsidR="009444AD" w:rsidRPr="00737C0F">
              <w:t xml:space="preserve"> apliecība apmācību</w:t>
            </w:r>
            <w:r w:rsidR="00F24A8A" w:rsidRPr="00737C0F">
              <w:t xml:space="preserve"> dalībniekam tiek izsniegta (1</w:t>
            </w:r>
            <w:r w:rsidR="00540C49" w:rsidRPr="00737C0F">
              <w:t>6</w:t>
            </w:r>
            <w:r w:rsidR="00A3212B" w:rsidRPr="00737C0F">
              <w:t xml:space="preserve">. </w:t>
            </w:r>
            <w:r w:rsidR="00521E24" w:rsidRPr="00737C0F">
              <w:t>punkts).</w:t>
            </w:r>
            <w:r w:rsidR="009444AD" w:rsidRPr="00737C0F">
              <w:t xml:space="preserve"> Līdz šim prasība apmeklēt 90% kursa nodarbību un sekmīgi nokārtot noslēguma pārbaudījumu tika iekļauta </w:t>
            </w:r>
            <w:r w:rsidR="00206B80" w:rsidRPr="00737C0F">
              <w:t xml:space="preserve">izglītības </w:t>
            </w:r>
            <w:r w:rsidR="009444AD" w:rsidRPr="00737C0F">
              <w:t>programmas paraugā</w:t>
            </w:r>
            <w:r w:rsidR="00DB2E15" w:rsidRPr="00737C0F">
              <w:t xml:space="preserve"> un praksē tika ievērota</w:t>
            </w:r>
            <w:r w:rsidR="000F6140" w:rsidRPr="00737C0F">
              <w:t xml:space="preserve">. </w:t>
            </w:r>
            <w:r w:rsidR="00E43EC8" w:rsidRPr="00737C0F">
              <w:t xml:space="preserve"> Lektors</w:t>
            </w:r>
            <w:r w:rsidR="004E733A" w:rsidRPr="00737C0F">
              <w:t xml:space="preserve"> var izvēlēties</w:t>
            </w:r>
            <w:r w:rsidR="00E43EC8" w:rsidRPr="00737C0F">
              <w:t xml:space="preserve"> noslēguma pārbaudījuma formu, izvērtējot konkrēto mērķauditoriju. </w:t>
            </w:r>
            <w:r w:rsidR="000F6140" w:rsidRPr="00737C0F">
              <w:t>Noslēguma pārbaudījum</w:t>
            </w:r>
            <w:r w:rsidR="00E43EC8" w:rsidRPr="00737C0F">
              <w:t xml:space="preserve">s </w:t>
            </w:r>
            <w:r w:rsidR="000F6140" w:rsidRPr="00737C0F">
              <w:t>var būt ļoti daudzveidīgs, piemēram, rakstveida pārbaudījums, dalība diskusijā, apliecinot savu kompetenci, uz kāzusu risināšanu vērst</w:t>
            </w:r>
            <w:r w:rsidR="00A43662" w:rsidRPr="00737C0F">
              <w:t>s uzdevumus</w:t>
            </w:r>
            <w:r w:rsidR="000F6140" w:rsidRPr="00737C0F">
              <w:t xml:space="preserve">, </w:t>
            </w:r>
            <w:r w:rsidR="00206B80" w:rsidRPr="00737C0F">
              <w:t xml:space="preserve">gadījuma analīze </w:t>
            </w:r>
            <w:r w:rsidR="000F6140" w:rsidRPr="00737C0F">
              <w:t>utt</w:t>
            </w:r>
            <w:r w:rsidR="00A43662" w:rsidRPr="00737C0F">
              <w:t>.</w:t>
            </w:r>
            <w:r w:rsidR="000F6140" w:rsidRPr="00737C0F">
              <w:t xml:space="preserve"> </w:t>
            </w:r>
            <w:r w:rsidR="004E733A" w:rsidRPr="00737C0F">
              <w:t>P</w:t>
            </w:r>
            <w:r w:rsidR="00A43662" w:rsidRPr="00737C0F">
              <w:t>ersonas, kuras kādu no speciāl</w:t>
            </w:r>
            <w:r w:rsidR="00992C13" w:rsidRPr="00737C0F">
              <w:t>o</w:t>
            </w:r>
            <w:r w:rsidR="00A43662" w:rsidRPr="00737C0F">
              <w:t xml:space="preserve"> zināšanu tēmām ir apguvušas ne agrāk kā pirms pieciem gadiem, iegūstot augstāko izglītību vai tālākizglītību</w:t>
            </w:r>
            <w:r w:rsidR="00206B80" w:rsidRPr="00737C0F">
              <w:t xml:space="preserve"> (noteikumu </w:t>
            </w:r>
            <w:r w:rsidR="00E43EC8" w:rsidRPr="00737C0F">
              <w:t>4</w:t>
            </w:r>
            <w:r w:rsidR="00206B80" w:rsidRPr="00737C0F">
              <w:t>.punkts)</w:t>
            </w:r>
            <w:r w:rsidR="00A43662" w:rsidRPr="00737C0F">
              <w:t>, var a</w:t>
            </w:r>
            <w:r w:rsidR="00B66825" w:rsidRPr="00737C0F">
              <w:t>tkārtoti neklausīties jau apgūtā</w:t>
            </w:r>
            <w:r w:rsidR="00A43662" w:rsidRPr="00737C0F">
              <w:t xml:space="preserve">s tēmas, tomēr </w:t>
            </w:r>
            <w:r w:rsidR="00B32288" w:rsidRPr="00737C0F">
              <w:t>kārto pārbaudes d</w:t>
            </w:r>
            <w:r w:rsidR="00206B80" w:rsidRPr="00737C0F">
              <w:t>arbu par visām apmācībā</w:t>
            </w:r>
            <w:r w:rsidR="00B32288" w:rsidRPr="00737C0F">
              <w:t xml:space="preserve"> iekļautām tēmām</w:t>
            </w:r>
            <w:r w:rsidR="000F6140" w:rsidRPr="00737C0F">
              <w:t>.</w:t>
            </w:r>
            <w:r w:rsidR="00A01116" w:rsidRPr="00737C0F">
              <w:t xml:space="preserve"> Ja apmācības tiesnešiem</w:t>
            </w:r>
            <w:proofErr w:type="gramStart"/>
            <w:r w:rsidR="00A01116" w:rsidRPr="00737C0F">
              <w:t xml:space="preserve">  </w:t>
            </w:r>
            <w:proofErr w:type="gramEnd"/>
            <w:r w:rsidR="00A01116" w:rsidRPr="00737C0F">
              <w:t>nodrošina Latvijas Tiesnešu mācību centrs, apliecības dalībniekiem parasti netika izsniegtas, jo šī informācija tiek uzkrāta LTMC datu bāzē</w:t>
            </w:r>
            <w:r w:rsidR="00A740A6" w:rsidRPr="00737C0F">
              <w:t>, līdz ar to tiesnešiem, kuri apmeklēja mācības bērnu tiesību aizsardzības jomā, nav apliecību.</w:t>
            </w:r>
          </w:p>
          <w:p w:rsidR="00E47F68" w:rsidRPr="00737C0F" w:rsidRDefault="009444AD" w:rsidP="00E43EC8">
            <w:pPr>
              <w:pStyle w:val="naiskr"/>
              <w:spacing w:before="0" w:after="0"/>
              <w:jc w:val="both"/>
            </w:pPr>
            <w:r w:rsidRPr="00737C0F">
              <w:t>- lai nodrošinātu mērenu pāreju un ner</w:t>
            </w:r>
            <w:r w:rsidR="00E719C5" w:rsidRPr="00737C0F">
              <w:t>a</w:t>
            </w:r>
            <w:r w:rsidRPr="00737C0F">
              <w:t>dītu nesamērīgus apgrūtinājumus izglītības iestādēm un speciālistiem, noteikumu projekts paredz divas pārejas normas, nosakot, ka t</w:t>
            </w:r>
            <w:r w:rsidR="00784C83" w:rsidRPr="00737C0F">
              <w:t xml:space="preserve">ās izglītības iestādes, kuras </w:t>
            </w:r>
            <w:r w:rsidR="00206B80" w:rsidRPr="00737C0F">
              <w:t>izglītības</w:t>
            </w:r>
            <w:r w:rsidR="00784C83" w:rsidRPr="00737C0F">
              <w:t xml:space="preserve"> programmas</w:t>
            </w:r>
            <w:r w:rsidRPr="00737C0F">
              <w:t xml:space="preserve"> ir saskaņojušas ar Bērnu un ģimenes lietu ministriju</w:t>
            </w:r>
            <w:r w:rsidR="00F24A8A" w:rsidRPr="00737C0F">
              <w:t>, Bērnu ģimenes un sabiedrības integrācijas lietu ministriju</w:t>
            </w:r>
            <w:r w:rsidRPr="00737C0F">
              <w:t xml:space="preserve"> vai Labklājības minis</w:t>
            </w:r>
            <w:r w:rsidR="00E719C5" w:rsidRPr="00737C0F">
              <w:t>triju pirms šo noteikumu stāšanā</w:t>
            </w:r>
            <w:r w:rsidRPr="00737C0F">
              <w:t xml:space="preserve">s spēkā, </w:t>
            </w:r>
            <w:r w:rsidR="00784C83" w:rsidRPr="00737C0F">
              <w:t xml:space="preserve">šīs </w:t>
            </w:r>
            <w:r w:rsidR="00206B80" w:rsidRPr="00737C0F">
              <w:t>izglītības</w:t>
            </w:r>
            <w:r w:rsidR="004B34F5" w:rsidRPr="00737C0F">
              <w:t xml:space="preserve"> programmas </w:t>
            </w:r>
            <w:r w:rsidRPr="00737C0F">
              <w:t>var īstenot ne vēlāk kā</w:t>
            </w:r>
            <w:r w:rsidR="00E43EC8" w:rsidRPr="00737C0F">
              <w:t xml:space="preserve"> līdz 2014.gada 31.decembrim (19</w:t>
            </w:r>
            <w:r w:rsidRPr="00737C0F">
              <w:t>.punkts), kā arī paredzot, ka speciāli</w:t>
            </w:r>
            <w:r w:rsidR="00992C13" w:rsidRPr="00737C0F">
              <w:t>stiem, kuri ir apguvuši speciālā</w:t>
            </w:r>
            <w:r w:rsidRPr="00737C0F">
              <w:t>s zināšanas bērnu tiesību aizsardzības jomā pirms šo noteikumu</w:t>
            </w:r>
            <w:r w:rsidR="00E719C5" w:rsidRPr="00737C0F">
              <w:t xml:space="preserve"> stāšanā</w:t>
            </w:r>
            <w:r w:rsidRPr="00737C0F">
              <w:t xml:space="preserve">s spēkā, izsniegtā </w:t>
            </w:r>
            <w:r w:rsidRPr="00737C0F">
              <w:lastRenderedPageBreak/>
              <w:t>apliecība par zināšanu a</w:t>
            </w:r>
            <w:r w:rsidR="00E719C5" w:rsidRPr="00737C0F">
              <w:t>pguvi ir derīga līdz tās termiņa</w:t>
            </w:r>
            <w:r w:rsidR="00B66825" w:rsidRPr="00737C0F">
              <w:t xml:space="preserve"> beigām</w:t>
            </w:r>
            <w:r w:rsidR="003132C4" w:rsidRPr="00737C0F">
              <w:t>, t.i. 5 gadus kopš izsniegšanas brīža</w:t>
            </w:r>
            <w:r w:rsidR="00521E24" w:rsidRPr="00737C0F">
              <w:t xml:space="preserve"> (2</w:t>
            </w:r>
            <w:r w:rsidR="00E43EC8" w:rsidRPr="00737C0F">
              <w:t>0</w:t>
            </w:r>
            <w:r w:rsidRPr="00737C0F">
              <w:t>.punkts).</w:t>
            </w:r>
            <w:r w:rsidR="00A3212B" w:rsidRPr="00737C0F">
              <w:t xml:space="preserve"> </w:t>
            </w:r>
            <w:r w:rsidR="00521E24" w:rsidRPr="00737C0F">
              <w:t>Noteikumu 2</w:t>
            </w:r>
            <w:r w:rsidR="00E43EC8" w:rsidRPr="00737C0F">
              <w:t>0</w:t>
            </w:r>
            <w:r w:rsidR="00E47F68" w:rsidRPr="00737C0F">
              <w:t xml:space="preserve">.punkts attiecas arī uz tiem speciālistiem, kuri būs apguvuši vai iesāks apgūt speciālās zināšanas laika posmā no 2013.gada 4.jūlija, kad </w:t>
            </w:r>
            <w:r w:rsidR="00E140F9" w:rsidRPr="00737C0F">
              <w:t xml:space="preserve">noteikumi Nr. 729 zaudēja spēku, </w:t>
            </w:r>
            <w:r w:rsidR="00E47F68" w:rsidRPr="00737C0F">
              <w:t>līdz šo noteikumu spēkā stāšanās dienai. Tādejādi noteikumu projekts paredz nodrošināt apmācību nepārtrauktību, un apliecības, kuras tiks izsniegtas laika posmā, kad spēkā ir Bērnu tiesību aizsardzības likuma norma, bet nav attiecīga Ministru kabineta regulējuma, tiks atzītas par derīgām.</w:t>
            </w:r>
          </w:p>
        </w:tc>
      </w:tr>
      <w:tr w:rsidR="00262E2B" w:rsidRPr="00737C0F" w:rsidTr="009565A5">
        <w:trPr>
          <w:trHeight w:val="476"/>
        </w:trPr>
        <w:tc>
          <w:tcPr>
            <w:tcW w:w="550" w:type="dxa"/>
          </w:tcPr>
          <w:p w:rsidR="00262E2B" w:rsidRPr="00737C0F" w:rsidRDefault="00262E2B" w:rsidP="006C4607">
            <w:pPr>
              <w:pStyle w:val="naiskr"/>
              <w:spacing w:before="0" w:after="0"/>
              <w:rPr>
                <w:sz w:val="22"/>
                <w:szCs w:val="22"/>
              </w:rPr>
            </w:pPr>
            <w:r w:rsidRPr="00737C0F">
              <w:rPr>
                <w:sz w:val="22"/>
                <w:szCs w:val="22"/>
              </w:rPr>
              <w:lastRenderedPageBreak/>
              <w:t>5.</w:t>
            </w:r>
          </w:p>
        </w:tc>
        <w:tc>
          <w:tcPr>
            <w:tcW w:w="2432" w:type="dxa"/>
          </w:tcPr>
          <w:p w:rsidR="00262E2B" w:rsidRPr="00737C0F" w:rsidRDefault="001A4066" w:rsidP="006C4607">
            <w:pPr>
              <w:pStyle w:val="naiskr"/>
              <w:spacing w:before="0" w:after="0"/>
              <w:rPr>
                <w:sz w:val="22"/>
                <w:szCs w:val="22"/>
              </w:rPr>
            </w:pPr>
            <w:r w:rsidRPr="00737C0F">
              <w:rPr>
                <w:sz w:val="22"/>
                <w:szCs w:val="22"/>
              </w:rPr>
              <w:t>Projekta i</w:t>
            </w:r>
            <w:r w:rsidR="00262E2B" w:rsidRPr="00737C0F">
              <w:rPr>
                <w:sz w:val="22"/>
                <w:szCs w:val="22"/>
              </w:rPr>
              <w:t>zstrād</w:t>
            </w:r>
            <w:r w:rsidR="00420870" w:rsidRPr="00737C0F">
              <w:rPr>
                <w:sz w:val="22"/>
                <w:szCs w:val="22"/>
              </w:rPr>
              <w:t xml:space="preserve">ē </w:t>
            </w:r>
            <w:r w:rsidR="00262E2B" w:rsidRPr="00737C0F">
              <w:rPr>
                <w:sz w:val="22"/>
                <w:szCs w:val="22"/>
              </w:rPr>
              <w:t>iesaistītās institūcijas</w:t>
            </w:r>
          </w:p>
        </w:tc>
        <w:tc>
          <w:tcPr>
            <w:tcW w:w="6743" w:type="dxa"/>
          </w:tcPr>
          <w:p w:rsidR="00262E2B" w:rsidRPr="00737C0F" w:rsidRDefault="00582DF4" w:rsidP="00455648">
            <w:pPr>
              <w:pStyle w:val="naiskr"/>
              <w:spacing w:before="0" w:after="0"/>
              <w:jc w:val="both"/>
            </w:pPr>
            <w:r w:rsidRPr="00737C0F">
              <w:rPr>
                <w:iCs/>
              </w:rPr>
              <w:t xml:space="preserve">Valsts bērnu tiesību aizsardzības inspekcija, Valsts policijas speciālisti. </w:t>
            </w:r>
          </w:p>
        </w:tc>
      </w:tr>
      <w:tr w:rsidR="00262E2B" w:rsidRPr="00737C0F" w:rsidTr="00AA2899">
        <w:trPr>
          <w:trHeight w:val="777"/>
        </w:trPr>
        <w:tc>
          <w:tcPr>
            <w:tcW w:w="550" w:type="dxa"/>
          </w:tcPr>
          <w:p w:rsidR="00262E2B" w:rsidRPr="00737C0F" w:rsidRDefault="00262E2B" w:rsidP="006C4607">
            <w:pPr>
              <w:pStyle w:val="naiskr"/>
              <w:spacing w:before="0" w:after="0"/>
              <w:rPr>
                <w:sz w:val="22"/>
                <w:szCs w:val="22"/>
              </w:rPr>
            </w:pPr>
            <w:r w:rsidRPr="00737C0F">
              <w:rPr>
                <w:sz w:val="22"/>
                <w:szCs w:val="22"/>
              </w:rPr>
              <w:t>6.</w:t>
            </w:r>
          </w:p>
        </w:tc>
        <w:tc>
          <w:tcPr>
            <w:tcW w:w="2432" w:type="dxa"/>
          </w:tcPr>
          <w:p w:rsidR="00262E2B" w:rsidRPr="00737C0F" w:rsidRDefault="00BB7C94" w:rsidP="006C4607">
            <w:pPr>
              <w:pStyle w:val="naiskr"/>
              <w:spacing w:before="0" w:after="0"/>
              <w:rPr>
                <w:i/>
                <w:sz w:val="22"/>
                <w:szCs w:val="22"/>
              </w:rPr>
            </w:pPr>
            <w:r w:rsidRPr="00737C0F">
              <w:rPr>
                <w:sz w:val="22"/>
                <w:szCs w:val="22"/>
              </w:rPr>
              <w:t xml:space="preserve">Iemesli, kādēļ netika nodrošināta </w:t>
            </w:r>
            <w:r w:rsidR="00262E2B" w:rsidRPr="00737C0F">
              <w:rPr>
                <w:sz w:val="22"/>
                <w:szCs w:val="22"/>
              </w:rPr>
              <w:t xml:space="preserve">sabiedrības </w:t>
            </w:r>
            <w:r w:rsidRPr="00737C0F">
              <w:rPr>
                <w:sz w:val="22"/>
                <w:szCs w:val="22"/>
              </w:rPr>
              <w:t>līdzdalība</w:t>
            </w:r>
          </w:p>
        </w:tc>
        <w:tc>
          <w:tcPr>
            <w:tcW w:w="6743" w:type="dxa"/>
          </w:tcPr>
          <w:p w:rsidR="00AA2899" w:rsidRPr="00737C0F" w:rsidRDefault="00AA2899" w:rsidP="00455648">
            <w:pPr>
              <w:pStyle w:val="FootnoteText"/>
              <w:jc w:val="both"/>
              <w:rPr>
                <w:sz w:val="24"/>
                <w:szCs w:val="24"/>
              </w:rPr>
            </w:pPr>
            <w:r w:rsidRPr="00737C0F">
              <w:rPr>
                <w:iCs/>
                <w:sz w:val="22"/>
                <w:szCs w:val="22"/>
              </w:rPr>
              <w:t>Projekts šo jomu neskar.</w:t>
            </w:r>
          </w:p>
          <w:p w:rsidR="00D20FF4" w:rsidRPr="00737C0F" w:rsidRDefault="00D20FF4" w:rsidP="00455648">
            <w:pPr>
              <w:pStyle w:val="FootnoteText"/>
              <w:jc w:val="both"/>
              <w:rPr>
                <w:sz w:val="24"/>
                <w:szCs w:val="24"/>
              </w:rPr>
            </w:pPr>
          </w:p>
        </w:tc>
      </w:tr>
      <w:tr w:rsidR="00262E2B" w:rsidRPr="00737C0F" w:rsidTr="009565A5">
        <w:tc>
          <w:tcPr>
            <w:tcW w:w="550" w:type="dxa"/>
          </w:tcPr>
          <w:p w:rsidR="00262E2B" w:rsidRPr="00737C0F" w:rsidRDefault="00262E2B" w:rsidP="006C4607">
            <w:pPr>
              <w:pStyle w:val="naiskr"/>
              <w:spacing w:before="0" w:after="0"/>
              <w:rPr>
                <w:sz w:val="22"/>
                <w:szCs w:val="22"/>
              </w:rPr>
            </w:pPr>
            <w:r w:rsidRPr="00737C0F">
              <w:rPr>
                <w:sz w:val="22"/>
                <w:szCs w:val="22"/>
              </w:rPr>
              <w:t>7.</w:t>
            </w:r>
          </w:p>
        </w:tc>
        <w:tc>
          <w:tcPr>
            <w:tcW w:w="2432" w:type="dxa"/>
          </w:tcPr>
          <w:p w:rsidR="00262E2B" w:rsidRPr="00737C0F" w:rsidRDefault="00262E2B" w:rsidP="006C4607">
            <w:pPr>
              <w:pStyle w:val="naiskr"/>
              <w:spacing w:before="0" w:after="0"/>
              <w:rPr>
                <w:sz w:val="22"/>
                <w:szCs w:val="22"/>
              </w:rPr>
            </w:pPr>
            <w:r w:rsidRPr="00737C0F">
              <w:rPr>
                <w:sz w:val="22"/>
                <w:szCs w:val="22"/>
              </w:rPr>
              <w:t>Cita informācija</w:t>
            </w:r>
          </w:p>
        </w:tc>
        <w:tc>
          <w:tcPr>
            <w:tcW w:w="6743" w:type="dxa"/>
          </w:tcPr>
          <w:p w:rsidR="00D37A68" w:rsidRPr="00737C0F" w:rsidRDefault="00582DF4" w:rsidP="00455648">
            <w:pPr>
              <w:pStyle w:val="naiskr"/>
              <w:spacing w:before="0" w:after="0"/>
              <w:jc w:val="both"/>
            </w:pPr>
            <w:r w:rsidRPr="00737C0F">
              <w:t>Līdz ar noteikum</w:t>
            </w:r>
            <w:r w:rsidR="00E140F9" w:rsidRPr="00737C0F">
              <w:t>u projektu tika izstrādāti</w:t>
            </w:r>
            <w:r w:rsidR="00784C83" w:rsidRPr="00737C0F">
              <w:t xml:space="preserve"> </w:t>
            </w:r>
            <w:r w:rsidR="00206B80" w:rsidRPr="00737C0F">
              <w:t>izglītības</w:t>
            </w:r>
            <w:r w:rsidRPr="00737C0F">
              <w:t xml:space="preserve"> programmu paraugi dažādām speciālistu grupām: policistiem; tiesnešiem</w:t>
            </w:r>
            <w:r w:rsidR="00A60A0E" w:rsidRPr="00737C0F">
              <w:t>, advokātiem</w:t>
            </w:r>
            <w:r w:rsidRPr="00737C0F">
              <w:t xml:space="preserve"> un prokuroriem; psihologiem; pārējiem speciālistiem. </w:t>
            </w:r>
          </w:p>
          <w:p w:rsidR="00D37A68" w:rsidRPr="00737C0F" w:rsidRDefault="00784C83" w:rsidP="00455648">
            <w:pPr>
              <w:pStyle w:val="naiskr"/>
              <w:spacing w:before="0" w:after="0"/>
              <w:jc w:val="both"/>
            </w:pPr>
            <w:r w:rsidRPr="00737C0F">
              <w:t xml:space="preserve">Izstrādājot </w:t>
            </w:r>
            <w:r w:rsidR="00206B80" w:rsidRPr="00737C0F">
              <w:t>izglītības</w:t>
            </w:r>
            <w:r w:rsidR="00D37A68" w:rsidRPr="00737C0F">
              <w:t xml:space="preserve"> programmu paraugus, tika ņemti iepriekšējo apmācību dalībnieku ieteikumi, starptautisko organizāciju ieteikumi, ES direktīvu un Eiropas Padomes konvenciju prasības.   </w:t>
            </w:r>
          </w:p>
          <w:p w:rsidR="00582DF4" w:rsidRPr="00737C0F" w:rsidRDefault="007F3187" w:rsidP="00455648">
            <w:pPr>
              <w:pStyle w:val="naiskr"/>
              <w:spacing w:before="0" w:after="0"/>
              <w:jc w:val="both"/>
            </w:pPr>
            <w:r w:rsidRPr="00737C0F">
              <w:t>Noteikumu projekta 13.punkts paredz</w:t>
            </w:r>
            <w:r w:rsidR="00784C83" w:rsidRPr="00737C0F">
              <w:t xml:space="preserve">, ka šos </w:t>
            </w:r>
            <w:r w:rsidR="00206B80" w:rsidRPr="00737C0F">
              <w:t>izglītības</w:t>
            </w:r>
            <w:r w:rsidR="00582DF4" w:rsidRPr="00737C0F">
              <w:t xml:space="preserve"> programmas paraug</w:t>
            </w:r>
            <w:r w:rsidRPr="00737C0F">
              <w:t>us apstiprina</w:t>
            </w:r>
            <w:r w:rsidR="00582DF4" w:rsidRPr="00737C0F">
              <w:t xml:space="preserve"> l</w:t>
            </w:r>
            <w:r w:rsidR="00784C83" w:rsidRPr="00737C0F">
              <w:t xml:space="preserve">abklājības ministrs. Pirms šo </w:t>
            </w:r>
            <w:r w:rsidR="00206B80" w:rsidRPr="00737C0F">
              <w:t>izglītības</w:t>
            </w:r>
            <w:r w:rsidR="00582DF4" w:rsidRPr="00737C0F">
              <w:t xml:space="preserve"> programmu paraugu apstiprināšanas </w:t>
            </w:r>
            <w:r w:rsidR="00455648" w:rsidRPr="00737C0F">
              <w:t xml:space="preserve">to saturu </w:t>
            </w:r>
            <w:r w:rsidR="00582DF4" w:rsidRPr="00737C0F">
              <w:t>nepieciešams saskaņot ar dažādām valsts un pašvaldību iestādēm (tām iestādēm, kuru speciālistiem</w:t>
            </w:r>
            <w:r w:rsidR="00992C13" w:rsidRPr="00737C0F">
              <w:t xml:space="preserve"> būs nepieciešams apgūt speciālā</w:t>
            </w:r>
            <w:r w:rsidR="00582DF4" w:rsidRPr="00737C0F">
              <w:t>s zināšanas), kā arī izglītības iestādēm un nevalstiskām organizācijām, kuras līdz šim bija īstenojušas speciālistu apmācības (Valsts policijas koledža, nodibinājums „Centrs Dardedze”</w:t>
            </w:r>
            <w:r w:rsidR="00347AC6" w:rsidRPr="00737C0F">
              <w:t>, Pašvaldību mācību centrs</w:t>
            </w:r>
            <w:r w:rsidR="00A60A0E" w:rsidRPr="00737C0F">
              <w:t>, LU juridiskā fakultāte</w:t>
            </w:r>
            <w:r w:rsidR="00582DF4" w:rsidRPr="00737C0F">
              <w:t>) un profesionālajām</w:t>
            </w:r>
            <w:r w:rsidR="00582DF4" w:rsidRPr="00737C0F">
              <w:rPr>
                <w:sz w:val="22"/>
                <w:szCs w:val="22"/>
              </w:rPr>
              <w:t xml:space="preserve"> </w:t>
            </w:r>
            <w:r w:rsidR="00582DF4" w:rsidRPr="00737C0F">
              <w:t xml:space="preserve">organizācijām (piem., Latvijas Klīnisko psihologu asociācija). </w:t>
            </w:r>
          </w:p>
          <w:p w:rsidR="00582DF4" w:rsidRPr="00737C0F" w:rsidRDefault="00206B80" w:rsidP="00455648">
            <w:pPr>
              <w:pStyle w:val="naiskr"/>
              <w:spacing w:before="0" w:after="0"/>
              <w:jc w:val="both"/>
            </w:pPr>
            <w:r w:rsidRPr="00737C0F">
              <w:t>Izglītības</w:t>
            </w:r>
            <w:r w:rsidR="007D1CEE" w:rsidRPr="00737C0F">
              <w:t xml:space="preserve"> programmu paraugi tika</w:t>
            </w:r>
            <w:r w:rsidR="00455648" w:rsidRPr="00737C0F">
              <w:t xml:space="preserve"> nosūtīti </w:t>
            </w:r>
            <w:r w:rsidRPr="00737C0F">
              <w:t xml:space="preserve">visām saskaņošanā iesaistītajām ministrijām, </w:t>
            </w:r>
            <w:r w:rsidR="00455648" w:rsidRPr="00737C0F">
              <w:t>minēt</w:t>
            </w:r>
            <w:r w:rsidRPr="00737C0F">
              <w:t>aj</w:t>
            </w:r>
            <w:r w:rsidR="00455648" w:rsidRPr="00737C0F">
              <w:t xml:space="preserve">ām institūcijām un organizācijām pēc noteikumu projekta izsludināšanas Valsts sekretāru sanāksmē. </w:t>
            </w:r>
            <w:r w:rsidR="007D1CEE" w:rsidRPr="00737C0F">
              <w:t xml:space="preserve">Saskaņošanas sanāksmē tika konstatēts, ka </w:t>
            </w:r>
            <w:r w:rsidRPr="00737C0F">
              <w:t>izglītības</w:t>
            </w:r>
            <w:r w:rsidR="007D1CEE" w:rsidRPr="00737C0F">
              <w:t xml:space="preserve"> programmu paraugi pilnveidojami.</w:t>
            </w:r>
          </w:p>
          <w:p w:rsidR="007D1CEE" w:rsidRPr="00737C0F" w:rsidRDefault="00567A40" w:rsidP="00455648">
            <w:pPr>
              <w:pStyle w:val="naiskr"/>
              <w:spacing w:before="0" w:after="0"/>
              <w:jc w:val="both"/>
            </w:pPr>
            <w:r w:rsidRPr="00737C0F">
              <w:t xml:space="preserve">Noteikumu projekts paredz, ka speciālās zināšanas bērnu tiesību aizsardzības jomā speciālisti apgūst, piedaloties klātienes apmācībās. </w:t>
            </w:r>
            <w:r w:rsidR="00B24E08" w:rsidRPr="00737C0F">
              <w:t xml:space="preserve"> Viens no būtiskākajiem ieguvumiem, organizējot klātienes apmācības, ir iespēja dažādu jomu speciālistiem mijiedarboties un dalīties savā pieredzē, kopīgi strādājot pie konkrētu kāzusu risināšanas. P</w:t>
            </w:r>
            <w:r w:rsidR="000834EE" w:rsidRPr="00737C0F">
              <w:t xml:space="preserve">ieredze nodrošināt alternatīvas apmācību formas (moduļu mācības, interneta tiešraide, </w:t>
            </w:r>
            <w:proofErr w:type="spellStart"/>
            <w:r w:rsidR="000834EE" w:rsidRPr="00737C0F">
              <w:t>vebināri</w:t>
            </w:r>
            <w:proofErr w:type="spellEnd"/>
            <w:r w:rsidR="000834EE" w:rsidRPr="00737C0F">
              <w:t xml:space="preserve">, mācību materiālu prezentācijas, audio ieraksti utt.) par dažādām tēmām ir Latvijas Tiesnešu mācību centram un Valsts policijas koledžai. </w:t>
            </w:r>
            <w:r w:rsidR="00B24E08" w:rsidRPr="00737C0F">
              <w:t>Tomēr m</w:t>
            </w:r>
            <w:r w:rsidR="000834EE" w:rsidRPr="00737C0F">
              <w:t>ateriāli neklātienes mācību formām bērnu tiesību aizsardzības jomā nav izstrādāti un pagaidām</w:t>
            </w:r>
            <w:r w:rsidR="00513A23" w:rsidRPr="00737C0F">
              <w:t xml:space="preserve"> Latvijā</w:t>
            </w:r>
            <w:r w:rsidR="000834EE" w:rsidRPr="00737C0F">
              <w:t xml:space="preserve"> nav</w:t>
            </w:r>
            <w:r w:rsidR="00513A23" w:rsidRPr="00737C0F">
              <w:t xml:space="preserve"> pietiekamas</w:t>
            </w:r>
            <w:r w:rsidR="000834EE" w:rsidRPr="00737C0F">
              <w:t xml:space="preserve"> pieredzes</w:t>
            </w:r>
            <w:r w:rsidR="00513A23" w:rsidRPr="00737C0F">
              <w:t>, kā</w:t>
            </w:r>
            <w:r w:rsidR="000834EE" w:rsidRPr="00737C0F">
              <w:t xml:space="preserve"> apmācības p</w:t>
            </w:r>
            <w:r w:rsidR="00513A23" w:rsidRPr="00737C0F">
              <w:t>ar šo tēmu nodrošināt neklātienē</w:t>
            </w:r>
            <w:r w:rsidR="000834EE" w:rsidRPr="00737C0F">
              <w:t xml:space="preserve">. Labklājības ministrija </w:t>
            </w:r>
            <w:r w:rsidR="00513A23" w:rsidRPr="00737C0F">
              <w:t xml:space="preserve">vērtēs un strādās pie iespējām ar laiku dažādot apmācību formas, sagatavojot un aprobējot mācību materiālus par tēmām, kas ir saistītas ar bērnu tiesību aizsardzību. </w:t>
            </w:r>
            <w:r w:rsidR="00346946" w:rsidRPr="00737C0F">
              <w:t xml:space="preserve">Strādājot pie iespējām dažādot mācību formas, vienlaikus būs nepieciešams meklēt risinājumus kādā veidā un kādām speciālistu grupām organizēt pārbaudes darbu. </w:t>
            </w:r>
          </w:p>
          <w:p w:rsidR="00567A40" w:rsidRPr="00737C0F" w:rsidRDefault="00567A40" w:rsidP="00455648">
            <w:pPr>
              <w:pStyle w:val="naiskr"/>
              <w:spacing w:before="0" w:after="0"/>
              <w:jc w:val="both"/>
            </w:pPr>
          </w:p>
          <w:p w:rsidR="001D2317" w:rsidRPr="00737C0F" w:rsidRDefault="007D1CEE" w:rsidP="001D2317">
            <w:pPr>
              <w:jc w:val="both"/>
              <w:rPr>
                <w:rFonts w:eastAsia="Calibri"/>
                <w:lang w:eastAsia="en-US"/>
              </w:rPr>
            </w:pPr>
            <w:r w:rsidRPr="00737C0F">
              <w:t>Grozījumu Bērnu tiesību aizsardzības likumā (5</w:t>
            </w:r>
            <w:r w:rsidRPr="00737C0F">
              <w:rPr>
                <w:vertAlign w:val="superscript"/>
              </w:rPr>
              <w:t>1</w:t>
            </w:r>
            <w:r w:rsidRPr="00737C0F">
              <w:t xml:space="preserve">.panta otrajā daļa, </w:t>
            </w:r>
            <w:proofErr w:type="gramStart"/>
            <w:r w:rsidRPr="00737C0F">
              <w:t>saskaņa ar kuru</w:t>
            </w:r>
            <w:proofErr w:type="gramEnd"/>
            <w:r w:rsidRPr="00737C0F">
              <w:t xml:space="preserve"> sagatavots noteikumu projekts) izstrāde tika uzsākta 2011.gadā. </w:t>
            </w:r>
            <w:r w:rsidRPr="00737C0F">
              <w:rPr>
                <w:rFonts w:eastAsia="Calibri"/>
                <w:lang w:eastAsia="en-US"/>
              </w:rPr>
              <w:t xml:space="preserve"> Likumprojekts par grozījumiem BTAL tika izsludināts VSS 19.05.2011. (VSS-503). Likumprojekta 3.pants paredzēja izteikt BTAL 20.pantu jaunā redakcijā.</w:t>
            </w:r>
            <w:r w:rsidR="00E06681" w:rsidRPr="00737C0F">
              <w:rPr>
                <w:rFonts w:eastAsia="Calibri"/>
                <w:lang w:eastAsia="en-US"/>
              </w:rPr>
              <w:t xml:space="preserve"> </w:t>
            </w:r>
            <w:r w:rsidR="001D2317" w:rsidRPr="00737C0F">
              <w:rPr>
                <w:rFonts w:eastAsia="Calibri"/>
                <w:lang w:eastAsia="en-US"/>
              </w:rPr>
              <w:t>Likumprojekta anotācijā norādīts: „Vienlaikus, tāpat kā līdz šim, šis valsts pienākums nav tulkojams kā valsts apmaksātas apmācības, bet izpaudīsies kā uzraudzība pār to, lai noteikto grupu speciālisti šādas zināšanas apgūtu”.</w:t>
            </w:r>
          </w:p>
          <w:p w:rsidR="00E06681" w:rsidRPr="00737C0F" w:rsidRDefault="00E06681" w:rsidP="00E06681">
            <w:pPr>
              <w:jc w:val="both"/>
              <w:rPr>
                <w:rFonts w:eastAsia="Calibri"/>
                <w:lang w:eastAsia="en-US"/>
              </w:rPr>
            </w:pPr>
            <w:r w:rsidRPr="00737C0F">
              <w:rPr>
                <w:rFonts w:eastAsia="Calibri"/>
                <w:lang w:eastAsia="en-US"/>
              </w:rPr>
              <w:t>Par likumprojektu tika saņemti šādi atzinumi:</w:t>
            </w:r>
          </w:p>
          <w:p w:rsidR="00E06681" w:rsidRPr="00737C0F" w:rsidRDefault="00E06681" w:rsidP="00E06681">
            <w:pPr>
              <w:contextualSpacing/>
              <w:jc w:val="both"/>
              <w:rPr>
                <w:rFonts w:eastAsia="Calibri"/>
                <w:lang w:eastAsia="en-US"/>
              </w:rPr>
            </w:pPr>
            <w:r w:rsidRPr="00737C0F">
              <w:rPr>
                <w:rFonts w:eastAsia="Calibri"/>
                <w:lang w:eastAsia="en-US"/>
              </w:rPr>
              <w:t xml:space="preserve">- TM (06.06.2011.) lūdz precizēt personu loku, kurām nepieciešams apgūt speciālas zināšanas, bet kopumā neiebilst pret šo regulējumu. </w:t>
            </w:r>
          </w:p>
          <w:p w:rsidR="00E06681" w:rsidRPr="00737C0F" w:rsidRDefault="00E06681" w:rsidP="00E06681">
            <w:pPr>
              <w:contextualSpacing/>
              <w:jc w:val="both"/>
              <w:rPr>
                <w:rFonts w:eastAsia="Calibri"/>
                <w:lang w:eastAsia="en-US"/>
              </w:rPr>
            </w:pPr>
            <w:r w:rsidRPr="00737C0F">
              <w:rPr>
                <w:rFonts w:eastAsia="Calibri"/>
                <w:lang w:eastAsia="en-US"/>
              </w:rPr>
              <w:t xml:space="preserve">- IEM (06.06.2011.) lūdz precizēt personu loku, kurām nepieciešams apgūt speciālas zināšanas, bet kopumā neiebilst pret šo regulējumu. </w:t>
            </w:r>
          </w:p>
          <w:p w:rsidR="00E06681" w:rsidRPr="00737C0F" w:rsidRDefault="002C628F" w:rsidP="002C628F">
            <w:pPr>
              <w:contextualSpacing/>
              <w:jc w:val="both"/>
              <w:rPr>
                <w:rFonts w:eastAsia="Calibri"/>
                <w:lang w:eastAsia="en-US"/>
              </w:rPr>
            </w:pPr>
            <w:r w:rsidRPr="00737C0F">
              <w:rPr>
                <w:rFonts w:eastAsia="Calibri"/>
                <w:lang w:eastAsia="en-US"/>
              </w:rPr>
              <w:t>- </w:t>
            </w:r>
            <w:r w:rsidR="00E06681" w:rsidRPr="00737C0F">
              <w:rPr>
                <w:rFonts w:eastAsia="Calibri"/>
                <w:lang w:eastAsia="en-US"/>
              </w:rPr>
              <w:t xml:space="preserve">IZM (31.05.2011.) lūdz precizēt personu loku, kurām nepieciešams apgūt speciālas zināšanas, bet kopumā neiebilst pret šo regulējumu. </w:t>
            </w:r>
          </w:p>
          <w:p w:rsidR="00E06681" w:rsidRPr="00737C0F" w:rsidRDefault="002C628F" w:rsidP="002C628F">
            <w:pPr>
              <w:contextualSpacing/>
              <w:jc w:val="both"/>
              <w:rPr>
                <w:rFonts w:eastAsia="Calibri"/>
                <w:lang w:eastAsia="en-US"/>
              </w:rPr>
            </w:pPr>
            <w:r w:rsidRPr="00737C0F">
              <w:rPr>
                <w:rFonts w:eastAsia="Calibri"/>
                <w:lang w:eastAsia="en-US"/>
              </w:rPr>
              <w:t>- </w:t>
            </w:r>
            <w:r w:rsidR="00E06681" w:rsidRPr="00737C0F">
              <w:rPr>
                <w:rFonts w:eastAsia="Calibri"/>
                <w:lang w:eastAsia="en-US"/>
              </w:rPr>
              <w:t>ĢP (03.06.2011.) norāda</w:t>
            </w:r>
            <w:r w:rsidR="001D2317" w:rsidRPr="00737C0F">
              <w:rPr>
                <w:rFonts w:eastAsia="Calibri"/>
                <w:lang w:eastAsia="en-US"/>
              </w:rPr>
              <w:t>, ka</w:t>
            </w:r>
            <w:r w:rsidR="00E06681" w:rsidRPr="00737C0F">
              <w:rPr>
                <w:rFonts w:eastAsia="Calibri"/>
                <w:lang w:eastAsia="en-US"/>
              </w:rPr>
              <w:t>, lai nodrošinātu to, ka speciālās zināšanas ir visiem speciālistiem, kuri izskata lietas, kas saistītas ar bērnu tiesību aizsardzību, būtu nepieciešams paredzēt šāda pienākuma izpildei vajadzīgos finanšu resursus.</w:t>
            </w:r>
          </w:p>
          <w:p w:rsidR="00E06681" w:rsidRPr="00737C0F" w:rsidRDefault="002C628F" w:rsidP="002C628F">
            <w:pPr>
              <w:contextualSpacing/>
              <w:jc w:val="both"/>
              <w:rPr>
                <w:rFonts w:eastAsia="Calibri"/>
                <w:lang w:eastAsia="en-US"/>
              </w:rPr>
            </w:pPr>
            <w:r w:rsidRPr="00737C0F">
              <w:rPr>
                <w:rFonts w:eastAsia="Calibri"/>
                <w:lang w:eastAsia="en-US"/>
              </w:rPr>
              <w:t>- </w:t>
            </w:r>
            <w:r w:rsidR="00E06681" w:rsidRPr="00737C0F">
              <w:rPr>
                <w:rFonts w:eastAsia="Calibri"/>
                <w:lang w:eastAsia="en-US"/>
              </w:rPr>
              <w:t xml:space="preserve">„Resursu centrs sievietēm „Marta”” (02.06.2011.) prasa veikt grozījumus LAPK, paredzot administratīvo atbildību valsts vai pašvaldības iestādes vadītājam, ja viņš nav nodrošinājis, ka lietas, kas saistītas ar bērnu tiesību aizsardzību, izskata speciālists, kuram ir speciālas zināšanas šajā jomā. „Marta” norādīja, ka praksē trūkst kontroles un atbildīgas noteikšanas mehānisma, lai šī tiesību norma efektīvi tiktu piemērota. </w:t>
            </w:r>
          </w:p>
          <w:p w:rsidR="00536AC5" w:rsidRPr="00737C0F" w:rsidRDefault="00536AC5" w:rsidP="00536AC5">
            <w:pPr>
              <w:jc w:val="both"/>
            </w:pPr>
            <w:r w:rsidRPr="00737C0F">
              <w:rPr>
                <w:rFonts w:eastAsia="Calibri"/>
                <w:lang w:eastAsia="en-US"/>
              </w:rPr>
              <w:t>05.09.2011. notiek saskaņošanas sanāksme par likumprojektu, un tā 3.pants tiek precizēts.</w:t>
            </w:r>
            <w:r w:rsidRPr="00737C0F">
              <w:t xml:space="preserve"> Vienlaikus, ņemot vērā ĢP izteiktos iebildumus, pārejas noteikumi ir papildināti ar termiņu, līdz kuram personām, kuras nav apguvušas speciālas zināšanas bērnu tiesību aizsardzības jomā, tās būs jāapgūst. Pārejas termiņš – 2015.gada 1.janvāris. Līdz ar to, likumprojekts tiek saskaņots ar visām institūcijām, izņemot „Resursu centru sievietēm „Marta””, un 17.10.2011. tiek iesniegts Valsts kancelejā.</w:t>
            </w:r>
          </w:p>
          <w:p w:rsidR="00536AC5" w:rsidRPr="00737C0F" w:rsidRDefault="00536AC5" w:rsidP="00536AC5">
            <w:pPr>
              <w:jc w:val="both"/>
              <w:rPr>
                <w:rFonts w:eastAsia="Calibri"/>
                <w:lang w:eastAsia="en-US"/>
              </w:rPr>
            </w:pPr>
            <w:r w:rsidRPr="00737C0F">
              <w:t>17.11.2011. likumprojekts tiek skatīts VSS. VSS protokola Nr. 45 25.§ 2.punktā tika noteikts: „</w:t>
            </w:r>
            <w:r w:rsidRPr="00737C0F">
              <w:rPr>
                <w:rFonts w:eastAsia="Calibri"/>
                <w:lang w:eastAsia="en-US"/>
              </w:rPr>
              <w:t>Labklājības ministrijai papildināt anotāciju, norādot, ka tuvojoties pārejas perioda beigām (2015.gada 1.janvāris) Labklājības ministrija sagatavos grozījumus Administratīvā procesa kodeksā, paredzot administratīvo atbildību valsts vai pašvaldību iestādes vadītājam, un iesniegt to Valsts kancelejā.”</w:t>
            </w:r>
          </w:p>
          <w:p w:rsidR="00E06681" w:rsidRPr="00737C0F" w:rsidRDefault="00536AC5" w:rsidP="007D1CEE">
            <w:pPr>
              <w:jc w:val="both"/>
              <w:rPr>
                <w:rFonts w:eastAsia="Calibri"/>
                <w:lang w:eastAsia="en-US"/>
              </w:rPr>
            </w:pPr>
            <w:r w:rsidRPr="00737C0F">
              <w:rPr>
                <w:rFonts w:eastAsia="Calibri"/>
                <w:lang w:eastAsia="en-US"/>
              </w:rPr>
              <w:t>16.12.2011. LM Valsts kancelejā iesniedz saskaņoto un precizēto likumprojektu.</w:t>
            </w:r>
            <w:r w:rsidRPr="00737C0F">
              <w:t xml:space="preserve"> Likumprojekta tālākā virzība kavējās tāpēc, ka nav vēl panākta vienošanās par saistīto likumprojektu par grozījumiem LAPK (par jautājumu, kas </w:t>
            </w:r>
            <w:r w:rsidRPr="00737C0F">
              <w:rPr>
                <w:u w:val="single"/>
              </w:rPr>
              <w:t>nav</w:t>
            </w:r>
            <w:r w:rsidRPr="00737C0F">
              <w:t xml:space="preserve"> saistīts ar speciālistu apmācībām).</w:t>
            </w:r>
            <w:r w:rsidRPr="00737C0F">
              <w:rPr>
                <w:rFonts w:eastAsia="Calibri"/>
                <w:u w:val="single"/>
                <w:lang w:eastAsia="en-US"/>
              </w:rPr>
              <w:t xml:space="preserve"> </w:t>
            </w:r>
            <w:r w:rsidRPr="00737C0F">
              <w:rPr>
                <w:rFonts w:eastAsia="Calibri"/>
                <w:lang w:eastAsia="en-US"/>
              </w:rPr>
              <w:t xml:space="preserve">10.04.2012. likumprojekts apstiprināts MK sēdē (sēdes prot. Nr.19, 17.§). 17.05.2012. likumprojekts iesniegts Saeimā. 1.lasījums – 24.05.2012.; 2.lasījums – 25.04.2013.; 3.lasījums – 30.05.2013. Izskatīšanas gaitā Saeima mainīja </w:t>
            </w:r>
            <w:r w:rsidR="00D7729E" w:rsidRPr="00737C0F">
              <w:rPr>
                <w:rFonts w:eastAsia="Calibri"/>
                <w:lang w:eastAsia="en-US"/>
              </w:rPr>
              <w:t>l</w:t>
            </w:r>
            <w:r w:rsidRPr="00737C0F">
              <w:rPr>
                <w:rFonts w:eastAsia="Calibri"/>
                <w:lang w:eastAsia="en-US"/>
              </w:rPr>
              <w:t>ikumprojekta pantu numerāciju, un daļa no 20.panta kļuva par 5</w:t>
            </w:r>
            <w:r w:rsidRPr="00737C0F">
              <w:rPr>
                <w:rFonts w:eastAsia="Calibri"/>
                <w:vertAlign w:val="superscript"/>
                <w:lang w:eastAsia="en-US"/>
              </w:rPr>
              <w:t>1</w:t>
            </w:r>
            <w:r w:rsidRPr="00737C0F">
              <w:rPr>
                <w:rFonts w:eastAsia="Calibri"/>
                <w:lang w:eastAsia="en-US"/>
              </w:rPr>
              <w:t>.pantu.</w:t>
            </w:r>
          </w:p>
          <w:p w:rsidR="007D1CEE" w:rsidRPr="00737C0F" w:rsidRDefault="007D1CEE" w:rsidP="007D1CEE">
            <w:pPr>
              <w:pStyle w:val="naiskr"/>
              <w:spacing w:before="0" w:after="0"/>
              <w:jc w:val="both"/>
            </w:pPr>
          </w:p>
          <w:p w:rsidR="00E45AE7" w:rsidRPr="00737C0F" w:rsidRDefault="00E45AE7" w:rsidP="00E45AE7">
            <w:pPr>
              <w:pStyle w:val="naiskr"/>
              <w:spacing w:before="0" w:after="0"/>
              <w:jc w:val="both"/>
            </w:pPr>
            <w:r w:rsidRPr="00737C0F">
              <w:lastRenderedPageBreak/>
              <w:t xml:space="preserve">2014.gada 6.martā Saeima 3.lasījumā atbalstīja grozījumus Bērnu tiesību aizsardzības likumā, </w:t>
            </w:r>
            <w:r w:rsidR="000860D5" w:rsidRPr="00737C0F">
              <w:t xml:space="preserve">kas paredz termiņa pagarinājumu izglītības programmu apguvei tiem speciālistiem, kuriem apmācības organizē Valsts bērnu tiesību aizsardzības inspekcija, un nosaka, ka šīs personas, kuras nav apguvušas speciālas zināšanas bērnu tiesību aizsardzības jomā, </w:t>
            </w:r>
            <w:r w:rsidR="00B51987" w:rsidRPr="00737C0F">
              <w:t>ir tiesīgas veikt darba vai dienesta pienākumus līdz šī noteiktā termiņa beigām. BTAL</w:t>
            </w:r>
            <w:r w:rsidRPr="00737C0F">
              <w:t xml:space="preserve"> pārejas no</w:t>
            </w:r>
            <w:r w:rsidR="00B51987" w:rsidRPr="00737C0F">
              <w:t>teikumi tika papildināti</w:t>
            </w:r>
            <w:r w:rsidRPr="00737C0F">
              <w:t xml:space="preserve"> ar 26., 27., 28.punktu šādā redakcijā:</w:t>
            </w:r>
          </w:p>
          <w:p w:rsidR="00E45AE7" w:rsidRPr="00737C0F" w:rsidRDefault="00E45AE7" w:rsidP="00E45AE7">
            <w:pPr>
              <w:pStyle w:val="naiskr"/>
              <w:spacing w:before="0" w:after="0"/>
              <w:jc w:val="both"/>
            </w:pPr>
            <w:r w:rsidRPr="00737C0F">
              <w:t>„26. Šā likuma 5.1panta 1.1daļā minētās speciālās zināšanas šā likuma 5.</w:t>
            </w:r>
            <w:r w:rsidRPr="00737C0F">
              <w:rPr>
                <w:vertAlign w:val="superscript"/>
              </w:rPr>
              <w:t>1</w:t>
            </w:r>
            <w:r w:rsidRPr="00737C0F">
              <w:t>panta pirmās daļas 6., 11., 14. un 17.punktā minētās personas, kā arī 19.</w:t>
            </w:r>
            <w:r w:rsidRPr="00737C0F">
              <w:rPr>
                <w:vertAlign w:val="superscript"/>
              </w:rPr>
              <w:t>1</w:t>
            </w:r>
            <w:r w:rsidRPr="00737C0F">
              <w:t>punktā minētās personas, kuras pārstāv vai aizstāv nepilngadīgos kriminālprocesā, apgūst ne vēlāk kā līdz 2017.gada 31.decembrim.</w:t>
            </w:r>
          </w:p>
          <w:p w:rsidR="00E45AE7" w:rsidRPr="00737C0F" w:rsidRDefault="00E45AE7" w:rsidP="00E45AE7">
            <w:pPr>
              <w:pStyle w:val="naiskr"/>
              <w:spacing w:before="0" w:after="0"/>
              <w:jc w:val="both"/>
            </w:pPr>
            <w:r w:rsidRPr="00737C0F">
              <w:t>27. Šā likuma 5.</w:t>
            </w:r>
            <w:r w:rsidRPr="00737C0F">
              <w:rPr>
                <w:vertAlign w:val="superscript"/>
              </w:rPr>
              <w:t>1</w:t>
            </w:r>
            <w:r w:rsidRPr="00737C0F">
              <w:t>panta 19.1punktā minētās personas, kuras nepārstāv vai neaizstāv nepilngadīgos kriminālprocesā, speciālās zināšanas bērnu tiesību aizsardzības jomā apgūst ne vēlāk kā līdz 2019.gada 31.decembrim.</w:t>
            </w:r>
          </w:p>
          <w:p w:rsidR="00E45AE7" w:rsidRPr="00737C0F" w:rsidRDefault="00E45AE7" w:rsidP="00E45AE7">
            <w:pPr>
              <w:pStyle w:val="naiskr"/>
              <w:spacing w:before="0" w:after="0"/>
              <w:jc w:val="both"/>
            </w:pPr>
            <w:r w:rsidRPr="00737C0F">
              <w:t>28. Personas, kuras nav apguvušas speciālās zināšanas bērnu tiesību aizsardzības jomā, ir tiesīgas veikt darba vai dienesta pienākumus līdz šā likuma pārejas noteikumu 25., 26. un 27.punktā noteiktā termiņa beigām.”</w:t>
            </w:r>
          </w:p>
          <w:p w:rsidR="00E45AE7" w:rsidRPr="00737C0F" w:rsidRDefault="00E45AE7" w:rsidP="00096F19">
            <w:pPr>
              <w:pStyle w:val="naiskr"/>
              <w:spacing w:before="0" w:after="0"/>
              <w:jc w:val="both"/>
              <w:rPr>
                <w:sz w:val="22"/>
                <w:szCs w:val="22"/>
              </w:rPr>
            </w:pPr>
            <w:r w:rsidRPr="00737C0F">
              <w:t xml:space="preserve">Tādejādi </w:t>
            </w:r>
            <w:r w:rsidR="00D85540" w:rsidRPr="00737C0F">
              <w:t>Bērnu tiesību aizsardzības likum</w:t>
            </w:r>
            <w:r w:rsidR="00325496" w:rsidRPr="00737C0F">
              <w:t>ā tiks noteikts</w:t>
            </w:r>
            <w:r w:rsidR="00096F19" w:rsidRPr="00737C0F">
              <w:t xml:space="preserve"> pārejas periods</w:t>
            </w:r>
            <w:proofErr w:type="gramStart"/>
            <w:r w:rsidR="00325496" w:rsidRPr="00737C0F">
              <w:t xml:space="preserve"> </w:t>
            </w:r>
            <w:r w:rsidR="00096F19" w:rsidRPr="00737C0F">
              <w:t xml:space="preserve"> </w:t>
            </w:r>
            <w:proofErr w:type="gramEnd"/>
            <w:r w:rsidR="00096F19" w:rsidRPr="00737C0F">
              <w:t xml:space="preserve">līdz 2017.gada 31.decembrim, līdz kuram </w:t>
            </w:r>
            <w:r w:rsidR="00325496" w:rsidRPr="00737C0F">
              <w:t>ieslodzījuma vietu darbinieki</w:t>
            </w:r>
            <w:r w:rsidR="00096F19" w:rsidRPr="00737C0F">
              <w:t>em</w:t>
            </w:r>
            <w:r w:rsidR="00325496" w:rsidRPr="00737C0F">
              <w:t>, kuri strādā ar nepilngadīgajiem, tiesneši</w:t>
            </w:r>
            <w:r w:rsidR="00096F19" w:rsidRPr="00737C0F">
              <w:t>em</w:t>
            </w:r>
            <w:r w:rsidR="00325496" w:rsidRPr="00737C0F">
              <w:t>, prokurori</w:t>
            </w:r>
            <w:r w:rsidR="00096F19" w:rsidRPr="00737C0F">
              <w:t>em, Valsts policijas amatpersonām</w:t>
            </w:r>
            <w:r w:rsidR="00325496" w:rsidRPr="00737C0F">
              <w:t>, kuras strādā ar bērniem, un advokāti</w:t>
            </w:r>
            <w:r w:rsidR="00096F19" w:rsidRPr="00737C0F">
              <w:t>em</w:t>
            </w:r>
            <w:r w:rsidR="00325496" w:rsidRPr="00737C0F">
              <w:t>, kuri pārstāv vai aizstāv nepilngadīgos kriminālprocesā</w:t>
            </w:r>
            <w:r w:rsidR="00096F19" w:rsidRPr="00737C0F">
              <w:t>, būs nepieciešams apgūt speciālās zināšanas bērnu tiesību aizsardzības jomā</w:t>
            </w:r>
            <w:r w:rsidR="00836E31" w:rsidRPr="00737C0F">
              <w:t>.</w:t>
            </w:r>
            <w:r w:rsidR="00A01116" w:rsidRPr="00737C0F">
              <w:t xml:space="preserve"> Pēc šī pārejas perioda beigām praksē nevajadzētu rasties situācijai, ka, piemēram, bērnu pārstāv advokāts, kuram nav apgūtas speciālas zināšanas bērnu tiesību aizsardzības jomā.</w:t>
            </w:r>
            <w:r w:rsidR="00A01116" w:rsidRPr="00737C0F">
              <w:rPr>
                <w:sz w:val="22"/>
                <w:szCs w:val="22"/>
              </w:rPr>
              <w:t xml:space="preserve"> </w:t>
            </w:r>
          </w:p>
        </w:tc>
      </w:tr>
    </w:tbl>
    <w:p w:rsidR="00852042" w:rsidRPr="00737C0F" w:rsidRDefault="00852042" w:rsidP="006C4607">
      <w:pPr>
        <w:pStyle w:val="naisf"/>
        <w:spacing w:before="0" w:after="0"/>
      </w:pPr>
    </w:p>
    <w:tbl>
      <w:tblPr>
        <w:tblpPr w:leftFromText="180" w:rightFromText="180" w:vertAnchor="text" w:horzAnchor="margin" w:tblpXSpec="center" w:tblpY="14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2"/>
        <w:gridCol w:w="2410"/>
        <w:gridCol w:w="6521"/>
      </w:tblGrid>
      <w:tr w:rsidR="0062298A" w:rsidRPr="00737C0F" w:rsidTr="005716AC">
        <w:tc>
          <w:tcPr>
            <w:tcW w:w="9503" w:type="dxa"/>
            <w:gridSpan w:val="3"/>
            <w:vAlign w:val="center"/>
          </w:tcPr>
          <w:p w:rsidR="0062298A" w:rsidRPr="00737C0F" w:rsidRDefault="0062298A" w:rsidP="006C4607">
            <w:pPr>
              <w:pStyle w:val="naisnod"/>
              <w:spacing w:before="0" w:after="0"/>
            </w:pPr>
            <w:r w:rsidRPr="00737C0F">
              <w:t>II</w:t>
            </w:r>
            <w:r w:rsidR="000941C5" w:rsidRPr="00737C0F">
              <w:t>.</w:t>
            </w:r>
            <w:r w:rsidRPr="00737C0F">
              <w:t xml:space="preserve"> Tiesību akta projekta ietekme uz sabiedrību</w:t>
            </w:r>
          </w:p>
        </w:tc>
      </w:tr>
      <w:tr w:rsidR="0062298A" w:rsidRPr="00737C0F" w:rsidTr="005716AC">
        <w:trPr>
          <w:trHeight w:val="467"/>
        </w:trPr>
        <w:tc>
          <w:tcPr>
            <w:tcW w:w="572" w:type="dxa"/>
          </w:tcPr>
          <w:p w:rsidR="0062298A" w:rsidRPr="00737C0F" w:rsidRDefault="0062298A" w:rsidP="006C4607">
            <w:pPr>
              <w:pStyle w:val="naiskr"/>
              <w:spacing w:before="0" w:after="0"/>
              <w:rPr>
                <w:sz w:val="22"/>
                <w:szCs w:val="22"/>
              </w:rPr>
            </w:pPr>
            <w:r w:rsidRPr="00737C0F">
              <w:rPr>
                <w:sz w:val="22"/>
                <w:szCs w:val="22"/>
              </w:rPr>
              <w:t>1.</w:t>
            </w:r>
          </w:p>
        </w:tc>
        <w:tc>
          <w:tcPr>
            <w:tcW w:w="2410" w:type="dxa"/>
          </w:tcPr>
          <w:p w:rsidR="0062298A" w:rsidRPr="00737C0F" w:rsidRDefault="00C27A08" w:rsidP="006C4607">
            <w:pPr>
              <w:pStyle w:val="naiskr"/>
              <w:spacing w:before="0" w:after="0"/>
              <w:rPr>
                <w:sz w:val="22"/>
                <w:szCs w:val="22"/>
              </w:rPr>
            </w:pPr>
            <w:r w:rsidRPr="00737C0F">
              <w:rPr>
                <w:sz w:val="22"/>
                <w:szCs w:val="22"/>
              </w:rPr>
              <w:t>Sabiedrības mērķgrupa</w:t>
            </w:r>
          </w:p>
        </w:tc>
        <w:tc>
          <w:tcPr>
            <w:tcW w:w="6521" w:type="dxa"/>
          </w:tcPr>
          <w:p w:rsidR="00EB153E" w:rsidRPr="00737C0F" w:rsidRDefault="00405205" w:rsidP="00EB153E">
            <w:pPr>
              <w:numPr>
                <w:ilvl w:val="0"/>
                <w:numId w:val="17"/>
              </w:numPr>
              <w:ind w:left="0" w:firstLine="360"/>
              <w:jc w:val="both"/>
            </w:pPr>
            <w:r w:rsidRPr="00737C0F">
              <w:rPr>
                <w:iCs/>
              </w:rPr>
              <w:t>Bērnu tiesību aizsardzības likuma 5</w:t>
            </w:r>
            <w:r w:rsidRPr="00737C0F">
              <w:rPr>
                <w:iCs/>
                <w:vertAlign w:val="superscript"/>
              </w:rPr>
              <w:t>1</w:t>
            </w:r>
            <w:r w:rsidRPr="00737C0F">
              <w:rPr>
                <w:iCs/>
              </w:rPr>
              <w:t>.pantā minētās personas</w:t>
            </w:r>
            <w:r w:rsidR="008B5886" w:rsidRPr="00737C0F">
              <w:rPr>
                <w:iCs/>
              </w:rPr>
              <w:t xml:space="preserve">: </w:t>
            </w:r>
          </w:p>
          <w:p w:rsidR="0062298A" w:rsidRPr="00737C0F" w:rsidRDefault="007F69FF" w:rsidP="00EB153E">
            <w:pPr>
              <w:jc w:val="both"/>
            </w:pPr>
            <w:r w:rsidRPr="00737C0F">
              <w:t>Ā</w:t>
            </w:r>
            <w:r w:rsidR="00AC2675" w:rsidRPr="00737C0F">
              <w:t>rpusģimenes aprūpes iestāžu vadītāji, sociālie darbinieki un sociālie rehabilitētāji</w:t>
            </w:r>
            <w:r w:rsidR="00921E39" w:rsidRPr="00737C0F">
              <w:t xml:space="preserve"> (38 valsts, pašvaldību un citu organizāciju bērnu sociālās aprūpes centri, 188 sociālie darbinieki un sociālie rehabilitētāji)</w:t>
            </w:r>
            <w:r w:rsidR="00AC2675" w:rsidRPr="00737C0F">
              <w:t>; bāriņtiesas priekšsēdētāji, bāriņtiesas priekšsēdētāja vietnieki un bāriņtiesas locekļi; izglītības iestādes vadītāji un vadītāja vietnieki audzināšanas darbā; Izglītības kvalitātes valsts dienesta speciālisti</w:t>
            </w:r>
            <w:r w:rsidR="0090611F" w:rsidRPr="00737C0F">
              <w:t xml:space="preserve"> (46)</w:t>
            </w:r>
            <w:r w:rsidR="00AC2675" w:rsidRPr="00737C0F">
              <w:t>; jaunatnes lietu speciālisti</w:t>
            </w:r>
            <w:r w:rsidR="00B6359D" w:rsidRPr="00737C0F">
              <w:t xml:space="preserve"> (75)</w:t>
            </w:r>
            <w:r w:rsidR="00AC2675" w:rsidRPr="00737C0F">
              <w:t>; ieslodzījuma vietu darbinieki, kuri strādā ar nepilngadīgajiem</w:t>
            </w:r>
            <w:r w:rsidR="0090611F" w:rsidRPr="00737C0F">
              <w:t xml:space="preserve"> (137)</w:t>
            </w:r>
            <w:r w:rsidR="00AC2675" w:rsidRPr="00737C0F">
              <w:t xml:space="preserve">; pašvaldības administratīvās komisijas vadītāji vai pašvaldības administratīvās komisijas bērnu lietu apakškomisijas vadītāji; pašvaldības pedagoģiski medicīniskās komisijas vadītāji; pašvaldības policijas darbinieki, kuri strādā ar bērniem un ģimenēm; </w:t>
            </w:r>
            <w:r w:rsidR="00EB7B03" w:rsidRPr="00737C0F">
              <w:t xml:space="preserve">119 </w:t>
            </w:r>
            <w:r w:rsidR="00AC2675" w:rsidRPr="00737C0F">
              <w:t>pašvaldīb</w:t>
            </w:r>
            <w:r w:rsidR="00EB7B03" w:rsidRPr="00737C0F">
              <w:t>u</w:t>
            </w:r>
            <w:r w:rsidR="00AC2675" w:rsidRPr="00737C0F">
              <w:t xml:space="preserve"> sociāl</w:t>
            </w:r>
            <w:r w:rsidR="00EB7B03" w:rsidRPr="00737C0F">
              <w:t>o</w:t>
            </w:r>
            <w:r w:rsidR="00AC2675" w:rsidRPr="00737C0F">
              <w:t xml:space="preserve"> dienest</w:t>
            </w:r>
            <w:r w:rsidR="00EB7B03" w:rsidRPr="00737C0F">
              <w:t>u</w:t>
            </w:r>
            <w:r w:rsidR="00AC2675" w:rsidRPr="00737C0F">
              <w:t xml:space="preserve"> </w:t>
            </w:r>
            <w:r w:rsidR="00EB7B03" w:rsidRPr="00737C0F">
              <w:t xml:space="preserve">vadītāji un </w:t>
            </w:r>
            <w:r w:rsidR="00C80C2D" w:rsidRPr="00737C0F">
              <w:t xml:space="preserve">297 sociālo dienestu </w:t>
            </w:r>
            <w:r w:rsidR="00AC2675" w:rsidRPr="00737C0F">
              <w:t>sociālie darbinieki, kuri strādā ar ģimenēm</w:t>
            </w:r>
            <w:r w:rsidR="00EB7B03" w:rsidRPr="00737C0F">
              <w:t xml:space="preserve"> ar bērniem</w:t>
            </w:r>
            <w:r w:rsidR="00C80C2D" w:rsidRPr="00737C0F">
              <w:t xml:space="preserve"> (2012.gada dati)</w:t>
            </w:r>
            <w:r w:rsidR="00AC2675" w:rsidRPr="00737C0F">
              <w:t>;</w:t>
            </w:r>
            <w:r w:rsidR="00EB153E" w:rsidRPr="00737C0F">
              <w:t xml:space="preserve"> </w:t>
            </w:r>
            <w:r w:rsidR="00AC2675" w:rsidRPr="00737C0F">
              <w:t>prokurori</w:t>
            </w:r>
            <w:r w:rsidR="007E7474" w:rsidRPr="00737C0F">
              <w:t xml:space="preserve"> (kopējais skaits 2012.gada beigās – 461)</w:t>
            </w:r>
            <w:r w:rsidR="00AC2675" w:rsidRPr="00737C0F">
              <w:t xml:space="preserve">; sociālie pedagogi un psihologi, kuri strādā ar bērniem; </w:t>
            </w:r>
            <w:r w:rsidR="00AC2675" w:rsidRPr="00737C0F">
              <w:lastRenderedPageBreak/>
              <w:t>tiesneši</w:t>
            </w:r>
            <w:r w:rsidR="003741F3" w:rsidRPr="00737C0F">
              <w:t xml:space="preserve"> (kopējais skaits </w:t>
            </w:r>
            <w:r w:rsidR="007E7474" w:rsidRPr="00737C0F">
              <w:t xml:space="preserve">2012.gada beigās </w:t>
            </w:r>
            <w:r w:rsidR="003741F3" w:rsidRPr="00737C0F">
              <w:t>- 424)</w:t>
            </w:r>
            <w:r w:rsidR="00AC2675" w:rsidRPr="00737C0F">
              <w:t xml:space="preserve">; </w:t>
            </w:r>
            <w:r w:rsidR="0090611F" w:rsidRPr="00737C0F">
              <w:t>V</w:t>
            </w:r>
            <w:r w:rsidR="00AC2675" w:rsidRPr="00737C0F">
              <w:t>alsts bērnu tiesību aizsardzības inspektori</w:t>
            </w:r>
            <w:r w:rsidR="0090611F" w:rsidRPr="00737C0F">
              <w:t xml:space="preserve"> (26)</w:t>
            </w:r>
            <w:r w:rsidR="00AC2675" w:rsidRPr="00737C0F">
              <w:t>; Valsts pedagoģiski medicīniskās komisijas vadītājs; Valsts policijas amatpersonas, kuras strādā ar bērniem</w:t>
            </w:r>
            <w:r w:rsidR="003741F3" w:rsidRPr="00737C0F">
              <w:t xml:space="preserve"> (730 kriminālpolicijas izmeklētāji un 31 nepilngadīgo lietu inspektori)</w:t>
            </w:r>
            <w:r w:rsidR="00AC2675" w:rsidRPr="00737C0F">
              <w:t xml:space="preserve">; vispārējās izglītības, profesionālās izglītības </w:t>
            </w:r>
            <w:r w:rsidR="00144844" w:rsidRPr="00737C0F">
              <w:t>un interešu izglītības pedagogi</w:t>
            </w:r>
            <w:r w:rsidR="00371644" w:rsidRPr="00737C0F">
              <w:t xml:space="preserve"> (kopējais pedagoģisko darbinieku skaits 2012./2013.</w:t>
            </w:r>
            <w:r w:rsidR="00B6359D" w:rsidRPr="00737C0F">
              <w:t>gadā</w:t>
            </w:r>
            <w:r w:rsidR="00371644" w:rsidRPr="00737C0F">
              <w:t xml:space="preserve"> – 29028)</w:t>
            </w:r>
            <w:r w:rsidR="00AC2675" w:rsidRPr="00737C0F">
              <w:t>;</w:t>
            </w:r>
            <w:r w:rsidR="00144844" w:rsidRPr="00737C0F">
              <w:t xml:space="preserve"> </w:t>
            </w:r>
            <w:r w:rsidR="00AC2675" w:rsidRPr="00737C0F">
              <w:t xml:space="preserve">Valsts </w:t>
            </w:r>
            <w:r w:rsidR="00144844" w:rsidRPr="00737C0F">
              <w:t>probācijas dienesta darbinieki</w:t>
            </w:r>
            <w:r w:rsidR="0090611F" w:rsidRPr="00737C0F">
              <w:t xml:space="preserve"> (kopējais skaits 2011.gadā – 391)</w:t>
            </w:r>
            <w:r w:rsidR="007D68D5" w:rsidRPr="00737C0F">
              <w:t>; advokāti (Latvijas Zvērinātu advokātu kolēģijā ir 1338 advokātu).</w:t>
            </w:r>
          </w:p>
          <w:p w:rsidR="003E78B7" w:rsidRPr="00737C0F" w:rsidRDefault="002F4402" w:rsidP="003E78B7">
            <w:pPr>
              <w:pStyle w:val="tv2131"/>
              <w:numPr>
                <w:ilvl w:val="0"/>
                <w:numId w:val="17"/>
              </w:numPr>
              <w:spacing w:line="240" w:lineRule="auto"/>
              <w:ind w:left="0" w:firstLine="360"/>
              <w:jc w:val="both"/>
              <w:rPr>
                <w:color w:val="auto"/>
                <w:sz w:val="24"/>
                <w:szCs w:val="24"/>
              </w:rPr>
            </w:pPr>
            <w:r w:rsidRPr="00737C0F">
              <w:rPr>
                <w:color w:val="auto"/>
                <w:sz w:val="24"/>
                <w:szCs w:val="24"/>
              </w:rPr>
              <w:t>Izglītības iestādes:</w:t>
            </w:r>
          </w:p>
          <w:p w:rsidR="003E78B7" w:rsidRPr="00737C0F" w:rsidRDefault="00BA2F17" w:rsidP="00206B80">
            <w:pPr>
              <w:pStyle w:val="tv2131"/>
              <w:spacing w:line="240" w:lineRule="auto"/>
              <w:ind w:firstLine="0"/>
              <w:jc w:val="both"/>
              <w:rPr>
                <w:color w:val="auto"/>
                <w:sz w:val="24"/>
                <w:szCs w:val="24"/>
              </w:rPr>
            </w:pPr>
            <w:r w:rsidRPr="00737C0F">
              <w:rPr>
                <w:color w:val="auto"/>
                <w:sz w:val="24"/>
                <w:szCs w:val="24"/>
              </w:rPr>
              <w:t xml:space="preserve">Ar </w:t>
            </w:r>
            <w:r w:rsidR="00EB153E" w:rsidRPr="00737C0F">
              <w:rPr>
                <w:color w:val="auto"/>
                <w:sz w:val="24"/>
                <w:szCs w:val="24"/>
              </w:rPr>
              <w:t xml:space="preserve">Bērnu un ģimenes lietu </w:t>
            </w:r>
            <w:r w:rsidRPr="00737C0F">
              <w:rPr>
                <w:color w:val="auto"/>
                <w:sz w:val="24"/>
                <w:szCs w:val="24"/>
              </w:rPr>
              <w:t>ministriju</w:t>
            </w:r>
            <w:r w:rsidR="00EB153E" w:rsidRPr="00737C0F">
              <w:rPr>
                <w:color w:val="auto"/>
                <w:sz w:val="24"/>
                <w:szCs w:val="24"/>
              </w:rPr>
              <w:t xml:space="preserve"> un Labklājības ministriju</w:t>
            </w:r>
            <w:r w:rsidR="00784C83" w:rsidRPr="00737C0F">
              <w:rPr>
                <w:color w:val="auto"/>
                <w:sz w:val="24"/>
                <w:szCs w:val="24"/>
              </w:rPr>
              <w:t xml:space="preserve"> 40 stundu </w:t>
            </w:r>
            <w:r w:rsidR="00206B80" w:rsidRPr="00737C0F">
              <w:rPr>
                <w:color w:val="auto"/>
                <w:sz w:val="24"/>
                <w:szCs w:val="24"/>
              </w:rPr>
              <w:t>izglītības</w:t>
            </w:r>
            <w:r w:rsidRPr="00737C0F">
              <w:rPr>
                <w:color w:val="auto"/>
                <w:sz w:val="24"/>
                <w:szCs w:val="24"/>
              </w:rPr>
              <w:t xml:space="preserve"> programmas ir saskaņojušas </w:t>
            </w:r>
            <w:r w:rsidR="00E00284" w:rsidRPr="00737C0F">
              <w:rPr>
                <w:color w:val="auto"/>
                <w:sz w:val="24"/>
                <w:szCs w:val="24"/>
              </w:rPr>
              <w:t>4</w:t>
            </w:r>
            <w:r w:rsidRPr="00737C0F">
              <w:rPr>
                <w:color w:val="auto"/>
                <w:sz w:val="24"/>
                <w:szCs w:val="24"/>
              </w:rPr>
              <w:t xml:space="preserve"> Izglītības iestāžu reģistrā reģistrētas iestādes</w:t>
            </w:r>
            <w:r w:rsidR="00E00284" w:rsidRPr="00737C0F">
              <w:rPr>
                <w:color w:val="auto"/>
                <w:sz w:val="24"/>
                <w:szCs w:val="24"/>
              </w:rPr>
              <w:t xml:space="preserve"> (Latvijas Pašvaldību mācību centrs, Valsts policijas koledža, SIA „Mācību un konsultāciju centrs ABC”, SIA „Darba vide”</w:t>
            </w:r>
            <w:r w:rsidR="00B66825" w:rsidRPr="00737C0F">
              <w:rPr>
                <w:color w:val="auto"/>
                <w:sz w:val="24"/>
                <w:szCs w:val="24"/>
              </w:rPr>
              <w:t>)</w:t>
            </w:r>
            <w:r w:rsidR="00B6359D" w:rsidRPr="00737C0F">
              <w:rPr>
                <w:color w:val="auto"/>
                <w:sz w:val="24"/>
                <w:szCs w:val="24"/>
              </w:rPr>
              <w:t>.</w:t>
            </w:r>
            <w:r w:rsidRPr="00737C0F">
              <w:rPr>
                <w:color w:val="auto"/>
                <w:sz w:val="24"/>
                <w:szCs w:val="24"/>
              </w:rPr>
              <w:t xml:space="preserve"> </w:t>
            </w:r>
            <w:r w:rsidR="0012682F" w:rsidRPr="00737C0F">
              <w:rPr>
                <w:color w:val="auto"/>
                <w:sz w:val="24"/>
                <w:szCs w:val="24"/>
              </w:rPr>
              <w:t>Augstskolu un koledžu,</w:t>
            </w:r>
            <w:r w:rsidR="00784C83" w:rsidRPr="00737C0F">
              <w:rPr>
                <w:color w:val="auto"/>
                <w:sz w:val="24"/>
                <w:szCs w:val="24"/>
              </w:rPr>
              <w:t xml:space="preserve"> kuras potenciāli var īstenot </w:t>
            </w:r>
            <w:r w:rsidR="00206B80" w:rsidRPr="00737C0F">
              <w:rPr>
                <w:color w:val="auto"/>
                <w:sz w:val="24"/>
                <w:szCs w:val="24"/>
              </w:rPr>
              <w:t>izglītības</w:t>
            </w:r>
            <w:r w:rsidR="0012682F" w:rsidRPr="00737C0F">
              <w:rPr>
                <w:color w:val="auto"/>
                <w:sz w:val="24"/>
                <w:szCs w:val="24"/>
              </w:rPr>
              <w:t xml:space="preserve"> programmu, skaits 2012./13.gadā ir 61. </w:t>
            </w:r>
          </w:p>
        </w:tc>
      </w:tr>
      <w:tr w:rsidR="0062298A" w:rsidRPr="00737C0F" w:rsidTr="005716AC">
        <w:trPr>
          <w:trHeight w:val="523"/>
        </w:trPr>
        <w:tc>
          <w:tcPr>
            <w:tcW w:w="572" w:type="dxa"/>
          </w:tcPr>
          <w:p w:rsidR="0062298A" w:rsidRPr="00737C0F" w:rsidRDefault="0062298A" w:rsidP="006C4607">
            <w:pPr>
              <w:pStyle w:val="naiskr"/>
              <w:spacing w:before="0" w:after="0"/>
              <w:rPr>
                <w:sz w:val="22"/>
                <w:szCs w:val="22"/>
              </w:rPr>
            </w:pPr>
            <w:r w:rsidRPr="00737C0F">
              <w:rPr>
                <w:sz w:val="22"/>
                <w:szCs w:val="22"/>
              </w:rPr>
              <w:lastRenderedPageBreak/>
              <w:t>2.</w:t>
            </w:r>
          </w:p>
        </w:tc>
        <w:tc>
          <w:tcPr>
            <w:tcW w:w="2410" w:type="dxa"/>
          </w:tcPr>
          <w:p w:rsidR="00C1133D" w:rsidRPr="00737C0F" w:rsidRDefault="00C27A08" w:rsidP="006C4607">
            <w:pPr>
              <w:pStyle w:val="naiskr"/>
              <w:spacing w:before="0" w:after="0"/>
              <w:rPr>
                <w:sz w:val="22"/>
                <w:szCs w:val="22"/>
              </w:rPr>
            </w:pPr>
            <w:r w:rsidRPr="00737C0F">
              <w:rPr>
                <w:sz w:val="22"/>
                <w:szCs w:val="22"/>
              </w:rPr>
              <w:t>Citas sabiedrības grupas (bez mērķgrupas), kuras tiesiskais regulējums arī ietekmē vai varētu ietekmēt</w:t>
            </w:r>
          </w:p>
        </w:tc>
        <w:tc>
          <w:tcPr>
            <w:tcW w:w="6521" w:type="dxa"/>
          </w:tcPr>
          <w:p w:rsidR="0062298A" w:rsidRPr="00737C0F" w:rsidRDefault="00405205" w:rsidP="00B6359D">
            <w:pPr>
              <w:pStyle w:val="naiskr"/>
              <w:spacing w:before="0" w:after="0"/>
              <w:jc w:val="both"/>
              <w:rPr>
                <w:bCs/>
                <w:color w:val="000000"/>
              </w:rPr>
            </w:pPr>
            <w:r w:rsidRPr="00737C0F">
              <w:t xml:space="preserve">Noteikumu projekts netieši ietekmēs visus bērnus Latvijā, jo speciālisti, kuri pārrauga bērnu tiesību ievērošanu vai strādā ar bērniem, tiks pilnvērtīgāk apmācīti un tādējādi </w:t>
            </w:r>
            <w:r w:rsidR="00206B80" w:rsidRPr="00737C0F">
              <w:t xml:space="preserve">tas </w:t>
            </w:r>
            <w:r w:rsidRPr="00737C0F">
              <w:t>sekmēs bērnu tiesību ievērošanu</w:t>
            </w:r>
            <w:r w:rsidR="00D85F4F" w:rsidRPr="00737C0F">
              <w:t>, varda</w:t>
            </w:r>
            <w:r w:rsidR="00B6359D" w:rsidRPr="00737C0F">
              <w:t xml:space="preserve">rbības atklāšanu un </w:t>
            </w:r>
            <w:proofErr w:type="spellStart"/>
            <w:r w:rsidR="00B6359D" w:rsidRPr="00737C0F">
              <w:t>prevenciju</w:t>
            </w:r>
            <w:proofErr w:type="spellEnd"/>
            <w:r w:rsidR="00B6359D" w:rsidRPr="00737C0F">
              <w:t>.</w:t>
            </w:r>
            <w:r w:rsidR="00B6359D" w:rsidRPr="00737C0F">
              <w:rPr>
                <w:bCs/>
                <w:color w:val="000000"/>
              </w:rPr>
              <w:t xml:space="preserve"> Pēc Centrālās statistikas pārvaldes datiem bērnu skaits vecumā līdz 17 gadiem (ieskaitot) 201</w:t>
            </w:r>
            <w:r w:rsidR="00053C32" w:rsidRPr="00737C0F">
              <w:rPr>
                <w:bCs/>
                <w:color w:val="000000"/>
              </w:rPr>
              <w:t>3</w:t>
            </w:r>
            <w:r w:rsidR="00B6359D" w:rsidRPr="00737C0F">
              <w:rPr>
                <w:bCs/>
                <w:color w:val="000000"/>
              </w:rPr>
              <w:t xml:space="preserve">.gadā bija apm. </w:t>
            </w:r>
            <w:r w:rsidR="00053C32" w:rsidRPr="00737C0F">
              <w:rPr>
                <w:bCs/>
                <w:color w:val="000000"/>
              </w:rPr>
              <w:t>347018</w:t>
            </w:r>
            <w:r w:rsidR="00B6359D" w:rsidRPr="00737C0F">
              <w:rPr>
                <w:bCs/>
                <w:color w:val="000000"/>
              </w:rPr>
              <w:t>.</w:t>
            </w:r>
          </w:p>
          <w:p w:rsidR="00F72DC0" w:rsidRPr="00737C0F" w:rsidRDefault="00084F9A" w:rsidP="00EC0B32">
            <w:pPr>
              <w:pStyle w:val="naiskr"/>
              <w:spacing w:before="0" w:after="0"/>
              <w:jc w:val="both"/>
            </w:pPr>
            <w:r w:rsidRPr="00737C0F">
              <w:t xml:space="preserve">Apmācības </w:t>
            </w:r>
            <w:r w:rsidR="00562508" w:rsidRPr="00737C0F">
              <w:t>ietekmēs (uzlabos prasmes)</w:t>
            </w:r>
            <w:r w:rsidRPr="00737C0F">
              <w:t xml:space="preserve"> to speciālistu darbu, kuri strādā ar bērniem kriminālprocesa</w:t>
            </w:r>
            <w:r w:rsidR="00B66825" w:rsidRPr="00737C0F">
              <w:t>, administratīvo pārkāpumu procesa</w:t>
            </w:r>
            <w:r w:rsidRPr="00737C0F">
              <w:t xml:space="preserve"> vai civilprocesa ietvaros. </w:t>
            </w:r>
            <w:r w:rsidR="00F72DC0" w:rsidRPr="00737C0F">
              <w:t xml:space="preserve">2012.gadā tika celta apsūdzība par </w:t>
            </w:r>
            <w:r w:rsidR="00F72DC0" w:rsidRPr="00737C0F">
              <w:rPr>
                <w:color w:val="000000"/>
              </w:rPr>
              <w:t xml:space="preserve">558 </w:t>
            </w:r>
            <w:r w:rsidR="00F72DC0" w:rsidRPr="00737C0F">
              <w:t xml:space="preserve">nepilngadīgo </w:t>
            </w:r>
            <w:r w:rsidR="00F72DC0" w:rsidRPr="00737C0F">
              <w:rPr>
                <w:color w:val="000000"/>
              </w:rPr>
              <w:t xml:space="preserve">izdarītiem noziedzīgiem nodarījumiem, bet </w:t>
            </w:r>
            <w:r w:rsidR="00F72DC0" w:rsidRPr="00737C0F">
              <w:rPr>
                <w:rFonts w:cs="Arial"/>
                <w:iCs/>
              </w:rPr>
              <w:t>noziedzīgos nodarījumos cietuši</w:t>
            </w:r>
            <w:r w:rsidR="00F72DC0" w:rsidRPr="00737C0F">
              <w:rPr>
                <w:rFonts w:cs="Arial"/>
                <w:iCs/>
                <w:color w:val="000000"/>
              </w:rPr>
              <w:t xml:space="preserve"> 556 bērni, no tiem 256 vecumā līdz 14 gadiem.</w:t>
            </w:r>
            <w:r w:rsidR="00B66825" w:rsidRPr="00737C0F">
              <w:rPr>
                <w:rFonts w:cs="Arial"/>
                <w:iCs/>
                <w:color w:val="000000"/>
              </w:rPr>
              <w:t xml:space="preserve"> </w:t>
            </w:r>
            <w:r w:rsidR="00F46682" w:rsidRPr="00737C0F">
              <w:t>2012.gadā pašvaldību administratīvās komisijas pieņēma 108 lēmumus par audzinoša rakstura piespiedu līdzekļu piemērošanu bērniem par viņu izdarītajiem administratīvajiem pārkāpumiem.</w:t>
            </w:r>
            <w:r w:rsidR="00EC0B32" w:rsidRPr="00737C0F">
              <w:t xml:space="preserve"> </w:t>
            </w:r>
            <w:r w:rsidR="00EC0B32" w:rsidRPr="00737C0F">
              <w:rPr>
                <w:color w:val="000000"/>
              </w:rPr>
              <w:t>Par Latvijas A</w:t>
            </w:r>
            <w:r w:rsidR="00732212" w:rsidRPr="00737C0F">
              <w:rPr>
                <w:color w:val="000000"/>
              </w:rPr>
              <w:t>dministratīvo pārkāpumu kodeksā</w:t>
            </w:r>
            <w:r w:rsidR="00EC0B32" w:rsidRPr="00737C0F">
              <w:rPr>
                <w:color w:val="000000"/>
              </w:rPr>
              <w:t xml:space="preserve"> paredzēto pārkāpumu izdarīšanu pie administratīvās atbildības sauktas 9270 nepilngadīgas personas vecumā no 14 līdz 18 gadiem.</w:t>
            </w:r>
          </w:p>
        </w:tc>
      </w:tr>
      <w:tr w:rsidR="0062298A" w:rsidRPr="00737C0F" w:rsidTr="005716AC">
        <w:trPr>
          <w:trHeight w:val="517"/>
        </w:trPr>
        <w:tc>
          <w:tcPr>
            <w:tcW w:w="572" w:type="dxa"/>
          </w:tcPr>
          <w:p w:rsidR="0062298A" w:rsidRPr="00737C0F" w:rsidRDefault="0062298A" w:rsidP="006C4607">
            <w:pPr>
              <w:pStyle w:val="naiskr"/>
              <w:spacing w:before="0" w:after="0"/>
              <w:rPr>
                <w:sz w:val="22"/>
                <w:szCs w:val="22"/>
              </w:rPr>
            </w:pPr>
            <w:r w:rsidRPr="00737C0F">
              <w:rPr>
                <w:sz w:val="22"/>
                <w:szCs w:val="22"/>
              </w:rPr>
              <w:t>3.</w:t>
            </w:r>
          </w:p>
        </w:tc>
        <w:tc>
          <w:tcPr>
            <w:tcW w:w="2410" w:type="dxa"/>
          </w:tcPr>
          <w:p w:rsidR="00C1133D" w:rsidRPr="00737C0F" w:rsidRDefault="000C790C" w:rsidP="006C4607">
            <w:pPr>
              <w:pStyle w:val="naiskr"/>
              <w:spacing w:before="0" w:after="0"/>
              <w:rPr>
                <w:sz w:val="22"/>
                <w:szCs w:val="22"/>
              </w:rPr>
            </w:pPr>
            <w:r w:rsidRPr="00737C0F">
              <w:rPr>
                <w:sz w:val="22"/>
                <w:szCs w:val="22"/>
              </w:rPr>
              <w:t>Tiesiskā r</w:t>
            </w:r>
            <w:r w:rsidR="003D21FF" w:rsidRPr="00737C0F">
              <w:rPr>
                <w:sz w:val="22"/>
                <w:szCs w:val="22"/>
              </w:rPr>
              <w:t>egulējuma</w:t>
            </w:r>
            <w:r w:rsidR="00C27A08" w:rsidRPr="00737C0F">
              <w:rPr>
                <w:sz w:val="22"/>
                <w:szCs w:val="22"/>
              </w:rPr>
              <w:t xml:space="preserve"> finansiālā ietekme</w:t>
            </w:r>
          </w:p>
        </w:tc>
        <w:tc>
          <w:tcPr>
            <w:tcW w:w="6521" w:type="dxa"/>
          </w:tcPr>
          <w:p w:rsidR="002F4402" w:rsidRPr="00737C0F" w:rsidRDefault="004004E0" w:rsidP="002F4402">
            <w:pPr>
              <w:pStyle w:val="naiskr"/>
              <w:numPr>
                <w:ilvl w:val="0"/>
                <w:numId w:val="17"/>
              </w:numPr>
              <w:spacing w:before="0" w:after="0"/>
              <w:ind w:left="0" w:firstLine="360"/>
              <w:jc w:val="both"/>
              <w:rPr>
                <w:bCs/>
                <w:color w:val="000000"/>
              </w:rPr>
            </w:pPr>
            <w:r w:rsidRPr="00737C0F">
              <w:rPr>
                <w:iCs/>
              </w:rPr>
              <w:t>Ietekme uz b</w:t>
            </w:r>
            <w:r w:rsidR="002F4402" w:rsidRPr="00737C0F">
              <w:rPr>
                <w:iCs/>
              </w:rPr>
              <w:t>ērnu tiesību aizsardzības likuma 5</w:t>
            </w:r>
            <w:r w:rsidR="002F4402" w:rsidRPr="00737C0F">
              <w:rPr>
                <w:iCs/>
                <w:vertAlign w:val="superscript"/>
              </w:rPr>
              <w:t>1</w:t>
            </w:r>
            <w:r w:rsidRPr="00737C0F">
              <w:rPr>
                <w:iCs/>
              </w:rPr>
              <w:t>.pantā minētām</w:t>
            </w:r>
            <w:r w:rsidR="002F4402" w:rsidRPr="00737C0F">
              <w:rPr>
                <w:iCs/>
              </w:rPr>
              <w:t xml:space="preserve"> person</w:t>
            </w:r>
            <w:r w:rsidRPr="00737C0F">
              <w:rPr>
                <w:iCs/>
              </w:rPr>
              <w:t>ām</w:t>
            </w:r>
            <w:r w:rsidR="002F4402" w:rsidRPr="00737C0F">
              <w:rPr>
                <w:iCs/>
              </w:rPr>
              <w:t>:</w:t>
            </w:r>
          </w:p>
          <w:p w:rsidR="00AC7584" w:rsidRPr="00737C0F" w:rsidRDefault="002B1257" w:rsidP="002F4402">
            <w:pPr>
              <w:pStyle w:val="naiskr"/>
              <w:spacing w:before="0" w:after="0"/>
              <w:jc w:val="both"/>
              <w:rPr>
                <w:bCs/>
                <w:color w:val="000000"/>
              </w:rPr>
            </w:pPr>
            <w:r w:rsidRPr="00737C0F">
              <w:t xml:space="preserve">     </w:t>
            </w:r>
            <w:r w:rsidR="005A2F1B" w:rsidRPr="00737C0F">
              <w:t>Noteikumi izdoti saskaņā ar Bērnu tiesību aizsardzības likuma 5.</w:t>
            </w:r>
            <w:r w:rsidR="005A2F1B" w:rsidRPr="00737C0F">
              <w:rPr>
                <w:vertAlign w:val="superscript"/>
              </w:rPr>
              <w:t>1</w:t>
            </w:r>
            <w:r w:rsidR="005A2F1B" w:rsidRPr="00737C0F">
              <w:t xml:space="preserve"> pantu, kas neparedzēja ietekmi uz valsts budžetu. </w:t>
            </w:r>
            <w:r w:rsidR="00D85F4F" w:rsidRPr="00737C0F">
              <w:rPr>
                <w:bCs/>
                <w:color w:val="000000"/>
              </w:rPr>
              <w:t xml:space="preserve">Tiem speciālistiem, kuri izskata lietas, kas saistītas ar bērna tiesību aizsardzību, pienākums </w:t>
            </w:r>
            <w:r w:rsidR="00992C13" w:rsidRPr="00737C0F">
              <w:rPr>
                <w:bCs/>
                <w:color w:val="000000"/>
              </w:rPr>
              <w:t>apgūt speciālā</w:t>
            </w:r>
            <w:r w:rsidR="00D85F4F" w:rsidRPr="00737C0F">
              <w:rPr>
                <w:bCs/>
                <w:color w:val="000000"/>
              </w:rPr>
              <w:t xml:space="preserve">s zināšanas ir noteikts Bērnu tiesību aizsardzības likumā kopš 2005.gada. </w:t>
            </w:r>
            <w:r w:rsidR="00732212" w:rsidRPr="00737C0F">
              <w:rPr>
                <w:bCs/>
                <w:color w:val="000000"/>
              </w:rPr>
              <w:t>Valsts budžeta piešķirto līdzekļu ietvaros speciālistu apmācības</w:t>
            </w:r>
            <w:r w:rsidR="005C10FE" w:rsidRPr="00737C0F">
              <w:rPr>
                <w:bCs/>
                <w:color w:val="000000"/>
              </w:rPr>
              <w:t xml:space="preserve"> prokuroriem</w:t>
            </w:r>
            <w:r w:rsidR="00732212" w:rsidRPr="00737C0F">
              <w:rPr>
                <w:bCs/>
                <w:color w:val="000000"/>
              </w:rPr>
              <w:t xml:space="preserve"> </w:t>
            </w:r>
            <w:r w:rsidR="005C10FE" w:rsidRPr="00737C0F">
              <w:rPr>
                <w:bCs/>
                <w:color w:val="000000"/>
              </w:rPr>
              <w:t xml:space="preserve">organizē </w:t>
            </w:r>
            <w:r w:rsidR="00732212" w:rsidRPr="00737C0F">
              <w:rPr>
                <w:bCs/>
                <w:color w:val="000000"/>
              </w:rPr>
              <w:t xml:space="preserve">Ģenerālprokuratūra </w:t>
            </w:r>
            <w:proofErr w:type="gramStart"/>
            <w:r w:rsidR="00732212" w:rsidRPr="00737C0F">
              <w:rPr>
                <w:bCs/>
                <w:color w:val="000000"/>
              </w:rPr>
              <w:t>(</w:t>
            </w:r>
            <w:proofErr w:type="gramEnd"/>
            <w:r w:rsidR="00732212" w:rsidRPr="00737C0F">
              <w:rPr>
                <w:bCs/>
                <w:color w:val="000000"/>
              </w:rPr>
              <w:t xml:space="preserve">plānotais apmācāmo speciālistu skaits 2014.gadā – </w:t>
            </w:r>
            <w:r w:rsidR="00461AE0" w:rsidRPr="00737C0F">
              <w:rPr>
                <w:bCs/>
                <w:color w:val="000000"/>
              </w:rPr>
              <w:t xml:space="preserve">ne vairāk kā </w:t>
            </w:r>
            <w:r w:rsidR="00732212" w:rsidRPr="00737C0F">
              <w:rPr>
                <w:bCs/>
                <w:color w:val="000000"/>
              </w:rPr>
              <w:t>30)</w:t>
            </w:r>
            <w:r w:rsidR="005C10FE" w:rsidRPr="00737C0F">
              <w:rPr>
                <w:bCs/>
                <w:color w:val="000000"/>
              </w:rPr>
              <w:t>.</w:t>
            </w:r>
            <w:r w:rsidR="00732212" w:rsidRPr="00737C0F">
              <w:rPr>
                <w:bCs/>
                <w:color w:val="000000"/>
              </w:rPr>
              <w:t xml:space="preserve"> </w:t>
            </w:r>
            <w:r w:rsidR="005C10FE" w:rsidRPr="00737C0F">
              <w:rPr>
                <w:bCs/>
                <w:color w:val="000000"/>
              </w:rPr>
              <w:t xml:space="preserve"> Mācības policijas darbiniekiem tiek organizētas Valsts policijas koledžas budžeta ietvaros</w:t>
            </w:r>
            <w:r w:rsidR="00600BE1" w:rsidRPr="00737C0F">
              <w:rPr>
                <w:bCs/>
                <w:color w:val="000000"/>
              </w:rPr>
              <w:t xml:space="preserve"> (plānotais </w:t>
            </w:r>
            <w:r w:rsidR="00D418FA" w:rsidRPr="00737C0F">
              <w:rPr>
                <w:bCs/>
                <w:color w:val="000000"/>
              </w:rPr>
              <w:t xml:space="preserve">līdz 2014.gada 31.augustam </w:t>
            </w:r>
            <w:r w:rsidR="00600BE1" w:rsidRPr="00737C0F">
              <w:rPr>
                <w:bCs/>
                <w:color w:val="000000"/>
              </w:rPr>
              <w:t xml:space="preserve">apmācāmo speciālistu skaits: </w:t>
            </w:r>
            <w:r w:rsidR="00F746C0" w:rsidRPr="00737C0F">
              <w:rPr>
                <w:bCs/>
                <w:color w:val="000000"/>
              </w:rPr>
              <w:t>3</w:t>
            </w:r>
            <w:r w:rsidR="00600BE1" w:rsidRPr="00737C0F">
              <w:rPr>
                <w:bCs/>
                <w:color w:val="000000"/>
              </w:rPr>
              <w:t xml:space="preserve"> grupa</w:t>
            </w:r>
            <w:r w:rsidR="00F746C0" w:rsidRPr="00737C0F">
              <w:rPr>
                <w:bCs/>
                <w:color w:val="000000"/>
              </w:rPr>
              <w:t>s</w:t>
            </w:r>
            <w:r w:rsidR="00600BE1" w:rsidRPr="00737C0F">
              <w:rPr>
                <w:bCs/>
                <w:color w:val="000000"/>
              </w:rPr>
              <w:t xml:space="preserve"> (</w:t>
            </w:r>
            <w:r w:rsidR="00F746C0" w:rsidRPr="00737C0F">
              <w:rPr>
                <w:bCs/>
                <w:color w:val="000000"/>
              </w:rPr>
              <w:t>6</w:t>
            </w:r>
            <w:r w:rsidR="00600BE1" w:rsidRPr="00737C0F">
              <w:rPr>
                <w:bCs/>
                <w:color w:val="000000"/>
              </w:rPr>
              <w:t>0 cilvēki) – sākotnējais kurss, 3 grupas (60 cilvēki) – zināšanu pilnveides kurss)</w:t>
            </w:r>
            <w:r w:rsidR="00732212" w:rsidRPr="00737C0F">
              <w:rPr>
                <w:bCs/>
                <w:color w:val="000000"/>
              </w:rPr>
              <w:t>.</w:t>
            </w:r>
            <w:r w:rsidR="00745D49" w:rsidRPr="00737C0F">
              <w:rPr>
                <w:bCs/>
                <w:color w:val="000000"/>
              </w:rPr>
              <w:t xml:space="preserve"> </w:t>
            </w:r>
          </w:p>
          <w:p w:rsidR="00DA4DA9" w:rsidRPr="00737C0F" w:rsidRDefault="002B1257" w:rsidP="00431766">
            <w:pPr>
              <w:jc w:val="both"/>
              <w:rPr>
                <w:lang w:eastAsia="en-US"/>
              </w:rPr>
            </w:pPr>
            <w:r w:rsidRPr="00737C0F">
              <w:rPr>
                <w:bCs/>
                <w:color w:val="000000"/>
              </w:rPr>
              <w:t xml:space="preserve">    </w:t>
            </w:r>
            <w:r w:rsidR="00CF695A" w:rsidRPr="00737C0F">
              <w:rPr>
                <w:bCs/>
                <w:color w:val="000000"/>
              </w:rPr>
              <w:t>2013.gada 16.jūlijā MK sēdē tika atbalst</w:t>
            </w:r>
            <w:r w:rsidR="00357A47" w:rsidRPr="00737C0F">
              <w:rPr>
                <w:bCs/>
                <w:color w:val="000000"/>
              </w:rPr>
              <w:t>īts likumprojekts „G</w:t>
            </w:r>
            <w:r w:rsidR="00CF695A" w:rsidRPr="00737C0F">
              <w:rPr>
                <w:bCs/>
                <w:color w:val="000000"/>
              </w:rPr>
              <w:t>rozījumi Bērnu tiesību aizsardzības likumā”</w:t>
            </w:r>
            <w:r w:rsidR="00357A47" w:rsidRPr="00737C0F">
              <w:rPr>
                <w:bCs/>
                <w:color w:val="000000"/>
              </w:rPr>
              <w:t xml:space="preserve"> </w:t>
            </w:r>
            <w:r w:rsidR="00357A47" w:rsidRPr="00737C0F">
              <w:rPr>
                <w:lang w:eastAsia="en-US"/>
              </w:rPr>
              <w:t xml:space="preserve">(turpmāk – likumprojekts), Eiropas Parlamenta un Padomes 2011.gada 13.decembra direktīvas 2011/93/ES par seksuālas vardarbības pret bērniem, bērnu seksuālas izmantošanas un bērnu pornogrāfijas </w:t>
            </w:r>
            <w:r w:rsidR="00357A47" w:rsidRPr="00737C0F">
              <w:rPr>
                <w:lang w:eastAsia="en-US"/>
              </w:rPr>
              <w:lastRenderedPageBreak/>
              <w:t xml:space="preserve">apkarošanu, un ar kuru aizstāj Padomes Pamatlēmumu 2004/68/TI ieviešanai. </w:t>
            </w:r>
          </w:p>
          <w:p w:rsidR="00DA4DA9" w:rsidRPr="00737C0F" w:rsidRDefault="002B1257" w:rsidP="002B1257">
            <w:pPr>
              <w:jc w:val="both"/>
              <w:rPr>
                <w:lang w:eastAsia="en-US"/>
              </w:rPr>
            </w:pPr>
            <w:r w:rsidRPr="00737C0F">
              <w:rPr>
                <w:lang w:eastAsia="en-US"/>
              </w:rPr>
              <w:t xml:space="preserve">      </w:t>
            </w:r>
            <w:r w:rsidR="00DA4DA9" w:rsidRPr="00737C0F">
              <w:rPr>
                <w:lang w:eastAsia="en-US"/>
              </w:rPr>
              <w:t>Likumprojekts paredz papildināt likuma 5.</w:t>
            </w:r>
            <w:r w:rsidR="00DA4DA9" w:rsidRPr="00737C0F">
              <w:rPr>
                <w:vertAlign w:val="superscript"/>
                <w:lang w:eastAsia="en-US"/>
              </w:rPr>
              <w:t>1</w:t>
            </w:r>
            <w:r w:rsidR="00DA4DA9" w:rsidRPr="00737C0F">
              <w:rPr>
                <w:lang w:eastAsia="en-US"/>
              </w:rPr>
              <w:t xml:space="preserve"> panta pirmo daļu ar 19.</w:t>
            </w:r>
            <w:r w:rsidR="00DA4DA9" w:rsidRPr="00737C0F">
              <w:rPr>
                <w:vertAlign w:val="superscript"/>
                <w:lang w:eastAsia="en-US"/>
              </w:rPr>
              <w:t>1</w:t>
            </w:r>
            <w:r w:rsidR="00DA4DA9" w:rsidRPr="00737C0F">
              <w:rPr>
                <w:lang w:eastAsia="en-US"/>
              </w:rPr>
              <w:t xml:space="preserve"> punktu, nosakot, ka speciālas zināšanas bērnu tiesību aizsardzības jomā būs nepieciešamas arī advokātiem. Vienlaikus likuma 5.</w:t>
            </w:r>
            <w:r w:rsidR="00DA4DA9" w:rsidRPr="00737C0F">
              <w:rPr>
                <w:vertAlign w:val="superscript"/>
                <w:lang w:eastAsia="en-US"/>
              </w:rPr>
              <w:t>1</w:t>
            </w:r>
            <w:r w:rsidR="00DA4DA9" w:rsidRPr="00737C0F">
              <w:rPr>
                <w:lang w:eastAsia="en-US"/>
              </w:rPr>
              <w:t xml:space="preserve"> pantu paredzēts papildināt ar 1.</w:t>
            </w:r>
            <w:r w:rsidR="00DA4DA9" w:rsidRPr="00737C0F">
              <w:rPr>
                <w:vertAlign w:val="superscript"/>
                <w:lang w:eastAsia="en-US"/>
              </w:rPr>
              <w:t>1</w:t>
            </w:r>
            <w:r w:rsidR="00DA4DA9" w:rsidRPr="00737C0F">
              <w:rPr>
                <w:lang w:eastAsia="en-US"/>
              </w:rPr>
              <w:t xml:space="preserve"> daļu, nosakot, ka, lai prokurori, tiesneši, ieslodzījuma vietas darbinieki, kuri strādā ar nepilngadīgajiem, Valsts policijas amatpersonas, kuras strādā ar bērniem, un advokāti apgūtu speciālās zināšanas par saskarsmi ar nepilngadīgo kriminālprocesa laikā, Valsts bērnu tiesību aizsardzības inspekcija (turpmāk – VBTAI) </w:t>
            </w:r>
            <w:r w:rsidR="00DA4DA9" w:rsidRPr="00737C0F">
              <w:rPr>
                <w:u w:val="single"/>
                <w:lang w:eastAsia="en-US"/>
              </w:rPr>
              <w:t>organizē mācības atbilstoši likumā par valsts budžetu kārtējam gadam piešķirtajiem līdzekļiem.</w:t>
            </w:r>
            <w:r w:rsidR="002778AB" w:rsidRPr="00737C0F">
              <w:rPr>
                <w:u w:val="single"/>
                <w:lang w:eastAsia="en-US"/>
              </w:rPr>
              <w:t xml:space="preserve"> </w:t>
            </w:r>
            <w:r w:rsidR="002778AB" w:rsidRPr="00737C0F">
              <w:rPr>
                <w:lang w:eastAsia="en-US"/>
              </w:rPr>
              <w:t>Tādejādi, lai īstenotu direktīvas noteiktās prasības papildus valsts budžeta finansējums ir nepieciešams prokuroru, tiesnešu, ieslodzījuma vietu darbinieku, kuri strādā ar nepilngadīgajiem, Valsts policijas amatpersonu, kuras strādā ar bērniem, un advokātu apmācībām.</w:t>
            </w:r>
          </w:p>
          <w:p w:rsidR="00DA4DA9" w:rsidRPr="00737C0F" w:rsidRDefault="00232EDC" w:rsidP="00431766">
            <w:pPr>
              <w:jc w:val="both"/>
              <w:rPr>
                <w:lang w:eastAsia="en-US"/>
              </w:rPr>
            </w:pPr>
            <w:r w:rsidRPr="00737C0F">
              <w:rPr>
                <w:lang w:eastAsia="en-US"/>
              </w:rPr>
              <w:t>2014.gada 6.martā šis likumprojekts direktīvas ieviešanai atbalstīts Saeimā. Saeimas atbalstītajā likumprojektā tika veiktas izmaiņas 5.</w:t>
            </w:r>
            <w:r w:rsidRPr="00737C0F">
              <w:rPr>
                <w:vertAlign w:val="superscript"/>
                <w:lang w:eastAsia="en-US"/>
              </w:rPr>
              <w:t>1</w:t>
            </w:r>
            <w:r w:rsidRPr="00737C0F">
              <w:rPr>
                <w:lang w:eastAsia="en-US"/>
              </w:rPr>
              <w:t xml:space="preserve"> pantā attiecībā uz advokātu apmācībām, kas praksē nozīmē, ka ir jāpalielina par valsts budžeta līdzekļiem apmācāmo advokātu skaits. Šo izmaiņu dēļ anotācijas III sadaļā veiktie aprēķini atšķiras no likumprojekta anotācijā ietvertajiem aprēķiniem, sākot ar 2018.gadu.  </w:t>
            </w:r>
          </w:p>
          <w:p w:rsidR="002F4402" w:rsidRPr="00737C0F" w:rsidRDefault="002F4402" w:rsidP="00357A47">
            <w:pPr>
              <w:pStyle w:val="naiskr"/>
              <w:numPr>
                <w:ilvl w:val="0"/>
                <w:numId w:val="17"/>
              </w:numPr>
              <w:spacing w:before="0" w:after="0"/>
              <w:jc w:val="both"/>
            </w:pPr>
            <w:r w:rsidRPr="00737C0F">
              <w:t>I</w:t>
            </w:r>
            <w:r w:rsidR="004004E0" w:rsidRPr="00737C0F">
              <w:t>etekme uz i</w:t>
            </w:r>
            <w:r w:rsidRPr="00737C0F">
              <w:t>zglītības iestād</w:t>
            </w:r>
            <w:r w:rsidR="004004E0" w:rsidRPr="00737C0F">
              <w:t>ēm</w:t>
            </w:r>
            <w:r w:rsidRPr="00737C0F">
              <w:t>:</w:t>
            </w:r>
          </w:p>
          <w:p w:rsidR="002F4402" w:rsidRPr="00737C0F" w:rsidRDefault="002F4402" w:rsidP="00357A47">
            <w:pPr>
              <w:pStyle w:val="naiskr"/>
              <w:spacing w:before="0" w:after="0"/>
              <w:jc w:val="both"/>
            </w:pPr>
            <w:r w:rsidRPr="00737C0F">
              <w:t xml:space="preserve">Tāpat kā līdz šim, izglītības iestādes varēs </w:t>
            </w:r>
            <w:r w:rsidR="00206B80" w:rsidRPr="00737C0F">
              <w:t>piedāvāt apmācības speciālistiem un</w:t>
            </w:r>
            <w:r w:rsidR="002778AB" w:rsidRPr="00737C0F">
              <w:t>, kur attiecināms,</w:t>
            </w:r>
            <w:r w:rsidR="00206B80" w:rsidRPr="00737C0F">
              <w:t xml:space="preserve"> </w:t>
            </w:r>
            <w:r w:rsidRPr="00737C0F">
              <w:t>gūt peļņu.</w:t>
            </w:r>
          </w:p>
        </w:tc>
      </w:tr>
      <w:tr w:rsidR="00C27A08" w:rsidRPr="00737C0F" w:rsidTr="005716AC">
        <w:trPr>
          <w:trHeight w:val="517"/>
        </w:trPr>
        <w:tc>
          <w:tcPr>
            <w:tcW w:w="572" w:type="dxa"/>
          </w:tcPr>
          <w:p w:rsidR="00C27A08" w:rsidRPr="00737C0F" w:rsidRDefault="00C27A08" w:rsidP="006C4607">
            <w:pPr>
              <w:pStyle w:val="naiskr"/>
              <w:spacing w:before="0" w:after="0"/>
              <w:rPr>
                <w:sz w:val="22"/>
                <w:szCs w:val="22"/>
              </w:rPr>
            </w:pPr>
            <w:r w:rsidRPr="00737C0F">
              <w:rPr>
                <w:sz w:val="22"/>
                <w:szCs w:val="22"/>
              </w:rPr>
              <w:lastRenderedPageBreak/>
              <w:t>4.</w:t>
            </w:r>
          </w:p>
        </w:tc>
        <w:tc>
          <w:tcPr>
            <w:tcW w:w="2410" w:type="dxa"/>
          </w:tcPr>
          <w:p w:rsidR="00C27A08" w:rsidRPr="00737C0F" w:rsidRDefault="00C27A08" w:rsidP="006C4607">
            <w:pPr>
              <w:pStyle w:val="naiskr"/>
              <w:spacing w:before="0" w:after="0"/>
              <w:rPr>
                <w:sz w:val="22"/>
                <w:szCs w:val="22"/>
              </w:rPr>
            </w:pPr>
            <w:r w:rsidRPr="00737C0F">
              <w:rPr>
                <w:sz w:val="22"/>
                <w:szCs w:val="22"/>
              </w:rPr>
              <w:t>Tiesiskā regulējuma nefinansiālā ietekme</w:t>
            </w:r>
          </w:p>
        </w:tc>
        <w:tc>
          <w:tcPr>
            <w:tcW w:w="6521" w:type="dxa"/>
          </w:tcPr>
          <w:p w:rsidR="003E5E52" w:rsidRPr="00737C0F" w:rsidRDefault="00784C83" w:rsidP="00206B80">
            <w:pPr>
              <w:autoSpaceDE w:val="0"/>
              <w:autoSpaceDN w:val="0"/>
              <w:adjustRightInd w:val="0"/>
              <w:jc w:val="both"/>
              <w:rPr>
                <w:sz w:val="22"/>
                <w:szCs w:val="22"/>
              </w:rPr>
            </w:pPr>
            <w:r w:rsidRPr="00737C0F">
              <w:rPr>
                <w:color w:val="000000"/>
              </w:rPr>
              <w:t xml:space="preserve">Noteikuma projektā minētās </w:t>
            </w:r>
            <w:r w:rsidR="00206B80" w:rsidRPr="00737C0F">
              <w:rPr>
                <w:color w:val="000000"/>
              </w:rPr>
              <w:t>izglītības</w:t>
            </w:r>
            <w:r w:rsidR="003E5E52" w:rsidRPr="00737C0F">
              <w:rPr>
                <w:color w:val="000000"/>
              </w:rPr>
              <w:t xml:space="preserve"> programmas sekmēs speciālistu zināšanu pilnveidošanu </w:t>
            </w:r>
            <w:r w:rsidR="00D02E6E" w:rsidRPr="00737C0F">
              <w:rPr>
                <w:color w:val="000000"/>
              </w:rPr>
              <w:t>bērnu tiesību aizsardzības jomā</w:t>
            </w:r>
            <w:r w:rsidR="003E5E52" w:rsidRPr="00737C0F">
              <w:rPr>
                <w:color w:val="000000"/>
              </w:rPr>
              <w:t>.</w:t>
            </w:r>
            <w:r w:rsidR="00891D6F" w:rsidRPr="00737C0F">
              <w:rPr>
                <w:color w:val="000000"/>
              </w:rPr>
              <w:t xml:space="preserve"> </w:t>
            </w:r>
            <w:r w:rsidR="003E5E52" w:rsidRPr="00737C0F">
              <w:t xml:space="preserve">Savukārt bērniem Latvijā tiks veicināta to tiesību ievērošana un pārkāpumu pret bērniem </w:t>
            </w:r>
            <w:proofErr w:type="spellStart"/>
            <w:r w:rsidR="003E5E52" w:rsidRPr="00737C0F">
              <w:t>prevencija</w:t>
            </w:r>
            <w:proofErr w:type="spellEnd"/>
            <w:r w:rsidR="003E5E52" w:rsidRPr="00737C0F">
              <w:t>.</w:t>
            </w:r>
          </w:p>
        </w:tc>
      </w:tr>
      <w:tr w:rsidR="0062298A" w:rsidRPr="00737C0F" w:rsidTr="005716AC">
        <w:trPr>
          <w:trHeight w:val="70"/>
        </w:trPr>
        <w:tc>
          <w:tcPr>
            <w:tcW w:w="572" w:type="dxa"/>
          </w:tcPr>
          <w:p w:rsidR="0062298A" w:rsidRPr="00737C0F" w:rsidRDefault="00C27A08" w:rsidP="006C4607">
            <w:pPr>
              <w:pStyle w:val="naiskr"/>
              <w:spacing w:before="0" w:after="0"/>
              <w:rPr>
                <w:sz w:val="22"/>
                <w:szCs w:val="22"/>
              </w:rPr>
            </w:pPr>
            <w:r w:rsidRPr="00737C0F">
              <w:rPr>
                <w:sz w:val="22"/>
                <w:szCs w:val="22"/>
              </w:rPr>
              <w:t>5</w:t>
            </w:r>
            <w:r w:rsidR="0062298A" w:rsidRPr="00737C0F">
              <w:rPr>
                <w:sz w:val="22"/>
                <w:szCs w:val="22"/>
              </w:rPr>
              <w:t>.</w:t>
            </w:r>
          </w:p>
        </w:tc>
        <w:tc>
          <w:tcPr>
            <w:tcW w:w="2410" w:type="dxa"/>
          </w:tcPr>
          <w:p w:rsidR="00C1133D" w:rsidRPr="00737C0F" w:rsidRDefault="00C1133D" w:rsidP="006C4607">
            <w:pPr>
              <w:pStyle w:val="naiskr"/>
              <w:spacing w:before="0" w:after="0"/>
              <w:rPr>
                <w:sz w:val="22"/>
                <w:szCs w:val="22"/>
              </w:rPr>
            </w:pPr>
            <w:r w:rsidRPr="00737C0F">
              <w:rPr>
                <w:sz w:val="22"/>
                <w:szCs w:val="22"/>
              </w:rPr>
              <w:t>Administratīv</w:t>
            </w:r>
            <w:r w:rsidR="00C27A08" w:rsidRPr="00737C0F">
              <w:rPr>
                <w:sz w:val="22"/>
                <w:szCs w:val="22"/>
              </w:rPr>
              <w:t>ās</w:t>
            </w:r>
            <w:r w:rsidRPr="00737C0F">
              <w:rPr>
                <w:sz w:val="22"/>
                <w:szCs w:val="22"/>
              </w:rPr>
              <w:t xml:space="preserve"> procedūr</w:t>
            </w:r>
            <w:r w:rsidR="00965897" w:rsidRPr="00737C0F">
              <w:rPr>
                <w:sz w:val="22"/>
                <w:szCs w:val="22"/>
              </w:rPr>
              <w:t>a</w:t>
            </w:r>
            <w:r w:rsidRPr="00737C0F">
              <w:rPr>
                <w:sz w:val="22"/>
                <w:szCs w:val="22"/>
              </w:rPr>
              <w:t xml:space="preserve">s </w:t>
            </w:r>
            <w:r w:rsidR="00C27A08" w:rsidRPr="00737C0F">
              <w:rPr>
                <w:sz w:val="22"/>
                <w:szCs w:val="22"/>
              </w:rPr>
              <w:t>raksturojums</w:t>
            </w:r>
          </w:p>
        </w:tc>
        <w:tc>
          <w:tcPr>
            <w:tcW w:w="6521" w:type="dxa"/>
          </w:tcPr>
          <w:p w:rsidR="003E5E52" w:rsidRPr="00737C0F" w:rsidRDefault="00784C83" w:rsidP="00347AC6">
            <w:pPr>
              <w:jc w:val="both"/>
            </w:pPr>
            <w:r w:rsidRPr="00737C0F">
              <w:t>Izglītības iestāde</w:t>
            </w:r>
            <w:proofErr w:type="gramStart"/>
            <w:r w:rsidRPr="00737C0F">
              <w:t xml:space="preserve"> </w:t>
            </w:r>
            <w:r w:rsidR="00DD5D6E" w:rsidRPr="00737C0F">
              <w:t xml:space="preserve"> </w:t>
            </w:r>
            <w:proofErr w:type="gramEnd"/>
            <w:r w:rsidR="00DD5D6E" w:rsidRPr="00737C0F">
              <w:t xml:space="preserve">vai ministriju padotības iestādes, kuru nolikums paredz izglītojošas darbības veikšanu, </w:t>
            </w:r>
            <w:r w:rsidR="00206B80" w:rsidRPr="00737C0F">
              <w:t>izglītības</w:t>
            </w:r>
            <w:r w:rsidR="002F4402" w:rsidRPr="00737C0F">
              <w:t xml:space="preserve"> programmu saskaņos nevis ar Labklājības ministriju, bet ar tās padotības iestādi - Valsts bērnu tiesību aizsardzības inspekci</w:t>
            </w:r>
            <w:r w:rsidR="003132C4" w:rsidRPr="00737C0F">
              <w:t>ju. Noteikumu projekta 14</w:t>
            </w:r>
            <w:r w:rsidR="003E5E52" w:rsidRPr="00737C0F">
              <w:t>.punkts paredz</w:t>
            </w:r>
            <w:r w:rsidR="0082389E" w:rsidRPr="00737C0F">
              <w:t xml:space="preserve"> jaunu pienākumu Valsts bērnu tiesību aizsardzības inspekcijai</w:t>
            </w:r>
            <w:r w:rsidR="00083F21" w:rsidRPr="00737C0F">
              <w:t xml:space="preserve"> -</w:t>
            </w:r>
            <w:r w:rsidR="003E5E52" w:rsidRPr="00737C0F">
              <w:t xml:space="preserve"> </w:t>
            </w:r>
            <w:r w:rsidR="0009356D" w:rsidRPr="00737C0F">
              <w:t>saskaņot</w:t>
            </w:r>
            <w:r w:rsidR="0082389E" w:rsidRPr="00737C0F">
              <w:t xml:space="preserve"> </w:t>
            </w:r>
            <w:r w:rsidR="0009356D" w:rsidRPr="00737C0F">
              <w:t>izglītības iestāžu</w:t>
            </w:r>
            <w:r w:rsidRPr="00737C0F">
              <w:t xml:space="preserve"> </w:t>
            </w:r>
            <w:r w:rsidR="002861A9" w:rsidRPr="00737C0F">
              <w:t>izglītības</w:t>
            </w:r>
            <w:r w:rsidR="003E5E52" w:rsidRPr="00737C0F">
              <w:t xml:space="preserve"> programm</w:t>
            </w:r>
            <w:r w:rsidR="0082389E" w:rsidRPr="00737C0F">
              <w:t>as</w:t>
            </w:r>
            <w:r w:rsidR="003E5E52" w:rsidRPr="00737C0F">
              <w:t xml:space="preserve"> </w:t>
            </w:r>
            <w:r w:rsidR="0009356D" w:rsidRPr="00737C0F">
              <w:t>pirms to īstenošanas</w:t>
            </w:r>
            <w:r w:rsidR="003E5E52" w:rsidRPr="00737C0F">
              <w:t xml:space="preserve">. </w:t>
            </w:r>
          </w:p>
          <w:p w:rsidR="002F4402" w:rsidRPr="00737C0F" w:rsidRDefault="00784C83" w:rsidP="00347AC6">
            <w:pPr>
              <w:jc w:val="both"/>
            </w:pPr>
            <w:r w:rsidRPr="00737C0F">
              <w:t xml:space="preserve">Izglītības iestāde </w:t>
            </w:r>
            <w:r w:rsidR="00CC69B8" w:rsidRPr="00737C0F">
              <w:t xml:space="preserve">vai ministriju padotības iestādes, kuru nolikums paredz izglītojošas darbības veikšanu, </w:t>
            </w:r>
            <w:r w:rsidR="002861A9" w:rsidRPr="00737C0F">
              <w:t>izglītības</w:t>
            </w:r>
            <w:r w:rsidR="00CC69B8" w:rsidRPr="00737C0F">
              <w:t xml:space="preserve"> </w:t>
            </w:r>
            <w:r w:rsidR="002F4402" w:rsidRPr="00737C0F">
              <w:t>programmu saskaņošanai ar Valsts bērnu tiesību aizsardzības inspekciju var nosūtīt pa pastu, elektroniski, parakstot ar drošu ele</w:t>
            </w:r>
            <w:r w:rsidR="00745D49" w:rsidRPr="00737C0F">
              <w:t>ktronisko parakstu, vai</w:t>
            </w:r>
            <w:r w:rsidR="002F4402" w:rsidRPr="00737C0F">
              <w:t xml:space="preserve"> personīgi. </w:t>
            </w:r>
            <w:r w:rsidR="002861A9" w:rsidRPr="00737C0F">
              <w:t>K</w:t>
            </w:r>
            <w:r w:rsidR="00CC69B8" w:rsidRPr="00737C0F">
              <w:t>opā ar mācību programmu inspekcijai nosūta iesniegumu un lektoru sarakstu, norādot lektoru izglītību, kvalifikāciju, profesionālo pieredzi. Mēneša laikā pēc iesnieguma saņemšanas inspekcija saskaņo izglītības programmu, uzdod izglītības iestādei izglītības programmu precizēt un iesniegt atkārtoti, vai pieņem lēmumu par izglītības programmas saskaņošanas atteikumu.</w:t>
            </w:r>
          </w:p>
          <w:p w:rsidR="00DB2213" w:rsidRPr="00737C0F" w:rsidRDefault="00DB2213" w:rsidP="00347AC6">
            <w:pPr>
              <w:jc w:val="both"/>
            </w:pPr>
            <w:r w:rsidRPr="00737C0F">
              <w:t>Apmācību saturu ar VBTAI saskaņos arī darba devēji, kuri organizēs apmācības BTAL 5.</w:t>
            </w:r>
            <w:r w:rsidRPr="00737C0F">
              <w:rPr>
                <w:vertAlign w:val="superscript"/>
              </w:rPr>
              <w:t>1</w:t>
            </w:r>
            <w:r w:rsidRPr="00737C0F">
              <w:t xml:space="preserve"> panta pirmās daļas 20. Punktā minētajām personām. Procedūra būtība neatšķiras no iepriekš </w:t>
            </w:r>
            <w:r w:rsidRPr="00737C0F">
              <w:lastRenderedPageBreak/>
              <w:t xml:space="preserve">aprakstītās procedūras izglītības iestādēm. </w:t>
            </w:r>
          </w:p>
          <w:p w:rsidR="00532E03" w:rsidRPr="00737C0F" w:rsidRDefault="00532E03" w:rsidP="00347AC6">
            <w:pPr>
              <w:jc w:val="both"/>
            </w:pPr>
            <w:r w:rsidRPr="00737C0F">
              <w:t>Organizējot centralizētas apmācības saskaņā ar direktīvas prasībām un atbilstoši Bērnu tiesību aizsardzības likumā noteiktajam, Valsts bērnu tiesību aizsardzības inspekcija, piesaistot dažādu institūciju pārstāvjus, veido iepirkuma komisiju, kura sagatavo iepirkuma nolikumu, tehnisko specifikāciju un līguma projektu.</w:t>
            </w:r>
          </w:p>
          <w:p w:rsidR="003E78B7" w:rsidRPr="00737C0F" w:rsidRDefault="002F4402" w:rsidP="0082389E">
            <w:pPr>
              <w:jc w:val="both"/>
            </w:pPr>
            <w:r w:rsidRPr="00737C0F">
              <w:t>Citas līdz šim spēkā esošās administratīvās procedūras noteikumu projekts neparedz mainīt.</w:t>
            </w:r>
          </w:p>
        </w:tc>
      </w:tr>
      <w:tr w:rsidR="0062298A" w:rsidRPr="00737C0F" w:rsidTr="005716AC">
        <w:trPr>
          <w:trHeight w:val="357"/>
        </w:trPr>
        <w:tc>
          <w:tcPr>
            <w:tcW w:w="572" w:type="dxa"/>
          </w:tcPr>
          <w:p w:rsidR="0062298A" w:rsidRPr="00737C0F" w:rsidRDefault="00C27A08" w:rsidP="006C4607">
            <w:pPr>
              <w:pStyle w:val="naiskr"/>
              <w:spacing w:before="0" w:after="0"/>
              <w:rPr>
                <w:sz w:val="22"/>
                <w:szCs w:val="22"/>
              </w:rPr>
            </w:pPr>
            <w:r w:rsidRPr="00737C0F">
              <w:rPr>
                <w:sz w:val="22"/>
                <w:szCs w:val="22"/>
              </w:rPr>
              <w:lastRenderedPageBreak/>
              <w:t>6</w:t>
            </w:r>
            <w:r w:rsidR="0062298A" w:rsidRPr="00737C0F">
              <w:rPr>
                <w:sz w:val="22"/>
                <w:szCs w:val="22"/>
              </w:rPr>
              <w:t>.</w:t>
            </w:r>
          </w:p>
        </w:tc>
        <w:tc>
          <w:tcPr>
            <w:tcW w:w="2410" w:type="dxa"/>
          </w:tcPr>
          <w:p w:rsidR="00AE5066" w:rsidRPr="00737C0F" w:rsidRDefault="00C27A08" w:rsidP="006C4607">
            <w:pPr>
              <w:pStyle w:val="naiskr"/>
              <w:spacing w:before="0" w:after="0"/>
              <w:rPr>
                <w:sz w:val="22"/>
                <w:szCs w:val="22"/>
              </w:rPr>
            </w:pPr>
            <w:r w:rsidRPr="00737C0F">
              <w:rPr>
                <w:sz w:val="22"/>
                <w:szCs w:val="22"/>
              </w:rPr>
              <w:t xml:space="preserve">Administratīvo izmaksu </w:t>
            </w:r>
            <w:r w:rsidR="00502374" w:rsidRPr="00737C0F">
              <w:rPr>
                <w:sz w:val="22"/>
                <w:szCs w:val="22"/>
              </w:rPr>
              <w:t xml:space="preserve">monetārs </w:t>
            </w:r>
            <w:r w:rsidRPr="00737C0F">
              <w:rPr>
                <w:sz w:val="22"/>
                <w:szCs w:val="22"/>
              </w:rPr>
              <w:t>novērtējums</w:t>
            </w:r>
          </w:p>
        </w:tc>
        <w:tc>
          <w:tcPr>
            <w:tcW w:w="6521" w:type="dxa"/>
          </w:tcPr>
          <w:p w:rsidR="002F4402" w:rsidRPr="00737C0F" w:rsidRDefault="00784C83" w:rsidP="00347AC6">
            <w:pPr>
              <w:pStyle w:val="naiskr"/>
              <w:spacing w:before="0" w:after="0"/>
              <w:jc w:val="both"/>
            </w:pPr>
            <w:r w:rsidRPr="00737C0F">
              <w:t xml:space="preserve">Izglītības iestādes </w:t>
            </w:r>
            <w:r w:rsidR="00347AC6" w:rsidRPr="00737C0F">
              <w:t xml:space="preserve">mācību programmas saskaņošana ar Valsts bērnu tiesību aizsardzības inspekciju ir bez maksas. </w:t>
            </w:r>
          </w:p>
          <w:p w:rsidR="0062298A" w:rsidRPr="00737C0F" w:rsidRDefault="00347AC6" w:rsidP="00347AC6">
            <w:pPr>
              <w:pStyle w:val="naiskr"/>
              <w:spacing w:before="0" w:after="0"/>
              <w:jc w:val="both"/>
            </w:pPr>
            <w:r w:rsidRPr="00737C0F">
              <w:t>Valsts bērnu tiesību aizsardzības inspekcijas speciālists programmas saskaņošanu veic savu pienākumu ietvaros.</w:t>
            </w:r>
          </w:p>
          <w:p w:rsidR="00347AC6" w:rsidRPr="00737C0F" w:rsidRDefault="00347AC6" w:rsidP="00347AC6">
            <w:pPr>
              <w:pStyle w:val="naiskr"/>
              <w:spacing w:before="0" w:after="0"/>
              <w:jc w:val="both"/>
            </w:pPr>
            <w:r w:rsidRPr="00737C0F">
              <w:t>Valsts bērnu tiesību aizsardzības inspekcijai tiešās programmas saskaņošanas izmaksas veidosies no pasta izdevumiem, nosūtot izglītības iestādei apstiprinājumu par programmas saskaņojumu</w:t>
            </w:r>
            <w:r w:rsidR="001B3038" w:rsidRPr="00737C0F">
              <w:t xml:space="preserve"> vai atteikumu saskaņot</w:t>
            </w:r>
            <w:r w:rsidRPr="00737C0F">
              <w:t xml:space="preserve">. </w:t>
            </w:r>
          </w:p>
          <w:p w:rsidR="002F4402" w:rsidRPr="00737C0F" w:rsidRDefault="00317092" w:rsidP="00317092">
            <w:pPr>
              <w:pStyle w:val="naiskr"/>
              <w:spacing w:before="0" w:after="0"/>
              <w:jc w:val="both"/>
              <w:rPr>
                <w:sz w:val="22"/>
                <w:szCs w:val="22"/>
              </w:rPr>
            </w:pPr>
            <w:r w:rsidRPr="00737C0F">
              <w:t>Izglītības iestādei,</w:t>
            </w:r>
            <w:r w:rsidR="00E878D2" w:rsidRPr="00737C0F">
              <w:t xml:space="preserve"> ministriju padotības iestādēm, kuru nolikums paredz izglītojošas darbības veikšanu, </w:t>
            </w:r>
            <w:r w:rsidRPr="00737C0F">
              <w:t xml:space="preserve">un darba devējiem </w:t>
            </w:r>
            <w:r w:rsidR="002F4402" w:rsidRPr="00737C0F">
              <w:t xml:space="preserve">tiešās programmas saskaņošanas izmaksas būs atkarīgas </w:t>
            </w:r>
            <w:r w:rsidR="0069426F" w:rsidRPr="00737C0F">
              <w:t xml:space="preserve">no izvēlētā saziņas veida. Ja </w:t>
            </w:r>
            <w:r w:rsidR="00E878D2" w:rsidRPr="00737C0F">
              <w:t>izglītības</w:t>
            </w:r>
            <w:r w:rsidR="002F4402" w:rsidRPr="00737C0F">
              <w:t xml:space="preserve"> programma saskaņošanai tiks iesniegta personiski, izmaksas neveidosies</w:t>
            </w:r>
            <w:r w:rsidR="0069426F" w:rsidRPr="00737C0F">
              <w:t xml:space="preserve">. Ja </w:t>
            </w:r>
            <w:r w:rsidR="00E878D2" w:rsidRPr="00737C0F">
              <w:t>izglītības</w:t>
            </w:r>
            <w:r w:rsidR="00857526" w:rsidRPr="00737C0F">
              <w:t xml:space="preserve"> programma saskaņošanai tiks nosūtīta pa pastu, izmaksas veidosies no samaksas par pasta pakalpojumiem. </w:t>
            </w:r>
          </w:p>
        </w:tc>
      </w:tr>
      <w:tr w:rsidR="0062298A" w:rsidRPr="00737C0F" w:rsidTr="005716AC">
        <w:tc>
          <w:tcPr>
            <w:tcW w:w="572" w:type="dxa"/>
          </w:tcPr>
          <w:p w:rsidR="0062298A" w:rsidRPr="00737C0F" w:rsidRDefault="00C27A08" w:rsidP="006C4607">
            <w:pPr>
              <w:pStyle w:val="naiskr"/>
              <w:spacing w:before="0" w:after="0"/>
              <w:rPr>
                <w:sz w:val="22"/>
                <w:szCs w:val="22"/>
              </w:rPr>
            </w:pPr>
            <w:r w:rsidRPr="00737C0F">
              <w:rPr>
                <w:sz w:val="22"/>
                <w:szCs w:val="22"/>
              </w:rPr>
              <w:t>7</w:t>
            </w:r>
            <w:r w:rsidR="0062298A" w:rsidRPr="00737C0F">
              <w:rPr>
                <w:sz w:val="22"/>
                <w:szCs w:val="22"/>
              </w:rPr>
              <w:t>.</w:t>
            </w:r>
          </w:p>
        </w:tc>
        <w:tc>
          <w:tcPr>
            <w:tcW w:w="2410" w:type="dxa"/>
          </w:tcPr>
          <w:p w:rsidR="0062298A" w:rsidRPr="00737C0F" w:rsidRDefault="009E12D7" w:rsidP="006C4607">
            <w:pPr>
              <w:pStyle w:val="naiskr"/>
              <w:spacing w:before="0" w:after="0"/>
              <w:rPr>
                <w:sz w:val="22"/>
                <w:szCs w:val="22"/>
              </w:rPr>
            </w:pPr>
            <w:r w:rsidRPr="00737C0F">
              <w:rPr>
                <w:sz w:val="22"/>
                <w:szCs w:val="22"/>
              </w:rPr>
              <w:t>Cita informācija</w:t>
            </w:r>
          </w:p>
        </w:tc>
        <w:tc>
          <w:tcPr>
            <w:tcW w:w="6521" w:type="dxa"/>
          </w:tcPr>
          <w:p w:rsidR="00932277" w:rsidRPr="00737C0F" w:rsidRDefault="0004258F" w:rsidP="00A33C4B">
            <w:pPr>
              <w:pStyle w:val="naiskr"/>
              <w:spacing w:before="0" w:after="0"/>
              <w:jc w:val="both"/>
              <w:rPr>
                <w:color w:val="000000"/>
              </w:rPr>
            </w:pPr>
            <w:r w:rsidRPr="00737C0F">
              <w:rPr>
                <w:color w:val="000000"/>
              </w:rPr>
              <w:t>Lai noskaidrotu, cik no pašvaldībās esošajiem speciālistiem ir apmācīti un cik lielam skaitam vēl būtu nepieciešamas apmācības, 2010.gada decembrī Labklājības ministrija veica visu pašvaldību aptauju. No 109 novadiem informāciju sniedza 54 pašvaldības, savukārt no 9 republikas pilsētām informāciju sniedza 6 (</w:t>
            </w:r>
            <w:r w:rsidR="00CF475E" w:rsidRPr="00737C0F">
              <w:rPr>
                <w:color w:val="000000"/>
              </w:rPr>
              <w:t xml:space="preserve">informāciju </w:t>
            </w:r>
            <w:r w:rsidRPr="00737C0F">
              <w:rPr>
                <w:color w:val="000000"/>
              </w:rPr>
              <w:t>nesniedza – Daugavpils, Jēkabpils, Rīga). No sniegtās informācijas tika secināts, ka kopumā apmācības ir apguvuši 55% no visiem speciālistiem, par kuriem tika sniegta informācija (318 no 578).</w:t>
            </w:r>
          </w:p>
          <w:p w:rsidR="0062298A" w:rsidRPr="00737C0F" w:rsidRDefault="0004258F" w:rsidP="00A33C4B">
            <w:pPr>
              <w:pStyle w:val="naiskr"/>
              <w:spacing w:before="0" w:after="0"/>
              <w:jc w:val="both"/>
              <w:rPr>
                <w:color w:val="000000"/>
              </w:rPr>
            </w:pPr>
            <w:r w:rsidRPr="00737C0F">
              <w:rPr>
                <w:color w:val="000000"/>
              </w:rPr>
              <w:t xml:space="preserve"> </w:t>
            </w:r>
            <w:r w:rsidR="00932277" w:rsidRPr="00737C0F">
              <w:rPr>
                <w:color w:val="000000"/>
              </w:rPr>
              <w:t xml:space="preserve">      </w:t>
            </w:r>
            <w:r w:rsidRPr="00737C0F">
              <w:rPr>
                <w:color w:val="000000"/>
              </w:rPr>
              <w:t xml:space="preserve">Ņemot vērā šo informāciju, </w:t>
            </w:r>
            <w:r w:rsidR="00374406" w:rsidRPr="00737C0F">
              <w:rPr>
                <w:color w:val="000000"/>
              </w:rPr>
              <w:t xml:space="preserve">Labklājības ministrijas pamatbudžeta apakšprogrammā 22.02.00 „Valsts programma bērnu un ģimenes stāvokļa uzlabošanai” Valsts bērnu tiesību aizsardzības inspekcija </w:t>
            </w:r>
            <w:r w:rsidR="00A33C4B" w:rsidRPr="00737C0F">
              <w:rPr>
                <w:color w:val="000000"/>
              </w:rPr>
              <w:t>2011., 2012. un 2013.gadā</w:t>
            </w:r>
            <w:r w:rsidR="00374406" w:rsidRPr="00737C0F">
              <w:rPr>
                <w:color w:val="000000"/>
              </w:rPr>
              <w:t xml:space="preserve"> </w:t>
            </w:r>
            <w:r w:rsidR="00A33C4B" w:rsidRPr="00737C0F">
              <w:rPr>
                <w:color w:val="000000"/>
              </w:rPr>
              <w:t xml:space="preserve">nodrošināja </w:t>
            </w:r>
            <w:r w:rsidR="00374406" w:rsidRPr="00737C0F">
              <w:rPr>
                <w:color w:val="000000"/>
              </w:rPr>
              <w:t xml:space="preserve">valsts un pašvaldību speciālistu apmācības atbilstoši </w:t>
            </w:r>
            <w:r w:rsidR="00992C13" w:rsidRPr="00737C0F">
              <w:rPr>
                <w:color w:val="000000"/>
              </w:rPr>
              <w:t>MK noteikumiem Nr.729</w:t>
            </w:r>
            <w:r w:rsidR="00374406" w:rsidRPr="00737C0F">
              <w:rPr>
                <w:color w:val="000000"/>
              </w:rPr>
              <w:t xml:space="preserve">. </w:t>
            </w:r>
            <w:r w:rsidR="00444828" w:rsidRPr="00737C0F">
              <w:rPr>
                <w:color w:val="000000"/>
              </w:rPr>
              <w:t xml:space="preserve"> </w:t>
            </w:r>
          </w:p>
          <w:p w:rsidR="00444828" w:rsidRPr="00737C0F" w:rsidRDefault="00932277" w:rsidP="00A33C4B">
            <w:pPr>
              <w:pStyle w:val="naiskr"/>
              <w:spacing w:before="0" w:after="0"/>
              <w:jc w:val="both"/>
              <w:rPr>
                <w:color w:val="000000"/>
              </w:rPr>
            </w:pPr>
            <w:r w:rsidRPr="00737C0F">
              <w:rPr>
                <w:color w:val="000000"/>
              </w:rPr>
              <w:t xml:space="preserve">      </w:t>
            </w:r>
            <w:r w:rsidR="00444828" w:rsidRPr="00737C0F">
              <w:rPr>
                <w:color w:val="000000"/>
              </w:rPr>
              <w:t xml:space="preserve">2011.gadā tika apmācīti 1002 speciālisti Rīgā, Liepājā, Valmierā, Jēkabpilī, Preiļos, Jelgavā, Balvos, Talsos, Ventspilī, Gulbenē, Daugavpilī, Kārsavā, Rēzeknē, Ķekavā, Tukumā, Saldū, Zantē. Apmācībās </w:t>
            </w:r>
            <w:r w:rsidR="00521321" w:rsidRPr="00737C0F">
              <w:rPr>
                <w:color w:val="000000"/>
              </w:rPr>
              <w:t>piedalījās</w:t>
            </w:r>
            <w:r w:rsidR="00444828" w:rsidRPr="00737C0F">
              <w:rPr>
                <w:color w:val="000000"/>
              </w:rPr>
              <w:t xml:space="preserve"> šādu nozaru speciālisti: izglītības iestāžu darbinieki – 220, policijas darbinieki – 208, bāriņtiesu darbinieki – 223, sociālo dienestu darbinieki – 329, citu iestāžu darbinieki – 22.</w:t>
            </w:r>
          </w:p>
          <w:p w:rsidR="00521321" w:rsidRPr="00737C0F" w:rsidRDefault="00932277" w:rsidP="00A33C4B">
            <w:pPr>
              <w:pStyle w:val="naiskr"/>
              <w:spacing w:before="0" w:after="0"/>
              <w:jc w:val="both"/>
              <w:rPr>
                <w:color w:val="000000"/>
              </w:rPr>
            </w:pPr>
            <w:r w:rsidRPr="00737C0F">
              <w:rPr>
                <w:color w:val="000000"/>
              </w:rPr>
              <w:t xml:space="preserve">      </w:t>
            </w:r>
            <w:r w:rsidR="00444828" w:rsidRPr="00737C0F">
              <w:rPr>
                <w:color w:val="000000"/>
              </w:rPr>
              <w:t xml:space="preserve">Papildus 2011.gadā 50 speciālisti piedalījušies apmācībās „Mediācijas kā konfliktu risināšanas metodes izmantošana skolā”, kurā piedalījās 14 sociālie pedagogi, 11 psihologi, 8 klašu audzinātāji, 8 direktoru vietnieki audzināšanas darbā, 9 citu iestāžu darbinieki. </w:t>
            </w:r>
            <w:r w:rsidR="00521321" w:rsidRPr="00737C0F">
              <w:rPr>
                <w:color w:val="000000"/>
              </w:rPr>
              <w:t>Izglītības iestāžu darbinieki bija ļoti ieinteresēti apgūt šo kursu, tomēr ierobežoto līdzekļu dēļ nebija iespējams piedāvāt apgūt šo kursu lielākam cilvēku skaitam.</w:t>
            </w:r>
          </w:p>
          <w:p w:rsidR="008B03E1" w:rsidRPr="00737C0F" w:rsidRDefault="00932277" w:rsidP="00A33C4B">
            <w:pPr>
              <w:pStyle w:val="naiskr"/>
              <w:spacing w:before="0" w:after="0"/>
              <w:jc w:val="both"/>
              <w:rPr>
                <w:color w:val="000000"/>
              </w:rPr>
            </w:pPr>
            <w:r w:rsidRPr="00737C0F">
              <w:rPr>
                <w:color w:val="000000"/>
              </w:rPr>
              <w:lastRenderedPageBreak/>
              <w:t xml:space="preserve">      </w:t>
            </w:r>
            <w:r w:rsidR="00521321" w:rsidRPr="00737C0F">
              <w:rPr>
                <w:color w:val="000000"/>
              </w:rPr>
              <w:t>2012.gadā tika apmācīti 755 speciālisti Rīgā, Jēkabpilī, Daugavpilī, Valmierā, Ventspilī, Liepājā. Apmācībās piedalījās šādu nozaru speciālisti: izglītības iestāžu darbinieki – 210, policijas darbinieki – 176, bāriņtiesu darbinieki – 96, sociālo dienestu darbinieki – 162, citu iestāžu darbinieki – 138.</w:t>
            </w:r>
          </w:p>
          <w:p w:rsidR="008B03E1" w:rsidRPr="00737C0F" w:rsidRDefault="00932277" w:rsidP="008B03E1">
            <w:pPr>
              <w:pStyle w:val="naiskr"/>
              <w:spacing w:before="0" w:after="0"/>
              <w:jc w:val="both"/>
              <w:rPr>
                <w:color w:val="000000"/>
              </w:rPr>
            </w:pPr>
            <w:r w:rsidRPr="00737C0F">
              <w:rPr>
                <w:color w:val="000000"/>
              </w:rPr>
              <w:t xml:space="preserve">      </w:t>
            </w:r>
            <w:r w:rsidR="008B03E1" w:rsidRPr="00737C0F">
              <w:rPr>
                <w:color w:val="000000"/>
              </w:rPr>
              <w:t>2013.gadā tika apmācīti 602 speciālisti Rīgā, Kuldīgā, Madonā, Rēzeknē, Liepājā, Daugavpilī. Apmācībās piedalījās šādu nozaru speciālisti: izglītības iestāžu darbinieki – 104, policijas darbinieki – 178, bāriņtiesu darbinieki – 72, sociālo dienestu darbinieki – 206, citu iestāžu darbinieki – 42.</w:t>
            </w:r>
          </w:p>
          <w:p w:rsidR="005121D1" w:rsidRPr="00737C0F" w:rsidRDefault="00932277" w:rsidP="00673D71">
            <w:pPr>
              <w:autoSpaceDE w:val="0"/>
              <w:autoSpaceDN w:val="0"/>
              <w:adjustRightInd w:val="0"/>
              <w:jc w:val="both"/>
              <w:rPr>
                <w:color w:val="000000"/>
              </w:rPr>
            </w:pPr>
            <w:r w:rsidRPr="00737C0F">
              <w:rPr>
                <w:color w:val="000000"/>
              </w:rPr>
              <w:t xml:space="preserve">     </w:t>
            </w:r>
            <w:r w:rsidR="005121D1" w:rsidRPr="00737C0F">
              <w:rPr>
                <w:color w:val="000000"/>
              </w:rPr>
              <w:t>Tātad, kopumā trīs gadu laikā</w:t>
            </w:r>
            <w:r w:rsidR="000D1BE5" w:rsidRPr="00737C0F">
              <w:rPr>
                <w:color w:val="000000"/>
              </w:rPr>
              <w:t xml:space="preserve"> Valsts programmas bērnu un ģimenes stāvokļa uzlabošanas ietvaros par speciālajām zināšanām bērnu tiesību aizsardzības jomā tika apmācīti 2359 dažādu nozaru speciālisti, tai skaitā, 507 izglītības iestāžu darbinieki, 562 policijas darbinieki, 391 bāriņtiesu darbinieks, 697 sociālie darbinieki, 202 – citu iestāžu darbinieki.  </w:t>
            </w:r>
            <w:r w:rsidR="00521321" w:rsidRPr="00737C0F">
              <w:rPr>
                <w:color w:val="000000"/>
              </w:rPr>
              <w:t xml:space="preserve">  </w:t>
            </w:r>
          </w:p>
          <w:p w:rsidR="004D1D09" w:rsidRPr="00737C0F" w:rsidRDefault="00932277" w:rsidP="004D1D09">
            <w:pPr>
              <w:autoSpaceDE w:val="0"/>
              <w:autoSpaceDN w:val="0"/>
              <w:adjustRightInd w:val="0"/>
              <w:jc w:val="both"/>
              <w:rPr>
                <w:color w:val="000000"/>
              </w:rPr>
            </w:pPr>
            <w:r w:rsidRPr="00737C0F">
              <w:rPr>
                <w:color w:val="000000"/>
              </w:rPr>
              <w:t xml:space="preserve">       </w:t>
            </w:r>
            <w:r w:rsidR="006809AB" w:rsidRPr="00737C0F">
              <w:rPr>
                <w:color w:val="000000"/>
              </w:rPr>
              <w:t xml:space="preserve">Valsts policijas koledžā atbilstoši MK noteikumiem Nr.729 </w:t>
            </w:r>
            <w:r w:rsidR="00B763D0" w:rsidRPr="00737C0F">
              <w:rPr>
                <w:color w:val="000000"/>
              </w:rPr>
              <w:t xml:space="preserve">(VPK īstenotās profesionālās pilnveides izglītības programmas „Bērnu </w:t>
            </w:r>
            <w:r w:rsidR="00202CE6" w:rsidRPr="00737C0F">
              <w:rPr>
                <w:color w:val="000000"/>
              </w:rPr>
              <w:t>tiesību aizsardzība” un „Bērnu tiesību aizsardzība -2”</w:t>
            </w:r>
            <w:r w:rsidR="00B763D0" w:rsidRPr="00737C0F">
              <w:rPr>
                <w:color w:val="000000"/>
              </w:rPr>
              <w:t>, kuru ietvaros Valsts policijas amatpersonas ar speciālo dienesta pakāpi, kurām nepieciešamas speciālas zināšanas bērnu tiesību aizsardzības jomā, apgūst šīs zināšanas</w:t>
            </w:r>
            <w:r w:rsidR="00202CE6" w:rsidRPr="00737C0F">
              <w:rPr>
                <w:color w:val="000000"/>
              </w:rPr>
              <w:t xml:space="preserve">) </w:t>
            </w:r>
            <w:r w:rsidR="006809AB" w:rsidRPr="00737C0F">
              <w:rPr>
                <w:color w:val="000000"/>
              </w:rPr>
              <w:t>ir</w:t>
            </w:r>
            <w:r w:rsidR="004D1D09" w:rsidRPr="00737C0F">
              <w:rPr>
                <w:color w:val="000000"/>
              </w:rPr>
              <w:t xml:space="preserve"> apmācīti: 2011.gadā – 242; 2012.- 114; 2013 – 186. </w:t>
            </w:r>
          </w:p>
          <w:p w:rsidR="006809AB" w:rsidRPr="00737C0F" w:rsidRDefault="00932277" w:rsidP="0004258F">
            <w:pPr>
              <w:autoSpaceDE w:val="0"/>
              <w:autoSpaceDN w:val="0"/>
              <w:adjustRightInd w:val="0"/>
              <w:jc w:val="both"/>
              <w:rPr>
                <w:color w:val="000000"/>
              </w:rPr>
            </w:pPr>
            <w:r w:rsidRPr="00737C0F">
              <w:rPr>
                <w:color w:val="000000"/>
              </w:rPr>
              <w:t xml:space="preserve">      </w:t>
            </w:r>
            <w:r w:rsidR="006809AB" w:rsidRPr="00737C0F">
              <w:rPr>
                <w:color w:val="000000"/>
              </w:rPr>
              <w:t>Latvijas Pašvaldību mācību centrā atbilstoši MK noteikumiem Nr.729 ir apmācīti: 2012.gada 6 mēnešos -</w:t>
            </w:r>
            <w:r w:rsidR="006F2D29" w:rsidRPr="00737C0F">
              <w:rPr>
                <w:color w:val="000000"/>
              </w:rPr>
              <w:t xml:space="preserve"> </w:t>
            </w:r>
            <w:r w:rsidR="006809AB" w:rsidRPr="00737C0F">
              <w:rPr>
                <w:color w:val="000000"/>
              </w:rPr>
              <w:t>54 policijas darbinieki; 2011.gadā - 118 policijas darbinieki.</w:t>
            </w:r>
          </w:p>
          <w:p w:rsidR="00553D27" w:rsidRPr="00737C0F" w:rsidRDefault="00224143" w:rsidP="00A724E0">
            <w:pPr>
              <w:autoSpaceDE w:val="0"/>
              <w:autoSpaceDN w:val="0"/>
              <w:adjustRightInd w:val="0"/>
              <w:jc w:val="both"/>
            </w:pPr>
            <w:r w:rsidRPr="00737C0F">
              <w:rPr>
                <w:color w:val="000000"/>
              </w:rPr>
              <w:t xml:space="preserve">      </w:t>
            </w:r>
            <w:r w:rsidR="00736BF0" w:rsidRPr="00737C0F">
              <w:rPr>
                <w:color w:val="000000"/>
              </w:rPr>
              <w:t>Valsts programmā</w:t>
            </w:r>
            <w:r w:rsidR="00727062" w:rsidRPr="00737C0F">
              <w:rPr>
                <w:color w:val="000000"/>
              </w:rPr>
              <w:t xml:space="preserve"> bērna un ģimenes stāvokļa uzlabošanai 2014.gadam, </w:t>
            </w:r>
            <w:r w:rsidR="00736BF0" w:rsidRPr="00737C0F">
              <w:rPr>
                <w:color w:val="000000"/>
              </w:rPr>
              <w:t xml:space="preserve">kas apstiprināta ar labklājības ministra 2014.gada </w:t>
            </w:r>
            <w:r w:rsidR="00CF475E" w:rsidRPr="00737C0F">
              <w:rPr>
                <w:color w:val="000000"/>
              </w:rPr>
              <w:t>10.janvāra rīkojumu</w:t>
            </w:r>
            <w:r w:rsidR="00736BF0" w:rsidRPr="00737C0F">
              <w:rPr>
                <w:color w:val="000000"/>
              </w:rPr>
              <w:t>, ietverti vairāki pasākumi speciālistu apmācībām 2014.gadā. Tā,</w:t>
            </w:r>
            <w:r w:rsidR="0064432D" w:rsidRPr="00737C0F">
              <w:rPr>
                <w:color w:val="000000"/>
              </w:rPr>
              <w:t xml:space="preserve"> 2014.gadā</w:t>
            </w:r>
            <w:r w:rsidR="00736BF0" w:rsidRPr="00737C0F">
              <w:rPr>
                <w:color w:val="000000"/>
              </w:rPr>
              <w:t xml:space="preserve"> 2.3.apakšnodaļas pasākumu ietvaros paredzēts: a</w:t>
            </w:r>
            <w:r w:rsidR="00736BF0" w:rsidRPr="00737C0F">
              <w:t>pmācīt vismaz 300 valsts un pašvaldību speciālistus 40 stundu apmācībās un apmācīt vismaz 300 valsts un pašvaldību speciālistus 24 stundu apmācību programmā;</w:t>
            </w:r>
            <w:r w:rsidR="00674052" w:rsidRPr="00737C0F">
              <w:t xml:space="preserve"> sagatavot</w:t>
            </w:r>
            <w:r w:rsidR="00736BF0" w:rsidRPr="00737C0F">
              <w:t xml:space="preserve"> vadlīnijas </w:t>
            </w:r>
            <w:r w:rsidR="00674052" w:rsidRPr="00737C0F">
              <w:t>par konfliktu risināšanu skolās un a</w:t>
            </w:r>
            <w:r w:rsidR="00736BF0" w:rsidRPr="00737C0F">
              <w:t>pmācīt 300 valsts un pašvaldību speciālist</w:t>
            </w:r>
            <w:r w:rsidR="00674052" w:rsidRPr="00737C0F">
              <w:t>u</w:t>
            </w:r>
            <w:r w:rsidR="00736BF0" w:rsidRPr="00737C0F">
              <w:t xml:space="preserve"> </w:t>
            </w:r>
            <w:r w:rsidR="00674052" w:rsidRPr="00737C0F">
              <w:t xml:space="preserve">par konfliktu risināšanu skolās. </w:t>
            </w:r>
            <w:r w:rsidR="00727062" w:rsidRPr="00737C0F">
              <w:rPr>
                <w:color w:val="000000"/>
              </w:rPr>
              <w:t>Vienlaikus ir jāņem vērā Valsts programmas bērna un ģimenes stāvokļa uzlabošanai mērķis –  nodrošināt iespēju organizēt pilotprojektus, lai rastu labāku un ilgtspējīgāku risinājumu kādai aktuālai problēmai bērnu tiesību aizsardzības jomā, un veicināt labo praksi. Valsts programmas bērna un ģimenes stāvokļa uzlabošanas mērķis nav sniegt pastāvīgu atbalstu un f</w:t>
            </w:r>
            <w:r w:rsidR="00A724E0" w:rsidRPr="00737C0F">
              <w:rPr>
                <w:color w:val="000000"/>
              </w:rPr>
              <w:t xml:space="preserve">inansējumu vairāku gadu garumā </w:t>
            </w:r>
            <w:r w:rsidR="00727062" w:rsidRPr="00737C0F">
              <w:rPr>
                <w:color w:val="000000"/>
              </w:rPr>
              <w:t xml:space="preserve">pasākumiem, kuriem nepieciešams nodrošināt regulāru valsts vai pašvaldību finansējumu.       </w:t>
            </w:r>
          </w:p>
          <w:p w:rsidR="006F4735" w:rsidRPr="00737C0F" w:rsidRDefault="0026418F" w:rsidP="00E662C0">
            <w:pPr>
              <w:autoSpaceDE w:val="0"/>
              <w:autoSpaceDN w:val="0"/>
              <w:adjustRightInd w:val="0"/>
              <w:jc w:val="both"/>
            </w:pPr>
            <w:r w:rsidRPr="00737C0F">
              <w:rPr>
                <w:color w:val="000000"/>
              </w:rPr>
              <w:t xml:space="preserve">       Izglītojošie pasākumi pedagogiem paredzēti </w:t>
            </w:r>
            <w:r w:rsidR="00B51AF7" w:rsidRPr="00737C0F">
              <w:rPr>
                <w:color w:val="000000"/>
              </w:rPr>
              <w:t xml:space="preserve">Izglītības attīstības pamatnostādnēs 2014.-2020.gadam </w:t>
            </w:r>
            <w:r w:rsidR="00E662C0" w:rsidRPr="00737C0F">
              <w:rPr>
                <w:color w:val="000000"/>
              </w:rPr>
              <w:t>(atbalstītas 07.01.2014. MK sēdē)</w:t>
            </w:r>
            <w:r w:rsidRPr="00737C0F">
              <w:rPr>
                <w:color w:val="000000"/>
              </w:rPr>
              <w:t xml:space="preserve">. </w:t>
            </w:r>
            <w:r w:rsidR="00E662C0" w:rsidRPr="00737C0F">
              <w:rPr>
                <w:color w:val="000000"/>
              </w:rPr>
              <w:t xml:space="preserve">Pamatnostādnēs </w:t>
            </w:r>
            <w:r w:rsidR="00B51AF7" w:rsidRPr="00737C0F">
              <w:rPr>
                <w:color w:val="000000"/>
              </w:rPr>
              <w:t>ir minēts, ka</w:t>
            </w:r>
            <w:r w:rsidR="00B51AF7" w:rsidRPr="00737C0F">
              <w:t xml:space="preserve"> daļa jauniešu, kuri ir uzsākuši izglītības ieguvi, izglītības procesā sastopas ar dažādām problēmām, t.sk. vardarbību vienaudžu vidū u.c., un pamet mācības, neiegūstot savam vecumam atbilstošu izglītību.</w:t>
            </w:r>
            <w:r w:rsidR="00B51AF7" w:rsidRPr="00737C0F">
              <w:rPr>
                <w:rFonts w:eastAsia="Calibri" w:cs="Helv"/>
                <w:lang w:eastAsia="en-US"/>
              </w:rPr>
              <w:t xml:space="preserve"> Lai risinātu vienaudžu savstarpējās vardarbības problemātiku, </w:t>
            </w:r>
            <w:r w:rsidR="008340D7" w:rsidRPr="00737C0F">
              <w:rPr>
                <w:rFonts w:eastAsia="Calibri" w:cs="Helv"/>
                <w:lang w:eastAsia="en-US"/>
              </w:rPr>
              <w:t xml:space="preserve">kā arī citas problēmas, </w:t>
            </w:r>
            <w:r w:rsidR="00B51AF7" w:rsidRPr="00737C0F">
              <w:rPr>
                <w:rFonts w:eastAsia="Calibri" w:cs="Helv"/>
                <w:lang w:eastAsia="en-US"/>
              </w:rPr>
              <w:t xml:space="preserve">izglītības iestādēs tiks veicināta izglītojošu, iecietību un toleranci veicinošu un informatīvu pasākumu </w:t>
            </w:r>
            <w:r w:rsidR="00B51AF7" w:rsidRPr="00737C0F">
              <w:rPr>
                <w:rFonts w:eastAsia="Calibri" w:cs="Helv"/>
                <w:lang w:eastAsia="en-US"/>
              </w:rPr>
              <w:lastRenderedPageBreak/>
              <w:t xml:space="preserve">īstenošana un metodisko materiālu sagatavošana, kā arī nodrošināta profesionālās kompetences pilnveide pedagogiem. </w:t>
            </w:r>
            <w:r w:rsidR="00E662C0" w:rsidRPr="00737C0F">
              <w:rPr>
                <w:sz w:val="18"/>
                <w:szCs w:val="18"/>
              </w:rPr>
              <w:t xml:space="preserve"> </w:t>
            </w:r>
            <w:r w:rsidR="00E662C0" w:rsidRPr="00737C0F">
              <w:t xml:space="preserve">Tādejādi </w:t>
            </w:r>
            <w:r w:rsidR="00CF475E" w:rsidRPr="00737C0F">
              <w:t xml:space="preserve">pamatnostādņu </w:t>
            </w:r>
            <w:r w:rsidR="00CF475E" w:rsidRPr="00737C0F">
              <w:rPr>
                <w:vanish/>
              </w:rPr>
              <w:t>ņu ostvāra rīkojumu Nr.6</w:t>
            </w:r>
            <w:r w:rsidR="00CF475E" w:rsidRPr="00737C0F">
              <w:rPr>
                <w:vanish/>
              </w:rPr>
              <w:pgNum/>
            </w:r>
            <w:r w:rsidR="00CF475E" w:rsidRPr="00737C0F">
              <w:rPr>
                <w:vanish/>
              </w:rPr>
              <w:pgNum/>
            </w:r>
            <w:r w:rsidR="00CF475E" w:rsidRPr="00737C0F">
              <w:rPr>
                <w:vanish/>
              </w:rPr>
              <w:pgNum/>
            </w:r>
            <w:r w:rsidR="00CF475E" w:rsidRPr="00737C0F">
              <w:rPr>
                <w:vanish/>
              </w:rPr>
              <w:pgNum/>
            </w:r>
            <w:r w:rsidR="00CF475E" w:rsidRPr="00737C0F">
              <w:rPr>
                <w:vanish/>
              </w:rPr>
              <w:pgNum/>
            </w:r>
            <w:r w:rsidR="00CF475E" w:rsidRPr="00737C0F">
              <w:rPr>
                <w:vanish/>
              </w:rPr>
              <w:pgNum/>
            </w:r>
            <w:r w:rsidR="00CF475E" w:rsidRPr="00737C0F">
              <w:rPr>
                <w:vanish/>
              </w:rPr>
              <w:pgNum/>
            </w:r>
            <w:r w:rsidR="00CF475E" w:rsidRPr="00737C0F">
              <w:rPr>
                <w:vanish/>
              </w:rPr>
              <w:pgNum/>
            </w:r>
            <w:r w:rsidR="00CF475E" w:rsidRPr="00737C0F">
              <w:rPr>
                <w:vanish/>
              </w:rPr>
              <w:pgNum/>
            </w:r>
            <w:r w:rsidR="00CF475E" w:rsidRPr="00737C0F">
              <w:rPr>
                <w:vanish/>
              </w:rPr>
              <w:pgNum/>
            </w:r>
            <w:r w:rsidR="00CF475E" w:rsidRPr="00737C0F">
              <w:rPr>
                <w:vanish/>
              </w:rPr>
              <w:pgNum/>
            </w:r>
            <w:r w:rsidR="00CF475E" w:rsidRPr="00737C0F">
              <w:rPr>
                <w:vanish/>
              </w:rPr>
              <w:pgNum/>
            </w:r>
            <w:r w:rsidR="00CF475E" w:rsidRPr="00737C0F">
              <w:rPr>
                <w:vanish/>
              </w:rPr>
              <w:pgNum/>
            </w:r>
            <w:r w:rsidR="00CF475E" w:rsidRPr="00737C0F">
              <w:rPr>
                <w:vanish/>
              </w:rPr>
              <w:pgNum/>
            </w:r>
            <w:r w:rsidR="00CF475E" w:rsidRPr="00737C0F">
              <w:rPr>
                <w:vanish/>
              </w:rPr>
              <w:pgNum/>
            </w:r>
            <w:r w:rsidR="00CF475E" w:rsidRPr="00737C0F">
              <w:rPr>
                <w:vanish/>
              </w:rPr>
              <w:pgNum/>
            </w:r>
            <w:r w:rsidR="00CF475E" w:rsidRPr="00737C0F">
              <w:rPr>
                <w:vanish/>
              </w:rPr>
              <w:pgNum/>
            </w:r>
            <w:r w:rsidR="00CF475E" w:rsidRPr="00737C0F">
              <w:rPr>
                <w:vanish/>
              </w:rPr>
              <w:pgNum/>
            </w:r>
            <w:r w:rsidR="00CF475E" w:rsidRPr="00737C0F">
              <w:rPr>
                <w:vanish/>
              </w:rPr>
              <w:pgNum/>
            </w:r>
            <w:r w:rsidR="00CF475E" w:rsidRPr="00737C0F">
              <w:rPr>
                <w:vanish/>
              </w:rPr>
              <w:pgNum/>
            </w:r>
            <w:r w:rsidR="00CF475E" w:rsidRPr="00737C0F">
              <w:rPr>
                <w:vanish/>
              </w:rPr>
              <w:pgNum/>
            </w:r>
            <w:r w:rsidR="00CF475E" w:rsidRPr="00737C0F">
              <w:rPr>
                <w:vanish/>
              </w:rPr>
              <w:pgNum/>
            </w:r>
            <w:r w:rsidR="00CF475E" w:rsidRPr="00737C0F">
              <w:rPr>
                <w:vanish/>
              </w:rPr>
              <w:pgNum/>
            </w:r>
            <w:r w:rsidR="00CF475E" w:rsidRPr="00737C0F">
              <w:rPr>
                <w:vanish/>
              </w:rPr>
              <w:pgNum/>
            </w:r>
            <w:r w:rsidR="00CF475E" w:rsidRPr="00737C0F">
              <w:rPr>
                <w:vanish/>
              </w:rPr>
              <w:pgNum/>
            </w:r>
            <w:r w:rsidR="00CF475E" w:rsidRPr="00737C0F">
              <w:rPr>
                <w:vanish/>
              </w:rPr>
              <w:pgNum/>
            </w:r>
            <w:r w:rsidR="00CF475E" w:rsidRPr="00737C0F">
              <w:rPr>
                <w:vanish/>
              </w:rPr>
              <w:pgNum/>
            </w:r>
            <w:r w:rsidR="00CF475E" w:rsidRPr="00737C0F">
              <w:rPr>
                <w:vanish/>
              </w:rPr>
              <w:pgNum/>
            </w:r>
            <w:r w:rsidR="00CF475E" w:rsidRPr="00737C0F">
              <w:rPr>
                <w:vanish/>
              </w:rPr>
              <w:pgNum/>
            </w:r>
            <w:r w:rsidR="00CF475E" w:rsidRPr="00737C0F">
              <w:rPr>
                <w:vanish/>
              </w:rPr>
              <w:pgNum/>
            </w:r>
            <w:r w:rsidR="00CF475E" w:rsidRPr="00737C0F">
              <w:rPr>
                <w:vanish/>
              </w:rPr>
              <w:pgNum/>
            </w:r>
            <w:r w:rsidR="00CF475E" w:rsidRPr="00737C0F">
              <w:rPr>
                <w:vanish/>
              </w:rPr>
              <w:pgNum/>
            </w:r>
            <w:r w:rsidR="00CF475E" w:rsidRPr="00737C0F">
              <w:rPr>
                <w:vanish/>
              </w:rPr>
              <w:pgNum/>
            </w:r>
            <w:r w:rsidR="00CF475E" w:rsidRPr="00737C0F">
              <w:rPr>
                <w:vanish/>
              </w:rPr>
              <w:pgNum/>
            </w:r>
            <w:r w:rsidR="00CF475E" w:rsidRPr="00737C0F">
              <w:rPr>
                <w:vanish/>
              </w:rPr>
              <w:pgNum/>
            </w:r>
            <w:r w:rsidR="00CF475E" w:rsidRPr="00737C0F">
              <w:rPr>
                <w:vanish/>
              </w:rPr>
              <w:pgNum/>
            </w:r>
            <w:r w:rsidR="00CF475E" w:rsidRPr="00737C0F">
              <w:rPr>
                <w:vanish/>
              </w:rPr>
              <w:pgNum/>
            </w:r>
            <w:r w:rsidR="00CF475E" w:rsidRPr="00737C0F">
              <w:rPr>
                <w:vanish/>
              </w:rPr>
              <w:pgNum/>
            </w:r>
            <w:r w:rsidR="00CF475E" w:rsidRPr="00737C0F">
              <w:rPr>
                <w:vanish/>
              </w:rPr>
              <w:pgNum/>
            </w:r>
            <w:r w:rsidR="00CF475E" w:rsidRPr="00737C0F">
              <w:rPr>
                <w:vanish/>
              </w:rPr>
              <w:pgNum/>
            </w:r>
            <w:r w:rsidR="00CF475E" w:rsidRPr="00737C0F">
              <w:rPr>
                <w:vanish/>
              </w:rPr>
              <w:pgNum/>
            </w:r>
            <w:r w:rsidR="00CF475E" w:rsidRPr="00737C0F">
              <w:rPr>
                <w:vanish/>
              </w:rPr>
              <w:pgNum/>
            </w:r>
            <w:r w:rsidR="00CF475E" w:rsidRPr="00737C0F">
              <w:rPr>
                <w:vanish/>
              </w:rPr>
              <w:pgNum/>
            </w:r>
            <w:r w:rsidR="00CF475E" w:rsidRPr="00737C0F">
              <w:rPr>
                <w:vanish/>
              </w:rPr>
              <w:pgNum/>
            </w:r>
            <w:r w:rsidR="00CF475E" w:rsidRPr="00737C0F">
              <w:rPr>
                <w:vanish/>
              </w:rPr>
              <w:pgNum/>
            </w:r>
            <w:r w:rsidR="00CF475E" w:rsidRPr="00737C0F">
              <w:rPr>
                <w:vanish/>
              </w:rPr>
              <w:pgNum/>
            </w:r>
            <w:r w:rsidR="00CF475E" w:rsidRPr="00737C0F">
              <w:rPr>
                <w:vanish/>
              </w:rPr>
              <w:pgNum/>
            </w:r>
            <w:r w:rsidR="00CF475E" w:rsidRPr="00737C0F">
              <w:rPr>
                <w:vanish/>
              </w:rPr>
              <w:pgNum/>
            </w:r>
            <w:r w:rsidR="00CF475E" w:rsidRPr="00737C0F">
              <w:rPr>
                <w:vanish/>
              </w:rPr>
              <w:pgNum/>
            </w:r>
            <w:r w:rsidR="00CF475E" w:rsidRPr="00737C0F">
              <w:rPr>
                <w:vanish/>
              </w:rPr>
              <w:pgNum/>
            </w:r>
            <w:r w:rsidR="00CF475E" w:rsidRPr="00737C0F">
              <w:rPr>
                <w:vanish/>
              </w:rPr>
              <w:pgNum/>
            </w:r>
            <w:r w:rsidR="00CF475E" w:rsidRPr="00737C0F">
              <w:rPr>
                <w:vanish/>
              </w:rPr>
              <w:pgNum/>
            </w:r>
            <w:r w:rsidR="00CF475E" w:rsidRPr="00737C0F">
              <w:rPr>
                <w:vanish/>
              </w:rPr>
              <w:pgNum/>
            </w:r>
            <w:r w:rsidR="00CF475E" w:rsidRPr="00737C0F">
              <w:rPr>
                <w:vanish/>
              </w:rPr>
              <w:pgNum/>
            </w:r>
            <w:r w:rsidR="00CF475E" w:rsidRPr="00737C0F">
              <w:rPr>
                <w:vanish/>
              </w:rPr>
              <w:pgNum/>
            </w:r>
            <w:r w:rsidR="00CF475E" w:rsidRPr="00737C0F">
              <w:rPr>
                <w:vanish/>
              </w:rPr>
              <w:pgNum/>
            </w:r>
            <w:r w:rsidR="00CF475E" w:rsidRPr="00737C0F">
              <w:rPr>
                <w:vanish/>
              </w:rPr>
              <w:pgNum/>
            </w:r>
            <w:r w:rsidR="00CF475E" w:rsidRPr="00737C0F">
              <w:rPr>
                <w:vanish/>
              </w:rPr>
              <w:pgNum/>
            </w:r>
            <w:r w:rsidR="00CF475E" w:rsidRPr="00737C0F">
              <w:rPr>
                <w:vanish/>
              </w:rPr>
              <w:pgNum/>
            </w:r>
            <w:r w:rsidR="00CF475E" w:rsidRPr="00737C0F">
              <w:rPr>
                <w:vanish/>
              </w:rPr>
              <w:pgNum/>
            </w:r>
            <w:r w:rsidR="00CF475E" w:rsidRPr="00737C0F">
              <w:rPr>
                <w:vanish/>
              </w:rPr>
              <w:pgNum/>
            </w:r>
            <w:r w:rsidR="00CF475E" w:rsidRPr="00737C0F">
              <w:rPr>
                <w:vanish/>
              </w:rPr>
              <w:pgNum/>
            </w:r>
            <w:r w:rsidR="00CF475E" w:rsidRPr="00737C0F">
              <w:rPr>
                <w:vanish/>
              </w:rPr>
              <w:pgNum/>
            </w:r>
            <w:r w:rsidR="00CF475E" w:rsidRPr="00737C0F">
              <w:rPr>
                <w:vanish/>
              </w:rPr>
              <w:pgNum/>
            </w:r>
            <w:r w:rsidR="00CF475E" w:rsidRPr="00737C0F">
              <w:rPr>
                <w:vanish/>
              </w:rPr>
              <w:pgNum/>
            </w:r>
            <w:r w:rsidR="00CF475E" w:rsidRPr="00737C0F">
              <w:rPr>
                <w:vanish/>
              </w:rPr>
              <w:pgNum/>
            </w:r>
            <w:r w:rsidR="00CF475E" w:rsidRPr="00737C0F">
              <w:rPr>
                <w:vanish/>
              </w:rPr>
              <w:pgNum/>
            </w:r>
            <w:r w:rsidR="00CF475E" w:rsidRPr="00737C0F">
              <w:rPr>
                <w:vanish/>
              </w:rPr>
              <w:pgNum/>
            </w:r>
            <w:r w:rsidR="00CF475E" w:rsidRPr="00737C0F">
              <w:rPr>
                <w:vanish/>
              </w:rPr>
              <w:pgNum/>
            </w:r>
            <w:r w:rsidR="00CF475E" w:rsidRPr="00737C0F">
              <w:rPr>
                <w:vanish/>
              </w:rPr>
              <w:pgNum/>
            </w:r>
            <w:r w:rsidR="00CF475E" w:rsidRPr="00737C0F">
              <w:rPr>
                <w:vanish/>
              </w:rPr>
              <w:pgNum/>
            </w:r>
            <w:r w:rsidR="00CF475E" w:rsidRPr="00737C0F">
              <w:rPr>
                <w:vanish/>
              </w:rPr>
              <w:pgNum/>
            </w:r>
            <w:r w:rsidR="00CF475E" w:rsidRPr="00737C0F">
              <w:rPr>
                <w:vanish/>
              </w:rPr>
              <w:pgNum/>
            </w:r>
            <w:r w:rsidR="00CF475E" w:rsidRPr="00737C0F">
              <w:rPr>
                <w:vanish/>
              </w:rPr>
              <w:pgNum/>
            </w:r>
            <w:r w:rsidR="00CF475E" w:rsidRPr="00737C0F">
              <w:rPr>
                <w:vanish/>
              </w:rPr>
              <w:pgNum/>
            </w:r>
            <w:r w:rsidR="00CF475E" w:rsidRPr="00737C0F">
              <w:rPr>
                <w:vanish/>
              </w:rPr>
              <w:pgNum/>
            </w:r>
            <w:r w:rsidR="00CF475E" w:rsidRPr="00737C0F">
              <w:rPr>
                <w:vanish/>
              </w:rPr>
              <w:pgNum/>
            </w:r>
            <w:r w:rsidR="00CF475E" w:rsidRPr="00737C0F">
              <w:rPr>
                <w:vanish/>
              </w:rPr>
              <w:pgNum/>
            </w:r>
            <w:r w:rsidR="00CF475E" w:rsidRPr="00737C0F">
              <w:rPr>
                <w:vanish/>
              </w:rPr>
              <w:pgNum/>
            </w:r>
            <w:r w:rsidR="00CF475E" w:rsidRPr="00737C0F">
              <w:rPr>
                <w:vanish/>
              </w:rPr>
              <w:pgNum/>
            </w:r>
            <w:r w:rsidR="00CF475E" w:rsidRPr="00737C0F">
              <w:rPr>
                <w:vanish/>
              </w:rPr>
              <w:pgNum/>
            </w:r>
            <w:r w:rsidR="00CF475E" w:rsidRPr="00737C0F">
              <w:rPr>
                <w:vanish/>
              </w:rPr>
              <w:pgNum/>
            </w:r>
            <w:r w:rsidR="00CF475E" w:rsidRPr="00737C0F">
              <w:rPr>
                <w:vanish/>
              </w:rPr>
              <w:pgNum/>
            </w:r>
            <w:r w:rsidR="00CF475E" w:rsidRPr="00737C0F">
              <w:rPr>
                <w:vanish/>
              </w:rPr>
              <w:pgNum/>
            </w:r>
            <w:r w:rsidR="00CF475E" w:rsidRPr="00737C0F">
              <w:rPr>
                <w:vanish/>
              </w:rPr>
              <w:pgNum/>
            </w:r>
            <w:r w:rsidR="00CF475E" w:rsidRPr="00737C0F">
              <w:rPr>
                <w:vanish/>
              </w:rPr>
              <w:pgNum/>
            </w:r>
            <w:r w:rsidR="00CF475E" w:rsidRPr="00737C0F">
              <w:rPr>
                <w:vanish/>
              </w:rPr>
              <w:pgNum/>
            </w:r>
            <w:r w:rsidR="00CF475E" w:rsidRPr="00737C0F">
              <w:rPr>
                <w:vanish/>
              </w:rPr>
              <w:pgNum/>
            </w:r>
            <w:r w:rsidR="00CF475E" w:rsidRPr="00737C0F">
              <w:rPr>
                <w:vanish/>
              </w:rPr>
              <w:pgNum/>
            </w:r>
            <w:r w:rsidR="00CF475E" w:rsidRPr="00737C0F">
              <w:rPr>
                <w:vanish/>
              </w:rPr>
              <w:pgNum/>
            </w:r>
            <w:r w:rsidR="00CF475E" w:rsidRPr="00737C0F">
              <w:rPr>
                <w:vanish/>
              </w:rPr>
              <w:pgNum/>
            </w:r>
            <w:r w:rsidR="00CF475E" w:rsidRPr="00737C0F">
              <w:rPr>
                <w:vanish/>
              </w:rPr>
              <w:pgNum/>
            </w:r>
            <w:r w:rsidR="00CF475E" w:rsidRPr="00737C0F">
              <w:rPr>
                <w:vanish/>
              </w:rPr>
              <w:pgNum/>
            </w:r>
            <w:r w:rsidR="00CF475E" w:rsidRPr="00737C0F">
              <w:rPr>
                <w:vanish/>
              </w:rPr>
              <w:pgNum/>
            </w:r>
            <w:r w:rsidR="00CF475E" w:rsidRPr="00737C0F">
              <w:rPr>
                <w:vanish/>
              </w:rPr>
              <w:pgNum/>
            </w:r>
            <w:r w:rsidR="00CF475E" w:rsidRPr="00737C0F">
              <w:rPr>
                <w:vanish/>
              </w:rPr>
              <w:pgNum/>
            </w:r>
            <w:r w:rsidR="00CF475E" w:rsidRPr="00737C0F">
              <w:rPr>
                <w:vanish/>
              </w:rPr>
              <w:pgNum/>
            </w:r>
            <w:r w:rsidR="00CF475E" w:rsidRPr="00737C0F">
              <w:rPr>
                <w:vanish/>
              </w:rPr>
              <w:pgNum/>
            </w:r>
            <w:r w:rsidR="00CF475E" w:rsidRPr="00737C0F">
              <w:rPr>
                <w:vanish/>
              </w:rPr>
              <w:pgNum/>
            </w:r>
            <w:r w:rsidR="00CF475E" w:rsidRPr="00737C0F">
              <w:rPr>
                <w:vanish/>
              </w:rPr>
              <w:pgNum/>
            </w:r>
            <w:r w:rsidR="00CF475E" w:rsidRPr="00737C0F">
              <w:rPr>
                <w:vanish/>
              </w:rPr>
              <w:pgNum/>
            </w:r>
            <w:r w:rsidR="00CF475E" w:rsidRPr="00737C0F">
              <w:rPr>
                <w:vanish/>
              </w:rPr>
              <w:pgNum/>
            </w:r>
            <w:r w:rsidR="00CF475E" w:rsidRPr="00737C0F">
              <w:rPr>
                <w:vanish/>
              </w:rPr>
              <w:pgNum/>
            </w:r>
            <w:r w:rsidR="00CF475E" w:rsidRPr="00737C0F">
              <w:rPr>
                <w:vanish/>
              </w:rPr>
              <w:pgNum/>
            </w:r>
            <w:r w:rsidR="00E662C0" w:rsidRPr="00737C0F">
              <w:t xml:space="preserve">rīcības virziena Nr.1.2. „Pedagogu un akadēmiskā personāla motivācijas un profesionālās kapacitātes paaugstināšana” ietvaros </w:t>
            </w:r>
            <w:r w:rsidR="008340D7" w:rsidRPr="00737C0F">
              <w:t xml:space="preserve">cita starpā </w:t>
            </w:r>
            <w:r w:rsidR="001A6DAE" w:rsidRPr="00737C0F">
              <w:t xml:space="preserve">ir </w:t>
            </w:r>
            <w:r w:rsidR="00E662C0" w:rsidRPr="00737C0F">
              <w:t xml:space="preserve">paredzēti pasākumi </w:t>
            </w:r>
            <w:r w:rsidR="00A65F2F" w:rsidRPr="00737C0F">
              <w:t>pirmsskolas, pamatskolas un vidusskolas pedagogu profesionālās kompetences pilnveide</w:t>
            </w:r>
            <w:r w:rsidR="00E662C0" w:rsidRPr="00737C0F">
              <w:t>i</w:t>
            </w:r>
            <w:r w:rsidR="00A65F2F" w:rsidRPr="00737C0F">
              <w:t xml:space="preserve">, t.sk. uzņēmējspējas, IKT, vardarbības problemātikas risināšana, u.c. </w:t>
            </w:r>
          </w:p>
          <w:p w:rsidR="00F237EA" w:rsidRPr="00737C0F" w:rsidRDefault="00DF42E1" w:rsidP="003558FB">
            <w:pPr>
              <w:autoSpaceDE w:val="0"/>
              <w:autoSpaceDN w:val="0"/>
              <w:adjustRightInd w:val="0"/>
              <w:jc w:val="both"/>
              <w:rPr>
                <w:color w:val="000000"/>
              </w:rPr>
            </w:pPr>
            <w:r w:rsidRPr="00737C0F">
              <w:t xml:space="preserve">     Vienlaikus Izglītības uz zinātnes ministrija norāda, ka </w:t>
            </w:r>
            <w:r w:rsidR="00F237EA" w:rsidRPr="00737C0F">
              <w:t xml:space="preserve">visās augstākās izglītības iestādēs, kurās īsteno pedagoģiskās izglītības programmas, ir iekļauts kurss psiholoģijā. </w:t>
            </w:r>
            <w:r w:rsidR="003558FB" w:rsidRPr="00737C0F">
              <w:t xml:space="preserve">Savukārt </w:t>
            </w:r>
            <w:r w:rsidR="00F237EA" w:rsidRPr="00737C0F">
              <w:t>par pedagogu profesionālās pilnveides kursu saturisku tematiku</w:t>
            </w:r>
            <w:r w:rsidR="003558FB" w:rsidRPr="00737C0F">
              <w:t xml:space="preserve"> IZM neapkopo datus</w:t>
            </w:r>
            <w:r w:rsidR="00515EAE" w:rsidRPr="00737C0F">
              <w:t>.</w:t>
            </w:r>
          </w:p>
        </w:tc>
      </w:tr>
    </w:tbl>
    <w:p w:rsidR="00BF7516" w:rsidRPr="00737C0F" w:rsidRDefault="00BF7516" w:rsidP="006C4607">
      <w:pPr>
        <w:pStyle w:val="naisf"/>
        <w:spacing w:before="0" w:after="0"/>
      </w:pPr>
    </w:p>
    <w:tbl>
      <w:tblPr>
        <w:tblW w:w="10124"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1331"/>
        <w:gridCol w:w="1354"/>
        <w:gridCol w:w="1354"/>
        <w:gridCol w:w="1355"/>
        <w:gridCol w:w="1406"/>
      </w:tblGrid>
      <w:tr w:rsidR="009F3972" w:rsidRPr="00737C0F" w:rsidTr="0068293F">
        <w:trPr>
          <w:trHeight w:val="652"/>
          <w:jc w:val="center"/>
        </w:trPr>
        <w:tc>
          <w:tcPr>
            <w:tcW w:w="10124" w:type="dxa"/>
            <w:gridSpan w:val="6"/>
          </w:tcPr>
          <w:p w:rsidR="009F3972" w:rsidRPr="00737C0F" w:rsidRDefault="009F3972" w:rsidP="0068293F">
            <w:pPr>
              <w:pStyle w:val="naisnod"/>
              <w:spacing w:before="0" w:after="0"/>
              <w:rPr>
                <w:i/>
                <w:sz w:val="22"/>
                <w:szCs w:val="22"/>
              </w:rPr>
            </w:pPr>
            <w:r w:rsidRPr="00737C0F">
              <w:rPr>
                <w:sz w:val="22"/>
                <w:szCs w:val="22"/>
              </w:rPr>
              <w:br w:type="page"/>
            </w:r>
            <w:r w:rsidRPr="00737C0F">
              <w:t>III. Tiesību akta projekta ietekme uz valsts budžetu un pašvaldību budžetiem</w:t>
            </w:r>
          </w:p>
        </w:tc>
      </w:tr>
      <w:tr w:rsidR="009F3972" w:rsidRPr="00737C0F" w:rsidTr="0068293F">
        <w:trPr>
          <w:jc w:val="center"/>
        </w:trPr>
        <w:tc>
          <w:tcPr>
            <w:tcW w:w="3324" w:type="dxa"/>
            <w:vMerge w:val="restart"/>
            <w:vAlign w:val="center"/>
          </w:tcPr>
          <w:p w:rsidR="009F3972" w:rsidRPr="00737C0F" w:rsidRDefault="009F3972" w:rsidP="0068293F">
            <w:pPr>
              <w:pStyle w:val="naisf"/>
              <w:spacing w:before="0" w:after="0"/>
              <w:ind w:firstLine="0"/>
              <w:jc w:val="center"/>
              <w:rPr>
                <w:b/>
              </w:rPr>
            </w:pPr>
            <w:r w:rsidRPr="00737C0F">
              <w:rPr>
                <w:b/>
              </w:rPr>
              <w:t>Rādītāji</w:t>
            </w:r>
          </w:p>
        </w:tc>
        <w:tc>
          <w:tcPr>
            <w:tcW w:w="2685" w:type="dxa"/>
            <w:gridSpan w:val="2"/>
            <w:vMerge w:val="restart"/>
            <w:vAlign w:val="center"/>
          </w:tcPr>
          <w:p w:rsidR="009F3972" w:rsidRPr="00737C0F" w:rsidRDefault="009F3972" w:rsidP="0068293F">
            <w:pPr>
              <w:pStyle w:val="naisf"/>
              <w:spacing w:before="0" w:after="0"/>
              <w:ind w:firstLine="0"/>
              <w:jc w:val="center"/>
              <w:rPr>
                <w:b/>
              </w:rPr>
            </w:pPr>
            <w:r w:rsidRPr="00737C0F">
              <w:rPr>
                <w:b/>
              </w:rPr>
              <w:t>201</w:t>
            </w:r>
            <w:r w:rsidR="00D91C7E" w:rsidRPr="00737C0F">
              <w:rPr>
                <w:b/>
              </w:rPr>
              <w:t>4</w:t>
            </w:r>
          </w:p>
        </w:tc>
        <w:tc>
          <w:tcPr>
            <w:tcW w:w="4115" w:type="dxa"/>
            <w:gridSpan w:val="3"/>
            <w:vAlign w:val="center"/>
          </w:tcPr>
          <w:p w:rsidR="009F3972" w:rsidRPr="00737C0F" w:rsidRDefault="009F3972" w:rsidP="0068293F">
            <w:pPr>
              <w:pStyle w:val="naisf"/>
              <w:spacing w:before="0" w:after="0"/>
              <w:ind w:firstLine="0"/>
              <w:jc w:val="center"/>
              <w:rPr>
                <w:b/>
                <w:i/>
              </w:rPr>
            </w:pPr>
            <w:r w:rsidRPr="00737C0F">
              <w:t>Turpmākie trīs gadi (tūkst</w:t>
            </w:r>
            <w:r w:rsidR="00CC1C45" w:rsidRPr="00737C0F">
              <w:t xml:space="preserve">. </w:t>
            </w:r>
            <w:proofErr w:type="spellStart"/>
            <w:r w:rsidR="00CC1C45" w:rsidRPr="00737C0F">
              <w:t>euro</w:t>
            </w:r>
            <w:proofErr w:type="spellEnd"/>
            <w:r w:rsidRPr="00737C0F">
              <w:t>)</w:t>
            </w:r>
          </w:p>
        </w:tc>
      </w:tr>
      <w:tr w:rsidR="009F3972" w:rsidRPr="00737C0F" w:rsidTr="0068293F">
        <w:trPr>
          <w:jc w:val="center"/>
        </w:trPr>
        <w:tc>
          <w:tcPr>
            <w:tcW w:w="3324" w:type="dxa"/>
            <w:vMerge/>
            <w:vAlign w:val="center"/>
          </w:tcPr>
          <w:p w:rsidR="009F3972" w:rsidRPr="00737C0F" w:rsidRDefault="009F3972" w:rsidP="0068293F">
            <w:pPr>
              <w:pStyle w:val="naisf"/>
              <w:spacing w:before="0" w:after="0"/>
              <w:ind w:firstLine="0"/>
              <w:jc w:val="center"/>
              <w:rPr>
                <w:b/>
                <w:i/>
              </w:rPr>
            </w:pPr>
          </w:p>
        </w:tc>
        <w:tc>
          <w:tcPr>
            <w:tcW w:w="2685" w:type="dxa"/>
            <w:gridSpan w:val="2"/>
            <w:vMerge/>
            <w:vAlign w:val="center"/>
          </w:tcPr>
          <w:p w:rsidR="009F3972" w:rsidRPr="00737C0F" w:rsidRDefault="009F3972" w:rsidP="0068293F">
            <w:pPr>
              <w:pStyle w:val="naisf"/>
              <w:spacing w:before="0" w:after="0"/>
              <w:ind w:firstLine="0"/>
              <w:jc w:val="center"/>
              <w:rPr>
                <w:b/>
                <w:i/>
              </w:rPr>
            </w:pPr>
          </w:p>
        </w:tc>
        <w:tc>
          <w:tcPr>
            <w:tcW w:w="1354" w:type="dxa"/>
            <w:vAlign w:val="center"/>
          </w:tcPr>
          <w:p w:rsidR="009F3972" w:rsidRPr="00737C0F" w:rsidRDefault="009F3972" w:rsidP="00D91C7E">
            <w:pPr>
              <w:pStyle w:val="naisf"/>
              <w:spacing w:before="0" w:after="0"/>
              <w:ind w:firstLine="0"/>
              <w:jc w:val="center"/>
              <w:rPr>
                <w:b/>
                <w:i/>
              </w:rPr>
            </w:pPr>
            <w:r w:rsidRPr="00737C0F">
              <w:rPr>
                <w:b/>
                <w:bCs/>
              </w:rPr>
              <w:t>201</w:t>
            </w:r>
            <w:r w:rsidR="00D91C7E" w:rsidRPr="00737C0F">
              <w:rPr>
                <w:b/>
                <w:bCs/>
              </w:rPr>
              <w:t>5</w:t>
            </w:r>
          </w:p>
        </w:tc>
        <w:tc>
          <w:tcPr>
            <w:tcW w:w="1355" w:type="dxa"/>
            <w:vAlign w:val="center"/>
          </w:tcPr>
          <w:p w:rsidR="009F3972" w:rsidRPr="00737C0F" w:rsidRDefault="009F3972" w:rsidP="0068293F">
            <w:pPr>
              <w:pStyle w:val="naisf"/>
              <w:spacing w:before="0" w:after="0"/>
              <w:ind w:firstLine="0"/>
              <w:jc w:val="center"/>
              <w:rPr>
                <w:b/>
                <w:i/>
              </w:rPr>
            </w:pPr>
            <w:r w:rsidRPr="00737C0F">
              <w:rPr>
                <w:b/>
                <w:bCs/>
              </w:rPr>
              <w:t>201</w:t>
            </w:r>
            <w:r w:rsidR="00D91C7E" w:rsidRPr="00737C0F">
              <w:rPr>
                <w:b/>
                <w:bCs/>
              </w:rPr>
              <w:t>6</w:t>
            </w:r>
          </w:p>
        </w:tc>
        <w:tc>
          <w:tcPr>
            <w:tcW w:w="1406" w:type="dxa"/>
            <w:vAlign w:val="center"/>
          </w:tcPr>
          <w:p w:rsidR="009F3972" w:rsidRPr="00737C0F" w:rsidRDefault="009F3972" w:rsidP="0068293F">
            <w:pPr>
              <w:pStyle w:val="naisf"/>
              <w:spacing w:before="0" w:after="0"/>
              <w:ind w:firstLine="0"/>
              <w:jc w:val="center"/>
              <w:rPr>
                <w:b/>
                <w:i/>
              </w:rPr>
            </w:pPr>
            <w:r w:rsidRPr="00737C0F">
              <w:rPr>
                <w:b/>
                <w:bCs/>
              </w:rPr>
              <w:t>201</w:t>
            </w:r>
            <w:r w:rsidR="00D91C7E" w:rsidRPr="00737C0F">
              <w:rPr>
                <w:b/>
                <w:bCs/>
              </w:rPr>
              <w:t>7</w:t>
            </w:r>
          </w:p>
        </w:tc>
      </w:tr>
      <w:tr w:rsidR="009F3972" w:rsidRPr="00737C0F" w:rsidTr="0068293F">
        <w:trPr>
          <w:jc w:val="center"/>
        </w:trPr>
        <w:tc>
          <w:tcPr>
            <w:tcW w:w="3324" w:type="dxa"/>
            <w:vMerge/>
            <w:vAlign w:val="center"/>
          </w:tcPr>
          <w:p w:rsidR="009F3972" w:rsidRPr="00737C0F" w:rsidRDefault="009F3972" w:rsidP="0068293F">
            <w:pPr>
              <w:pStyle w:val="naisf"/>
              <w:spacing w:before="0" w:after="0"/>
              <w:ind w:firstLine="0"/>
              <w:jc w:val="center"/>
              <w:rPr>
                <w:b/>
                <w:i/>
              </w:rPr>
            </w:pPr>
          </w:p>
        </w:tc>
        <w:tc>
          <w:tcPr>
            <w:tcW w:w="1331" w:type="dxa"/>
            <w:vAlign w:val="center"/>
          </w:tcPr>
          <w:p w:rsidR="009F3972" w:rsidRPr="00737C0F" w:rsidRDefault="009F3972" w:rsidP="0068293F">
            <w:pPr>
              <w:pStyle w:val="naisf"/>
              <w:spacing w:before="0" w:after="0"/>
              <w:ind w:firstLine="0"/>
              <w:jc w:val="center"/>
              <w:rPr>
                <w:b/>
                <w:i/>
              </w:rPr>
            </w:pPr>
            <w:r w:rsidRPr="00737C0F">
              <w:t>Saskaņā ar valsts budžetu kārtējam gadam</w:t>
            </w:r>
          </w:p>
        </w:tc>
        <w:tc>
          <w:tcPr>
            <w:tcW w:w="1354" w:type="dxa"/>
            <w:vAlign w:val="center"/>
          </w:tcPr>
          <w:p w:rsidR="009F3972" w:rsidRPr="00737C0F" w:rsidRDefault="009F3972" w:rsidP="0068293F">
            <w:pPr>
              <w:pStyle w:val="naisf"/>
              <w:spacing w:before="0" w:after="0"/>
              <w:ind w:firstLine="0"/>
              <w:jc w:val="center"/>
              <w:rPr>
                <w:b/>
                <w:i/>
              </w:rPr>
            </w:pPr>
            <w:r w:rsidRPr="00737C0F">
              <w:t>Izmaiņas kārtējā gadā, salīdzinot ar budžetu kārtējam gadam</w:t>
            </w:r>
          </w:p>
        </w:tc>
        <w:tc>
          <w:tcPr>
            <w:tcW w:w="1354" w:type="dxa"/>
            <w:vAlign w:val="center"/>
          </w:tcPr>
          <w:p w:rsidR="009F3972" w:rsidRPr="00737C0F" w:rsidRDefault="009F3972" w:rsidP="0068293F">
            <w:pPr>
              <w:pStyle w:val="naisf"/>
              <w:spacing w:before="0" w:after="0"/>
              <w:ind w:firstLine="0"/>
              <w:jc w:val="center"/>
              <w:rPr>
                <w:b/>
                <w:i/>
              </w:rPr>
            </w:pPr>
            <w:r w:rsidRPr="00737C0F">
              <w:t>Izmaiņas, salīdzinot ar kārtējo (n) gadu</w:t>
            </w:r>
          </w:p>
        </w:tc>
        <w:tc>
          <w:tcPr>
            <w:tcW w:w="1355" w:type="dxa"/>
            <w:vAlign w:val="center"/>
          </w:tcPr>
          <w:p w:rsidR="009F3972" w:rsidRPr="00737C0F" w:rsidRDefault="009F3972" w:rsidP="0068293F">
            <w:pPr>
              <w:pStyle w:val="naisf"/>
              <w:spacing w:before="0" w:after="0"/>
              <w:ind w:firstLine="0"/>
              <w:jc w:val="center"/>
              <w:rPr>
                <w:b/>
                <w:i/>
              </w:rPr>
            </w:pPr>
            <w:r w:rsidRPr="00737C0F">
              <w:t>Izmaiņas, salīdzinot ar kārtējo (n) gadu</w:t>
            </w:r>
          </w:p>
        </w:tc>
        <w:tc>
          <w:tcPr>
            <w:tcW w:w="1406" w:type="dxa"/>
            <w:vAlign w:val="center"/>
          </w:tcPr>
          <w:p w:rsidR="009F3972" w:rsidRPr="00737C0F" w:rsidRDefault="009F3972" w:rsidP="0068293F">
            <w:pPr>
              <w:pStyle w:val="naisf"/>
              <w:spacing w:before="0" w:after="0"/>
              <w:ind w:firstLine="0"/>
              <w:jc w:val="center"/>
              <w:rPr>
                <w:b/>
                <w:i/>
              </w:rPr>
            </w:pPr>
            <w:r w:rsidRPr="00737C0F">
              <w:t>Izmaiņas, salīdzinot ar kārtējo (n) gadu</w:t>
            </w:r>
          </w:p>
        </w:tc>
      </w:tr>
      <w:tr w:rsidR="009F3972" w:rsidRPr="00737C0F" w:rsidTr="0068293F">
        <w:trPr>
          <w:jc w:val="center"/>
        </w:trPr>
        <w:tc>
          <w:tcPr>
            <w:tcW w:w="3324" w:type="dxa"/>
            <w:vAlign w:val="center"/>
          </w:tcPr>
          <w:p w:rsidR="009F3972" w:rsidRPr="00737C0F" w:rsidRDefault="009F3972" w:rsidP="0068293F">
            <w:pPr>
              <w:pStyle w:val="naisf"/>
              <w:spacing w:before="0" w:after="0"/>
              <w:ind w:firstLine="0"/>
              <w:jc w:val="center"/>
              <w:rPr>
                <w:bCs/>
              </w:rPr>
            </w:pPr>
            <w:r w:rsidRPr="00737C0F">
              <w:rPr>
                <w:bCs/>
              </w:rPr>
              <w:t>1</w:t>
            </w:r>
          </w:p>
        </w:tc>
        <w:tc>
          <w:tcPr>
            <w:tcW w:w="1331" w:type="dxa"/>
            <w:vAlign w:val="center"/>
          </w:tcPr>
          <w:p w:rsidR="009F3972" w:rsidRPr="00737C0F" w:rsidRDefault="009F3972" w:rsidP="0068293F">
            <w:pPr>
              <w:pStyle w:val="naisf"/>
              <w:spacing w:before="0" w:after="0"/>
              <w:ind w:firstLine="0"/>
              <w:jc w:val="center"/>
              <w:rPr>
                <w:bCs/>
              </w:rPr>
            </w:pPr>
            <w:r w:rsidRPr="00737C0F">
              <w:rPr>
                <w:bCs/>
              </w:rPr>
              <w:t>2</w:t>
            </w:r>
          </w:p>
        </w:tc>
        <w:tc>
          <w:tcPr>
            <w:tcW w:w="1354" w:type="dxa"/>
            <w:vAlign w:val="center"/>
          </w:tcPr>
          <w:p w:rsidR="009F3972" w:rsidRPr="00737C0F" w:rsidRDefault="009F3972" w:rsidP="0068293F">
            <w:pPr>
              <w:pStyle w:val="naisf"/>
              <w:spacing w:before="0" w:after="0"/>
              <w:ind w:firstLine="0"/>
              <w:jc w:val="center"/>
              <w:rPr>
                <w:bCs/>
              </w:rPr>
            </w:pPr>
            <w:r w:rsidRPr="00737C0F">
              <w:rPr>
                <w:bCs/>
              </w:rPr>
              <w:t>3</w:t>
            </w:r>
          </w:p>
        </w:tc>
        <w:tc>
          <w:tcPr>
            <w:tcW w:w="1354" w:type="dxa"/>
            <w:vAlign w:val="center"/>
          </w:tcPr>
          <w:p w:rsidR="009F3972" w:rsidRPr="00737C0F" w:rsidRDefault="009F3972" w:rsidP="0068293F">
            <w:pPr>
              <w:pStyle w:val="naisf"/>
              <w:spacing w:before="0" w:after="0"/>
              <w:ind w:firstLine="0"/>
              <w:jc w:val="center"/>
              <w:rPr>
                <w:bCs/>
              </w:rPr>
            </w:pPr>
            <w:r w:rsidRPr="00737C0F">
              <w:rPr>
                <w:bCs/>
              </w:rPr>
              <w:t>4</w:t>
            </w:r>
          </w:p>
        </w:tc>
        <w:tc>
          <w:tcPr>
            <w:tcW w:w="1355" w:type="dxa"/>
            <w:vAlign w:val="center"/>
          </w:tcPr>
          <w:p w:rsidR="009F3972" w:rsidRPr="00737C0F" w:rsidRDefault="009F3972" w:rsidP="0068293F">
            <w:pPr>
              <w:pStyle w:val="naisf"/>
              <w:spacing w:before="0" w:after="0"/>
              <w:ind w:firstLine="0"/>
              <w:jc w:val="center"/>
              <w:rPr>
                <w:bCs/>
              </w:rPr>
            </w:pPr>
            <w:r w:rsidRPr="00737C0F">
              <w:rPr>
                <w:bCs/>
              </w:rPr>
              <w:t>5</w:t>
            </w:r>
          </w:p>
        </w:tc>
        <w:tc>
          <w:tcPr>
            <w:tcW w:w="1406" w:type="dxa"/>
            <w:vAlign w:val="center"/>
          </w:tcPr>
          <w:p w:rsidR="009F3972" w:rsidRPr="00737C0F" w:rsidRDefault="009F3972" w:rsidP="0068293F">
            <w:pPr>
              <w:pStyle w:val="naisf"/>
              <w:spacing w:before="0" w:after="0"/>
              <w:ind w:firstLine="0"/>
              <w:jc w:val="center"/>
              <w:rPr>
                <w:bCs/>
              </w:rPr>
            </w:pPr>
            <w:r w:rsidRPr="00737C0F">
              <w:rPr>
                <w:bCs/>
              </w:rPr>
              <w:t>6</w:t>
            </w:r>
          </w:p>
        </w:tc>
      </w:tr>
      <w:tr w:rsidR="009F3972" w:rsidRPr="00737C0F" w:rsidTr="0068293F">
        <w:trPr>
          <w:jc w:val="center"/>
        </w:trPr>
        <w:tc>
          <w:tcPr>
            <w:tcW w:w="3324" w:type="dxa"/>
          </w:tcPr>
          <w:p w:rsidR="009F3972" w:rsidRPr="00737C0F" w:rsidRDefault="009F3972" w:rsidP="0068293F">
            <w:pPr>
              <w:pStyle w:val="naisf"/>
              <w:spacing w:before="0" w:after="0"/>
              <w:ind w:firstLine="0"/>
              <w:rPr>
                <w:i/>
              </w:rPr>
            </w:pPr>
            <w:r w:rsidRPr="00737C0F">
              <w:t>1. Budžeta ieņēmumi:</w:t>
            </w:r>
          </w:p>
        </w:tc>
        <w:tc>
          <w:tcPr>
            <w:tcW w:w="1331" w:type="dxa"/>
          </w:tcPr>
          <w:p w:rsidR="009F3972" w:rsidRPr="00737C0F" w:rsidRDefault="009F3972" w:rsidP="0068293F">
            <w:pPr>
              <w:pStyle w:val="naisf"/>
              <w:spacing w:before="0" w:after="0"/>
              <w:ind w:firstLine="0"/>
              <w:jc w:val="center"/>
            </w:pPr>
            <w:r w:rsidRPr="00737C0F">
              <w:t>0</w:t>
            </w:r>
          </w:p>
        </w:tc>
        <w:tc>
          <w:tcPr>
            <w:tcW w:w="1354" w:type="dxa"/>
          </w:tcPr>
          <w:p w:rsidR="009F3972" w:rsidRPr="00737C0F" w:rsidRDefault="009F3972" w:rsidP="0068293F">
            <w:pPr>
              <w:pStyle w:val="naisf"/>
              <w:spacing w:before="0" w:after="0"/>
              <w:ind w:firstLine="0"/>
              <w:jc w:val="center"/>
            </w:pPr>
            <w:r w:rsidRPr="00737C0F">
              <w:t>0</w:t>
            </w:r>
          </w:p>
        </w:tc>
        <w:tc>
          <w:tcPr>
            <w:tcW w:w="1354" w:type="dxa"/>
          </w:tcPr>
          <w:p w:rsidR="009F3972" w:rsidRPr="00737C0F" w:rsidRDefault="009F3972" w:rsidP="0068293F">
            <w:pPr>
              <w:pStyle w:val="naisf"/>
              <w:spacing w:before="0" w:after="0"/>
              <w:ind w:firstLine="0"/>
              <w:jc w:val="center"/>
            </w:pPr>
            <w:r w:rsidRPr="00737C0F">
              <w:t>0</w:t>
            </w:r>
          </w:p>
        </w:tc>
        <w:tc>
          <w:tcPr>
            <w:tcW w:w="1355" w:type="dxa"/>
          </w:tcPr>
          <w:p w:rsidR="009F3972" w:rsidRPr="00737C0F" w:rsidRDefault="009F3972" w:rsidP="0068293F">
            <w:pPr>
              <w:pStyle w:val="naisf"/>
              <w:spacing w:before="0" w:after="0"/>
              <w:ind w:firstLine="0"/>
              <w:jc w:val="center"/>
            </w:pPr>
            <w:r w:rsidRPr="00737C0F">
              <w:t>0</w:t>
            </w:r>
          </w:p>
        </w:tc>
        <w:tc>
          <w:tcPr>
            <w:tcW w:w="1406" w:type="dxa"/>
          </w:tcPr>
          <w:p w:rsidR="009F3972" w:rsidRPr="00737C0F" w:rsidRDefault="009F3972" w:rsidP="0068293F">
            <w:pPr>
              <w:pStyle w:val="naisf"/>
              <w:spacing w:before="0" w:after="0"/>
              <w:ind w:firstLine="0"/>
              <w:jc w:val="center"/>
            </w:pPr>
            <w:r w:rsidRPr="00737C0F">
              <w:t>0</w:t>
            </w:r>
          </w:p>
        </w:tc>
      </w:tr>
      <w:tr w:rsidR="009F3972" w:rsidRPr="00737C0F" w:rsidTr="0068293F">
        <w:trPr>
          <w:jc w:val="center"/>
        </w:trPr>
        <w:tc>
          <w:tcPr>
            <w:tcW w:w="3324" w:type="dxa"/>
          </w:tcPr>
          <w:p w:rsidR="009F3972" w:rsidRPr="00737C0F" w:rsidRDefault="009F3972" w:rsidP="00BF7FAC">
            <w:pPr>
              <w:pStyle w:val="naisf"/>
              <w:spacing w:before="0" w:after="0"/>
              <w:ind w:firstLine="0"/>
              <w:rPr>
                <w:i/>
              </w:rPr>
            </w:pPr>
            <w:r w:rsidRPr="00737C0F">
              <w:t>1.1. valsts pamatbudžets, tai skaitā ieņēmumi no maksas pakalpojumiem un citi pašu ieņēmumi</w:t>
            </w:r>
          </w:p>
        </w:tc>
        <w:tc>
          <w:tcPr>
            <w:tcW w:w="1331" w:type="dxa"/>
          </w:tcPr>
          <w:p w:rsidR="009F3972" w:rsidRPr="00737C0F" w:rsidRDefault="009F3972" w:rsidP="0068293F">
            <w:pPr>
              <w:pStyle w:val="naisf"/>
              <w:spacing w:before="0" w:after="0"/>
              <w:ind w:firstLine="0"/>
              <w:jc w:val="center"/>
            </w:pPr>
            <w:r w:rsidRPr="00737C0F">
              <w:t>0</w:t>
            </w:r>
          </w:p>
        </w:tc>
        <w:tc>
          <w:tcPr>
            <w:tcW w:w="1354" w:type="dxa"/>
          </w:tcPr>
          <w:p w:rsidR="009F3972" w:rsidRPr="00737C0F" w:rsidRDefault="009F3972" w:rsidP="0068293F">
            <w:pPr>
              <w:pStyle w:val="naisf"/>
              <w:spacing w:before="0" w:after="0"/>
              <w:ind w:firstLine="0"/>
              <w:jc w:val="center"/>
            </w:pPr>
            <w:r w:rsidRPr="00737C0F">
              <w:t>0</w:t>
            </w:r>
          </w:p>
        </w:tc>
        <w:tc>
          <w:tcPr>
            <w:tcW w:w="1354" w:type="dxa"/>
          </w:tcPr>
          <w:p w:rsidR="009F3972" w:rsidRPr="00737C0F" w:rsidRDefault="009F3972" w:rsidP="0068293F">
            <w:pPr>
              <w:pStyle w:val="naisf"/>
              <w:spacing w:before="0" w:after="0"/>
              <w:ind w:firstLine="0"/>
              <w:jc w:val="center"/>
            </w:pPr>
            <w:r w:rsidRPr="00737C0F">
              <w:t>0</w:t>
            </w:r>
          </w:p>
        </w:tc>
        <w:tc>
          <w:tcPr>
            <w:tcW w:w="1355" w:type="dxa"/>
          </w:tcPr>
          <w:p w:rsidR="009F3972" w:rsidRPr="00737C0F" w:rsidRDefault="009F3972" w:rsidP="0068293F">
            <w:pPr>
              <w:pStyle w:val="naisf"/>
              <w:spacing w:before="0" w:after="0"/>
              <w:ind w:firstLine="0"/>
              <w:jc w:val="center"/>
            </w:pPr>
            <w:r w:rsidRPr="00737C0F">
              <w:t>0</w:t>
            </w:r>
          </w:p>
        </w:tc>
        <w:tc>
          <w:tcPr>
            <w:tcW w:w="1406" w:type="dxa"/>
          </w:tcPr>
          <w:p w:rsidR="009F3972" w:rsidRPr="00737C0F" w:rsidRDefault="009F3972" w:rsidP="0068293F">
            <w:pPr>
              <w:pStyle w:val="naisf"/>
              <w:spacing w:before="0" w:after="0"/>
              <w:ind w:firstLine="0"/>
              <w:jc w:val="center"/>
            </w:pPr>
            <w:r w:rsidRPr="00737C0F">
              <w:t>0</w:t>
            </w:r>
          </w:p>
        </w:tc>
      </w:tr>
      <w:tr w:rsidR="009F3972" w:rsidRPr="00737C0F" w:rsidTr="0068293F">
        <w:trPr>
          <w:jc w:val="center"/>
        </w:trPr>
        <w:tc>
          <w:tcPr>
            <w:tcW w:w="3324" w:type="dxa"/>
          </w:tcPr>
          <w:p w:rsidR="009F3972" w:rsidRPr="00737C0F" w:rsidRDefault="009F3972" w:rsidP="0068293F">
            <w:pPr>
              <w:pStyle w:val="naisf"/>
              <w:spacing w:before="0" w:after="0"/>
              <w:ind w:firstLine="0"/>
              <w:rPr>
                <w:i/>
              </w:rPr>
            </w:pPr>
            <w:r w:rsidRPr="00737C0F">
              <w:t>1.2. valsts speciālais budžets</w:t>
            </w:r>
          </w:p>
        </w:tc>
        <w:tc>
          <w:tcPr>
            <w:tcW w:w="1331" w:type="dxa"/>
          </w:tcPr>
          <w:p w:rsidR="009F3972" w:rsidRPr="00737C0F" w:rsidRDefault="009F3972" w:rsidP="0068293F">
            <w:pPr>
              <w:pStyle w:val="naisf"/>
              <w:spacing w:before="0" w:after="0"/>
              <w:ind w:firstLine="0"/>
              <w:jc w:val="center"/>
            </w:pPr>
          </w:p>
        </w:tc>
        <w:tc>
          <w:tcPr>
            <w:tcW w:w="1354" w:type="dxa"/>
          </w:tcPr>
          <w:p w:rsidR="009F3972" w:rsidRPr="00737C0F" w:rsidRDefault="009F3972" w:rsidP="0068293F">
            <w:pPr>
              <w:pStyle w:val="naisf"/>
              <w:spacing w:before="0" w:after="0"/>
              <w:ind w:firstLine="0"/>
              <w:jc w:val="center"/>
            </w:pPr>
          </w:p>
        </w:tc>
        <w:tc>
          <w:tcPr>
            <w:tcW w:w="1354" w:type="dxa"/>
          </w:tcPr>
          <w:p w:rsidR="009F3972" w:rsidRPr="00737C0F" w:rsidRDefault="009F3972" w:rsidP="0068293F">
            <w:pPr>
              <w:pStyle w:val="naisf"/>
              <w:spacing w:before="0" w:after="0"/>
              <w:ind w:firstLine="0"/>
              <w:jc w:val="center"/>
            </w:pPr>
          </w:p>
        </w:tc>
        <w:tc>
          <w:tcPr>
            <w:tcW w:w="1355" w:type="dxa"/>
          </w:tcPr>
          <w:p w:rsidR="009F3972" w:rsidRPr="00737C0F" w:rsidRDefault="009F3972" w:rsidP="0068293F">
            <w:pPr>
              <w:pStyle w:val="naisf"/>
              <w:spacing w:before="0" w:after="0"/>
              <w:ind w:firstLine="0"/>
              <w:jc w:val="center"/>
            </w:pPr>
          </w:p>
        </w:tc>
        <w:tc>
          <w:tcPr>
            <w:tcW w:w="1406" w:type="dxa"/>
          </w:tcPr>
          <w:p w:rsidR="009F3972" w:rsidRPr="00737C0F" w:rsidRDefault="009F3972" w:rsidP="0068293F">
            <w:pPr>
              <w:pStyle w:val="naisf"/>
              <w:spacing w:before="0" w:after="0"/>
              <w:ind w:firstLine="0"/>
              <w:jc w:val="center"/>
            </w:pPr>
          </w:p>
        </w:tc>
      </w:tr>
      <w:tr w:rsidR="009F3972" w:rsidRPr="00737C0F" w:rsidTr="0068293F">
        <w:trPr>
          <w:jc w:val="center"/>
        </w:trPr>
        <w:tc>
          <w:tcPr>
            <w:tcW w:w="3324" w:type="dxa"/>
          </w:tcPr>
          <w:p w:rsidR="009F3972" w:rsidRPr="00737C0F" w:rsidRDefault="009F3972" w:rsidP="0068293F">
            <w:pPr>
              <w:pStyle w:val="naisf"/>
              <w:spacing w:before="0" w:after="0"/>
              <w:ind w:firstLine="0"/>
              <w:rPr>
                <w:i/>
              </w:rPr>
            </w:pPr>
            <w:r w:rsidRPr="00737C0F">
              <w:t>1.3. pašvaldību budžets</w:t>
            </w:r>
          </w:p>
        </w:tc>
        <w:tc>
          <w:tcPr>
            <w:tcW w:w="1331" w:type="dxa"/>
          </w:tcPr>
          <w:p w:rsidR="009F3972" w:rsidRPr="00737C0F" w:rsidRDefault="009F3972" w:rsidP="0068293F">
            <w:pPr>
              <w:pStyle w:val="naisf"/>
              <w:spacing w:before="0" w:after="0"/>
              <w:ind w:firstLine="0"/>
              <w:jc w:val="center"/>
            </w:pPr>
          </w:p>
        </w:tc>
        <w:tc>
          <w:tcPr>
            <w:tcW w:w="1354" w:type="dxa"/>
          </w:tcPr>
          <w:p w:rsidR="009F3972" w:rsidRPr="00737C0F" w:rsidRDefault="009F3972" w:rsidP="0068293F">
            <w:pPr>
              <w:pStyle w:val="naisf"/>
              <w:spacing w:before="0" w:after="0"/>
              <w:ind w:firstLine="0"/>
              <w:jc w:val="center"/>
            </w:pPr>
          </w:p>
        </w:tc>
        <w:tc>
          <w:tcPr>
            <w:tcW w:w="1354" w:type="dxa"/>
          </w:tcPr>
          <w:p w:rsidR="009F3972" w:rsidRPr="00737C0F" w:rsidRDefault="009F3972" w:rsidP="0068293F">
            <w:pPr>
              <w:pStyle w:val="naisf"/>
              <w:spacing w:before="0" w:after="0"/>
              <w:ind w:firstLine="0"/>
              <w:jc w:val="center"/>
            </w:pPr>
          </w:p>
        </w:tc>
        <w:tc>
          <w:tcPr>
            <w:tcW w:w="1355" w:type="dxa"/>
          </w:tcPr>
          <w:p w:rsidR="009F3972" w:rsidRPr="00737C0F" w:rsidRDefault="009F3972" w:rsidP="0068293F">
            <w:pPr>
              <w:pStyle w:val="naisf"/>
              <w:spacing w:before="0" w:after="0"/>
              <w:ind w:firstLine="0"/>
              <w:jc w:val="center"/>
            </w:pPr>
          </w:p>
        </w:tc>
        <w:tc>
          <w:tcPr>
            <w:tcW w:w="1406" w:type="dxa"/>
          </w:tcPr>
          <w:p w:rsidR="009F3972" w:rsidRPr="00737C0F" w:rsidRDefault="009F3972" w:rsidP="0068293F">
            <w:pPr>
              <w:pStyle w:val="naisf"/>
              <w:spacing w:before="0" w:after="0"/>
              <w:ind w:firstLine="0"/>
              <w:jc w:val="center"/>
            </w:pPr>
          </w:p>
        </w:tc>
      </w:tr>
      <w:tr w:rsidR="009F3972" w:rsidRPr="00737C0F" w:rsidTr="0068293F">
        <w:trPr>
          <w:jc w:val="center"/>
        </w:trPr>
        <w:tc>
          <w:tcPr>
            <w:tcW w:w="3324" w:type="dxa"/>
          </w:tcPr>
          <w:p w:rsidR="009F3972" w:rsidRPr="00737C0F" w:rsidRDefault="009F3972" w:rsidP="0068293F">
            <w:pPr>
              <w:jc w:val="both"/>
            </w:pPr>
            <w:r w:rsidRPr="00737C0F">
              <w:t>2. Budžeta izdevumi:</w:t>
            </w:r>
          </w:p>
        </w:tc>
        <w:tc>
          <w:tcPr>
            <w:tcW w:w="1331" w:type="dxa"/>
          </w:tcPr>
          <w:p w:rsidR="009F3972" w:rsidRPr="00737C0F" w:rsidRDefault="009F3972" w:rsidP="0068293F">
            <w:pPr>
              <w:pStyle w:val="naisf"/>
              <w:spacing w:before="0" w:after="0"/>
              <w:ind w:firstLine="0"/>
              <w:jc w:val="center"/>
            </w:pPr>
            <w:r w:rsidRPr="00737C0F">
              <w:t>0</w:t>
            </w:r>
          </w:p>
        </w:tc>
        <w:tc>
          <w:tcPr>
            <w:tcW w:w="1354" w:type="dxa"/>
          </w:tcPr>
          <w:p w:rsidR="009F3972" w:rsidRPr="00737C0F" w:rsidRDefault="009F3972" w:rsidP="0068293F">
            <w:pPr>
              <w:pStyle w:val="naisf"/>
              <w:spacing w:before="0" w:after="0"/>
              <w:ind w:firstLine="0"/>
              <w:jc w:val="center"/>
            </w:pPr>
            <w:r w:rsidRPr="00737C0F">
              <w:t>0</w:t>
            </w:r>
          </w:p>
        </w:tc>
        <w:tc>
          <w:tcPr>
            <w:tcW w:w="1354" w:type="dxa"/>
          </w:tcPr>
          <w:p w:rsidR="009F3972" w:rsidRPr="00737C0F" w:rsidRDefault="00D91C7E" w:rsidP="0068293F">
            <w:pPr>
              <w:pStyle w:val="naisf"/>
              <w:spacing w:before="0" w:after="0"/>
              <w:ind w:firstLine="0"/>
              <w:jc w:val="center"/>
            </w:pPr>
            <w:r w:rsidRPr="00737C0F">
              <w:t>59.8</w:t>
            </w:r>
          </w:p>
        </w:tc>
        <w:tc>
          <w:tcPr>
            <w:tcW w:w="1355" w:type="dxa"/>
          </w:tcPr>
          <w:p w:rsidR="009F3972" w:rsidRPr="00737C0F" w:rsidRDefault="00121D84" w:rsidP="0068293F">
            <w:pPr>
              <w:pStyle w:val="naisf"/>
              <w:spacing w:before="0" w:after="0"/>
              <w:ind w:firstLine="0"/>
              <w:jc w:val="center"/>
            </w:pPr>
            <w:r w:rsidRPr="00737C0F">
              <w:t>59.8</w:t>
            </w:r>
          </w:p>
        </w:tc>
        <w:tc>
          <w:tcPr>
            <w:tcW w:w="1406" w:type="dxa"/>
          </w:tcPr>
          <w:p w:rsidR="009F3972" w:rsidRPr="00737C0F" w:rsidRDefault="00121D84" w:rsidP="0068293F">
            <w:pPr>
              <w:pStyle w:val="naisf"/>
              <w:spacing w:before="0" w:after="0"/>
              <w:ind w:firstLine="0"/>
              <w:jc w:val="center"/>
            </w:pPr>
            <w:r w:rsidRPr="00737C0F">
              <w:t>59.8</w:t>
            </w:r>
          </w:p>
        </w:tc>
      </w:tr>
      <w:tr w:rsidR="009F3972" w:rsidRPr="00737C0F" w:rsidTr="0068293F">
        <w:trPr>
          <w:jc w:val="center"/>
        </w:trPr>
        <w:tc>
          <w:tcPr>
            <w:tcW w:w="3324" w:type="dxa"/>
          </w:tcPr>
          <w:p w:rsidR="009F3972" w:rsidRPr="00737C0F" w:rsidRDefault="009F3972" w:rsidP="0068293F">
            <w:pPr>
              <w:jc w:val="both"/>
            </w:pPr>
            <w:r w:rsidRPr="00737C0F">
              <w:t>2.1. valsts pamatbudžets</w:t>
            </w:r>
          </w:p>
        </w:tc>
        <w:tc>
          <w:tcPr>
            <w:tcW w:w="1331" w:type="dxa"/>
          </w:tcPr>
          <w:p w:rsidR="009F3972" w:rsidRPr="00737C0F" w:rsidRDefault="009F3972" w:rsidP="0068293F">
            <w:pPr>
              <w:pStyle w:val="naisf"/>
              <w:spacing w:before="0" w:after="0"/>
              <w:ind w:firstLine="0"/>
              <w:jc w:val="center"/>
            </w:pPr>
            <w:r w:rsidRPr="00737C0F">
              <w:t>0</w:t>
            </w:r>
          </w:p>
        </w:tc>
        <w:tc>
          <w:tcPr>
            <w:tcW w:w="1354" w:type="dxa"/>
          </w:tcPr>
          <w:p w:rsidR="009F3972" w:rsidRPr="00737C0F" w:rsidRDefault="009F3972" w:rsidP="0068293F">
            <w:pPr>
              <w:pStyle w:val="naisf"/>
              <w:spacing w:before="0" w:after="0"/>
              <w:ind w:firstLine="0"/>
              <w:jc w:val="center"/>
            </w:pPr>
            <w:r w:rsidRPr="00737C0F">
              <w:t>0</w:t>
            </w:r>
          </w:p>
        </w:tc>
        <w:tc>
          <w:tcPr>
            <w:tcW w:w="1354" w:type="dxa"/>
          </w:tcPr>
          <w:p w:rsidR="009F3972" w:rsidRPr="00737C0F" w:rsidRDefault="00D91C7E" w:rsidP="0068293F">
            <w:pPr>
              <w:pStyle w:val="naisf"/>
              <w:spacing w:before="0" w:after="0"/>
              <w:ind w:firstLine="0"/>
              <w:jc w:val="center"/>
            </w:pPr>
            <w:r w:rsidRPr="00737C0F">
              <w:t>59.8</w:t>
            </w:r>
          </w:p>
        </w:tc>
        <w:tc>
          <w:tcPr>
            <w:tcW w:w="1355" w:type="dxa"/>
          </w:tcPr>
          <w:p w:rsidR="009F3972" w:rsidRPr="00737C0F" w:rsidRDefault="00121D84" w:rsidP="0068293F">
            <w:pPr>
              <w:pStyle w:val="naisf"/>
              <w:spacing w:before="0" w:after="0"/>
              <w:ind w:firstLine="0"/>
              <w:jc w:val="center"/>
            </w:pPr>
            <w:r w:rsidRPr="00737C0F">
              <w:t>59.8</w:t>
            </w:r>
          </w:p>
        </w:tc>
        <w:tc>
          <w:tcPr>
            <w:tcW w:w="1406" w:type="dxa"/>
          </w:tcPr>
          <w:p w:rsidR="009F3972" w:rsidRPr="00737C0F" w:rsidRDefault="00121D84" w:rsidP="0068293F">
            <w:pPr>
              <w:pStyle w:val="naisf"/>
              <w:spacing w:before="0" w:after="0"/>
              <w:ind w:firstLine="0"/>
              <w:jc w:val="center"/>
            </w:pPr>
            <w:r w:rsidRPr="00737C0F">
              <w:t>59.8</w:t>
            </w:r>
          </w:p>
        </w:tc>
      </w:tr>
      <w:tr w:rsidR="009F3972" w:rsidRPr="00737C0F" w:rsidTr="0068293F">
        <w:trPr>
          <w:jc w:val="center"/>
        </w:trPr>
        <w:tc>
          <w:tcPr>
            <w:tcW w:w="3324" w:type="dxa"/>
          </w:tcPr>
          <w:p w:rsidR="009F3972" w:rsidRPr="00737C0F" w:rsidRDefault="009F3972" w:rsidP="0068293F">
            <w:pPr>
              <w:jc w:val="both"/>
            </w:pPr>
            <w:r w:rsidRPr="00737C0F">
              <w:t>2.2. valsts speciālais budžets</w:t>
            </w:r>
          </w:p>
        </w:tc>
        <w:tc>
          <w:tcPr>
            <w:tcW w:w="1331" w:type="dxa"/>
          </w:tcPr>
          <w:p w:rsidR="009F3972" w:rsidRPr="00737C0F" w:rsidRDefault="009F3972" w:rsidP="0068293F">
            <w:pPr>
              <w:pStyle w:val="naisf"/>
              <w:spacing w:before="0" w:after="0"/>
              <w:ind w:firstLine="0"/>
              <w:jc w:val="center"/>
            </w:pPr>
          </w:p>
        </w:tc>
        <w:tc>
          <w:tcPr>
            <w:tcW w:w="1354" w:type="dxa"/>
          </w:tcPr>
          <w:p w:rsidR="009F3972" w:rsidRPr="00737C0F" w:rsidRDefault="009F3972" w:rsidP="0068293F">
            <w:pPr>
              <w:pStyle w:val="naisf"/>
              <w:spacing w:before="0" w:after="0"/>
              <w:ind w:firstLine="0"/>
              <w:jc w:val="center"/>
            </w:pPr>
          </w:p>
        </w:tc>
        <w:tc>
          <w:tcPr>
            <w:tcW w:w="1354" w:type="dxa"/>
          </w:tcPr>
          <w:p w:rsidR="009F3972" w:rsidRPr="00737C0F" w:rsidRDefault="009F3972" w:rsidP="0068293F">
            <w:pPr>
              <w:pStyle w:val="naisf"/>
              <w:spacing w:before="0" w:after="0"/>
              <w:ind w:firstLine="0"/>
              <w:jc w:val="center"/>
            </w:pPr>
          </w:p>
        </w:tc>
        <w:tc>
          <w:tcPr>
            <w:tcW w:w="1355" w:type="dxa"/>
          </w:tcPr>
          <w:p w:rsidR="009F3972" w:rsidRPr="00737C0F" w:rsidRDefault="009F3972" w:rsidP="0068293F">
            <w:pPr>
              <w:pStyle w:val="naisf"/>
              <w:spacing w:before="0" w:after="0"/>
              <w:ind w:firstLine="0"/>
              <w:jc w:val="center"/>
            </w:pPr>
          </w:p>
        </w:tc>
        <w:tc>
          <w:tcPr>
            <w:tcW w:w="1406" w:type="dxa"/>
          </w:tcPr>
          <w:p w:rsidR="009F3972" w:rsidRPr="00737C0F" w:rsidRDefault="009F3972" w:rsidP="0068293F">
            <w:pPr>
              <w:pStyle w:val="naisf"/>
              <w:spacing w:before="0" w:after="0"/>
              <w:ind w:firstLine="0"/>
              <w:jc w:val="center"/>
            </w:pPr>
          </w:p>
        </w:tc>
      </w:tr>
      <w:tr w:rsidR="009F3972" w:rsidRPr="00737C0F" w:rsidTr="0068293F">
        <w:trPr>
          <w:jc w:val="center"/>
        </w:trPr>
        <w:tc>
          <w:tcPr>
            <w:tcW w:w="3324" w:type="dxa"/>
          </w:tcPr>
          <w:p w:rsidR="009F3972" w:rsidRPr="00737C0F" w:rsidRDefault="009F3972" w:rsidP="0068293F">
            <w:pPr>
              <w:jc w:val="both"/>
            </w:pPr>
            <w:r w:rsidRPr="00737C0F">
              <w:t xml:space="preserve">2.3. pašvaldību budžets </w:t>
            </w:r>
          </w:p>
        </w:tc>
        <w:tc>
          <w:tcPr>
            <w:tcW w:w="1331" w:type="dxa"/>
          </w:tcPr>
          <w:p w:rsidR="009F3972" w:rsidRPr="00737C0F" w:rsidRDefault="009F3972" w:rsidP="0068293F">
            <w:pPr>
              <w:pStyle w:val="naisf"/>
              <w:spacing w:before="0" w:after="0"/>
              <w:ind w:firstLine="0"/>
              <w:jc w:val="center"/>
            </w:pPr>
          </w:p>
        </w:tc>
        <w:tc>
          <w:tcPr>
            <w:tcW w:w="1354" w:type="dxa"/>
          </w:tcPr>
          <w:p w:rsidR="009F3972" w:rsidRPr="00737C0F" w:rsidRDefault="009F3972" w:rsidP="0068293F">
            <w:pPr>
              <w:pStyle w:val="naisf"/>
              <w:spacing w:before="0" w:after="0"/>
              <w:ind w:firstLine="0"/>
              <w:jc w:val="center"/>
            </w:pPr>
          </w:p>
        </w:tc>
        <w:tc>
          <w:tcPr>
            <w:tcW w:w="1354" w:type="dxa"/>
          </w:tcPr>
          <w:p w:rsidR="009F3972" w:rsidRPr="00737C0F" w:rsidRDefault="009F3972" w:rsidP="0068293F">
            <w:pPr>
              <w:pStyle w:val="naisf"/>
              <w:spacing w:before="0" w:after="0"/>
              <w:ind w:firstLine="0"/>
              <w:jc w:val="center"/>
            </w:pPr>
          </w:p>
        </w:tc>
        <w:tc>
          <w:tcPr>
            <w:tcW w:w="1355" w:type="dxa"/>
          </w:tcPr>
          <w:p w:rsidR="009F3972" w:rsidRPr="00737C0F" w:rsidRDefault="009F3972" w:rsidP="0068293F">
            <w:pPr>
              <w:pStyle w:val="naisf"/>
              <w:spacing w:before="0" w:after="0"/>
              <w:ind w:firstLine="0"/>
              <w:jc w:val="center"/>
            </w:pPr>
          </w:p>
        </w:tc>
        <w:tc>
          <w:tcPr>
            <w:tcW w:w="1406" w:type="dxa"/>
          </w:tcPr>
          <w:p w:rsidR="009F3972" w:rsidRPr="00737C0F" w:rsidRDefault="009F3972" w:rsidP="0068293F">
            <w:pPr>
              <w:pStyle w:val="naisf"/>
              <w:spacing w:before="0" w:after="0"/>
              <w:ind w:firstLine="0"/>
              <w:jc w:val="center"/>
            </w:pPr>
          </w:p>
        </w:tc>
      </w:tr>
      <w:tr w:rsidR="009F3972" w:rsidRPr="00737C0F" w:rsidTr="0068293F">
        <w:trPr>
          <w:jc w:val="center"/>
        </w:trPr>
        <w:tc>
          <w:tcPr>
            <w:tcW w:w="3324" w:type="dxa"/>
          </w:tcPr>
          <w:p w:rsidR="009F3972" w:rsidRPr="00737C0F" w:rsidRDefault="009F3972" w:rsidP="0068293F">
            <w:pPr>
              <w:jc w:val="both"/>
            </w:pPr>
            <w:r w:rsidRPr="00737C0F">
              <w:t>3. Finansiālā ietekme:</w:t>
            </w:r>
          </w:p>
        </w:tc>
        <w:tc>
          <w:tcPr>
            <w:tcW w:w="1331" w:type="dxa"/>
            <w:shd w:val="clear" w:color="auto" w:fill="auto"/>
            <w:vAlign w:val="center"/>
          </w:tcPr>
          <w:p w:rsidR="009F3972" w:rsidRPr="00737C0F" w:rsidRDefault="009F3972" w:rsidP="0068293F">
            <w:pPr>
              <w:pStyle w:val="naisf"/>
              <w:spacing w:before="0" w:after="0"/>
              <w:ind w:firstLine="0"/>
              <w:jc w:val="center"/>
            </w:pPr>
            <w:r w:rsidRPr="00737C0F">
              <w:t>0</w:t>
            </w:r>
          </w:p>
        </w:tc>
        <w:tc>
          <w:tcPr>
            <w:tcW w:w="1354" w:type="dxa"/>
          </w:tcPr>
          <w:p w:rsidR="009F3972" w:rsidRPr="00737C0F" w:rsidRDefault="009F3972" w:rsidP="0068293F">
            <w:pPr>
              <w:pStyle w:val="naisf"/>
              <w:spacing w:before="0" w:after="0"/>
              <w:ind w:firstLine="0"/>
              <w:jc w:val="center"/>
            </w:pPr>
            <w:r w:rsidRPr="00737C0F">
              <w:t>0</w:t>
            </w:r>
          </w:p>
        </w:tc>
        <w:tc>
          <w:tcPr>
            <w:tcW w:w="1354" w:type="dxa"/>
          </w:tcPr>
          <w:p w:rsidR="009F3972" w:rsidRPr="00737C0F" w:rsidRDefault="00D91C7E" w:rsidP="0068293F">
            <w:pPr>
              <w:pStyle w:val="naisf"/>
              <w:spacing w:before="0" w:after="0"/>
              <w:ind w:firstLine="0"/>
              <w:jc w:val="center"/>
            </w:pPr>
            <w:r w:rsidRPr="00737C0F">
              <w:t>-59.8</w:t>
            </w:r>
          </w:p>
        </w:tc>
        <w:tc>
          <w:tcPr>
            <w:tcW w:w="1355" w:type="dxa"/>
          </w:tcPr>
          <w:p w:rsidR="009F3972" w:rsidRPr="00737C0F" w:rsidRDefault="009F3972" w:rsidP="0068293F">
            <w:pPr>
              <w:pStyle w:val="naisf"/>
              <w:spacing w:before="0" w:after="0"/>
              <w:ind w:firstLine="0"/>
              <w:jc w:val="center"/>
            </w:pPr>
            <w:r w:rsidRPr="00737C0F">
              <w:t>-</w:t>
            </w:r>
            <w:r w:rsidR="00121D84" w:rsidRPr="00737C0F">
              <w:t>59.8</w:t>
            </w:r>
          </w:p>
        </w:tc>
        <w:tc>
          <w:tcPr>
            <w:tcW w:w="1406" w:type="dxa"/>
          </w:tcPr>
          <w:p w:rsidR="009F3972" w:rsidRPr="00737C0F" w:rsidRDefault="009F3972" w:rsidP="0068293F">
            <w:pPr>
              <w:pStyle w:val="naisf"/>
              <w:spacing w:before="0" w:after="0"/>
              <w:ind w:firstLine="0"/>
              <w:jc w:val="center"/>
            </w:pPr>
            <w:r w:rsidRPr="00737C0F">
              <w:t>-</w:t>
            </w:r>
            <w:r w:rsidR="00121D84" w:rsidRPr="00737C0F">
              <w:t>59.8</w:t>
            </w:r>
          </w:p>
        </w:tc>
      </w:tr>
      <w:tr w:rsidR="009F3972" w:rsidRPr="00737C0F" w:rsidTr="0068293F">
        <w:trPr>
          <w:jc w:val="center"/>
        </w:trPr>
        <w:tc>
          <w:tcPr>
            <w:tcW w:w="3324" w:type="dxa"/>
          </w:tcPr>
          <w:p w:rsidR="009F3972" w:rsidRPr="00737C0F" w:rsidRDefault="009F3972" w:rsidP="0068293F">
            <w:pPr>
              <w:jc w:val="both"/>
            </w:pPr>
            <w:r w:rsidRPr="00737C0F">
              <w:t>3.1. valsts pamatbudžets</w:t>
            </w:r>
          </w:p>
        </w:tc>
        <w:tc>
          <w:tcPr>
            <w:tcW w:w="1331" w:type="dxa"/>
            <w:shd w:val="clear" w:color="auto" w:fill="auto"/>
          </w:tcPr>
          <w:p w:rsidR="009F3972" w:rsidRPr="00737C0F" w:rsidRDefault="009F3972" w:rsidP="0068293F">
            <w:pPr>
              <w:pStyle w:val="naisf"/>
              <w:spacing w:before="0" w:after="0"/>
              <w:ind w:firstLine="0"/>
              <w:jc w:val="center"/>
            </w:pPr>
            <w:r w:rsidRPr="00737C0F">
              <w:t>0</w:t>
            </w:r>
          </w:p>
        </w:tc>
        <w:tc>
          <w:tcPr>
            <w:tcW w:w="1354" w:type="dxa"/>
          </w:tcPr>
          <w:p w:rsidR="009F3972" w:rsidRPr="00737C0F" w:rsidRDefault="009F3972" w:rsidP="0068293F">
            <w:pPr>
              <w:pStyle w:val="naisf"/>
              <w:spacing w:before="0" w:after="0"/>
              <w:ind w:firstLine="0"/>
              <w:jc w:val="center"/>
            </w:pPr>
            <w:r w:rsidRPr="00737C0F">
              <w:t>0</w:t>
            </w:r>
          </w:p>
        </w:tc>
        <w:tc>
          <w:tcPr>
            <w:tcW w:w="1354" w:type="dxa"/>
          </w:tcPr>
          <w:p w:rsidR="009F3972" w:rsidRPr="00737C0F" w:rsidRDefault="00D91C7E" w:rsidP="0068293F">
            <w:pPr>
              <w:pStyle w:val="naisf"/>
              <w:spacing w:before="0" w:after="0"/>
              <w:ind w:firstLine="0"/>
              <w:jc w:val="center"/>
            </w:pPr>
            <w:r w:rsidRPr="00737C0F">
              <w:t>-59.8</w:t>
            </w:r>
          </w:p>
        </w:tc>
        <w:tc>
          <w:tcPr>
            <w:tcW w:w="1355" w:type="dxa"/>
          </w:tcPr>
          <w:p w:rsidR="009F3972" w:rsidRPr="00737C0F" w:rsidRDefault="009F3972" w:rsidP="0068293F">
            <w:pPr>
              <w:pStyle w:val="naisf"/>
              <w:spacing w:before="0" w:after="0"/>
              <w:ind w:firstLine="0"/>
              <w:jc w:val="center"/>
            </w:pPr>
            <w:r w:rsidRPr="00737C0F">
              <w:t>-</w:t>
            </w:r>
            <w:r w:rsidR="00121D84" w:rsidRPr="00737C0F">
              <w:t>59.8</w:t>
            </w:r>
          </w:p>
        </w:tc>
        <w:tc>
          <w:tcPr>
            <w:tcW w:w="1406" w:type="dxa"/>
          </w:tcPr>
          <w:p w:rsidR="009F3972" w:rsidRPr="00737C0F" w:rsidRDefault="009F3972" w:rsidP="0068293F">
            <w:pPr>
              <w:pStyle w:val="naisf"/>
              <w:spacing w:before="0" w:after="0"/>
              <w:ind w:firstLine="0"/>
              <w:jc w:val="center"/>
            </w:pPr>
            <w:r w:rsidRPr="00737C0F">
              <w:t>-</w:t>
            </w:r>
            <w:r w:rsidR="00121D84" w:rsidRPr="00737C0F">
              <w:t>59.8</w:t>
            </w:r>
          </w:p>
        </w:tc>
      </w:tr>
      <w:tr w:rsidR="009F3972" w:rsidRPr="00737C0F" w:rsidTr="0068293F">
        <w:trPr>
          <w:jc w:val="center"/>
        </w:trPr>
        <w:tc>
          <w:tcPr>
            <w:tcW w:w="3324" w:type="dxa"/>
          </w:tcPr>
          <w:p w:rsidR="009F3972" w:rsidRPr="00737C0F" w:rsidRDefault="009F3972" w:rsidP="0068293F">
            <w:pPr>
              <w:jc w:val="both"/>
            </w:pPr>
            <w:r w:rsidRPr="00737C0F">
              <w:t>3.2. speciālais budžets</w:t>
            </w:r>
          </w:p>
        </w:tc>
        <w:tc>
          <w:tcPr>
            <w:tcW w:w="1331" w:type="dxa"/>
            <w:shd w:val="clear" w:color="auto" w:fill="auto"/>
          </w:tcPr>
          <w:p w:rsidR="009F3972" w:rsidRPr="00737C0F" w:rsidRDefault="009F3972" w:rsidP="0068293F">
            <w:pPr>
              <w:pStyle w:val="naisf"/>
              <w:spacing w:before="0" w:after="0"/>
              <w:ind w:firstLine="0"/>
              <w:jc w:val="center"/>
            </w:pPr>
          </w:p>
        </w:tc>
        <w:tc>
          <w:tcPr>
            <w:tcW w:w="1354" w:type="dxa"/>
          </w:tcPr>
          <w:p w:rsidR="009F3972" w:rsidRPr="00737C0F" w:rsidRDefault="009F3972" w:rsidP="0068293F">
            <w:pPr>
              <w:pStyle w:val="naisf"/>
              <w:spacing w:before="0" w:after="0"/>
              <w:ind w:firstLine="0"/>
              <w:jc w:val="center"/>
            </w:pPr>
          </w:p>
        </w:tc>
        <w:tc>
          <w:tcPr>
            <w:tcW w:w="1354" w:type="dxa"/>
          </w:tcPr>
          <w:p w:rsidR="009F3972" w:rsidRPr="00737C0F" w:rsidRDefault="009F3972" w:rsidP="0068293F">
            <w:pPr>
              <w:pStyle w:val="naisf"/>
              <w:spacing w:before="0" w:after="0"/>
              <w:ind w:firstLine="0"/>
              <w:jc w:val="center"/>
            </w:pPr>
          </w:p>
        </w:tc>
        <w:tc>
          <w:tcPr>
            <w:tcW w:w="1355" w:type="dxa"/>
          </w:tcPr>
          <w:p w:rsidR="009F3972" w:rsidRPr="00737C0F" w:rsidRDefault="009F3972" w:rsidP="0068293F">
            <w:pPr>
              <w:pStyle w:val="naisf"/>
              <w:spacing w:before="0" w:after="0"/>
              <w:ind w:firstLine="0"/>
              <w:jc w:val="center"/>
            </w:pPr>
          </w:p>
        </w:tc>
        <w:tc>
          <w:tcPr>
            <w:tcW w:w="1406" w:type="dxa"/>
          </w:tcPr>
          <w:p w:rsidR="009F3972" w:rsidRPr="00737C0F" w:rsidRDefault="009F3972" w:rsidP="0068293F">
            <w:pPr>
              <w:pStyle w:val="naisf"/>
              <w:spacing w:before="0" w:after="0"/>
              <w:ind w:firstLine="0"/>
              <w:jc w:val="center"/>
            </w:pPr>
          </w:p>
        </w:tc>
      </w:tr>
      <w:tr w:rsidR="009F3972" w:rsidRPr="00737C0F" w:rsidTr="0068293F">
        <w:trPr>
          <w:jc w:val="center"/>
        </w:trPr>
        <w:tc>
          <w:tcPr>
            <w:tcW w:w="3324" w:type="dxa"/>
          </w:tcPr>
          <w:p w:rsidR="009F3972" w:rsidRPr="00737C0F" w:rsidRDefault="009F3972" w:rsidP="0068293F">
            <w:pPr>
              <w:jc w:val="both"/>
            </w:pPr>
            <w:r w:rsidRPr="00737C0F">
              <w:t xml:space="preserve">3.3. pašvaldību budžets </w:t>
            </w:r>
          </w:p>
        </w:tc>
        <w:tc>
          <w:tcPr>
            <w:tcW w:w="1331" w:type="dxa"/>
            <w:shd w:val="clear" w:color="auto" w:fill="auto"/>
          </w:tcPr>
          <w:p w:rsidR="009F3972" w:rsidRPr="00737C0F" w:rsidRDefault="009F3972" w:rsidP="0068293F">
            <w:pPr>
              <w:pStyle w:val="naisf"/>
              <w:spacing w:before="0" w:after="0"/>
              <w:ind w:firstLine="0"/>
              <w:jc w:val="center"/>
            </w:pPr>
          </w:p>
        </w:tc>
        <w:tc>
          <w:tcPr>
            <w:tcW w:w="1354" w:type="dxa"/>
          </w:tcPr>
          <w:p w:rsidR="009F3972" w:rsidRPr="00737C0F" w:rsidRDefault="009F3972" w:rsidP="0068293F">
            <w:pPr>
              <w:pStyle w:val="naisf"/>
              <w:spacing w:before="0" w:after="0"/>
              <w:ind w:firstLine="0"/>
              <w:jc w:val="center"/>
            </w:pPr>
          </w:p>
        </w:tc>
        <w:tc>
          <w:tcPr>
            <w:tcW w:w="1354" w:type="dxa"/>
          </w:tcPr>
          <w:p w:rsidR="009F3972" w:rsidRPr="00737C0F" w:rsidRDefault="009F3972" w:rsidP="0068293F">
            <w:pPr>
              <w:pStyle w:val="naisf"/>
              <w:spacing w:before="0" w:after="0"/>
              <w:ind w:firstLine="0"/>
              <w:jc w:val="center"/>
            </w:pPr>
          </w:p>
        </w:tc>
        <w:tc>
          <w:tcPr>
            <w:tcW w:w="1355" w:type="dxa"/>
          </w:tcPr>
          <w:p w:rsidR="009F3972" w:rsidRPr="00737C0F" w:rsidRDefault="009F3972" w:rsidP="0068293F">
            <w:pPr>
              <w:pStyle w:val="naisf"/>
              <w:spacing w:before="0" w:after="0"/>
              <w:ind w:firstLine="0"/>
              <w:jc w:val="center"/>
            </w:pPr>
          </w:p>
        </w:tc>
        <w:tc>
          <w:tcPr>
            <w:tcW w:w="1406" w:type="dxa"/>
          </w:tcPr>
          <w:p w:rsidR="009F3972" w:rsidRPr="00737C0F" w:rsidRDefault="009F3972" w:rsidP="0068293F">
            <w:pPr>
              <w:pStyle w:val="naisf"/>
              <w:spacing w:before="0" w:after="0"/>
              <w:ind w:firstLine="0"/>
              <w:jc w:val="center"/>
            </w:pPr>
          </w:p>
        </w:tc>
      </w:tr>
      <w:tr w:rsidR="009F3972" w:rsidRPr="00737C0F" w:rsidTr="0068293F">
        <w:trPr>
          <w:jc w:val="center"/>
        </w:trPr>
        <w:tc>
          <w:tcPr>
            <w:tcW w:w="3324" w:type="dxa"/>
            <w:vMerge w:val="restart"/>
          </w:tcPr>
          <w:p w:rsidR="009F3972" w:rsidRPr="00737C0F" w:rsidRDefault="009F3972" w:rsidP="0068293F">
            <w:pPr>
              <w:jc w:val="both"/>
            </w:pPr>
            <w:r w:rsidRPr="00737C0F">
              <w:t>4. Finanšu līdzekļi papildu izde</w:t>
            </w:r>
            <w:r w:rsidRPr="00737C0F">
              <w:softHyphen/>
              <w:t>vumu finansēšanai (kompensējošu izdevumu samazinājumu norāda ar "+" zīmi)</w:t>
            </w:r>
          </w:p>
        </w:tc>
        <w:tc>
          <w:tcPr>
            <w:tcW w:w="1331" w:type="dxa"/>
            <w:vMerge w:val="restart"/>
          </w:tcPr>
          <w:p w:rsidR="009F3972" w:rsidRPr="00737C0F" w:rsidRDefault="009F3972" w:rsidP="0068293F">
            <w:pPr>
              <w:pStyle w:val="naisf"/>
              <w:spacing w:before="0" w:after="0"/>
              <w:ind w:firstLine="0"/>
              <w:jc w:val="center"/>
            </w:pPr>
            <w:r w:rsidRPr="00737C0F">
              <w:t>X</w:t>
            </w:r>
          </w:p>
        </w:tc>
        <w:tc>
          <w:tcPr>
            <w:tcW w:w="1354" w:type="dxa"/>
          </w:tcPr>
          <w:p w:rsidR="009F3972" w:rsidRPr="00737C0F" w:rsidRDefault="009F3972" w:rsidP="0068293F">
            <w:pPr>
              <w:pStyle w:val="naisf"/>
              <w:spacing w:before="0" w:after="0"/>
              <w:ind w:firstLine="0"/>
              <w:jc w:val="center"/>
            </w:pPr>
            <w:r w:rsidRPr="00737C0F">
              <w:t>0</w:t>
            </w:r>
          </w:p>
        </w:tc>
        <w:tc>
          <w:tcPr>
            <w:tcW w:w="1354" w:type="dxa"/>
          </w:tcPr>
          <w:p w:rsidR="009F3972" w:rsidRPr="00737C0F" w:rsidRDefault="009F3972" w:rsidP="0068293F">
            <w:pPr>
              <w:pStyle w:val="naisf"/>
              <w:spacing w:before="0" w:after="0"/>
              <w:ind w:firstLine="0"/>
              <w:jc w:val="center"/>
            </w:pPr>
            <w:r w:rsidRPr="00737C0F">
              <w:t>0</w:t>
            </w:r>
          </w:p>
        </w:tc>
        <w:tc>
          <w:tcPr>
            <w:tcW w:w="1355" w:type="dxa"/>
          </w:tcPr>
          <w:p w:rsidR="009F3972" w:rsidRPr="00737C0F" w:rsidRDefault="009F3972" w:rsidP="0068293F">
            <w:pPr>
              <w:pStyle w:val="naisf"/>
              <w:spacing w:before="0" w:after="0"/>
              <w:ind w:firstLine="0"/>
              <w:jc w:val="center"/>
            </w:pPr>
            <w:r w:rsidRPr="00737C0F">
              <w:t>0</w:t>
            </w:r>
          </w:p>
        </w:tc>
        <w:tc>
          <w:tcPr>
            <w:tcW w:w="1406" w:type="dxa"/>
          </w:tcPr>
          <w:p w:rsidR="009F3972" w:rsidRPr="00737C0F" w:rsidRDefault="009F3972" w:rsidP="0068293F">
            <w:pPr>
              <w:pStyle w:val="naisf"/>
              <w:spacing w:before="0" w:after="0"/>
              <w:ind w:firstLine="0"/>
              <w:jc w:val="center"/>
            </w:pPr>
            <w:r w:rsidRPr="00737C0F">
              <w:t>0</w:t>
            </w:r>
          </w:p>
        </w:tc>
      </w:tr>
      <w:tr w:rsidR="009F3972" w:rsidRPr="00737C0F" w:rsidTr="0068293F">
        <w:trPr>
          <w:jc w:val="center"/>
        </w:trPr>
        <w:tc>
          <w:tcPr>
            <w:tcW w:w="3324" w:type="dxa"/>
            <w:vMerge/>
          </w:tcPr>
          <w:p w:rsidR="009F3972" w:rsidRPr="00737C0F" w:rsidRDefault="009F3972" w:rsidP="0068293F">
            <w:pPr>
              <w:jc w:val="both"/>
            </w:pPr>
          </w:p>
        </w:tc>
        <w:tc>
          <w:tcPr>
            <w:tcW w:w="1331" w:type="dxa"/>
            <w:vMerge/>
          </w:tcPr>
          <w:p w:rsidR="009F3972" w:rsidRPr="00737C0F" w:rsidRDefault="009F3972" w:rsidP="0068293F">
            <w:pPr>
              <w:pStyle w:val="naisf"/>
              <w:spacing w:before="0" w:after="0"/>
              <w:ind w:firstLine="0"/>
              <w:jc w:val="center"/>
            </w:pPr>
          </w:p>
        </w:tc>
        <w:tc>
          <w:tcPr>
            <w:tcW w:w="1354" w:type="dxa"/>
          </w:tcPr>
          <w:p w:rsidR="009F3972" w:rsidRPr="00737C0F" w:rsidRDefault="009F3972" w:rsidP="0068293F">
            <w:pPr>
              <w:pStyle w:val="naisf"/>
              <w:spacing w:before="0" w:after="0"/>
              <w:ind w:firstLine="0"/>
              <w:jc w:val="center"/>
            </w:pPr>
          </w:p>
        </w:tc>
        <w:tc>
          <w:tcPr>
            <w:tcW w:w="1354" w:type="dxa"/>
          </w:tcPr>
          <w:p w:rsidR="009F3972" w:rsidRPr="00737C0F" w:rsidRDefault="009F3972" w:rsidP="0068293F">
            <w:pPr>
              <w:pStyle w:val="naisf"/>
              <w:spacing w:before="0" w:after="0"/>
              <w:ind w:firstLine="0"/>
              <w:jc w:val="center"/>
            </w:pPr>
          </w:p>
        </w:tc>
        <w:tc>
          <w:tcPr>
            <w:tcW w:w="1355" w:type="dxa"/>
          </w:tcPr>
          <w:p w:rsidR="009F3972" w:rsidRPr="00737C0F" w:rsidRDefault="009F3972" w:rsidP="0068293F">
            <w:pPr>
              <w:pStyle w:val="naisf"/>
              <w:spacing w:before="0" w:after="0"/>
              <w:ind w:firstLine="0"/>
              <w:jc w:val="center"/>
            </w:pPr>
          </w:p>
        </w:tc>
        <w:tc>
          <w:tcPr>
            <w:tcW w:w="1406" w:type="dxa"/>
          </w:tcPr>
          <w:p w:rsidR="009F3972" w:rsidRPr="00737C0F" w:rsidRDefault="009F3972" w:rsidP="0068293F">
            <w:pPr>
              <w:pStyle w:val="naisf"/>
              <w:spacing w:before="0" w:after="0"/>
              <w:ind w:firstLine="0"/>
              <w:jc w:val="center"/>
            </w:pPr>
          </w:p>
        </w:tc>
      </w:tr>
      <w:tr w:rsidR="009F3972" w:rsidRPr="00737C0F" w:rsidTr="0068293F">
        <w:trPr>
          <w:jc w:val="center"/>
        </w:trPr>
        <w:tc>
          <w:tcPr>
            <w:tcW w:w="3324" w:type="dxa"/>
            <w:vMerge/>
          </w:tcPr>
          <w:p w:rsidR="009F3972" w:rsidRPr="00737C0F" w:rsidRDefault="009F3972" w:rsidP="0068293F">
            <w:pPr>
              <w:jc w:val="both"/>
            </w:pPr>
          </w:p>
        </w:tc>
        <w:tc>
          <w:tcPr>
            <w:tcW w:w="1331" w:type="dxa"/>
            <w:vMerge/>
          </w:tcPr>
          <w:p w:rsidR="009F3972" w:rsidRPr="00737C0F" w:rsidRDefault="009F3972" w:rsidP="0068293F">
            <w:pPr>
              <w:pStyle w:val="naisf"/>
              <w:spacing w:before="0" w:after="0"/>
              <w:ind w:firstLine="0"/>
              <w:jc w:val="center"/>
            </w:pPr>
          </w:p>
        </w:tc>
        <w:tc>
          <w:tcPr>
            <w:tcW w:w="1354" w:type="dxa"/>
          </w:tcPr>
          <w:p w:rsidR="009F3972" w:rsidRPr="00737C0F" w:rsidRDefault="009F3972" w:rsidP="0068293F">
            <w:pPr>
              <w:pStyle w:val="naisf"/>
              <w:spacing w:before="0" w:after="0"/>
              <w:ind w:firstLine="0"/>
              <w:jc w:val="center"/>
            </w:pPr>
          </w:p>
        </w:tc>
        <w:tc>
          <w:tcPr>
            <w:tcW w:w="1354" w:type="dxa"/>
          </w:tcPr>
          <w:p w:rsidR="009F3972" w:rsidRPr="00737C0F" w:rsidRDefault="009F3972" w:rsidP="0068293F">
            <w:pPr>
              <w:pStyle w:val="naisf"/>
              <w:spacing w:before="0" w:after="0"/>
              <w:ind w:firstLine="0"/>
              <w:jc w:val="center"/>
            </w:pPr>
          </w:p>
        </w:tc>
        <w:tc>
          <w:tcPr>
            <w:tcW w:w="1355" w:type="dxa"/>
          </w:tcPr>
          <w:p w:rsidR="009F3972" w:rsidRPr="00737C0F" w:rsidRDefault="009F3972" w:rsidP="0068293F">
            <w:pPr>
              <w:pStyle w:val="naisf"/>
              <w:spacing w:before="0" w:after="0"/>
              <w:ind w:firstLine="0"/>
              <w:jc w:val="center"/>
            </w:pPr>
          </w:p>
        </w:tc>
        <w:tc>
          <w:tcPr>
            <w:tcW w:w="1406" w:type="dxa"/>
          </w:tcPr>
          <w:p w:rsidR="009F3972" w:rsidRPr="00737C0F" w:rsidRDefault="009F3972" w:rsidP="0068293F">
            <w:pPr>
              <w:pStyle w:val="naisf"/>
              <w:spacing w:before="0" w:after="0"/>
              <w:ind w:firstLine="0"/>
              <w:jc w:val="center"/>
            </w:pPr>
          </w:p>
        </w:tc>
      </w:tr>
      <w:tr w:rsidR="009F3972" w:rsidRPr="00737C0F" w:rsidTr="0068293F">
        <w:trPr>
          <w:jc w:val="center"/>
        </w:trPr>
        <w:tc>
          <w:tcPr>
            <w:tcW w:w="3324" w:type="dxa"/>
          </w:tcPr>
          <w:p w:rsidR="009F3972" w:rsidRPr="00737C0F" w:rsidRDefault="009F3972" w:rsidP="0068293F">
            <w:pPr>
              <w:jc w:val="both"/>
            </w:pPr>
            <w:r w:rsidRPr="00737C0F">
              <w:t>5. Precizēta finansiālā ietekme:</w:t>
            </w:r>
          </w:p>
        </w:tc>
        <w:tc>
          <w:tcPr>
            <w:tcW w:w="1331" w:type="dxa"/>
            <w:vMerge w:val="restart"/>
          </w:tcPr>
          <w:p w:rsidR="009F3972" w:rsidRPr="00737C0F" w:rsidRDefault="009F3972" w:rsidP="0068293F">
            <w:pPr>
              <w:pStyle w:val="naisf"/>
              <w:spacing w:before="0" w:after="0"/>
              <w:ind w:firstLine="0"/>
              <w:jc w:val="center"/>
            </w:pPr>
            <w:r w:rsidRPr="00737C0F">
              <w:t>X</w:t>
            </w:r>
          </w:p>
        </w:tc>
        <w:tc>
          <w:tcPr>
            <w:tcW w:w="1354" w:type="dxa"/>
          </w:tcPr>
          <w:p w:rsidR="009F3972" w:rsidRPr="00737C0F" w:rsidRDefault="009F3972" w:rsidP="0068293F">
            <w:pPr>
              <w:pStyle w:val="naisf"/>
              <w:spacing w:before="0" w:after="0"/>
              <w:ind w:firstLine="0"/>
              <w:jc w:val="center"/>
            </w:pPr>
            <w:r w:rsidRPr="00737C0F">
              <w:t>0</w:t>
            </w:r>
          </w:p>
        </w:tc>
        <w:tc>
          <w:tcPr>
            <w:tcW w:w="1354" w:type="dxa"/>
          </w:tcPr>
          <w:p w:rsidR="009F3972" w:rsidRPr="00737C0F" w:rsidRDefault="00D91C7E" w:rsidP="0068293F">
            <w:pPr>
              <w:pStyle w:val="naisf"/>
              <w:spacing w:before="0" w:after="0"/>
              <w:ind w:firstLine="0"/>
              <w:jc w:val="center"/>
            </w:pPr>
            <w:r w:rsidRPr="00737C0F">
              <w:t>-59.8</w:t>
            </w:r>
          </w:p>
        </w:tc>
        <w:tc>
          <w:tcPr>
            <w:tcW w:w="1355" w:type="dxa"/>
          </w:tcPr>
          <w:p w:rsidR="009F3972" w:rsidRPr="00737C0F" w:rsidRDefault="009F3972" w:rsidP="0068293F">
            <w:pPr>
              <w:pStyle w:val="naisf"/>
              <w:spacing w:before="0" w:after="0"/>
              <w:ind w:firstLine="0"/>
              <w:jc w:val="center"/>
            </w:pPr>
            <w:r w:rsidRPr="00737C0F">
              <w:t>-</w:t>
            </w:r>
            <w:r w:rsidR="00121D84" w:rsidRPr="00737C0F">
              <w:t>59.8</w:t>
            </w:r>
          </w:p>
        </w:tc>
        <w:tc>
          <w:tcPr>
            <w:tcW w:w="1406" w:type="dxa"/>
          </w:tcPr>
          <w:p w:rsidR="009F3972" w:rsidRPr="00737C0F" w:rsidRDefault="009F3972" w:rsidP="0068293F">
            <w:pPr>
              <w:pStyle w:val="naisf"/>
              <w:spacing w:before="0" w:after="0"/>
              <w:ind w:firstLine="0"/>
              <w:jc w:val="center"/>
            </w:pPr>
            <w:r w:rsidRPr="00737C0F">
              <w:t>-</w:t>
            </w:r>
            <w:r w:rsidR="00121D84" w:rsidRPr="00737C0F">
              <w:t>59.8</w:t>
            </w:r>
          </w:p>
        </w:tc>
      </w:tr>
      <w:tr w:rsidR="009F3972" w:rsidRPr="00737C0F" w:rsidTr="0068293F">
        <w:trPr>
          <w:jc w:val="center"/>
        </w:trPr>
        <w:tc>
          <w:tcPr>
            <w:tcW w:w="3324" w:type="dxa"/>
          </w:tcPr>
          <w:p w:rsidR="009F3972" w:rsidRPr="00737C0F" w:rsidRDefault="009F3972" w:rsidP="0068293F">
            <w:pPr>
              <w:jc w:val="both"/>
            </w:pPr>
            <w:r w:rsidRPr="00737C0F">
              <w:t>5.1. valsts pamatbudžets</w:t>
            </w:r>
          </w:p>
        </w:tc>
        <w:tc>
          <w:tcPr>
            <w:tcW w:w="1331" w:type="dxa"/>
            <w:vMerge/>
            <w:vAlign w:val="center"/>
          </w:tcPr>
          <w:p w:rsidR="009F3972" w:rsidRPr="00737C0F" w:rsidRDefault="009F3972" w:rsidP="0068293F">
            <w:pPr>
              <w:pStyle w:val="naisf"/>
              <w:spacing w:before="0" w:after="0"/>
              <w:ind w:firstLine="0"/>
              <w:jc w:val="center"/>
            </w:pPr>
          </w:p>
        </w:tc>
        <w:tc>
          <w:tcPr>
            <w:tcW w:w="1354" w:type="dxa"/>
          </w:tcPr>
          <w:p w:rsidR="009F3972" w:rsidRPr="00737C0F" w:rsidRDefault="009F3972" w:rsidP="0068293F">
            <w:pPr>
              <w:pStyle w:val="naisf"/>
              <w:spacing w:before="0" w:after="0"/>
              <w:ind w:firstLine="0"/>
              <w:jc w:val="center"/>
            </w:pPr>
            <w:r w:rsidRPr="00737C0F">
              <w:t>0</w:t>
            </w:r>
          </w:p>
        </w:tc>
        <w:tc>
          <w:tcPr>
            <w:tcW w:w="1354" w:type="dxa"/>
          </w:tcPr>
          <w:p w:rsidR="009F3972" w:rsidRPr="00737C0F" w:rsidRDefault="00D91C7E" w:rsidP="0068293F">
            <w:pPr>
              <w:pStyle w:val="naisf"/>
              <w:spacing w:before="0" w:after="0"/>
              <w:ind w:firstLine="0"/>
              <w:jc w:val="center"/>
            </w:pPr>
            <w:r w:rsidRPr="00737C0F">
              <w:t>-59.8</w:t>
            </w:r>
          </w:p>
        </w:tc>
        <w:tc>
          <w:tcPr>
            <w:tcW w:w="1355" w:type="dxa"/>
          </w:tcPr>
          <w:p w:rsidR="009F3972" w:rsidRPr="00737C0F" w:rsidRDefault="009F3972" w:rsidP="0068293F">
            <w:pPr>
              <w:pStyle w:val="naisf"/>
              <w:spacing w:before="0" w:after="0"/>
              <w:ind w:firstLine="0"/>
              <w:jc w:val="center"/>
            </w:pPr>
            <w:r w:rsidRPr="00737C0F">
              <w:t>-</w:t>
            </w:r>
            <w:r w:rsidR="00121D84" w:rsidRPr="00737C0F">
              <w:t>59.8</w:t>
            </w:r>
          </w:p>
        </w:tc>
        <w:tc>
          <w:tcPr>
            <w:tcW w:w="1406" w:type="dxa"/>
          </w:tcPr>
          <w:p w:rsidR="009F3972" w:rsidRPr="00737C0F" w:rsidRDefault="009F3972" w:rsidP="0068293F">
            <w:pPr>
              <w:pStyle w:val="naisf"/>
              <w:spacing w:before="0" w:after="0"/>
              <w:ind w:firstLine="0"/>
              <w:jc w:val="center"/>
            </w:pPr>
            <w:r w:rsidRPr="00737C0F">
              <w:t>-</w:t>
            </w:r>
            <w:r w:rsidR="00121D84" w:rsidRPr="00737C0F">
              <w:t>59.8</w:t>
            </w:r>
          </w:p>
        </w:tc>
      </w:tr>
      <w:tr w:rsidR="009F3972" w:rsidRPr="00737C0F" w:rsidTr="0068293F">
        <w:trPr>
          <w:jc w:val="center"/>
        </w:trPr>
        <w:tc>
          <w:tcPr>
            <w:tcW w:w="3324" w:type="dxa"/>
          </w:tcPr>
          <w:p w:rsidR="009F3972" w:rsidRPr="00737C0F" w:rsidRDefault="009F3972" w:rsidP="0068293F">
            <w:pPr>
              <w:jc w:val="both"/>
            </w:pPr>
            <w:r w:rsidRPr="00737C0F">
              <w:t>5.2. speciālais budžets</w:t>
            </w:r>
          </w:p>
        </w:tc>
        <w:tc>
          <w:tcPr>
            <w:tcW w:w="1331" w:type="dxa"/>
            <w:vMerge/>
            <w:vAlign w:val="center"/>
          </w:tcPr>
          <w:p w:rsidR="009F3972" w:rsidRPr="00737C0F" w:rsidRDefault="009F3972" w:rsidP="0068293F">
            <w:pPr>
              <w:pStyle w:val="naisf"/>
              <w:spacing w:before="0" w:after="0"/>
              <w:ind w:firstLine="0"/>
              <w:jc w:val="center"/>
            </w:pPr>
          </w:p>
        </w:tc>
        <w:tc>
          <w:tcPr>
            <w:tcW w:w="1354" w:type="dxa"/>
          </w:tcPr>
          <w:p w:rsidR="009F3972" w:rsidRPr="00737C0F" w:rsidRDefault="009F3972" w:rsidP="0068293F">
            <w:pPr>
              <w:pStyle w:val="naisf"/>
              <w:spacing w:before="0" w:after="0"/>
              <w:ind w:firstLine="0"/>
              <w:jc w:val="center"/>
            </w:pPr>
          </w:p>
        </w:tc>
        <w:tc>
          <w:tcPr>
            <w:tcW w:w="1354" w:type="dxa"/>
          </w:tcPr>
          <w:p w:rsidR="009F3972" w:rsidRPr="00737C0F" w:rsidRDefault="009F3972" w:rsidP="0068293F">
            <w:pPr>
              <w:pStyle w:val="naisf"/>
              <w:spacing w:before="0" w:after="0"/>
              <w:ind w:firstLine="0"/>
              <w:jc w:val="center"/>
            </w:pPr>
          </w:p>
        </w:tc>
        <w:tc>
          <w:tcPr>
            <w:tcW w:w="1355" w:type="dxa"/>
          </w:tcPr>
          <w:p w:rsidR="009F3972" w:rsidRPr="00737C0F" w:rsidRDefault="009F3972" w:rsidP="0068293F">
            <w:pPr>
              <w:pStyle w:val="naisf"/>
              <w:spacing w:before="0" w:after="0"/>
              <w:ind w:firstLine="0"/>
              <w:jc w:val="center"/>
            </w:pPr>
          </w:p>
        </w:tc>
        <w:tc>
          <w:tcPr>
            <w:tcW w:w="1406" w:type="dxa"/>
          </w:tcPr>
          <w:p w:rsidR="009F3972" w:rsidRPr="00737C0F" w:rsidRDefault="009F3972" w:rsidP="0068293F">
            <w:pPr>
              <w:pStyle w:val="naisf"/>
              <w:spacing w:before="0" w:after="0"/>
              <w:ind w:firstLine="0"/>
              <w:jc w:val="center"/>
            </w:pPr>
          </w:p>
        </w:tc>
      </w:tr>
      <w:tr w:rsidR="009F3972" w:rsidRPr="00737C0F" w:rsidTr="0068293F">
        <w:trPr>
          <w:jc w:val="center"/>
        </w:trPr>
        <w:tc>
          <w:tcPr>
            <w:tcW w:w="3324" w:type="dxa"/>
          </w:tcPr>
          <w:p w:rsidR="009F3972" w:rsidRPr="00737C0F" w:rsidRDefault="009F3972" w:rsidP="0068293F">
            <w:pPr>
              <w:jc w:val="both"/>
            </w:pPr>
            <w:r w:rsidRPr="00737C0F">
              <w:t xml:space="preserve">5.3. pašvaldību budžets </w:t>
            </w:r>
          </w:p>
        </w:tc>
        <w:tc>
          <w:tcPr>
            <w:tcW w:w="1331" w:type="dxa"/>
            <w:vMerge/>
            <w:vAlign w:val="center"/>
          </w:tcPr>
          <w:p w:rsidR="009F3972" w:rsidRPr="00737C0F" w:rsidRDefault="009F3972" w:rsidP="0068293F">
            <w:pPr>
              <w:pStyle w:val="naisf"/>
              <w:spacing w:before="0" w:after="0"/>
              <w:ind w:firstLine="0"/>
              <w:jc w:val="center"/>
            </w:pPr>
          </w:p>
        </w:tc>
        <w:tc>
          <w:tcPr>
            <w:tcW w:w="1354" w:type="dxa"/>
          </w:tcPr>
          <w:p w:rsidR="009F3972" w:rsidRPr="00737C0F" w:rsidRDefault="009F3972" w:rsidP="0068293F">
            <w:pPr>
              <w:pStyle w:val="naisf"/>
              <w:spacing w:before="0" w:after="0"/>
              <w:ind w:firstLine="0"/>
              <w:jc w:val="center"/>
            </w:pPr>
          </w:p>
        </w:tc>
        <w:tc>
          <w:tcPr>
            <w:tcW w:w="1354" w:type="dxa"/>
          </w:tcPr>
          <w:p w:rsidR="009F3972" w:rsidRPr="00737C0F" w:rsidRDefault="009F3972" w:rsidP="0068293F">
            <w:pPr>
              <w:pStyle w:val="naisf"/>
              <w:spacing w:before="0" w:after="0"/>
              <w:ind w:firstLine="0"/>
              <w:jc w:val="center"/>
            </w:pPr>
          </w:p>
        </w:tc>
        <w:tc>
          <w:tcPr>
            <w:tcW w:w="1355" w:type="dxa"/>
          </w:tcPr>
          <w:p w:rsidR="009F3972" w:rsidRPr="00737C0F" w:rsidRDefault="009F3972" w:rsidP="0068293F">
            <w:pPr>
              <w:pStyle w:val="naisf"/>
              <w:spacing w:before="0" w:after="0"/>
              <w:ind w:firstLine="0"/>
              <w:jc w:val="center"/>
            </w:pPr>
          </w:p>
        </w:tc>
        <w:tc>
          <w:tcPr>
            <w:tcW w:w="1406" w:type="dxa"/>
          </w:tcPr>
          <w:p w:rsidR="009F3972" w:rsidRPr="00737C0F" w:rsidRDefault="009F3972" w:rsidP="0068293F">
            <w:pPr>
              <w:pStyle w:val="naisf"/>
              <w:spacing w:before="0" w:after="0"/>
              <w:ind w:firstLine="0"/>
              <w:jc w:val="center"/>
            </w:pPr>
          </w:p>
        </w:tc>
      </w:tr>
      <w:tr w:rsidR="009F3972" w:rsidRPr="00737C0F" w:rsidTr="0068293F">
        <w:trPr>
          <w:jc w:val="center"/>
        </w:trPr>
        <w:tc>
          <w:tcPr>
            <w:tcW w:w="3324" w:type="dxa"/>
          </w:tcPr>
          <w:p w:rsidR="009F3972" w:rsidRPr="00737C0F" w:rsidRDefault="009F3972" w:rsidP="0068293F">
            <w:pPr>
              <w:jc w:val="both"/>
            </w:pPr>
            <w:r w:rsidRPr="00737C0F">
              <w:t xml:space="preserve">6. Detalizēts ieņēmumu un </w:t>
            </w:r>
            <w:r w:rsidRPr="00737C0F">
              <w:lastRenderedPageBreak/>
              <w:t>izdevu</w:t>
            </w:r>
            <w:r w:rsidRPr="00737C0F">
              <w:softHyphen/>
              <w:t>mu aprēķins (ja nepieciešams, detalizētu ieņēmumu un izdevumu aprēķinu var pievienot anotācijas pielikumā):</w:t>
            </w:r>
          </w:p>
        </w:tc>
        <w:tc>
          <w:tcPr>
            <w:tcW w:w="6800" w:type="dxa"/>
            <w:gridSpan w:val="5"/>
            <w:vMerge w:val="restart"/>
            <w:vAlign w:val="center"/>
          </w:tcPr>
          <w:p w:rsidR="009F3972" w:rsidRPr="00737C0F" w:rsidRDefault="008C1BC3" w:rsidP="0068293F">
            <w:pPr>
              <w:pStyle w:val="naisf"/>
              <w:spacing w:before="0" w:after="0"/>
              <w:ind w:firstLine="0"/>
              <w:rPr>
                <w:lang w:eastAsia="en-US"/>
              </w:rPr>
            </w:pPr>
            <w:r w:rsidRPr="00737C0F">
              <w:lastRenderedPageBreak/>
              <w:t xml:space="preserve">       </w:t>
            </w:r>
            <w:r w:rsidR="009F3972" w:rsidRPr="00737C0F">
              <w:t xml:space="preserve">Aprēķini gatavoti, ņemot vērā </w:t>
            </w:r>
            <w:r w:rsidRPr="00737C0F">
              <w:rPr>
                <w:lang w:eastAsia="en-US"/>
              </w:rPr>
              <w:t xml:space="preserve">Eiropas Parlamenta un Padomes </w:t>
            </w:r>
            <w:r w:rsidRPr="00737C0F">
              <w:rPr>
                <w:lang w:eastAsia="en-US"/>
              </w:rPr>
              <w:lastRenderedPageBreak/>
              <w:t>2011.gada 13.decembra direktīvas 2011/93/ES par seksuālas vardarbības pret bērniem, bērnu seksuālas izmantošanas un bērnu pornogrāfijas apkarošanu, un ar kuru aizstāj Padomes Pamatlēmumu 2004/68/TI,</w:t>
            </w:r>
            <w:r w:rsidR="009F3972" w:rsidRPr="00737C0F">
              <w:t xml:space="preserve"> prasību noteiktām speciālistu grupām, kurām ir saskarsme ar bērnu kriminālprocesā – tiesnešiem, prokuroriem, policijas darbiniekiem, advokātiem un ieslodzījuma vietu darb</w:t>
            </w:r>
            <w:r w:rsidRPr="00737C0F">
              <w:t>iniekiem - nodrošināt apmācības, kā arī ņemot vērā</w:t>
            </w:r>
            <w:proofErr w:type="gramStart"/>
            <w:r w:rsidRPr="00737C0F">
              <w:t xml:space="preserve"> </w:t>
            </w:r>
            <w:r w:rsidRPr="00737C0F">
              <w:rPr>
                <w:lang w:eastAsia="en-US"/>
              </w:rPr>
              <w:t xml:space="preserve"> </w:t>
            </w:r>
            <w:proofErr w:type="gramEnd"/>
            <w:r w:rsidRPr="00737C0F">
              <w:rPr>
                <w:lang w:eastAsia="en-US"/>
              </w:rPr>
              <w:t xml:space="preserve">Saeimā 2014.gada </w:t>
            </w:r>
            <w:r w:rsidR="00D46173" w:rsidRPr="00737C0F">
              <w:rPr>
                <w:lang w:eastAsia="en-US"/>
              </w:rPr>
              <w:t>6.martā</w:t>
            </w:r>
            <w:r w:rsidRPr="00737C0F">
              <w:rPr>
                <w:lang w:eastAsia="en-US"/>
              </w:rPr>
              <w:t xml:space="preserve"> atbalstīto likumprojektu</w:t>
            </w:r>
            <w:r w:rsidR="00D46173" w:rsidRPr="00737C0F">
              <w:rPr>
                <w:lang w:eastAsia="en-US"/>
              </w:rPr>
              <w:t xml:space="preserve"> „Grozījumi Bērnu tiesību aizsardzības likumā”</w:t>
            </w:r>
            <w:r w:rsidRPr="00737C0F">
              <w:rPr>
                <w:lang w:eastAsia="en-US"/>
              </w:rPr>
              <w:t xml:space="preserve"> direktīvas ieviešanai.</w:t>
            </w:r>
          </w:p>
          <w:p w:rsidR="00B778C0" w:rsidRPr="00737C0F" w:rsidRDefault="00AA0D0D" w:rsidP="0068293F">
            <w:pPr>
              <w:pStyle w:val="naisf"/>
              <w:spacing w:before="0" w:after="0"/>
              <w:ind w:firstLine="0"/>
            </w:pPr>
            <w:r w:rsidRPr="00737C0F">
              <w:t xml:space="preserve">     </w:t>
            </w:r>
            <w:r w:rsidR="008C1BC3" w:rsidRPr="00737C0F">
              <w:t xml:space="preserve"> </w:t>
            </w:r>
            <w:r w:rsidR="00B778C0" w:rsidRPr="00737C0F">
              <w:rPr>
                <w:u w:val="single"/>
              </w:rPr>
              <w:t>2014.gadā</w:t>
            </w:r>
            <w:r w:rsidR="00B778C0" w:rsidRPr="00737C0F">
              <w:t xml:space="preserve"> </w:t>
            </w:r>
            <w:r w:rsidR="00BA5A24" w:rsidRPr="00737C0F">
              <w:t>apmācības nodrošināmas Iek</w:t>
            </w:r>
            <w:r w:rsidR="00ED621F" w:rsidRPr="00737C0F">
              <w:t>šlietu ministrijas</w:t>
            </w:r>
            <w:r w:rsidR="00BA5A24" w:rsidRPr="00737C0F">
              <w:t xml:space="preserve">, </w:t>
            </w:r>
            <w:r w:rsidR="00D0782E" w:rsidRPr="00737C0F">
              <w:t xml:space="preserve">Latvijas Republikas Prokuratūras </w:t>
            </w:r>
            <w:r w:rsidR="00BA5A24" w:rsidRPr="00737C0F">
              <w:t>un Tieslietu ministrija</w:t>
            </w:r>
            <w:r w:rsidR="00ED621F" w:rsidRPr="00737C0F">
              <w:t>s</w:t>
            </w:r>
            <w:r w:rsidR="00BA5A24" w:rsidRPr="00737C0F">
              <w:t xml:space="preserve"> esošo līdzekļu ietvaros.</w:t>
            </w:r>
            <w:r w:rsidR="0018235E" w:rsidRPr="00737C0F">
              <w:t xml:space="preserve"> </w:t>
            </w:r>
          </w:p>
          <w:p w:rsidR="009F3972" w:rsidRPr="00737C0F" w:rsidRDefault="00F73003" w:rsidP="0068293F">
            <w:pPr>
              <w:pStyle w:val="naisf"/>
              <w:spacing w:before="0" w:after="0"/>
              <w:ind w:firstLine="0"/>
            </w:pPr>
            <w:r w:rsidRPr="00737C0F">
              <w:t xml:space="preserve">     </w:t>
            </w:r>
            <w:r w:rsidR="00ED621F" w:rsidRPr="00737C0F">
              <w:rPr>
                <w:u w:val="single"/>
              </w:rPr>
              <w:t>2015.gadā</w:t>
            </w:r>
            <w:r w:rsidR="00FE2406" w:rsidRPr="00737C0F">
              <w:rPr>
                <w:u w:val="single"/>
              </w:rPr>
              <w:t xml:space="preserve"> līdz 2017.gadam</w:t>
            </w:r>
            <w:r w:rsidR="00ED621F" w:rsidRPr="00737C0F">
              <w:t xml:space="preserve"> p</w:t>
            </w:r>
            <w:r w:rsidR="009F3972" w:rsidRPr="00737C0F">
              <w:t>rojektā minēto normu nodrošināšanai Labklājības ministrijai Valsts bērnu tiesību aizsardzības inspekcijai (apakšprogramma 22.01.00 „Valsts bērnu tiesību aizsardzības inspekcija un bērnu uzticības tālrunis”) nepieciešams finansējums 1818 speciālistu pamatapmācību organizēšanai (3 gadu laikā, ik gadu 606 speciālistu):</w:t>
            </w:r>
          </w:p>
          <w:p w:rsidR="009F3972" w:rsidRPr="00737C0F" w:rsidRDefault="009F3972" w:rsidP="0068293F">
            <w:pPr>
              <w:jc w:val="both"/>
            </w:pPr>
            <w:r w:rsidRPr="00737C0F">
              <w:t>-730 kriminālpolicijas izmeklētāji,</w:t>
            </w:r>
          </w:p>
          <w:p w:rsidR="009F3972" w:rsidRPr="00737C0F" w:rsidRDefault="009F3972" w:rsidP="0068293F">
            <w:pPr>
              <w:jc w:val="both"/>
            </w:pPr>
            <w:r w:rsidRPr="00737C0F">
              <w:t>-131 nepilngadīgo lietu inspektori,</w:t>
            </w:r>
          </w:p>
          <w:p w:rsidR="009F3972" w:rsidRPr="00737C0F" w:rsidRDefault="009F3972" w:rsidP="0068293F">
            <w:pPr>
              <w:jc w:val="both"/>
            </w:pPr>
            <w:r w:rsidRPr="00737C0F">
              <w:t>-359 prokurori (100% rajonu un pilsētu prokuratūras un tiesu apgabalu prokuratūras prokurori, 10 prokurori no specializētajām prokuratūrām, 10- no Ģenerālprokuratūras)</w:t>
            </w:r>
          </w:p>
          <w:p w:rsidR="009F3972" w:rsidRPr="00737C0F" w:rsidRDefault="009F3972" w:rsidP="0068293F">
            <w:pPr>
              <w:jc w:val="both"/>
            </w:pPr>
            <w:r w:rsidRPr="00737C0F">
              <w:t>-335 tiesneši (100% pirmās instances tiesas tiesneši, 50</w:t>
            </w:r>
            <w:r w:rsidR="00F04FF7" w:rsidRPr="00737C0F">
              <w:t>% apgabaltiesas</w:t>
            </w:r>
            <w:r w:rsidRPr="00737C0F">
              <w:t xml:space="preserve"> tiesneši)</w:t>
            </w:r>
          </w:p>
          <w:p w:rsidR="009F3972" w:rsidRPr="00737C0F" w:rsidRDefault="009F3972" w:rsidP="0068293F">
            <w:pPr>
              <w:pStyle w:val="naisf"/>
              <w:spacing w:before="0" w:after="0"/>
              <w:ind w:firstLine="0"/>
            </w:pPr>
            <w:r w:rsidRPr="00737C0F">
              <w:t>-126 advokāti (10% no visiem advokātiem);</w:t>
            </w:r>
          </w:p>
          <w:p w:rsidR="009F3972" w:rsidRPr="00737C0F" w:rsidRDefault="009F3972" w:rsidP="0068293F">
            <w:pPr>
              <w:pStyle w:val="naisf"/>
              <w:spacing w:before="0" w:after="0"/>
              <w:ind w:firstLine="0"/>
            </w:pPr>
            <w:r w:rsidRPr="00737C0F">
              <w:t>-137 ieslodzījuma vietu darbinieki, kuri strādā ar nepilngadīgajiem (10 Ieslodzījuma vietu pārvaldes amatpersonas (t.sk. Cēsu audzināšanas iestādes nepilngadīgajiem un Iļģuciema cietuma Administratīvo komisiju priekšsēdētāja), 22 Iļģuciema cietuma darbinieki un amatpersonas, kā arī 105 Cēsu Audzināšanas iestādes nepilngadīgajiem darbinieki un amatpersonas)</w:t>
            </w:r>
            <w:r w:rsidR="00183595" w:rsidRPr="00737C0F">
              <w:t>.</w:t>
            </w:r>
          </w:p>
          <w:p w:rsidR="009F3972" w:rsidRPr="00737C0F" w:rsidRDefault="009F3972" w:rsidP="0068293F">
            <w:pPr>
              <w:pStyle w:val="naisf"/>
              <w:spacing w:before="0" w:after="0"/>
              <w:ind w:firstLine="0"/>
            </w:pPr>
            <w:r w:rsidRPr="00737C0F">
              <w:t>Gada laikā tiks organizētas apmācības 30 grupām, tai skaitā 24 grupās tiks apmācīti 20 speciālisti katrā un 6 grupās 21 speciālists katrā. Apmācības ilgums: 40 stundas.</w:t>
            </w:r>
          </w:p>
          <w:p w:rsidR="009F3972" w:rsidRPr="00737C0F" w:rsidRDefault="009F3972" w:rsidP="0068293F">
            <w:pPr>
              <w:pStyle w:val="naisf"/>
              <w:spacing w:before="0" w:after="0"/>
              <w:ind w:firstLine="0"/>
            </w:pPr>
          </w:p>
          <w:p w:rsidR="009F3972" w:rsidRPr="00737C0F" w:rsidRDefault="009F3972" w:rsidP="00C04F01">
            <w:pPr>
              <w:pStyle w:val="naisf"/>
              <w:spacing w:before="0" w:after="0"/>
              <w:ind w:firstLine="0"/>
              <w:rPr>
                <w:b/>
              </w:rPr>
            </w:pPr>
            <w:r w:rsidRPr="00737C0F">
              <w:rPr>
                <w:b/>
              </w:rPr>
              <w:t>*</w:t>
            </w:r>
            <w:r w:rsidR="00E21A8A" w:rsidRPr="00737C0F">
              <w:rPr>
                <w:b/>
              </w:rPr>
              <w:t>2015.gadā līdz 2017</w:t>
            </w:r>
            <w:r w:rsidRPr="00737C0F">
              <w:rPr>
                <w:b/>
              </w:rPr>
              <w:t xml:space="preserve">.gadam ik gadu nepieciešami </w:t>
            </w:r>
            <w:r w:rsidR="00842922" w:rsidRPr="00737C0F">
              <w:rPr>
                <w:b/>
              </w:rPr>
              <w:t>59 841.08</w:t>
            </w:r>
            <w:r w:rsidR="0018235E" w:rsidRPr="00737C0F">
              <w:rPr>
                <w:b/>
              </w:rPr>
              <w:t xml:space="preserve"> </w:t>
            </w:r>
            <w:proofErr w:type="spellStart"/>
            <w:r w:rsidR="0018235E" w:rsidRPr="00737C0F">
              <w:rPr>
                <w:b/>
              </w:rPr>
              <w:t>euro</w:t>
            </w:r>
            <w:proofErr w:type="spellEnd"/>
            <w:r w:rsidRPr="00737C0F">
              <w:rPr>
                <w:b/>
              </w:rPr>
              <w:t xml:space="preserve">. </w:t>
            </w:r>
            <w:r w:rsidRPr="00737C0F">
              <w:t xml:space="preserve">Izdevumi </w:t>
            </w:r>
            <w:r w:rsidR="009C192E" w:rsidRPr="00737C0F">
              <w:t>59 </w:t>
            </w:r>
            <w:r w:rsidR="001C20A9" w:rsidRPr="00737C0F">
              <w:t>841</w:t>
            </w:r>
            <w:r w:rsidR="007061A2" w:rsidRPr="00737C0F">
              <w:t>.0</w:t>
            </w:r>
            <w:r w:rsidR="001C20A9" w:rsidRPr="00737C0F">
              <w:t>8</w:t>
            </w:r>
            <w:r w:rsidR="009C192E" w:rsidRPr="00737C0F">
              <w:t xml:space="preserve"> </w:t>
            </w:r>
            <w:proofErr w:type="spellStart"/>
            <w:r w:rsidR="009C192E" w:rsidRPr="00737C0F">
              <w:t>euro</w:t>
            </w:r>
            <w:proofErr w:type="spellEnd"/>
            <w:r w:rsidRPr="00737C0F">
              <w:t xml:space="preserve"> plānoti EKK2000 „Preces un pakalpojumi”, t.sk. </w:t>
            </w:r>
            <w:r w:rsidR="009C192E" w:rsidRPr="00737C0F">
              <w:t>59</w:t>
            </w:r>
            <w:r w:rsidR="001C20A9" w:rsidRPr="00737C0F">
              <w:t> </w:t>
            </w:r>
            <w:r w:rsidR="009C192E" w:rsidRPr="00737C0F">
              <w:t>8</w:t>
            </w:r>
            <w:r w:rsidR="001C20A9" w:rsidRPr="00737C0F">
              <w:t>41.08</w:t>
            </w:r>
            <w:r w:rsidR="009C192E" w:rsidRPr="00737C0F">
              <w:t xml:space="preserve"> </w:t>
            </w:r>
            <w:proofErr w:type="spellStart"/>
            <w:r w:rsidR="009C192E" w:rsidRPr="00737C0F">
              <w:t>euro</w:t>
            </w:r>
            <w:proofErr w:type="spellEnd"/>
            <w:r w:rsidR="009C192E" w:rsidRPr="00737C0F">
              <w:t xml:space="preserve"> </w:t>
            </w:r>
            <w:r w:rsidRPr="00737C0F">
              <w:t>EKK2800 „Pakalpojumi, kurus budžeta iestādes apmaksā noteikto funkciju ietvaros, kas nav iestādes administratīvie izdevumi”, t.sk.</w:t>
            </w:r>
            <w:r w:rsidRPr="00737C0F">
              <w:rPr>
                <w:b/>
              </w:rPr>
              <w:t>:</w:t>
            </w:r>
          </w:p>
          <w:p w:rsidR="009F3972" w:rsidRPr="00737C0F" w:rsidRDefault="009F3972" w:rsidP="00C04F01">
            <w:pPr>
              <w:jc w:val="both"/>
            </w:pPr>
            <w:r w:rsidRPr="00737C0F">
              <w:t>-lektoru atalgojums, kas ietver arī autoratlīdzību par mācību materiālu sagatavošanu</w:t>
            </w:r>
            <w:r w:rsidR="00307FC8" w:rsidRPr="00737C0F">
              <w:t>, -</w:t>
            </w:r>
            <w:r w:rsidRPr="00737C0F">
              <w:t xml:space="preserve"> </w:t>
            </w:r>
            <w:r w:rsidR="00C30318" w:rsidRPr="00737C0F">
              <w:t>341</w:t>
            </w:r>
            <w:r w:rsidR="004A1F8C" w:rsidRPr="00737C0F">
              <w:t>40</w:t>
            </w:r>
            <w:r w:rsidR="00C30318" w:rsidRPr="00737C0F">
              <w:t>.00</w:t>
            </w:r>
            <w:r w:rsidR="00637FDE" w:rsidRPr="00737C0F">
              <w:t xml:space="preserve"> </w:t>
            </w:r>
            <w:proofErr w:type="spellStart"/>
            <w:r w:rsidR="00637FDE" w:rsidRPr="00737C0F">
              <w:t>euro</w:t>
            </w:r>
            <w:proofErr w:type="spellEnd"/>
            <w:r w:rsidR="00307FC8" w:rsidRPr="00737C0F">
              <w:t xml:space="preserve"> (autoratlīdzības likme 28</w:t>
            </w:r>
            <w:r w:rsidRPr="00737C0F">
              <w:t>.</w:t>
            </w:r>
            <w:r w:rsidR="00C30318" w:rsidRPr="00737C0F">
              <w:t>4</w:t>
            </w:r>
            <w:r w:rsidR="004A1F8C" w:rsidRPr="00737C0F">
              <w:t>5</w:t>
            </w:r>
            <w:r w:rsidR="00307FC8" w:rsidRPr="00737C0F">
              <w:t xml:space="preserve"> </w:t>
            </w:r>
            <w:proofErr w:type="spellStart"/>
            <w:r w:rsidR="00307FC8" w:rsidRPr="00737C0F">
              <w:t>euro</w:t>
            </w:r>
            <w:proofErr w:type="spellEnd"/>
            <w:r w:rsidRPr="00737C0F">
              <w:t xml:space="preserve"> stundā x 40 stundas x 30 grupas)</w:t>
            </w:r>
          </w:p>
          <w:p w:rsidR="009F3972" w:rsidRPr="00737C0F" w:rsidRDefault="009F3972" w:rsidP="00C04F01">
            <w:pPr>
              <w:jc w:val="both"/>
            </w:pPr>
            <w:r w:rsidRPr="00737C0F">
              <w:t>-telpu noma</w:t>
            </w:r>
            <w:r w:rsidR="00307FC8" w:rsidRPr="00737C0F">
              <w:t xml:space="preserve"> </w:t>
            </w:r>
            <w:r w:rsidRPr="00737C0F">
              <w:t xml:space="preserve">- </w:t>
            </w:r>
            <w:r w:rsidR="00C30318" w:rsidRPr="00737C0F">
              <w:t>10248.00</w:t>
            </w:r>
            <w:r w:rsidR="00307FC8" w:rsidRPr="00737C0F">
              <w:t xml:space="preserve"> </w:t>
            </w:r>
            <w:proofErr w:type="spellStart"/>
            <w:r w:rsidR="00307FC8" w:rsidRPr="00737C0F">
              <w:t>euro</w:t>
            </w:r>
            <w:proofErr w:type="spellEnd"/>
            <w:r w:rsidR="00307FC8" w:rsidRPr="00737C0F">
              <w:t xml:space="preserve"> (8.54 </w:t>
            </w:r>
            <w:proofErr w:type="spellStart"/>
            <w:r w:rsidR="00307FC8" w:rsidRPr="00737C0F">
              <w:t>euro</w:t>
            </w:r>
            <w:proofErr w:type="spellEnd"/>
            <w:r w:rsidR="00307FC8" w:rsidRPr="00737C0F">
              <w:t xml:space="preserve"> </w:t>
            </w:r>
            <w:r w:rsidRPr="00737C0F">
              <w:t>stundā x 40 stundas x 30 grupas)</w:t>
            </w:r>
          </w:p>
          <w:p w:rsidR="009F3972" w:rsidRPr="00737C0F" w:rsidRDefault="009F3972" w:rsidP="00C04F01">
            <w:pPr>
              <w:jc w:val="both"/>
            </w:pPr>
            <w:r w:rsidRPr="00737C0F">
              <w:t xml:space="preserve">-mācību materiālu kopēšana </w:t>
            </w:r>
            <w:r w:rsidR="004D665B" w:rsidRPr="00737C0F">
              <w:t>–</w:t>
            </w:r>
            <w:r w:rsidRPr="00737C0F">
              <w:t xml:space="preserve"> </w:t>
            </w:r>
            <w:r w:rsidR="00630B04" w:rsidRPr="00737C0F">
              <w:t>2999.7</w:t>
            </w:r>
            <w:r w:rsidR="004D665B" w:rsidRPr="00737C0F">
              <w:t xml:space="preserve"> </w:t>
            </w:r>
            <w:proofErr w:type="spellStart"/>
            <w:r w:rsidR="004D665B" w:rsidRPr="00737C0F">
              <w:t>euro</w:t>
            </w:r>
            <w:proofErr w:type="spellEnd"/>
            <w:r w:rsidRPr="00737C0F">
              <w:t xml:space="preserve"> (</w:t>
            </w:r>
            <w:r w:rsidR="004D665B" w:rsidRPr="00737C0F">
              <w:t>4.9</w:t>
            </w:r>
            <w:r w:rsidR="00B22341" w:rsidRPr="00737C0F">
              <w:t>5</w:t>
            </w:r>
            <w:r w:rsidR="004D665B" w:rsidRPr="00737C0F">
              <w:t xml:space="preserve"> </w:t>
            </w:r>
            <w:proofErr w:type="spellStart"/>
            <w:r w:rsidR="004D665B" w:rsidRPr="00737C0F">
              <w:t>euro</w:t>
            </w:r>
            <w:proofErr w:type="spellEnd"/>
            <w:r w:rsidR="004D665B" w:rsidRPr="00737C0F">
              <w:t xml:space="preserve"> </w:t>
            </w:r>
            <w:r w:rsidRPr="00737C0F">
              <w:t>x 606 speciālisti)</w:t>
            </w:r>
          </w:p>
          <w:p w:rsidR="009F3972" w:rsidRPr="00737C0F" w:rsidRDefault="009F3972" w:rsidP="00C04F01">
            <w:pPr>
              <w:jc w:val="both"/>
            </w:pPr>
            <w:r w:rsidRPr="00737C0F">
              <w:t>-kancelejas preces</w:t>
            </w:r>
            <w:r w:rsidR="004D665B" w:rsidRPr="00737C0F">
              <w:t xml:space="preserve"> –</w:t>
            </w:r>
            <w:r w:rsidRPr="00737C0F">
              <w:t xml:space="preserve"> </w:t>
            </w:r>
            <w:r w:rsidR="004D665B" w:rsidRPr="00737C0F">
              <w:t>1</w:t>
            </w:r>
            <w:r w:rsidR="004A1F8C" w:rsidRPr="00737C0F">
              <w:t>3</w:t>
            </w:r>
            <w:r w:rsidR="001C20A9" w:rsidRPr="00737C0F">
              <w:t>21</w:t>
            </w:r>
            <w:r w:rsidR="007061A2" w:rsidRPr="00737C0F">
              <w:t>.0</w:t>
            </w:r>
            <w:r w:rsidR="001C20A9" w:rsidRPr="00737C0F">
              <w:t>8</w:t>
            </w:r>
            <w:r w:rsidR="004D665B" w:rsidRPr="00737C0F">
              <w:t xml:space="preserve"> </w:t>
            </w:r>
            <w:proofErr w:type="spellStart"/>
            <w:r w:rsidR="004D665B" w:rsidRPr="00737C0F">
              <w:t>euro</w:t>
            </w:r>
            <w:proofErr w:type="spellEnd"/>
            <w:r w:rsidR="004D665B" w:rsidRPr="00737C0F">
              <w:t xml:space="preserve"> </w:t>
            </w:r>
            <w:r w:rsidRPr="00737C0F">
              <w:t>- (</w:t>
            </w:r>
            <w:r w:rsidR="004D665B" w:rsidRPr="00737C0F">
              <w:t>2.1</w:t>
            </w:r>
            <w:r w:rsidR="007061A2" w:rsidRPr="00737C0F">
              <w:t>8</w:t>
            </w:r>
            <w:r w:rsidR="004D665B" w:rsidRPr="00737C0F">
              <w:t xml:space="preserve"> </w:t>
            </w:r>
            <w:proofErr w:type="spellStart"/>
            <w:r w:rsidR="004D665B" w:rsidRPr="00737C0F">
              <w:t>euro</w:t>
            </w:r>
            <w:proofErr w:type="spellEnd"/>
            <w:r w:rsidRPr="00737C0F">
              <w:t xml:space="preserve"> x 606 speciālisti)</w:t>
            </w:r>
          </w:p>
          <w:p w:rsidR="009F3972" w:rsidRPr="00737C0F" w:rsidRDefault="009F3972" w:rsidP="00C04F01">
            <w:pPr>
              <w:jc w:val="both"/>
            </w:pPr>
            <w:r w:rsidRPr="00737C0F">
              <w:t>-apmācību organizēšana</w:t>
            </w:r>
            <w:r w:rsidR="00FB5861" w:rsidRPr="00737C0F">
              <w:t xml:space="preserve"> –</w:t>
            </w:r>
            <w:r w:rsidRPr="00737C0F">
              <w:t xml:space="preserve"> </w:t>
            </w:r>
            <w:r w:rsidR="00FB5861" w:rsidRPr="00737C0F">
              <w:t>7683.</w:t>
            </w:r>
            <w:r w:rsidR="00C30318" w:rsidRPr="00737C0F">
              <w:t>6</w:t>
            </w:r>
            <w:r w:rsidR="00FB5861" w:rsidRPr="00737C0F">
              <w:t xml:space="preserve"> </w:t>
            </w:r>
            <w:proofErr w:type="spellStart"/>
            <w:r w:rsidR="00FB5861" w:rsidRPr="00737C0F">
              <w:t>euro</w:t>
            </w:r>
            <w:proofErr w:type="spellEnd"/>
            <w:r w:rsidR="00FB5861" w:rsidRPr="00737C0F">
              <w:t xml:space="preserve"> </w:t>
            </w:r>
            <w:r w:rsidRPr="00737C0F">
              <w:t>- (</w:t>
            </w:r>
            <w:r w:rsidR="00FB5861" w:rsidRPr="00737C0F">
              <w:t xml:space="preserve">256.12 </w:t>
            </w:r>
            <w:proofErr w:type="spellStart"/>
            <w:r w:rsidR="00FB5861" w:rsidRPr="00737C0F">
              <w:t>euro</w:t>
            </w:r>
            <w:proofErr w:type="spellEnd"/>
            <w:r w:rsidRPr="00737C0F">
              <w:t xml:space="preserve"> x 30 grupas)</w:t>
            </w:r>
          </w:p>
          <w:p w:rsidR="009F3972" w:rsidRPr="00737C0F" w:rsidRDefault="009F3972" w:rsidP="00C04F01">
            <w:pPr>
              <w:pStyle w:val="naisf"/>
              <w:spacing w:before="0" w:after="0"/>
              <w:ind w:right="-9" w:firstLine="0"/>
              <w:contextualSpacing/>
            </w:pPr>
            <w:r w:rsidRPr="00737C0F">
              <w:t xml:space="preserve">-transporta izdevumi- </w:t>
            </w:r>
            <w:r w:rsidR="00FB5861" w:rsidRPr="00737C0F">
              <w:t>344</w:t>
            </w:r>
            <w:r w:rsidR="00354C87" w:rsidRPr="00737C0F">
              <w:t>8.7</w:t>
            </w:r>
            <w:r w:rsidR="00FB5861" w:rsidRPr="00737C0F">
              <w:t xml:space="preserve"> </w:t>
            </w:r>
            <w:proofErr w:type="spellStart"/>
            <w:r w:rsidR="00FB5861" w:rsidRPr="00737C0F">
              <w:t>euro</w:t>
            </w:r>
            <w:proofErr w:type="spellEnd"/>
          </w:p>
          <w:p w:rsidR="00F8097D" w:rsidRPr="00737C0F" w:rsidRDefault="00F8097D" w:rsidP="00B56A61">
            <w:pPr>
              <w:jc w:val="both"/>
              <w:rPr>
                <w:i/>
              </w:rPr>
            </w:pPr>
          </w:p>
          <w:p w:rsidR="00244A34" w:rsidRPr="00737C0F" w:rsidRDefault="00B56A61" w:rsidP="00244A34">
            <w:pPr>
              <w:pStyle w:val="naisf"/>
              <w:spacing w:before="0" w:after="0"/>
              <w:ind w:firstLine="0"/>
              <w:rPr>
                <w:rFonts w:eastAsiaTheme="minorHAnsi"/>
                <w:sz w:val="22"/>
                <w:szCs w:val="22"/>
                <w:lang w:eastAsia="en-US"/>
              </w:rPr>
            </w:pPr>
            <w:r w:rsidRPr="00737C0F">
              <w:rPr>
                <w:i/>
              </w:rPr>
              <w:lastRenderedPageBreak/>
              <w:t>*</w:t>
            </w:r>
            <w:r w:rsidRPr="00737C0F">
              <w:rPr>
                <w:i/>
                <w:sz w:val="28"/>
                <w:szCs w:val="28"/>
              </w:rPr>
              <w:t xml:space="preserve"> </w:t>
            </w:r>
            <w:r w:rsidR="00244A34" w:rsidRPr="00737C0F">
              <w:rPr>
                <w:i/>
              </w:rPr>
              <w:t>Lai nodrošinātu vienotu apmācību kvalitāti, apmācības metodiski tiks organizētas centralizēti. Tehnisko atbalstu apmācību nodrošināšanai, Valsts bērnu tiesību aizsardzības inspekcija veiks</w:t>
            </w:r>
            <w:proofErr w:type="gramStart"/>
            <w:r w:rsidR="00244A34" w:rsidRPr="00737C0F">
              <w:rPr>
                <w:i/>
              </w:rPr>
              <w:t xml:space="preserve"> organizējot iepirkumu par šim mērķim piešķirtajiem valsts budžeta līdzekļiem</w:t>
            </w:r>
            <w:proofErr w:type="gramEnd"/>
            <w:r w:rsidR="00244A34" w:rsidRPr="00737C0F">
              <w:rPr>
                <w:i/>
              </w:rPr>
              <w:t>.</w:t>
            </w:r>
            <w:r w:rsidR="00244A34" w:rsidRPr="00737C0F">
              <w:rPr>
                <w:rFonts w:eastAsiaTheme="minorHAnsi"/>
                <w:sz w:val="22"/>
                <w:szCs w:val="22"/>
                <w:lang w:eastAsia="en-US"/>
              </w:rPr>
              <w:t xml:space="preserve"> </w:t>
            </w:r>
          </w:p>
          <w:p w:rsidR="00B22277" w:rsidRPr="00737C0F" w:rsidRDefault="00183595" w:rsidP="00B56A61">
            <w:pPr>
              <w:jc w:val="both"/>
              <w:rPr>
                <w:i/>
              </w:rPr>
            </w:pPr>
            <w:r w:rsidRPr="00737C0F">
              <w:rPr>
                <w:i/>
              </w:rPr>
              <w:t xml:space="preserve">Valsts bērnu tiesību aizsardzības inspekcija sadarbībā ar iesaistītām ministrijām un Ģenerālprokuratūru sagatavo iepirkuma nolikumu un tehnisko specifikāciju, un izsludina iepirkumu par apmācību organizēšanu. Pretendents, kas tiek izvēlēts iepirkuma rezultātā, nodrošina speciālistu apmācības. Lai nodrošinātu speciālistu apmācības, tiek paredzēti izdevumi šādām pozīcijām: </w:t>
            </w:r>
          </w:p>
          <w:p w:rsidR="00B22277" w:rsidRPr="00737C0F" w:rsidRDefault="00B22277" w:rsidP="00B56A61">
            <w:pPr>
              <w:jc w:val="both"/>
              <w:rPr>
                <w:i/>
              </w:rPr>
            </w:pPr>
            <w:r w:rsidRPr="00737C0F">
              <w:rPr>
                <w:i/>
              </w:rPr>
              <w:t xml:space="preserve">- </w:t>
            </w:r>
            <w:r w:rsidR="00183595" w:rsidRPr="00737C0F">
              <w:rPr>
                <w:i/>
              </w:rPr>
              <w:t xml:space="preserve">apmācību </w:t>
            </w:r>
            <w:r w:rsidRPr="00737C0F">
              <w:rPr>
                <w:i/>
              </w:rPr>
              <w:t>organizēšana</w:t>
            </w:r>
            <w:r w:rsidR="003E3012" w:rsidRPr="00737C0F">
              <w:rPr>
                <w:i/>
              </w:rPr>
              <w:t xml:space="preserve"> </w:t>
            </w:r>
            <w:proofErr w:type="gramStart"/>
            <w:r w:rsidR="003E3012" w:rsidRPr="00737C0F">
              <w:rPr>
                <w:i/>
              </w:rPr>
              <w:t>(</w:t>
            </w:r>
            <w:proofErr w:type="gramEnd"/>
            <w:r w:rsidRPr="00737C0F">
              <w:rPr>
                <w:i/>
              </w:rPr>
              <w:t xml:space="preserve">Apmācību organizēšana ir apmācību koordinatora veiktās darbības: informācijas izplatīšana par apmācībām, dalībnieku atlase, piemērotu telpu meklēšana, saziņa ar pasniedzējiem un pasniedzēju darba koordinēšana, apmācību norises koordinēšana, </w:t>
            </w:r>
            <w:r w:rsidRPr="00737C0F">
              <w:rPr>
                <w:rFonts w:eastAsiaTheme="minorHAnsi"/>
                <w:i/>
                <w:lang w:eastAsia="en-US"/>
              </w:rPr>
              <w:t xml:space="preserve">atskaites sagatavošana par īstenotajām apmācībām, t.sk., apkopojot dalībnieku vērtējumu un izteiktos priekšlikumus, </w:t>
            </w:r>
            <w:r w:rsidRPr="00737C0F">
              <w:rPr>
                <w:i/>
              </w:rPr>
              <w:t>u.c. A</w:t>
            </w:r>
            <w:r w:rsidR="003E3012" w:rsidRPr="00737C0F">
              <w:rPr>
                <w:i/>
              </w:rPr>
              <w:t>pmācību koordinators ir iepirkuma rezultātā izvēlētā pretendenta nodarbin</w:t>
            </w:r>
            <w:r w:rsidR="009247E2" w:rsidRPr="00737C0F">
              <w:rPr>
                <w:i/>
              </w:rPr>
              <w:t xml:space="preserve">āta persona, kura uzdevums ir veikt visas nepieciešamas darbības, lai apmācības notiktu; lai apmācību koordinators varētu veikt šo uzdevumu, viņam ir nepieciešamas atbilstošas telpas, </w:t>
            </w:r>
            <w:r w:rsidRPr="00737C0F">
              <w:rPr>
                <w:i/>
              </w:rPr>
              <w:t>kā arī sakaru līdzekļi. Apmācību koordinators savam darbam nevarēs izmantot Valsts bērnu tiesību aizsardzības inspekcijas telpas un sakaru līdzekļus, kā arī telpas, kurās notiek speciālistu apmācības</w:t>
            </w:r>
            <w:r w:rsidR="009247E2" w:rsidRPr="00737C0F">
              <w:rPr>
                <w:i/>
              </w:rPr>
              <w:t>)</w:t>
            </w:r>
            <w:r w:rsidRPr="00737C0F">
              <w:rPr>
                <w:i/>
              </w:rPr>
              <w:t xml:space="preserve">, </w:t>
            </w:r>
          </w:p>
          <w:p w:rsidR="00B22277" w:rsidRPr="00737C0F" w:rsidRDefault="00B22277" w:rsidP="00B56A61">
            <w:pPr>
              <w:jc w:val="both"/>
              <w:rPr>
                <w:i/>
              </w:rPr>
            </w:pPr>
            <w:r w:rsidRPr="00737C0F">
              <w:rPr>
                <w:i/>
              </w:rPr>
              <w:t xml:space="preserve">- lektoru darbs un transporta izdevumi lektoriem (apmācības tiek organizētas dažādos Latvijas novados, visos Latvijas reģionos), </w:t>
            </w:r>
          </w:p>
          <w:p w:rsidR="00B22277" w:rsidRPr="00737C0F" w:rsidRDefault="00B22277" w:rsidP="00B56A61">
            <w:pPr>
              <w:jc w:val="both"/>
              <w:rPr>
                <w:i/>
              </w:rPr>
            </w:pPr>
            <w:r w:rsidRPr="00737C0F">
              <w:rPr>
                <w:i/>
              </w:rPr>
              <w:t xml:space="preserve"> - telpas apmācībām,</w:t>
            </w:r>
          </w:p>
          <w:p w:rsidR="00474191" w:rsidRPr="00737C0F" w:rsidRDefault="00B22277" w:rsidP="00B56A61">
            <w:pPr>
              <w:jc w:val="both"/>
              <w:rPr>
                <w:i/>
              </w:rPr>
            </w:pPr>
            <w:r w:rsidRPr="00737C0F">
              <w:rPr>
                <w:i/>
              </w:rPr>
              <w:t>- īpaši sagatavotie izdales materiāli dalībniekiem un kancelejas preces</w:t>
            </w:r>
            <w:r w:rsidR="009247E2" w:rsidRPr="00737C0F">
              <w:rPr>
                <w:i/>
              </w:rPr>
              <w:t>.</w:t>
            </w:r>
            <w:r w:rsidR="00183595" w:rsidRPr="00737C0F">
              <w:rPr>
                <w:i/>
              </w:rPr>
              <w:t xml:space="preserve"> </w:t>
            </w:r>
          </w:p>
          <w:p w:rsidR="00D462C9" w:rsidRPr="00737C0F" w:rsidRDefault="00B56A61" w:rsidP="00B56A61">
            <w:pPr>
              <w:jc w:val="both"/>
              <w:rPr>
                <w:rFonts w:eastAsiaTheme="minorHAnsi"/>
                <w:i/>
                <w:lang w:eastAsia="en-US"/>
              </w:rPr>
            </w:pPr>
            <w:r w:rsidRPr="00737C0F">
              <w:rPr>
                <w:rFonts w:eastAsiaTheme="minorHAnsi"/>
                <w:i/>
                <w:lang w:eastAsia="en-US"/>
              </w:rPr>
              <w:t xml:space="preserve">Apmācību organizēšanas izmaksas </w:t>
            </w:r>
            <w:r w:rsidR="00125CD2" w:rsidRPr="00737C0F">
              <w:rPr>
                <w:rFonts w:eastAsiaTheme="minorHAnsi"/>
                <w:i/>
                <w:lang w:eastAsia="en-US"/>
              </w:rPr>
              <w:t>veido: cilvēkstundu izmaksas (</w:t>
            </w:r>
            <w:r w:rsidRPr="00737C0F">
              <w:rPr>
                <w:rFonts w:eastAsiaTheme="minorHAnsi"/>
                <w:i/>
                <w:lang w:eastAsia="en-US"/>
              </w:rPr>
              <w:t xml:space="preserve">5 dienas/ 40 stundas): 2.028 eiro/ st.; telpu izmaksas (aprīkota biroja noma, komunālie pakalpojumi utt.): 30 eiro/ dienā; sakaru pakalpojumu izmaksas: 5 eiro/ dienā. </w:t>
            </w:r>
          </w:p>
          <w:p w:rsidR="00D462C9" w:rsidRPr="00737C0F" w:rsidRDefault="00D462C9" w:rsidP="00D462C9">
            <w:pPr>
              <w:jc w:val="both"/>
              <w:rPr>
                <w:rFonts w:eastAsiaTheme="minorHAnsi"/>
                <w:i/>
                <w:lang w:eastAsia="en-US"/>
              </w:rPr>
            </w:pPr>
            <w:r w:rsidRPr="00737C0F">
              <w:rPr>
                <w:rFonts w:eastAsiaTheme="minorHAnsi"/>
                <w:i/>
                <w:lang w:eastAsia="en-US"/>
              </w:rPr>
              <w:t xml:space="preserve">Cilvēkstundu izmaksas rēķinātas, ņemot vērā Ministru kabineta 2013.gada 27.augusta noteikumos Nr.665 „Noteikumi par minimālo mēneša darba algu un minimālo stundas tarifa likmi” noteikto minimālo stundas tarifa likmi (likme mazkvalificēta darba veicējiem) un palielinot to par </w:t>
            </w:r>
            <w:r w:rsidR="00871DA3" w:rsidRPr="00737C0F">
              <w:rPr>
                <w:rFonts w:eastAsiaTheme="minorHAnsi"/>
                <w:i/>
                <w:lang w:eastAsia="en-US"/>
              </w:rPr>
              <w:t xml:space="preserve">apm. </w:t>
            </w:r>
            <w:r w:rsidRPr="00737C0F">
              <w:rPr>
                <w:rFonts w:eastAsiaTheme="minorHAnsi"/>
                <w:i/>
                <w:lang w:eastAsia="en-US"/>
              </w:rPr>
              <w:t xml:space="preserve">5% (apmācību koordinators ir kvalificēts darbinieks). </w:t>
            </w:r>
          </w:p>
          <w:p w:rsidR="00EE7F27" w:rsidRPr="00737C0F" w:rsidRDefault="00EE7F27" w:rsidP="00D462C9">
            <w:pPr>
              <w:jc w:val="both"/>
              <w:rPr>
                <w:rFonts w:eastAsiaTheme="minorHAnsi"/>
                <w:i/>
                <w:lang w:eastAsia="en-US"/>
              </w:rPr>
            </w:pPr>
            <w:r w:rsidRPr="00737C0F">
              <w:rPr>
                <w:rFonts w:eastAsiaTheme="minorHAnsi"/>
                <w:i/>
                <w:lang w:eastAsia="en-US"/>
              </w:rPr>
              <w:t>Sakaru pakalpojumi ir interneta pieslēgums, mobilais un stacionārais telefoni juridiskai personai. Sakaru pakalpojumu izmaksas, kā arī aprīkotā biroja nomas un komunālo pakalpojumu izmaksas</w:t>
            </w:r>
            <w:proofErr w:type="gramStart"/>
            <w:r w:rsidRPr="00737C0F">
              <w:rPr>
                <w:rFonts w:eastAsiaTheme="minorHAnsi"/>
                <w:i/>
                <w:lang w:eastAsia="en-US"/>
              </w:rPr>
              <w:t xml:space="preserve">  </w:t>
            </w:r>
            <w:proofErr w:type="gramEnd"/>
            <w:r w:rsidRPr="00737C0F">
              <w:rPr>
                <w:rFonts w:eastAsiaTheme="minorHAnsi"/>
                <w:i/>
                <w:lang w:eastAsia="en-US"/>
              </w:rPr>
              <w:t xml:space="preserve">rēķinātas atbilstoši Valsts bērnu tiesību aizsardzības inspekcijas sniegtajai informācijai, balstoties uz iepriekšējos gados veiktajiem iepirkumiem. </w:t>
            </w:r>
          </w:p>
          <w:p w:rsidR="00B56A61" w:rsidRPr="00737C0F" w:rsidRDefault="00B56A61" w:rsidP="00B56A61">
            <w:pPr>
              <w:jc w:val="both"/>
              <w:rPr>
                <w:rFonts w:eastAsiaTheme="minorHAnsi"/>
                <w:i/>
                <w:lang w:eastAsia="en-US"/>
              </w:rPr>
            </w:pPr>
            <w:r w:rsidRPr="00737C0F">
              <w:rPr>
                <w:rFonts w:eastAsiaTheme="minorHAnsi"/>
                <w:i/>
                <w:lang w:eastAsia="en-US"/>
              </w:rPr>
              <w:t xml:space="preserve">Kopā 5 dienām: 81.12. </w:t>
            </w:r>
            <w:proofErr w:type="spellStart"/>
            <w:r w:rsidRPr="00737C0F">
              <w:rPr>
                <w:rFonts w:eastAsiaTheme="minorHAnsi"/>
                <w:i/>
                <w:lang w:eastAsia="en-US"/>
              </w:rPr>
              <w:t>euro</w:t>
            </w:r>
            <w:proofErr w:type="spellEnd"/>
            <w:r w:rsidRPr="00737C0F">
              <w:rPr>
                <w:rFonts w:eastAsiaTheme="minorHAnsi"/>
                <w:i/>
                <w:lang w:eastAsia="en-US"/>
              </w:rPr>
              <w:t xml:space="preserve"> + 150 </w:t>
            </w:r>
            <w:proofErr w:type="spellStart"/>
            <w:r w:rsidRPr="00737C0F">
              <w:rPr>
                <w:rFonts w:eastAsiaTheme="minorHAnsi"/>
                <w:i/>
                <w:lang w:eastAsia="en-US"/>
              </w:rPr>
              <w:t>euro</w:t>
            </w:r>
            <w:proofErr w:type="spellEnd"/>
            <w:r w:rsidRPr="00737C0F">
              <w:rPr>
                <w:rFonts w:eastAsiaTheme="minorHAnsi"/>
                <w:i/>
                <w:lang w:eastAsia="en-US"/>
              </w:rPr>
              <w:t xml:space="preserve"> + 25 </w:t>
            </w:r>
            <w:proofErr w:type="spellStart"/>
            <w:r w:rsidRPr="00737C0F">
              <w:rPr>
                <w:rFonts w:eastAsiaTheme="minorHAnsi"/>
                <w:i/>
                <w:lang w:eastAsia="en-US"/>
              </w:rPr>
              <w:t>euro</w:t>
            </w:r>
            <w:proofErr w:type="spellEnd"/>
            <w:r w:rsidRPr="00737C0F">
              <w:rPr>
                <w:rFonts w:eastAsiaTheme="minorHAnsi"/>
                <w:i/>
                <w:lang w:eastAsia="en-US"/>
              </w:rPr>
              <w:t xml:space="preserve"> = 256.12.</w:t>
            </w:r>
          </w:p>
          <w:p w:rsidR="00F8097D" w:rsidRPr="00737C0F" w:rsidRDefault="00F8097D" w:rsidP="00B56A61">
            <w:pPr>
              <w:jc w:val="both"/>
              <w:rPr>
                <w:i/>
              </w:rPr>
            </w:pPr>
          </w:p>
          <w:p w:rsidR="00B56A61" w:rsidRPr="00737C0F" w:rsidRDefault="00B56A61" w:rsidP="00B56A61">
            <w:pPr>
              <w:pStyle w:val="naisf"/>
              <w:spacing w:before="0" w:after="0"/>
              <w:ind w:firstLine="0"/>
              <w:rPr>
                <w:rFonts w:eastAsiaTheme="minorHAnsi"/>
                <w:i/>
                <w:lang w:eastAsia="en-US"/>
              </w:rPr>
            </w:pPr>
            <w:r w:rsidRPr="00737C0F">
              <w:rPr>
                <w:i/>
              </w:rPr>
              <w:t xml:space="preserve">Transporta izdevumi (benzīns vai starppilsētu transporta izmantošana) rodas, lai nodrošinātu apmācības dažādos Latvijas novados visos Latvijas reģionos. </w:t>
            </w:r>
            <w:r w:rsidRPr="00737C0F">
              <w:rPr>
                <w:rFonts w:eastAsiaTheme="minorHAnsi"/>
                <w:i/>
                <w:lang w:eastAsia="en-US"/>
              </w:rPr>
              <w:t xml:space="preserve">Tiek apmācītas 30 grupas Rīgā un citās Latvijas pilsētās, ievērojot principu, ka apmācības notiek </w:t>
            </w:r>
            <w:r w:rsidRPr="00737C0F">
              <w:rPr>
                <w:rFonts w:eastAsiaTheme="minorHAnsi"/>
                <w:i/>
                <w:lang w:eastAsia="en-US"/>
              </w:rPr>
              <w:lastRenderedPageBreak/>
              <w:t xml:space="preserve">katrā Latvijas reģionā. Vidējais attālums no Rīgas līdz citai pilsētai, kurā notiks apmācības, ir 200 km (piemēram, Rīga – Kuldīga – 153 km, Rīga – Madona – 170 km, Rīga Rēzekne – 235 km, Rīga – Liepāja – 215 km, Rīga – Daugavpils – 224 km). Apmācības notiek 4 dienas, t.i. no Rīgas līdz apmācību vietai – 8 braucieni. Apmācības ārpus Rīgas notiek 12 grupām.  Kopā 12 grupas x 8 braucieni = 96 braucieni. Kopējais nobrauktais attālums: 96 braucieni x 400 km = 38400 km. Vidējais degvielas patēriņš 7 litri/ 100 km. Kopā patērētā degviela: 2688 litri. Degvielas vidējā cena: 1,283 </w:t>
            </w:r>
            <w:proofErr w:type="spellStart"/>
            <w:r w:rsidRPr="00737C0F">
              <w:rPr>
                <w:rFonts w:eastAsiaTheme="minorHAnsi"/>
                <w:i/>
                <w:lang w:eastAsia="en-US"/>
              </w:rPr>
              <w:t>euro</w:t>
            </w:r>
            <w:proofErr w:type="spellEnd"/>
            <w:r w:rsidRPr="00737C0F">
              <w:rPr>
                <w:rFonts w:eastAsiaTheme="minorHAnsi"/>
                <w:i/>
                <w:lang w:eastAsia="en-US"/>
              </w:rPr>
              <w:t xml:space="preserve">/ 1 litrs. Kopējie transporta izdevumi: 3448.7 </w:t>
            </w:r>
            <w:proofErr w:type="spellStart"/>
            <w:r w:rsidRPr="00737C0F">
              <w:rPr>
                <w:rFonts w:eastAsiaTheme="minorHAnsi"/>
                <w:i/>
                <w:lang w:eastAsia="en-US"/>
              </w:rPr>
              <w:t>euro</w:t>
            </w:r>
            <w:proofErr w:type="spellEnd"/>
            <w:r w:rsidRPr="00737C0F">
              <w:rPr>
                <w:rFonts w:eastAsiaTheme="minorHAnsi"/>
                <w:i/>
                <w:lang w:eastAsia="en-US"/>
              </w:rPr>
              <w:t>.</w:t>
            </w:r>
          </w:p>
          <w:p w:rsidR="009F3972" w:rsidRPr="00737C0F" w:rsidRDefault="009F3972" w:rsidP="0068293F">
            <w:pPr>
              <w:pStyle w:val="naisf"/>
              <w:spacing w:before="0" w:after="0"/>
              <w:ind w:right="-9" w:firstLine="0"/>
              <w:contextualSpacing/>
            </w:pPr>
          </w:p>
          <w:p w:rsidR="009F3972" w:rsidRPr="00737C0F" w:rsidRDefault="009F3972" w:rsidP="007B2650">
            <w:pPr>
              <w:pStyle w:val="naisf"/>
              <w:spacing w:before="0" w:after="0"/>
              <w:ind w:firstLine="0"/>
              <w:rPr>
                <w:b/>
              </w:rPr>
            </w:pPr>
            <w:r w:rsidRPr="00737C0F">
              <w:rPr>
                <w:b/>
              </w:rPr>
              <w:t>*</w:t>
            </w:r>
            <w:r w:rsidR="00E21A8A" w:rsidRPr="00737C0F">
              <w:rPr>
                <w:b/>
              </w:rPr>
              <w:t>2018</w:t>
            </w:r>
            <w:r w:rsidRPr="00737C0F">
              <w:rPr>
                <w:b/>
              </w:rPr>
              <w:t xml:space="preserve">.gadā nepieciešami </w:t>
            </w:r>
            <w:r w:rsidR="005F0FA4" w:rsidRPr="00737C0F">
              <w:rPr>
                <w:b/>
              </w:rPr>
              <w:t>9</w:t>
            </w:r>
            <w:r w:rsidR="005A3476" w:rsidRPr="00737C0F">
              <w:rPr>
                <w:b/>
              </w:rPr>
              <w:t>966</w:t>
            </w:r>
            <w:r w:rsidR="005F0FA4" w:rsidRPr="00737C0F">
              <w:rPr>
                <w:b/>
              </w:rPr>
              <w:t>.38</w:t>
            </w:r>
            <w:r w:rsidR="00D14473" w:rsidRPr="00737C0F">
              <w:rPr>
                <w:b/>
              </w:rPr>
              <w:t xml:space="preserve"> </w:t>
            </w:r>
            <w:proofErr w:type="spellStart"/>
            <w:r w:rsidR="00D14473" w:rsidRPr="00737C0F">
              <w:rPr>
                <w:b/>
              </w:rPr>
              <w:t>euro</w:t>
            </w:r>
            <w:proofErr w:type="spellEnd"/>
            <w:r w:rsidR="008340D7" w:rsidRPr="00737C0F">
              <w:rPr>
                <w:b/>
              </w:rPr>
              <w:t>.</w:t>
            </w:r>
          </w:p>
          <w:p w:rsidR="009F3972" w:rsidRPr="00737C0F" w:rsidRDefault="009F3972" w:rsidP="007B2650">
            <w:pPr>
              <w:pStyle w:val="naisf"/>
              <w:spacing w:before="0" w:after="0"/>
              <w:ind w:firstLine="0"/>
            </w:pPr>
            <w:r w:rsidRPr="00737C0F">
              <w:t>Ņemot vērā kadru mainību, pēc pamata</w:t>
            </w:r>
            <w:r w:rsidR="00700E4D" w:rsidRPr="00737C0F">
              <w:t>pmācību veikšanas (sākot ar 2018</w:t>
            </w:r>
            <w:r w:rsidRPr="00737C0F">
              <w:t xml:space="preserve">.gadu) ik gadu nepieciešams nodrošināt apmācības </w:t>
            </w:r>
            <w:r w:rsidR="00624EC8" w:rsidRPr="00737C0F">
              <w:t>10</w:t>
            </w:r>
            <w:r w:rsidRPr="00737C0F">
              <w:t>0 speciālistiem</w:t>
            </w:r>
            <w:r w:rsidR="00624EC8" w:rsidRPr="00737C0F">
              <w:t xml:space="preserve"> (5</w:t>
            </w:r>
            <w:r w:rsidRPr="00737C0F">
              <w:t xml:space="preserve"> grupas).</w:t>
            </w:r>
          </w:p>
          <w:p w:rsidR="009F3972" w:rsidRPr="00737C0F" w:rsidRDefault="009F3972" w:rsidP="007B2650">
            <w:pPr>
              <w:pStyle w:val="naisf"/>
              <w:spacing w:before="0" w:after="0"/>
              <w:ind w:firstLine="0"/>
            </w:pPr>
            <w:r w:rsidRPr="00737C0F">
              <w:t xml:space="preserve">Izdevumi </w:t>
            </w:r>
            <w:r w:rsidR="005F0FA4" w:rsidRPr="00737C0F">
              <w:t>9876.38</w:t>
            </w:r>
            <w:r w:rsidR="00D14473" w:rsidRPr="00737C0F">
              <w:t xml:space="preserve"> </w:t>
            </w:r>
            <w:proofErr w:type="spellStart"/>
            <w:r w:rsidR="00D14473" w:rsidRPr="00737C0F">
              <w:t>euro</w:t>
            </w:r>
            <w:proofErr w:type="spellEnd"/>
            <w:r w:rsidRPr="00737C0F">
              <w:t xml:space="preserve"> </w:t>
            </w:r>
            <w:r w:rsidR="008340D7" w:rsidRPr="00737C0F">
              <w:t xml:space="preserve">apmērā </w:t>
            </w:r>
            <w:r w:rsidRPr="00737C0F">
              <w:t xml:space="preserve">plānoti EKK2000 „Preces un pakalpojumi”, t.sk. </w:t>
            </w:r>
            <w:r w:rsidR="005F0FA4" w:rsidRPr="00737C0F">
              <w:t>9876.38</w:t>
            </w:r>
            <w:r w:rsidR="00D14473" w:rsidRPr="00737C0F">
              <w:t xml:space="preserve"> </w:t>
            </w:r>
            <w:proofErr w:type="spellStart"/>
            <w:r w:rsidR="00D14473" w:rsidRPr="00737C0F">
              <w:t>euro</w:t>
            </w:r>
            <w:proofErr w:type="spellEnd"/>
            <w:r w:rsidRPr="00737C0F">
              <w:t xml:space="preserve"> EKK2800 „Pakalpojumi, kurus budžeta iestādes apmaksā noteikto funkciju ietvaros, kas nav iestādes administratīvie izdevumi”, </w:t>
            </w:r>
            <w:proofErr w:type="spellStart"/>
            <w:r w:rsidRPr="00737C0F">
              <w:t>t.sk</w:t>
            </w:r>
            <w:proofErr w:type="spellEnd"/>
            <w:r w:rsidRPr="00737C0F">
              <w:t>:</w:t>
            </w:r>
          </w:p>
          <w:p w:rsidR="009F3972" w:rsidRPr="00737C0F" w:rsidRDefault="009F3972" w:rsidP="007B2650">
            <w:pPr>
              <w:jc w:val="both"/>
            </w:pPr>
            <w:r w:rsidRPr="00737C0F">
              <w:t> -lektoru atalgojums, kas ietver arī autoratlīdzību par mācību materiālu sagatavošanu</w:t>
            </w:r>
            <w:r w:rsidR="007B2650" w:rsidRPr="00737C0F">
              <w:t>,</w:t>
            </w:r>
            <w:r w:rsidR="006A23F4" w:rsidRPr="00737C0F">
              <w:t xml:space="preserve"> -</w:t>
            </w:r>
            <w:r w:rsidRPr="00737C0F">
              <w:t xml:space="preserve"> </w:t>
            </w:r>
            <w:r w:rsidR="00624EC8" w:rsidRPr="00737C0F">
              <w:t>5690</w:t>
            </w:r>
            <w:r w:rsidR="00351BA6" w:rsidRPr="00737C0F">
              <w:t>.00</w:t>
            </w:r>
            <w:r w:rsidR="007B2650" w:rsidRPr="00737C0F">
              <w:t xml:space="preserve"> </w:t>
            </w:r>
            <w:proofErr w:type="spellStart"/>
            <w:r w:rsidR="007B2650" w:rsidRPr="00737C0F">
              <w:t>euro</w:t>
            </w:r>
            <w:proofErr w:type="spellEnd"/>
            <w:r w:rsidRPr="00737C0F">
              <w:t xml:space="preserve"> (autoratlī</w:t>
            </w:r>
            <w:r w:rsidR="007B2650" w:rsidRPr="00737C0F">
              <w:t>dzības likme 28</w:t>
            </w:r>
            <w:r w:rsidRPr="00737C0F">
              <w:t>.</w:t>
            </w:r>
            <w:r w:rsidR="00351BA6" w:rsidRPr="00737C0F">
              <w:t>45</w:t>
            </w:r>
            <w:r w:rsidR="007B2650" w:rsidRPr="00737C0F">
              <w:t xml:space="preserve"> </w:t>
            </w:r>
            <w:proofErr w:type="spellStart"/>
            <w:r w:rsidR="007B2650" w:rsidRPr="00737C0F">
              <w:t>euro</w:t>
            </w:r>
            <w:proofErr w:type="spellEnd"/>
            <w:r w:rsidR="00624EC8" w:rsidRPr="00737C0F">
              <w:t xml:space="preserve"> stundā x 40 stundas x 5</w:t>
            </w:r>
            <w:r w:rsidRPr="00737C0F">
              <w:t xml:space="preserve"> grupas)</w:t>
            </w:r>
            <w:r w:rsidR="006A23F4" w:rsidRPr="00737C0F">
              <w:t>;</w:t>
            </w:r>
          </w:p>
          <w:p w:rsidR="009F3972" w:rsidRPr="00737C0F" w:rsidRDefault="009F3972" w:rsidP="007B2650">
            <w:pPr>
              <w:jc w:val="both"/>
            </w:pPr>
            <w:r w:rsidRPr="00737C0F">
              <w:t>-telpu noma</w:t>
            </w:r>
            <w:r w:rsidR="006A23F4" w:rsidRPr="00737C0F">
              <w:t xml:space="preserve"> </w:t>
            </w:r>
            <w:r w:rsidR="003A1962" w:rsidRPr="00737C0F">
              <w:t>–</w:t>
            </w:r>
            <w:r w:rsidRPr="00737C0F">
              <w:t xml:space="preserve"> </w:t>
            </w:r>
            <w:r w:rsidR="00624EC8" w:rsidRPr="00737C0F">
              <w:t>1708.00</w:t>
            </w:r>
            <w:r w:rsidR="00FE2E61" w:rsidRPr="00737C0F">
              <w:t xml:space="preserve"> </w:t>
            </w:r>
            <w:proofErr w:type="spellStart"/>
            <w:r w:rsidR="00FE2E61" w:rsidRPr="00737C0F">
              <w:t>euro</w:t>
            </w:r>
            <w:proofErr w:type="spellEnd"/>
            <w:r w:rsidR="00FE2E61" w:rsidRPr="00737C0F">
              <w:t xml:space="preserve"> (8.54 </w:t>
            </w:r>
            <w:proofErr w:type="spellStart"/>
            <w:r w:rsidR="00FE2E61" w:rsidRPr="00737C0F">
              <w:t>euro</w:t>
            </w:r>
            <w:proofErr w:type="spellEnd"/>
            <w:r w:rsidRPr="00737C0F">
              <w:t xml:space="preserve"> stundā x 40 stunda</w:t>
            </w:r>
            <w:r w:rsidR="00624EC8" w:rsidRPr="00737C0F">
              <w:t>s x 5</w:t>
            </w:r>
            <w:r w:rsidRPr="00737C0F">
              <w:t xml:space="preserve"> grupas)</w:t>
            </w:r>
            <w:r w:rsidR="006A23F4" w:rsidRPr="00737C0F">
              <w:t>;</w:t>
            </w:r>
          </w:p>
          <w:p w:rsidR="009F3972" w:rsidRPr="00737C0F" w:rsidRDefault="009F3972" w:rsidP="007B2650">
            <w:pPr>
              <w:jc w:val="both"/>
            </w:pPr>
            <w:r w:rsidRPr="00737C0F">
              <w:t xml:space="preserve">-mācību materiālu kopēšana </w:t>
            </w:r>
            <w:r w:rsidR="00FE2E61" w:rsidRPr="00737C0F">
              <w:t>–</w:t>
            </w:r>
            <w:r w:rsidRPr="00737C0F">
              <w:t xml:space="preserve"> </w:t>
            </w:r>
            <w:r w:rsidR="00624EC8" w:rsidRPr="00737C0F">
              <w:t>495</w:t>
            </w:r>
            <w:r w:rsidR="005F0FA4" w:rsidRPr="00737C0F">
              <w:t>.00</w:t>
            </w:r>
            <w:r w:rsidR="00FE2E61" w:rsidRPr="00737C0F">
              <w:t xml:space="preserve"> </w:t>
            </w:r>
            <w:proofErr w:type="spellStart"/>
            <w:r w:rsidR="00FE2E61" w:rsidRPr="00737C0F">
              <w:t>euro</w:t>
            </w:r>
            <w:proofErr w:type="spellEnd"/>
            <w:r w:rsidRPr="00737C0F">
              <w:t xml:space="preserve"> (</w:t>
            </w:r>
            <w:r w:rsidR="00351BA6" w:rsidRPr="00737C0F">
              <w:t>4.95</w:t>
            </w:r>
            <w:r w:rsidR="00FE2E61" w:rsidRPr="00737C0F">
              <w:t xml:space="preserve"> </w:t>
            </w:r>
            <w:proofErr w:type="spellStart"/>
            <w:r w:rsidR="00FE2E61" w:rsidRPr="00737C0F">
              <w:t>euro</w:t>
            </w:r>
            <w:proofErr w:type="spellEnd"/>
            <w:r w:rsidR="00624EC8" w:rsidRPr="00737C0F">
              <w:t xml:space="preserve"> x 10</w:t>
            </w:r>
            <w:r w:rsidRPr="00737C0F">
              <w:t>0 speciālisti)</w:t>
            </w:r>
            <w:r w:rsidR="006A23F4" w:rsidRPr="00737C0F">
              <w:t>;</w:t>
            </w:r>
          </w:p>
          <w:p w:rsidR="009F3972" w:rsidRPr="00737C0F" w:rsidRDefault="009F3972" w:rsidP="007B2650">
            <w:pPr>
              <w:jc w:val="both"/>
            </w:pPr>
            <w:r w:rsidRPr="00737C0F">
              <w:t>-kancelejas preces</w:t>
            </w:r>
            <w:r w:rsidR="00FE2E61" w:rsidRPr="00737C0F">
              <w:t xml:space="preserve"> </w:t>
            </w:r>
            <w:r w:rsidR="00624EC8" w:rsidRPr="00737C0F">
              <w:t>– 218.00</w:t>
            </w:r>
            <w:r w:rsidR="00FE2E61" w:rsidRPr="00737C0F">
              <w:t xml:space="preserve"> </w:t>
            </w:r>
            <w:proofErr w:type="spellStart"/>
            <w:r w:rsidR="00FE2E61" w:rsidRPr="00737C0F">
              <w:t>euro</w:t>
            </w:r>
            <w:proofErr w:type="spellEnd"/>
            <w:r w:rsidRPr="00737C0F">
              <w:t xml:space="preserve"> (</w:t>
            </w:r>
            <w:r w:rsidR="00FE2E61" w:rsidRPr="00737C0F">
              <w:t>2.1</w:t>
            </w:r>
            <w:r w:rsidR="00351BA6" w:rsidRPr="00737C0F">
              <w:t>8</w:t>
            </w:r>
            <w:r w:rsidR="00FE2E61" w:rsidRPr="00737C0F">
              <w:t xml:space="preserve"> </w:t>
            </w:r>
            <w:proofErr w:type="spellStart"/>
            <w:r w:rsidR="00FE2E61" w:rsidRPr="00737C0F">
              <w:t>euro</w:t>
            </w:r>
            <w:proofErr w:type="spellEnd"/>
            <w:r w:rsidR="00624EC8" w:rsidRPr="00737C0F">
              <w:t xml:space="preserve"> x 10</w:t>
            </w:r>
            <w:r w:rsidRPr="00737C0F">
              <w:t>0 speciālisti)</w:t>
            </w:r>
            <w:r w:rsidR="006A23F4" w:rsidRPr="00737C0F">
              <w:t>;</w:t>
            </w:r>
          </w:p>
          <w:p w:rsidR="009F3972" w:rsidRPr="00737C0F" w:rsidRDefault="009F3972" w:rsidP="007B2650">
            <w:pPr>
              <w:jc w:val="both"/>
            </w:pPr>
            <w:r w:rsidRPr="00737C0F">
              <w:t>-apmācību organizēšana</w:t>
            </w:r>
            <w:r w:rsidR="006A23F4" w:rsidRPr="00737C0F">
              <w:t xml:space="preserve"> </w:t>
            </w:r>
            <w:r w:rsidR="008D582E" w:rsidRPr="00737C0F">
              <w:t>–</w:t>
            </w:r>
            <w:r w:rsidRPr="00737C0F">
              <w:t xml:space="preserve"> </w:t>
            </w:r>
            <w:r w:rsidR="008D582E" w:rsidRPr="00737C0F">
              <w:t>1280.60</w:t>
            </w:r>
            <w:r w:rsidR="00FE2E61" w:rsidRPr="00737C0F">
              <w:t xml:space="preserve"> </w:t>
            </w:r>
            <w:proofErr w:type="spellStart"/>
            <w:r w:rsidR="00FE2E61" w:rsidRPr="00737C0F">
              <w:t>euro</w:t>
            </w:r>
            <w:proofErr w:type="spellEnd"/>
            <w:r w:rsidRPr="00737C0F">
              <w:t xml:space="preserve"> (</w:t>
            </w:r>
            <w:r w:rsidR="00FE2E61" w:rsidRPr="00737C0F">
              <w:t xml:space="preserve">256.12 </w:t>
            </w:r>
            <w:proofErr w:type="spellStart"/>
            <w:r w:rsidR="00FE2E61" w:rsidRPr="00737C0F">
              <w:t>euro</w:t>
            </w:r>
            <w:proofErr w:type="spellEnd"/>
            <w:r w:rsidR="00FE2E61" w:rsidRPr="00737C0F">
              <w:t xml:space="preserve"> </w:t>
            </w:r>
            <w:r w:rsidR="008D582E" w:rsidRPr="00737C0F">
              <w:t>x 5</w:t>
            </w:r>
            <w:r w:rsidRPr="00737C0F">
              <w:t xml:space="preserve"> grupas)</w:t>
            </w:r>
            <w:r w:rsidR="006A23F4" w:rsidRPr="00737C0F">
              <w:t>;</w:t>
            </w:r>
          </w:p>
          <w:p w:rsidR="009F3972" w:rsidRPr="00737C0F" w:rsidRDefault="009F3972" w:rsidP="007B2650">
            <w:pPr>
              <w:pStyle w:val="naisf"/>
              <w:spacing w:before="0" w:after="0"/>
              <w:ind w:firstLine="0"/>
            </w:pPr>
            <w:r w:rsidRPr="00737C0F">
              <w:t>-transporta izdevumi</w:t>
            </w:r>
            <w:r w:rsidR="00075D0E" w:rsidRPr="00737C0F">
              <w:t xml:space="preserve"> (1</w:t>
            </w:r>
            <w:r w:rsidR="005F0FA4" w:rsidRPr="00737C0F">
              <w:t>6</w:t>
            </w:r>
            <w:r w:rsidR="00075D0E" w:rsidRPr="00737C0F">
              <w:t xml:space="preserve"> braucieni) –</w:t>
            </w:r>
            <w:r w:rsidRPr="00737C0F">
              <w:t xml:space="preserve"> </w:t>
            </w:r>
            <w:r w:rsidR="005F0FA4" w:rsidRPr="00737C0F">
              <w:t>574.78</w:t>
            </w:r>
            <w:r w:rsidR="00FE2E61" w:rsidRPr="00737C0F">
              <w:t xml:space="preserve"> </w:t>
            </w:r>
            <w:proofErr w:type="spellStart"/>
            <w:r w:rsidR="00FE2E61" w:rsidRPr="00737C0F">
              <w:t>euro</w:t>
            </w:r>
            <w:proofErr w:type="spellEnd"/>
            <w:r w:rsidR="00FE2E61" w:rsidRPr="00737C0F">
              <w:t>.</w:t>
            </w:r>
          </w:p>
          <w:p w:rsidR="00544B93" w:rsidRPr="00737C0F" w:rsidRDefault="00544B93" w:rsidP="007B2650">
            <w:pPr>
              <w:pStyle w:val="naisf"/>
              <w:spacing w:before="0" w:after="0"/>
              <w:ind w:firstLine="0"/>
            </w:pPr>
          </w:p>
          <w:p w:rsidR="008D582E" w:rsidRPr="00737C0F" w:rsidRDefault="008D582E" w:rsidP="007B2650">
            <w:pPr>
              <w:pStyle w:val="naisf"/>
              <w:spacing w:before="0" w:after="0"/>
              <w:ind w:firstLine="0"/>
              <w:rPr>
                <w:i/>
              </w:rPr>
            </w:pPr>
            <w:r w:rsidRPr="00737C0F">
              <w:rPr>
                <w:i/>
              </w:rPr>
              <w:t>Apmācības notiek 4 dienas, t.i. no Rīgas līdz apmācību vietai – 8 braucieni. Apmācības ārpus Rīgas</w:t>
            </w:r>
            <w:r w:rsidR="005F0FA4" w:rsidRPr="00737C0F">
              <w:rPr>
                <w:i/>
              </w:rPr>
              <w:t xml:space="preserve"> notiek 2 grupām.  Kopā 2 grupas x 8 braucieni = 1</w:t>
            </w:r>
            <w:r w:rsidRPr="00737C0F">
              <w:rPr>
                <w:i/>
              </w:rPr>
              <w:t xml:space="preserve">6 braucieni. </w:t>
            </w:r>
            <w:r w:rsidR="005F0FA4" w:rsidRPr="00737C0F">
              <w:rPr>
                <w:i/>
              </w:rPr>
              <w:t>Kopējais nobrauktais attālums: 16 braucieni x 400 km = 6</w:t>
            </w:r>
            <w:r w:rsidRPr="00737C0F">
              <w:rPr>
                <w:i/>
              </w:rPr>
              <w:t xml:space="preserve">400 km. Vidējais degvielas patēriņš 7 litri/ 100 km. Kopā patērētā degviela: </w:t>
            </w:r>
            <w:r w:rsidR="005F0FA4" w:rsidRPr="00737C0F">
              <w:rPr>
                <w:i/>
              </w:rPr>
              <w:t>448</w:t>
            </w:r>
            <w:r w:rsidRPr="00737C0F">
              <w:rPr>
                <w:i/>
              </w:rPr>
              <w:t xml:space="preserve"> litri. Degvielas vidējā cena: 1,283 </w:t>
            </w:r>
            <w:proofErr w:type="spellStart"/>
            <w:r w:rsidRPr="00737C0F">
              <w:rPr>
                <w:i/>
              </w:rPr>
              <w:t>euro</w:t>
            </w:r>
            <w:proofErr w:type="spellEnd"/>
            <w:r w:rsidRPr="00737C0F">
              <w:rPr>
                <w:i/>
              </w:rPr>
              <w:t xml:space="preserve">/ 1 litrs. Kopējie transporta izdevumi: </w:t>
            </w:r>
            <w:r w:rsidR="005F0FA4" w:rsidRPr="00737C0F">
              <w:rPr>
                <w:i/>
              </w:rPr>
              <w:t>574.78</w:t>
            </w:r>
            <w:r w:rsidRPr="00737C0F">
              <w:rPr>
                <w:i/>
              </w:rPr>
              <w:t xml:space="preserve"> </w:t>
            </w:r>
            <w:proofErr w:type="spellStart"/>
            <w:r w:rsidRPr="00737C0F">
              <w:rPr>
                <w:i/>
              </w:rPr>
              <w:t>euro</w:t>
            </w:r>
            <w:proofErr w:type="spellEnd"/>
            <w:r w:rsidRPr="00737C0F">
              <w:rPr>
                <w:i/>
              </w:rPr>
              <w:t>.</w:t>
            </w:r>
          </w:p>
          <w:p w:rsidR="008D582E" w:rsidRPr="00737C0F" w:rsidRDefault="008D582E" w:rsidP="007B2650">
            <w:pPr>
              <w:pStyle w:val="naisf"/>
              <w:spacing w:before="0" w:after="0"/>
              <w:ind w:firstLine="0"/>
            </w:pPr>
          </w:p>
          <w:p w:rsidR="006113E1" w:rsidRPr="00737C0F" w:rsidRDefault="006113E1" w:rsidP="007B2650">
            <w:pPr>
              <w:pStyle w:val="naisf"/>
              <w:spacing w:before="0" w:after="0"/>
              <w:ind w:firstLine="0"/>
              <w:rPr>
                <w:b/>
              </w:rPr>
            </w:pPr>
            <w:r w:rsidRPr="00737C0F">
              <w:rPr>
                <w:b/>
              </w:rPr>
              <w:t xml:space="preserve">*2019.gadā nepieciešami </w:t>
            </w:r>
            <w:r w:rsidR="003C259B" w:rsidRPr="00737C0F">
              <w:rPr>
                <w:b/>
              </w:rPr>
              <w:t>15950</w:t>
            </w:r>
            <w:r w:rsidR="00923D4E" w:rsidRPr="00737C0F">
              <w:rPr>
                <w:b/>
              </w:rPr>
              <w:t>.00</w:t>
            </w:r>
            <w:r w:rsidRPr="00737C0F">
              <w:rPr>
                <w:b/>
              </w:rPr>
              <w:t xml:space="preserve"> </w:t>
            </w:r>
            <w:proofErr w:type="spellStart"/>
            <w:r w:rsidRPr="00737C0F">
              <w:rPr>
                <w:b/>
              </w:rPr>
              <w:t>euro</w:t>
            </w:r>
            <w:proofErr w:type="spellEnd"/>
            <w:r w:rsidRPr="00737C0F">
              <w:rPr>
                <w:b/>
              </w:rPr>
              <w:t>.</w:t>
            </w:r>
          </w:p>
          <w:p w:rsidR="006113E1" w:rsidRPr="00737C0F" w:rsidRDefault="006113E1" w:rsidP="00CC2B48">
            <w:pPr>
              <w:pStyle w:val="naisf"/>
              <w:spacing w:before="0" w:after="0"/>
              <w:ind w:firstLine="0"/>
            </w:pPr>
            <w:r w:rsidRPr="00737C0F">
              <w:t>Saskaņā ar noteikumu projektu speciālists ik pēc pieciem gadiem pilnveido zināšanas bērnu tiesību aizsardzības jomā, apgūstot apmācības programmu, kuras apjoms ir 24 akadēmiskās stundas. Ievērojot minēto, 250 speciālistiem, kuri tika apmācīti 2014.gadā, būs nepieciešams pilnveidot savas zināšanas.</w:t>
            </w:r>
            <w:r w:rsidR="00F15BBC" w:rsidRPr="00737C0F">
              <w:t xml:space="preserve"> Gada laikā apmācības zināšanu pilnveidei tiks organizētas 12 grupām (250 cilvēki), tai skaitā 2 grupās tiks apmācīti 20 speciālisti katrā un 10 grupās 21 speciālists katrā.</w:t>
            </w:r>
          </w:p>
          <w:p w:rsidR="00923D4E" w:rsidRPr="00737C0F" w:rsidRDefault="00923D4E" w:rsidP="00CC2B48">
            <w:pPr>
              <w:pStyle w:val="naisf"/>
              <w:spacing w:before="0" w:after="0"/>
              <w:ind w:firstLine="0"/>
            </w:pPr>
            <w:r w:rsidRPr="00737C0F">
              <w:t xml:space="preserve">Šim mērķim būs nepieciešami </w:t>
            </w:r>
            <w:r w:rsidR="003C259B" w:rsidRPr="00737C0F">
              <w:t>15950</w:t>
            </w:r>
            <w:r w:rsidRPr="00737C0F">
              <w:t xml:space="preserve">.00 </w:t>
            </w:r>
            <w:proofErr w:type="spellStart"/>
            <w:r w:rsidRPr="00737C0F">
              <w:t>euro</w:t>
            </w:r>
            <w:proofErr w:type="spellEnd"/>
            <w:r w:rsidRPr="00737C0F">
              <w:t xml:space="preserve">, t.sk. </w:t>
            </w:r>
            <w:r w:rsidR="003C259B" w:rsidRPr="00737C0F">
              <w:t>15950</w:t>
            </w:r>
            <w:r w:rsidRPr="00737C0F">
              <w:t>.00</w:t>
            </w:r>
            <w:proofErr w:type="gramStart"/>
            <w:r w:rsidRPr="00737C0F">
              <w:t xml:space="preserve">   </w:t>
            </w:r>
            <w:proofErr w:type="spellStart"/>
            <w:proofErr w:type="gramEnd"/>
            <w:r w:rsidRPr="00737C0F">
              <w:t>euro</w:t>
            </w:r>
            <w:proofErr w:type="spellEnd"/>
            <w:r w:rsidRPr="00737C0F">
              <w:t xml:space="preserve"> precēm un pakalpojumiem:</w:t>
            </w:r>
          </w:p>
          <w:p w:rsidR="00923D4E" w:rsidRPr="00737C0F" w:rsidRDefault="00923D4E" w:rsidP="00CC2B48">
            <w:pPr>
              <w:pStyle w:val="naisf"/>
              <w:spacing w:before="0" w:after="0"/>
              <w:ind w:firstLine="0"/>
            </w:pPr>
            <w:r w:rsidRPr="00737C0F">
              <w:t xml:space="preserve"> -lektoru atalgojums, kas ietver arī autoratlīdzību par mācību ma</w:t>
            </w:r>
            <w:r w:rsidR="001A63DA" w:rsidRPr="00737C0F">
              <w:t>teriālu sagatavošanu, - 8193.60</w:t>
            </w:r>
            <w:r w:rsidRPr="00737C0F">
              <w:t xml:space="preserve"> </w:t>
            </w:r>
            <w:proofErr w:type="spellStart"/>
            <w:r w:rsidRPr="00737C0F">
              <w:t>euro</w:t>
            </w:r>
            <w:proofErr w:type="spellEnd"/>
            <w:r w:rsidRPr="00737C0F">
              <w:t xml:space="preserve"> (autoratlīdzības likme 28</w:t>
            </w:r>
            <w:r w:rsidR="001A63DA" w:rsidRPr="00737C0F">
              <w:t xml:space="preserve">.45 </w:t>
            </w:r>
            <w:proofErr w:type="spellStart"/>
            <w:r w:rsidR="001A63DA" w:rsidRPr="00737C0F">
              <w:t>euro</w:t>
            </w:r>
            <w:proofErr w:type="spellEnd"/>
            <w:r w:rsidR="001A63DA" w:rsidRPr="00737C0F">
              <w:t xml:space="preserve"> stundā x 24 stundas x 12</w:t>
            </w:r>
            <w:r w:rsidRPr="00737C0F">
              <w:t xml:space="preserve"> grupas);</w:t>
            </w:r>
          </w:p>
          <w:p w:rsidR="00923D4E" w:rsidRPr="00737C0F" w:rsidRDefault="001A63DA" w:rsidP="00CC2B48">
            <w:pPr>
              <w:pStyle w:val="naisf"/>
              <w:spacing w:before="0" w:after="0"/>
              <w:ind w:firstLine="0"/>
            </w:pPr>
            <w:r w:rsidRPr="00737C0F">
              <w:t>-telpu noma – 2459.52</w:t>
            </w:r>
            <w:r w:rsidR="00923D4E" w:rsidRPr="00737C0F">
              <w:t xml:space="preserve"> </w:t>
            </w:r>
            <w:proofErr w:type="spellStart"/>
            <w:r w:rsidR="00923D4E" w:rsidRPr="00737C0F">
              <w:t>euro</w:t>
            </w:r>
            <w:proofErr w:type="spellEnd"/>
            <w:r w:rsidR="00923D4E" w:rsidRPr="00737C0F">
              <w:t xml:space="preserve"> (8.</w:t>
            </w:r>
            <w:r w:rsidRPr="00737C0F">
              <w:t xml:space="preserve">54 </w:t>
            </w:r>
            <w:proofErr w:type="spellStart"/>
            <w:r w:rsidRPr="00737C0F">
              <w:t>euro</w:t>
            </w:r>
            <w:proofErr w:type="spellEnd"/>
            <w:r w:rsidRPr="00737C0F">
              <w:t xml:space="preserve"> stundā x 24 stundas x 12</w:t>
            </w:r>
            <w:r w:rsidR="00923D4E" w:rsidRPr="00737C0F">
              <w:t xml:space="preserve"> </w:t>
            </w:r>
            <w:r w:rsidR="00923D4E" w:rsidRPr="00737C0F">
              <w:lastRenderedPageBreak/>
              <w:t>grupas);</w:t>
            </w:r>
          </w:p>
          <w:p w:rsidR="00923D4E" w:rsidRPr="00737C0F" w:rsidRDefault="00923D4E" w:rsidP="00CC2B48">
            <w:pPr>
              <w:pStyle w:val="naisf"/>
              <w:spacing w:before="0" w:after="0"/>
              <w:ind w:firstLine="0"/>
            </w:pPr>
            <w:r w:rsidRPr="00737C0F">
              <w:t>-mācību materiālu kopēšana</w:t>
            </w:r>
            <w:r w:rsidR="001A63DA" w:rsidRPr="00737C0F">
              <w:t xml:space="preserve"> – 1000.00 </w:t>
            </w:r>
            <w:proofErr w:type="spellStart"/>
            <w:r w:rsidR="001A63DA" w:rsidRPr="00737C0F">
              <w:t>euro</w:t>
            </w:r>
            <w:proofErr w:type="spellEnd"/>
            <w:r w:rsidR="001A63DA" w:rsidRPr="00737C0F">
              <w:t xml:space="preserve"> (4.00 </w:t>
            </w:r>
            <w:proofErr w:type="spellStart"/>
            <w:r w:rsidR="001A63DA" w:rsidRPr="00737C0F">
              <w:t>euro</w:t>
            </w:r>
            <w:proofErr w:type="spellEnd"/>
            <w:r w:rsidR="001A63DA" w:rsidRPr="00737C0F">
              <w:t xml:space="preserve"> x 250</w:t>
            </w:r>
            <w:r w:rsidRPr="00737C0F">
              <w:t xml:space="preserve"> speciālisti); </w:t>
            </w:r>
          </w:p>
          <w:p w:rsidR="00923D4E" w:rsidRPr="00737C0F" w:rsidRDefault="001A63DA" w:rsidP="00CC2B48">
            <w:pPr>
              <w:pStyle w:val="naisf"/>
              <w:spacing w:before="0" w:after="0"/>
              <w:ind w:firstLine="0"/>
            </w:pPr>
            <w:r w:rsidRPr="00737C0F">
              <w:t xml:space="preserve">-kancelejas preces – 545.00 </w:t>
            </w:r>
            <w:proofErr w:type="spellStart"/>
            <w:r w:rsidRPr="00737C0F">
              <w:t>euro</w:t>
            </w:r>
            <w:proofErr w:type="spellEnd"/>
            <w:r w:rsidRPr="00737C0F">
              <w:t xml:space="preserve"> (2.18 </w:t>
            </w:r>
            <w:proofErr w:type="spellStart"/>
            <w:r w:rsidRPr="00737C0F">
              <w:t>euro</w:t>
            </w:r>
            <w:proofErr w:type="spellEnd"/>
            <w:r w:rsidRPr="00737C0F">
              <w:t xml:space="preserve"> x 250</w:t>
            </w:r>
            <w:r w:rsidR="00923D4E" w:rsidRPr="00737C0F">
              <w:t xml:space="preserve"> speciālisti);</w:t>
            </w:r>
          </w:p>
          <w:p w:rsidR="00923D4E" w:rsidRPr="00737C0F" w:rsidRDefault="00923D4E" w:rsidP="00CC2B48">
            <w:pPr>
              <w:pStyle w:val="naisf"/>
              <w:spacing w:before="0" w:after="0"/>
              <w:ind w:firstLine="0"/>
            </w:pPr>
            <w:r w:rsidRPr="00737C0F">
              <w:t>-</w:t>
            </w:r>
            <w:r w:rsidR="001A63DA" w:rsidRPr="00737C0F">
              <w:t>apmācību organizēšana -</w:t>
            </w:r>
            <w:proofErr w:type="gramStart"/>
            <w:r w:rsidR="001A63DA" w:rsidRPr="00737C0F">
              <w:t xml:space="preserve">  </w:t>
            </w:r>
            <w:proofErr w:type="gramEnd"/>
            <w:r w:rsidR="001A63DA" w:rsidRPr="00737C0F">
              <w:t>2458.80</w:t>
            </w:r>
            <w:r w:rsidRPr="00737C0F">
              <w:t xml:space="preserve"> </w:t>
            </w:r>
            <w:proofErr w:type="spellStart"/>
            <w:r w:rsidRPr="00737C0F">
              <w:t>euro</w:t>
            </w:r>
            <w:proofErr w:type="spellEnd"/>
            <w:r w:rsidRPr="00737C0F">
              <w:t xml:space="preserve"> (204.9 </w:t>
            </w:r>
            <w:proofErr w:type="spellStart"/>
            <w:r w:rsidR="001A63DA" w:rsidRPr="00737C0F">
              <w:t>euro</w:t>
            </w:r>
            <w:proofErr w:type="spellEnd"/>
            <w:r w:rsidR="001A63DA" w:rsidRPr="00737C0F">
              <w:t xml:space="preserve"> x 12</w:t>
            </w:r>
            <w:r w:rsidRPr="00737C0F">
              <w:t xml:space="preserve"> grupas);</w:t>
            </w:r>
          </w:p>
          <w:p w:rsidR="006113E1" w:rsidRPr="00737C0F" w:rsidRDefault="00EE7F27" w:rsidP="00CC2B48">
            <w:pPr>
              <w:pStyle w:val="naisf"/>
              <w:spacing w:before="0" w:after="0"/>
              <w:ind w:firstLine="0"/>
            </w:pPr>
            <w:r w:rsidRPr="00737C0F">
              <w:t>-transporta izdevumi (6</w:t>
            </w:r>
            <w:r w:rsidR="00923D4E" w:rsidRPr="00737C0F">
              <w:t xml:space="preserve"> grupas x 6 braucieni) –</w:t>
            </w:r>
            <w:proofErr w:type="gramStart"/>
            <w:r w:rsidR="00923D4E" w:rsidRPr="00737C0F">
              <w:t xml:space="preserve">   </w:t>
            </w:r>
            <w:proofErr w:type="gramEnd"/>
            <w:r w:rsidRPr="00737C0F">
              <w:t>1293.26</w:t>
            </w:r>
            <w:r w:rsidR="00923D4E" w:rsidRPr="00737C0F">
              <w:t xml:space="preserve"> </w:t>
            </w:r>
            <w:proofErr w:type="spellStart"/>
            <w:r w:rsidR="00923D4E" w:rsidRPr="00737C0F">
              <w:t>euro</w:t>
            </w:r>
            <w:proofErr w:type="spellEnd"/>
            <w:r w:rsidR="00923D4E" w:rsidRPr="00737C0F">
              <w:t>.</w:t>
            </w:r>
          </w:p>
          <w:p w:rsidR="006113E1" w:rsidRPr="00737C0F" w:rsidRDefault="006113E1" w:rsidP="007B2650">
            <w:pPr>
              <w:pStyle w:val="naisf"/>
              <w:spacing w:before="0" w:after="0"/>
              <w:ind w:firstLine="0"/>
            </w:pPr>
          </w:p>
          <w:p w:rsidR="008924B0" w:rsidRPr="00737C0F" w:rsidRDefault="008924B0" w:rsidP="007B2650">
            <w:pPr>
              <w:pStyle w:val="naisf"/>
              <w:spacing w:before="0" w:after="0"/>
              <w:ind w:firstLine="0"/>
              <w:rPr>
                <w:i/>
              </w:rPr>
            </w:pPr>
            <w:r w:rsidRPr="00737C0F">
              <w:rPr>
                <w:i/>
              </w:rPr>
              <w:t xml:space="preserve">Apmācības notiek 3 dienas, t.i. no Rīgas līdz apmācību vietai – 6 braucieni. Apmācības ārpus Rīgas notiek 6 grupām.  Kopā 6 grupas x 6 braucieni = 36 braucieni. Kopējais nobrauktais attālums: 36 braucieni x 400 km = 14400 km. Vidējais degvielas patēriņš 7 litri/ 100 km. Kopā patērētā degviela: 1008 litri. Degvielas vidējā cena: 1,283 </w:t>
            </w:r>
            <w:proofErr w:type="spellStart"/>
            <w:r w:rsidRPr="00737C0F">
              <w:rPr>
                <w:i/>
              </w:rPr>
              <w:t>euro</w:t>
            </w:r>
            <w:proofErr w:type="spellEnd"/>
            <w:r w:rsidRPr="00737C0F">
              <w:rPr>
                <w:i/>
              </w:rPr>
              <w:t xml:space="preserve">/ 1 litrs. Kopējie transporta izdevumi: 1293.26 </w:t>
            </w:r>
            <w:proofErr w:type="spellStart"/>
            <w:r w:rsidRPr="00737C0F">
              <w:rPr>
                <w:i/>
              </w:rPr>
              <w:t>euro</w:t>
            </w:r>
            <w:proofErr w:type="spellEnd"/>
            <w:r w:rsidRPr="00737C0F">
              <w:rPr>
                <w:i/>
              </w:rPr>
              <w:t>.</w:t>
            </w:r>
          </w:p>
          <w:p w:rsidR="002E5A4A" w:rsidRPr="00737C0F" w:rsidRDefault="002E5A4A" w:rsidP="007B2650">
            <w:pPr>
              <w:pStyle w:val="naisf"/>
              <w:spacing w:before="0" w:after="0"/>
              <w:ind w:firstLine="0"/>
              <w:rPr>
                <w:i/>
              </w:rPr>
            </w:pPr>
          </w:p>
          <w:p w:rsidR="002E5A4A" w:rsidRPr="00737C0F" w:rsidRDefault="002E5A4A" w:rsidP="007B2650">
            <w:pPr>
              <w:pStyle w:val="naisf"/>
              <w:spacing w:before="0" w:after="0"/>
              <w:ind w:firstLine="0"/>
              <w:rPr>
                <w:i/>
              </w:rPr>
            </w:pPr>
            <w:r w:rsidRPr="00737C0F">
              <w:rPr>
                <w:i/>
              </w:rPr>
              <w:t xml:space="preserve">Apmācību organizēšanas izmaksas veido: cilvēkstundu izmaksas (4 dienas/ 32 stundas): 2.028 eiro/ st.; telpu izmaksas (aprīkota biroja noma, komunālie pakalpojumi utt.): 30 eiro/ dienā; sakaru pakalpojumu izmaksas: 5 eiro/ dienā. Kopā 4 dienām: 64.9 </w:t>
            </w:r>
            <w:proofErr w:type="spellStart"/>
            <w:r w:rsidRPr="00737C0F">
              <w:rPr>
                <w:i/>
              </w:rPr>
              <w:t>euro</w:t>
            </w:r>
            <w:proofErr w:type="spellEnd"/>
            <w:r w:rsidRPr="00737C0F">
              <w:rPr>
                <w:i/>
              </w:rPr>
              <w:t xml:space="preserve"> + 120 </w:t>
            </w:r>
            <w:proofErr w:type="spellStart"/>
            <w:r w:rsidRPr="00737C0F">
              <w:rPr>
                <w:i/>
              </w:rPr>
              <w:t>euro</w:t>
            </w:r>
            <w:proofErr w:type="spellEnd"/>
            <w:r w:rsidRPr="00737C0F">
              <w:rPr>
                <w:i/>
              </w:rPr>
              <w:t xml:space="preserve"> + 20 </w:t>
            </w:r>
            <w:proofErr w:type="spellStart"/>
            <w:r w:rsidRPr="00737C0F">
              <w:rPr>
                <w:i/>
              </w:rPr>
              <w:t>euro</w:t>
            </w:r>
            <w:proofErr w:type="spellEnd"/>
            <w:r w:rsidRPr="00737C0F">
              <w:rPr>
                <w:i/>
              </w:rPr>
              <w:t xml:space="preserve"> = 204.9</w:t>
            </w:r>
          </w:p>
          <w:p w:rsidR="008924B0" w:rsidRPr="00737C0F" w:rsidRDefault="008924B0" w:rsidP="007B2650">
            <w:pPr>
              <w:pStyle w:val="naisf"/>
              <w:spacing w:before="0" w:after="0"/>
              <w:ind w:firstLine="0"/>
            </w:pPr>
          </w:p>
          <w:p w:rsidR="00AC334B" w:rsidRPr="00737C0F" w:rsidRDefault="00AC334B" w:rsidP="00AC334B">
            <w:pPr>
              <w:pStyle w:val="naisf"/>
              <w:spacing w:before="0" w:after="0"/>
              <w:ind w:firstLine="0"/>
              <w:rPr>
                <w:b/>
              </w:rPr>
            </w:pPr>
            <w:r w:rsidRPr="00737C0F">
              <w:rPr>
                <w:b/>
              </w:rPr>
              <w:t>*20</w:t>
            </w:r>
            <w:r w:rsidR="00F8024A" w:rsidRPr="00737C0F">
              <w:rPr>
                <w:b/>
              </w:rPr>
              <w:t>20</w:t>
            </w:r>
            <w:r w:rsidRPr="00737C0F">
              <w:rPr>
                <w:b/>
              </w:rPr>
              <w:t xml:space="preserve">. un turpmākajos gados nepieciešami </w:t>
            </w:r>
            <w:r w:rsidR="007E3E32" w:rsidRPr="00737C0F">
              <w:rPr>
                <w:b/>
              </w:rPr>
              <w:t>49 077,79</w:t>
            </w:r>
            <w:r w:rsidRPr="00737C0F">
              <w:rPr>
                <w:b/>
              </w:rPr>
              <w:t xml:space="preserve"> </w:t>
            </w:r>
            <w:proofErr w:type="spellStart"/>
            <w:r w:rsidRPr="00737C0F">
              <w:rPr>
                <w:b/>
              </w:rPr>
              <w:t>euro</w:t>
            </w:r>
            <w:proofErr w:type="spellEnd"/>
            <w:r w:rsidRPr="00737C0F">
              <w:rPr>
                <w:b/>
              </w:rPr>
              <w:t>.</w:t>
            </w:r>
          </w:p>
          <w:p w:rsidR="00544B93" w:rsidRPr="00737C0F" w:rsidRDefault="00544B93" w:rsidP="00544B93">
            <w:pPr>
              <w:pStyle w:val="naisf"/>
              <w:tabs>
                <w:tab w:val="left" w:pos="4644"/>
              </w:tabs>
              <w:spacing w:before="0" w:after="0"/>
              <w:ind w:firstLine="0"/>
            </w:pPr>
            <w:r w:rsidRPr="00737C0F">
              <w:t>Saskaņā ar noteikumu projektu speciālists ik pēc pieciem gadiem pilnveido zināšanas bērnu tiesību aizsardzības jomā, apgūstot apmācības programmu, kuras apjoms ir 24 akadēmiskās stundas. Ievērojot minēto, iepriekš apmācītajiem</w:t>
            </w:r>
            <w:proofErr w:type="gramStart"/>
            <w:r w:rsidRPr="00737C0F">
              <w:t xml:space="preserve"> </w:t>
            </w:r>
            <w:r w:rsidR="005F0FA4" w:rsidRPr="00737C0F">
              <w:t xml:space="preserve"> </w:t>
            </w:r>
            <w:proofErr w:type="gramEnd"/>
            <w:r w:rsidRPr="00737C0F">
              <w:t xml:space="preserve">speciālistiem būs nepieciešams pilnveidot savas </w:t>
            </w:r>
            <w:r w:rsidR="005F0FA4" w:rsidRPr="00737C0F">
              <w:t>zināšanas.</w:t>
            </w:r>
            <w:r w:rsidR="002536AC" w:rsidRPr="00737C0F">
              <w:t xml:space="preserve"> </w:t>
            </w:r>
            <w:r w:rsidR="005F0FA4" w:rsidRPr="00737C0F">
              <w:t xml:space="preserve">Gada laikā </w:t>
            </w:r>
            <w:r w:rsidR="0085146D" w:rsidRPr="00737C0F">
              <w:t xml:space="preserve">apmācības zināšanu pilnveidei </w:t>
            </w:r>
            <w:r w:rsidR="005F0FA4" w:rsidRPr="00737C0F">
              <w:t>tiks organizētas 30 grupām (606 cilvēki), tai skaitā 24 grupās tiks apmācīti 20 speciālisti katrā un 6 grupās 21 speciālists katrā. Š</w:t>
            </w:r>
            <w:r w:rsidRPr="00737C0F">
              <w:t xml:space="preserve">im mērķim ik gadu būs nepieciešami </w:t>
            </w:r>
            <w:r w:rsidR="009D7829" w:rsidRPr="00737C0F">
              <w:t>39111.41</w:t>
            </w:r>
            <w:r w:rsidRPr="00737C0F">
              <w:t xml:space="preserve"> </w:t>
            </w:r>
            <w:proofErr w:type="spellStart"/>
            <w:r w:rsidRPr="00737C0F">
              <w:t>euro</w:t>
            </w:r>
            <w:proofErr w:type="spellEnd"/>
            <w:r w:rsidRPr="00737C0F">
              <w:t xml:space="preserve">, t.sk. </w:t>
            </w:r>
            <w:r w:rsidR="009D7829" w:rsidRPr="00737C0F">
              <w:t>39111.41</w:t>
            </w:r>
            <w:r w:rsidRPr="00737C0F">
              <w:t xml:space="preserve"> </w:t>
            </w:r>
            <w:proofErr w:type="spellStart"/>
            <w:r w:rsidRPr="00737C0F">
              <w:t>euro</w:t>
            </w:r>
            <w:proofErr w:type="spellEnd"/>
            <w:r w:rsidRPr="00737C0F">
              <w:t xml:space="preserve"> precēm un pakalpojumiem:</w:t>
            </w:r>
          </w:p>
          <w:p w:rsidR="00544B93" w:rsidRPr="00737C0F" w:rsidRDefault="00544B93" w:rsidP="00544B93">
            <w:pPr>
              <w:pStyle w:val="naisf"/>
              <w:tabs>
                <w:tab w:val="left" w:pos="4644"/>
              </w:tabs>
              <w:spacing w:before="0" w:after="0"/>
              <w:ind w:firstLine="0"/>
            </w:pPr>
            <w:r w:rsidRPr="00737C0F">
              <w:t xml:space="preserve"> -lektoru atalgojums, kas ietver arī autoratlīdzību par mācību materiālu sagatavošanu, - </w:t>
            </w:r>
            <w:r w:rsidR="00125CD2" w:rsidRPr="00737C0F">
              <w:t>20484.00</w:t>
            </w:r>
            <w:r w:rsidRPr="00737C0F">
              <w:t xml:space="preserve"> </w:t>
            </w:r>
            <w:proofErr w:type="spellStart"/>
            <w:r w:rsidRPr="00737C0F">
              <w:t>euro</w:t>
            </w:r>
            <w:proofErr w:type="spellEnd"/>
            <w:r w:rsidRPr="00737C0F">
              <w:t xml:space="preserve"> (autoratlīdzības likme 28.</w:t>
            </w:r>
            <w:r w:rsidR="00125CD2" w:rsidRPr="00737C0F">
              <w:t xml:space="preserve">45 </w:t>
            </w:r>
            <w:proofErr w:type="spellStart"/>
            <w:r w:rsidR="00125CD2" w:rsidRPr="00737C0F">
              <w:t>euro</w:t>
            </w:r>
            <w:proofErr w:type="spellEnd"/>
            <w:r w:rsidR="00125CD2" w:rsidRPr="00737C0F">
              <w:t xml:space="preserve"> stundā x 24 stundas x 30</w:t>
            </w:r>
            <w:r w:rsidRPr="00737C0F">
              <w:t xml:space="preserve"> grupas);</w:t>
            </w:r>
          </w:p>
          <w:p w:rsidR="00544B93" w:rsidRPr="00737C0F" w:rsidRDefault="00125CD2" w:rsidP="00544B93">
            <w:pPr>
              <w:pStyle w:val="naisf"/>
              <w:tabs>
                <w:tab w:val="left" w:pos="4644"/>
              </w:tabs>
              <w:spacing w:before="0" w:after="0"/>
              <w:ind w:firstLine="0"/>
            </w:pPr>
            <w:r w:rsidRPr="00737C0F">
              <w:t>-telpu noma – 6148.8</w:t>
            </w:r>
            <w:r w:rsidR="00544B93" w:rsidRPr="00737C0F">
              <w:t xml:space="preserve"> </w:t>
            </w:r>
            <w:proofErr w:type="spellStart"/>
            <w:r w:rsidR="00544B93" w:rsidRPr="00737C0F">
              <w:t>euro</w:t>
            </w:r>
            <w:proofErr w:type="spellEnd"/>
            <w:r w:rsidR="00544B93" w:rsidRPr="00737C0F">
              <w:t xml:space="preserve"> (8.54 </w:t>
            </w:r>
            <w:proofErr w:type="spellStart"/>
            <w:r w:rsidR="00544B93" w:rsidRPr="00737C0F">
              <w:t>euro</w:t>
            </w:r>
            <w:proofErr w:type="spellEnd"/>
            <w:r w:rsidR="00544B93" w:rsidRPr="00737C0F">
              <w:t xml:space="preserve"> stundā x 24 stundas x </w:t>
            </w:r>
            <w:r w:rsidRPr="00737C0F">
              <w:t>30</w:t>
            </w:r>
            <w:r w:rsidR="00544B93" w:rsidRPr="00737C0F">
              <w:t xml:space="preserve"> grupas);</w:t>
            </w:r>
          </w:p>
          <w:p w:rsidR="00544B93" w:rsidRPr="00737C0F" w:rsidRDefault="00544B93" w:rsidP="00544B93">
            <w:pPr>
              <w:pStyle w:val="naisf"/>
              <w:tabs>
                <w:tab w:val="left" w:pos="4644"/>
              </w:tabs>
              <w:spacing w:before="0" w:after="0"/>
              <w:ind w:firstLine="0"/>
            </w:pPr>
            <w:r w:rsidRPr="00737C0F">
              <w:t>-mācību materiā</w:t>
            </w:r>
            <w:r w:rsidR="00125CD2" w:rsidRPr="00737C0F">
              <w:t xml:space="preserve">lu kopēšana – </w:t>
            </w:r>
            <w:r w:rsidR="009D7829" w:rsidRPr="00737C0F">
              <w:t>2424.00</w:t>
            </w:r>
            <w:r w:rsidR="00125CD2" w:rsidRPr="00737C0F">
              <w:t xml:space="preserve"> </w:t>
            </w:r>
            <w:proofErr w:type="spellStart"/>
            <w:r w:rsidR="00125CD2" w:rsidRPr="00737C0F">
              <w:t>euro</w:t>
            </w:r>
            <w:proofErr w:type="spellEnd"/>
            <w:r w:rsidR="00125CD2" w:rsidRPr="00737C0F">
              <w:t xml:space="preserve"> (4.</w:t>
            </w:r>
            <w:r w:rsidR="009D7829" w:rsidRPr="00737C0F">
              <w:t>00</w:t>
            </w:r>
            <w:r w:rsidR="00125CD2" w:rsidRPr="00737C0F">
              <w:t xml:space="preserve"> </w:t>
            </w:r>
            <w:proofErr w:type="spellStart"/>
            <w:r w:rsidR="00125CD2" w:rsidRPr="00737C0F">
              <w:t>euro</w:t>
            </w:r>
            <w:proofErr w:type="spellEnd"/>
            <w:r w:rsidR="00125CD2" w:rsidRPr="00737C0F">
              <w:t xml:space="preserve"> x 606</w:t>
            </w:r>
            <w:r w:rsidRPr="00737C0F">
              <w:t xml:space="preserve"> speciālisti); </w:t>
            </w:r>
          </w:p>
          <w:p w:rsidR="00544B93" w:rsidRPr="00737C0F" w:rsidRDefault="00544B93" w:rsidP="00544B93">
            <w:pPr>
              <w:pStyle w:val="naisf"/>
              <w:tabs>
                <w:tab w:val="left" w:pos="4644"/>
              </w:tabs>
              <w:spacing w:before="0" w:after="0"/>
              <w:ind w:firstLine="0"/>
            </w:pPr>
            <w:r w:rsidRPr="00737C0F">
              <w:t>-kance</w:t>
            </w:r>
            <w:r w:rsidR="00125CD2" w:rsidRPr="00737C0F">
              <w:t xml:space="preserve">lejas preces – 1321.08 </w:t>
            </w:r>
            <w:proofErr w:type="spellStart"/>
            <w:r w:rsidR="00125CD2" w:rsidRPr="00737C0F">
              <w:t>euro</w:t>
            </w:r>
            <w:proofErr w:type="spellEnd"/>
            <w:r w:rsidR="00125CD2" w:rsidRPr="00737C0F">
              <w:t xml:space="preserve"> (2.18</w:t>
            </w:r>
            <w:r w:rsidRPr="00737C0F">
              <w:t xml:space="preserve"> </w:t>
            </w:r>
            <w:proofErr w:type="spellStart"/>
            <w:r w:rsidRPr="00737C0F">
              <w:t>euro</w:t>
            </w:r>
            <w:proofErr w:type="spellEnd"/>
            <w:r w:rsidRPr="00737C0F">
              <w:t xml:space="preserve"> x </w:t>
            </w:r>
            <w:r w:rsidR="00125CD2" w:rsidRPr="00737C0F">
              <w:t>606</w:t>
            </w:r>
            <w:r w:rsidRPr="00737C0F">
              <w:t xml:space="preserve"> speciālisti);</w:t>
            </w:r>
          </w:p>
          <w:p w:rsidR="00544B93" w:rsidRPr="00737C0F" w:rsidRDefault="00544B93" w:rsidP="00544B93">
            <w:pPr>
              <w:pStyle w:val="naisf"/>
              <w:tabs>
                <w:tab w:val="left" w:pos="4644"/>
              </w:tabs>
              <w:spacing w:before="0" w:after="0"/>
              <w:ind w:firstLine="0"/>
            </w:pPr>
            <w:r w:rsidRPr="00737C0F">
              <w:t>-apmācību organizēšana</w:t>
            </w:r>
            <w:r w:rsidR="002536AC" w:rsidRPr="00737C0F">
              <w:t xml:space="preserve"> -</w:t>
            </w:r>
            <w:proofErr w:type="gramStart"/>
            <w:r w:rsidR="002536AC" w:rsidRPr="00737C0F">
              <w:t xml:space="preserve">  </w:t>
            </w:r>
            <w:proofErr w:type="gramEnd"/>
            <w:r w:rsidR="002536AC" w:rsidRPr="00737C0F">
              <w:t xml:space="preserve">6147.00 </w:t>
            </w:r>
            <w:proofErr w:type="spellStart"/>
            <w:r w:rsidR="002536AC" w:rsidRPr="00737C0F">
              <w:t>euro</w:t>
            </w:r>
            <w:proofErr w:type="spellEnd"/>
            <w:r w:rsidR="002536AC" w:rsidRPr="00737C0F">
              <w:t xml:space="preserve"> (204.9 </w:t>
            </w:r>
            <w:proofErr w:type="spellStart"/>
            <w:r w:rsidR="002536AC" w:rsidRPr="00737C0F">
              <w:t>euro</w:t>
            </w:r>
            <w:proofErr w:type="spellEnd"/>
            <w:r w:rsidR="002536AC" w:rsidRPr="00737C0F">
              <w:t xml:space="preserve"> x 30</w:t>
            </w:r>
            <w:r w:rsidRPr="00737C0F">
              <w:t xml:space="preserve"> grupas);</w:t>
            </w:r>
          </w:p>
          <w:p w:rsidR="00544B93" w:rsidRPr="00737C0F" w:rsidRDefault="002536AC" w:rsidP="00544B93">
            <w:pPr>
              <w:pStyle w:val="naisf"/>
              <w:tabs>
                <w:tab w:val="left" w:pos="4644"/>
              </w:tabs>
              <w:spacing w:before="0" w:after="0"/>
              <w:ind w:firstLine="0"/>
            </w:pPr>
            <w:r w:rsidRPr="00737C0F">
              <w:t xml:space="preserve">-transporta izdevumi (12 grupas x </w:t>
            </w:r>
            <w:r w:rsidR="00544B93" w:rsidRPr="00737C0F">
              <w:t>6 braucieni) –</w:t>
            </w:r>
            <w:proofErr w:type="gramStart"/>
            <w:r w:rsidR="00544B93" w:rsidRPr="00737C0F">
              <w:t xml:space="preserve">   </w:t>
            </w:r>
            <w:proofErr w:type="gramEnd"/>
            <w:r w:rsidRPr="00737C0F">
              <w:t>2586.53</w:t>
            </w:r>
            <w:r w:rsidR="00544B93" w:rsidRPr="00737C0F">
              <w:t xml:space="preserve"> </w:t>
            </w:r>
            <w:proofErr w:type="spellStart"/>
            <w:r w:rsidR="00544B93" w:rsidRPr="00737C0F">
              <w:t>euro</w:t>
            </w:r>
            <w:proofErr w:type="spellEnd"/>
            <w:r w:rsidR="00544B93" w:rsidRPr="00737C0F">
              <w:t>.</w:t>
            </w:r>
          </w:p>
          <w:p w:rsidR="00F8097D" w:rsidRPr="00737C0F" w:rsidRDefault="00F8097D" w:rsidP="0068293F">
            <w:pPr>
              <w:pStyle w:val="naisf"/>
              <w:spacing w:before="0" w:after="0"/>
              <w:ind w:firstLine="0"/>
              <w:rPr>
                <w:i/>
              </w:rPr>
            </w:pPr>
          </w:p>
          <w:p w:rsidR="009F3972" w:rsidRPr="00737C0F" w:rsidRDefault="00F8097D" w:rsidP="0068293F">
            <w:pPr>
              <w:pStyle w:val="naisf"/>
              <w:spacing w:before="0" w:after="0"/>
              <w:ind w:firstLine="0"/>
            </w:pPr>
            <w:r w:rsidRPr="00737C0F">
              <w:rPr>
                <w:i/>
              </w:rPr>
              <w:t xml:space="preserve">Apmācību organizēšanas izmaksas veido: cilvēkstundu izmaksas (4 dienas/ 32 stundas): 2.028 eiro/ st.; telpu izmaksas (aprīkota biroja noma, komunālie pakalpojumi utt.): 30 eiro/ dienā; sakaru pakalpojumu izmaksas: 5 eiro/ dienā. Kopā 4 dienām: 64.9 </w:t>
            </w:r>
            <w:proofErr w:type="spellStart"/>
            <w:r w:rsidRPr="00737C0F">
              <w:rPr>
                <w:i/>
              </w:rPr>
              <w:t>euro</w:t>
            </w:r>
            <w:proofErr w:type="spellEnd"/>
            <w:r w:rsidRPr="00737C0F">
              <w:rPr>
                <w:i/>
              </w:rPr>
              <w:t xml:space="preserve"> + 120 </w:t>
            </w:r>
            <w:proofErr w:type="spellStart"/>
            <w:r w:rsidRPr="00737C0F">
              <w:rPr>
                <w:i/>
              </w:rPr>
              <w:t>euro</w:t>
            </w:r>
            <w:proofErr w:type="spellEnd"/>
            <w:r w:rsidRPr="00737C0F">
              <w:rPr>
                <w:i/>
              </w:rPr>
              <w:t xml:space="preserve"> + 20 </w:t>
            </w:r>
            <w:proofErr w:type="spellStart"/>
            <w:r w:rsidRPr="00737C0F">
              <w:rPr>
                <w:i/>
              </w:rPr>
              <w:t>euro</w:t>
            </w:r>
            <w:proofErr w:type="spellEnd"/>
            <w:r w:rsidRPr="00737C0F">
              <w:rPr>
                <w:i/>
              </w:rPr>
              <w:t xml:space="preserve"> = 204.9</w:t>
            </w:r>
          </w:p>
          <w:p w:rsidR="00F8097D" w:rsidRPr="00737C0F" w:rsidRDefault="00F8097D" w:rsidP="0068293F">
            <w:pPr>
              <w:pStyle w:val="naisf"/>
              <w:spacing w:before="0" w:after="0"/>
              <w:ind w:firstLine="0"/>
            </w:pPr>
          </w:p>
          <w:p w:rsidR="00540D2C" w:rsidRPr="00737C0F" w:rsidRDefault="00540D2C" w:rsidP="0068293F">
            <w:pPr>
              <w:pStyle w:val="naisf"/>
              <w:spacing w:before="0" w:after="0"/>
              <w:ind w:firstLine="0"/>
              <w:rPr>
                <w:i/>
              </w:rPr>
            </w:pPr>
            <w:r w:rsidRPr="00737C0F">
              <w:rPr>
                <w:i/>
              </w:rPr>
              <w:t xml:space="preserve">Apmācības notiek 3 dienas, t.i. no Rīgas līdz apmācību vietai – 6 braucieni. Apmācības ārpus Rīgas notiek 12 grupām.  Kopā 12 grupas x 6 braucieni = 72 braucieni. Kopējais nobrauktais attālums: 72 braucieni x 400 km = 28800 km. Vidējais degvielas patēriņš 7 litri/ 100 km. Kopā patērētā degviela: 2016 litri. </w:t>
            </w:r>
            <w:r w:rsidRPr="00737C0F">
              <w:rPr>
                <w:i/>
              </w:rPr>
              <w:lastRenderedPageBreak/>
              <w:t xml:space="preserve">Degvielas vidējā cena: 1,283 </w:t>
            </w:r>
            <w:proofErr w:type="spellStart"/>
            <w:r w:rsidRPr="00737C0F">
              <w:rPr>
                <w:i/>
              </w:rPr>
              <w:t>euro</w:t>
            </w:r>
            <w:proofErr w:type="spellEnd"/>
            <w:r w:rsidRPr="00737C0F">
              <w:rPr>
                <w:i/>
              </w:rPr>
              <w:t xml:space="preserve">/ 1 litrs. Kopējie transporta izdevumi: 2586.53 </w:t>
            </w:r>
            <w:proofErr w:type="spellStart"/>
            <w:r w:rsidRPr="00737C0F">
              <w:rPr>
                <w:i/>
              </w:rPr>
              <w:t>euro</w:t>
            </w:r>
            <w:proofErr w:type="spellEnd"/>
            <w:r w:rsidRPr="00737C0F">
              <w:rPr>
                <w:i/>
              </w:rPr>
              <w:t>.</w:t>
            </w:r>
          </w:p>
          <w:p w:rsidR="00540D2C" w:rsidRPr="00737C0F" w:rsidRDefault="00540D2C" w:rsidP="0068293F">
            <w:pPr>
              <w:pStyle w:val="naisf"/>
              <w:spacing w:before="0" w:after="0"/>
              <w:ind w:firstLine="0"/>
            </w:pPr>
          </w:p>
          <w:p w:rsidR="002536AC" w:rsidRPr="00737C0F" w:rsidRDefault="002D7FFC" w:rsidP="002536AC">
            <w:pPr>
              <w:pStyle w:val="naisf"/>
              <w:spacing w:before="0" w:after="0"/>
              <w:ind w:firstLine="0"/>
            </w:pPr>
            <w:r w:rsidRPr="00737C0F">
              <w:t>Vienla</w:t>
            </w:r>
            <w:r w:rsidR="002536AC" w:rsidRPr="00737C0F">
              <w:t>ikus katru gadu tiks turpināta 10</w:t>
            </w:r>
            <w:r w:rsidRPr="00737C0F">
              <w:t xml:space="preserve">0 speciālistu apmācība pēc 40 stundu programmas, lai kadru mainība neietekmētu apmācīto speciālistu skaita samazināšanos. </w:t>
            </w:r>
            <w:r w:rsidR="002536AC" w:rsidRPr="00737C0F">
              <w:t xml:space="preserve">Izmaksas ir </w:t>
            </w:r>
            <w:r w:rsidRPr="00737C0F">
              <w:t xml:space="preserve">kā 2018.gadā. </w:t>
            </w:r>
          </w:p>
        </w:tc>
      </w:tr>
      <w:tr w:rsidR="009F3972" w:rsidRPr="00737C0F" w:rsidTr="0068293F">
        <w:trPr>
          <w:jc w:val="center"/>
        </w:trPr>
        <w:tc>
          <w:tcPr>
            <w:tcW w:w="3324" w:type="dxa"/>
          </w:tcPr>
          <w:p w:rsidR="009F3972" w:rsidRPr="00737C0F" w:rsidRDefault="009F3972" w:rsidP="0068293F">
            <w:pPr>
              <w:jc w:val="both"/>
            </w:pPr>
            <w:r w:rsidRPr="00737C0F">
              <w:lastRenderedPageBreak/>
              <w:t>6.1. detalizēts ieņēmumu aprēķins</w:t>
            </w:r>
          </w:p>
        </w:tc>
        <w:tc>
          <w:tcPr>
            <w:tcW w:w="6800" w:type="dxa"/>
            <w:gridSpan w:val="5"/>
            <w:vMerge/>
          </w:tcPr>
          <w:p w:rsidR="009F3972" w:rsidRPr="00737C0F" w:rsidRDefault="009F3972" w:rsidP="0068293F">
            <w:pPr>
              <w:pStyle w:val="naisf"/>
              <w:spacing w:before="0" w:after="0"/>
              <w:ind w:firstLine="0"/>
              <w:rPr>
                <w:b/>
                <w:i/>
              </w:rPr>
            </w:pPr>
          </w:p>
        </w:tc>
      </w:tr>
      <w:tr w:rsidR="009F3972" w:rsidRPr="00737C0F" w:rsidTr="0068293F">
        <w:trPr>
          <w:jc w:val="center"/>
        </w:trPr>
        <w:tc>
          <w:tcPr>
            <w:tcW w:w="3324" w:type="dxa"/>
          </w:tcPr>
          <w:p w:rsidR="009F3972" w:rsidRPr="00737C0F" w:rsidRDefault="009F3972" w:rsidP="0068293F">
            <w:pPr>
              <w:jc w:val="both"/>
            </w:pPr>
            <w:r w:rsidRPr="00737C0F">
              <w:t>6.2. detalizēts izdevumu aprēķins</w:t>
            </w:r>
          </w:p>
        </w:tc>
        <w:tc>
          <w:tcPr>
            <w:tcW w:w="6800" w:type="dxa"/>
            <w:gridSpan w:val="5"/>
            <w:vMerge/>
          </w:tcPr>
          <w:p w:rsidR="009F3972" w:rsidRPr="00737C0F" w:rsidRDefault="009F3972" w:rsidP="0068293F">
            <w:pPr>
              <w:pStyle w:val="naisf"/>
              <w:spacing w:before="0" w:after="0"/>
              <w:ind w:firstLine="0"/>
              <w:rPr>
                <w:b/>
                <w:i/>
              </w:rPr>
            </w:pPr>
          </w:p>
        </w:tc>
      </w:tr>
      <w:tr w:rsidR="009F3972" w:rsidRPr="00737C0F" w:rsidTr="0068293F">
        <w:trPr>
          <w:jc w:val="center"/>
        </w:trPr>
        <w:tc>
          <w:tcPr>
            <w:tcW w:w="3324" w:type="dxa"/>
          </w:tcPr>
          <w:p w:rsidR="009F3972" w:rsidRPr="00737C0F" w:rsidRDefault="009F3972" w:rsidP="0068293F">
            <w:pPr>
              <w:jc w:val="both"/>
            </w:pPr>
            <w:r w:rsidRPr="00737C0F">
              <w:lastRenderedPageBreak/>
              <w:t>7. Cita informācija</w:t>
            </w:r>
          </w:p>
        </w:tc>
        <w:tc>
          <w:tcPr>
            <w:tcW w:w="6800" w:type="dxa"/>
            <w:gridSpan w:val="5"/>
          </w:tcPr>
          <w:p w:rsidR="009F3972" w:rsidRPr="00737C0F" w:rsidRDefault="000E2E74" w:rsidP="006A231F">
            <w:pPr>
              <w:jc w:val="both"/>
              <w:rPr>
                <w:color w:val="000000"/>
              </w:rPr>
            </w:pPr>
            <w:r w:rsidRPr="00737C0F">
              <w:t xml:space="preserve">1. </w:t>
            </w:r>
            <w:r w:rsidR="0003336F" w:rsidRPr="00737C0F">
              <w:t>2014.gadā</w:t>
            </w:r>
            <w:r w:rsidR="009F3972" w:rsidRPr="00737C0F">
              <w:t xml:space="preserve"> finansējumu</w:t>
            </w:r>
            <w:r w:rsidR="0003336F" w:rsidRPr="00737C0F">
              <w:t xml:space="preserve"> tiesnešu, prokuroru un Valsts policijas darbinieku apmācībām</w:t>
            </w:r>
            <w:r w:rsidR="009F3972" w:rsidRPr="00737C0F">
              <w:t xml:space="preserve"> plānots nodrošināt no atbildīgo ministriju - Tieslietu ministrijas, Iekšlietu ministrijas un </w:t>
            </w:r>
            <w:r w:rsidR="00D0782E" w:rsidRPr="00737C0F">
              <w:t xml:space="preserve">Latvijas Republikas Prokuratūras </w:t>
            </w:r>
            <w:r w:rsidR="009F3972" w:rsidRPr="00737C0F">
              <w:t>budžetiem</w:t>
            </w:r>
            <w:r w:rsidR="0003336F" w:rsidRPr="00737C0F">
              <w:t>.</w:t>
            </w:r>
            <w:r w:rsidR="009F284D" w:rsidRPr="00737C0F">
              <w:t xml:space="preserve"> </w:t>
            </w:r>
          </w:p>
          <w:p w:rsidR="006A231F" w:rsidRPr="00737C0F" w:rsidRDefault="006A231F" w:rsidP="006A231F">
            <w:pPr>
              <w:jc w:val="both"/>
            </w:pPr>
            <w:r w:rsidRPr="00737C0F">
              <w:t>2014.gadā esošo līdzekļu ietvaros plānots apmācīt:</w:t>
            </w:r>
          </w:p>
          <w:p w:rsidR="006A231F" w:rsidRPr="00737C0F" w:rsidRDefault="006A231F" w:rsidP="006A231F">
            <w:pPr>
              <w:jc w:val="both"/>
            </w:pPr>
            <w:r w:rsidRPr="00737C0F">
              <w:t>- 120 policijas darbiniekus (6 grupas);</w:t>
            </w:r>
          </w:p>
          <w:p w:rsidR="006A231F" w:rsidRPr="00737C0F" w:rsidRDefault="006A231F" w:rsidP="003B64A5">
            <w:pPr>
              <w:jc w:val="both"/>
            </w:pPr>
            <w:r w:rsidRPr="00737C0F">
              <w:t>- ne vairāk kā 30 prokurorus (1 grupa</w:t>
            </w:r>
            <w:r w:rsidR="002B6599" w:rsidRPr="00737C0F">
              <w:t xml:space="preserve">- </w:t>
            </w:r>
            <w:r w:rsidR="003B64A5" w:rsidRPr="00737C0F">
              <w:t>Latvijas Republikas Prokuratūras budžeta 2014.gadā iespējams novirzīt šim mērķim ne vairāk kā 1800 EUR, ņemot vērā iepriekšējos gados šīm apmācībām pieejamos līdzekļus (piemēram, 2013.gadā - 900 LVL (1280 EUR))</w:t>
            </w:r>
            <w:r w:rsidRPr="00737C0F">
              <w:t>);</w:t>
            </w:r>
          </w:p>
          <w:p w:rsidR="006A231F" w:rsidRPr="00737C0F" w:rsidRDefault="006A231F" w:rsidP="006A231F">
            <w:pPr>
              <w:jc w:val="both"/>
            </w:pPr>
            <w:r w:rsidRPr="00737C0F">
              <w:t>- ne vairāk kā 100 tiesnešus (5 grupas).</w:t>
            </w:r>
          </w:p>
          <w:p w:rsidR="006A231F" w:rsidRPr="00737C0F" w:rsidRDefault="006A231F" w:rsidP="006A231F">
            <w:pPr>
              <w:jc w:val="both"/>
            </w:pPr>
            <w:r w:rsidRPr="00737C0F">
              <w:t xml:space="preserve">Policijas darbinieku apmācības īsteno Valsts policijas koledža. Tiesnešu un prokuroru apmācību organizēšanai Valsts bērnu tiesību aizsardzības inspekcija organizē iepirkumu. </w:t>
            </w:r>
          </w:p>
          <w:p w:rsidR="006A231F" w:rsidRPr="00737C0F" w:rsidRDefault="002B6599" w:rsidP="006A231F">
            <w:pPr>
              <w:jc w:val="both"/>
              <w:rPr>
                <w:color w:val="000000"/>
              </w:rPr>
            </w:pPr>
            <w:r w:rsidRPr="00737C0F">
              <w:t xml:space="preserve">Ieslodzījuma vietu darbinieki 2014.gadā netiks apmācīti. </w:t>
            </w:r>
            <w:r w:rsidR="006A231F" w:rsidRPr="00737C0F">
              <w:t>Vienlaikus Labklājības ministrija (Valsts bērnu tiesību aizsardzības inspekcija) nodrošinās 600 speciālistu apmācības</w:t>
            </w:r>
            <w:proofErr w:type="gramStart"/>
            <w:r w:rsidR="006A231F" w:rsidRPr="00737C0F">
              <w:t xml:space="preserve">  </w:t>
            </w:r>
            <w:proofErr w:type="gramEnd"/>
            <w:r w:rsidR="006A231F" w:rsidRPr="00737C0F">
              <w:rPr>
                <w:color w:val="000000"/>
              </w:rPr>
              <w:t>Valsts programmai bērna un ģimenes stāvokļa uzlabošanai 2014.gadam</w:t>
            </w:r>
            <w:r w:rsidR="006A231F" w:rsidRPr="00737C0F">
              <w:t xml:space="preserve"> piešķirto valsts budžeta līdzekļu ietvaros</w:t>
            </w:r>
            <w:r w:rsidR="006A231F" w:rsidRPr="00737C0F">
              <w:rPr>
                <w:color w:val="000000"/>
              </w:rPr>
              <w:t xml:space="preserve">.  </w:t>
            </w:r>
          </w:p>
          <w:p w:rsidR="000E2E74" w:rsidRPr="00737C0F" w:rsidRDefault="000E2E74" w:rsidP="00260C49">
            <w:pPr>
              <w:autoSpaceDE w:val="0"/>
              <w:autoSpaceDN w:val="0"/>
              <w:adjustRightInd w:val="0"/>
              <w:jc w:val="both"/>
            </w:pPr>
            <w:r w:rsidRPr="00737C0F">
              <w:t xml:space="preserve">2. </w:t>
            </w:r>
            <w:r w:rsidR="00587F92" w:rsidRPr="00737C0F">
              <w:t>J</w:t>
            </w:r>
            <w:r w:rsidR="00587F92" w:rsidRPr="00737C0F">
              <w:rPr>
                <w:rFonts w:eastAsia="Calibri"/>
                <w:color w:val="000000"/>
              </w:rPr>
              <w:t xml:space="preserve">autājumu par papildu valsts budžeta līdzekļu piešķiršanu Labklājības ministrijai </w:t>
            </w:r>
            <w:r w:rsidR="00587F92" w:rsidRPr="00737C0F">
              <w:t>apmācību nodrošināšanai</w:t>
            </w:r>
            <w:r w:rsidR="00587F92" w:rsidRPr="00737C0F">
              <w:rPr>
                <w:rFonts w:eastAsia="Calibri"/>
                <w:color w:val="000000"/>
              </w:rPr>
              <w:t xml:space="preserve"> 2015.-2017.gadā ik gadu 59 841 </w:t>
            </w:r>
            <w:proofErr w:type="spellStart"/>
            <w:r w:rsidR="00587F92" w:rsidRPr="00737C0F">
              <w:rPr>
                <w:rFonts w:eastAsia="Calibri"/>
                <w:color w:val="000000"/>
              </w:rPr>
              <w:t>euro</w:t>
            </w:r>
            <w:proofErr w:type="spellEnd"/>
            <w:r w:rsidR="00587F92" w:rsidRPr="00737C0F">
              <w:rPr>
                <w:rFonts w:eastAsia="Calibri"/>
                <w:color w:val="000000"/>
              </w:rPr>
              <w:t xml:space="preserve"> apmērā izskatīt Ministru kabinetā kopā ar visu ministriju un centrālo valsts iestāžu priekšlikumiem </w:t>
            </w:r>
            <w:r w:rsidR="00587F92" w:rsidRPr="00737C0F">
              <w:rPr>
                <w:rFonts w:eastAsia="Calibri"/>
                <w:bCs/>
                <w:color w:val="000000"/>
              </w:rPr>
              <w:t>jaunajām politikas iniciatīvā</w:t>
            </w:r>
            <w:r w:rsidR="00587F92" w:rsidRPr="00737C0F">
              <w:rPr>
                <w:rFonts w:eastAsia="Calibri"/>
                <w:color w:val="000000"/>
              </w:rPr>
              <w:t>m un iesniegtajiem papildu finansējuma pieprasījumiem likumprojekta „Par valsts budžetu 2015.gadam” un likumprojekta „Par vidēja termiņa budžeta ietvaru 2015., 2016. un 2017.gadam” sagatavošanas un izskatīšanas procesā atbilstoši valsts budžeta finansiālajām iespējām.</w:t>
            </w:r>
          </w:p>
        </w:tc>
      </w:tr>
    </w:tbl>
    <w:p w:rsidR="007E207E" w:rsidRPr="00737C0F" w:rsidRDefault="007E207E" w:rsidP="006D0216">
      <w:pPr>
        <w:rPr>
          <w:sz w:val="20"/>
          <w:szCs w:val="20"/>
        </w:rPr>
      </w:pPr>
    </w:p>
    <w:tbl>
      <w:tblPr>
        <w:tblW w:w="10098"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537"/>
        <w:gridCol w:w="6165"/>
      </w:tblGrid>
      <w:tr w:rsidR="00924023" w:rsidRPr="00737C0F" w:rsidTr="00711F59">
        <w:trPr>
          <w:jc w:val="center"/>
        </w:trPr>
        <w:tc>
          <w:tcPr>
            <w:tcW w:w="10098" w:type="dxa"/>
            <w:gridSpan w:val="3"/>
          </w:tcPr>
          <w:p w:rsidR="00924023" w:rsidRPr="00737C0F" w:rsidRDefault="00924023" w:rsidP="00711F59">
            <w:pPr>
              <w:pStyle w:val="naisnod"/>
              <w:spacing w:before="0" w:after="0"/>
            </w:pPr>
            <w:r w:rsidRPr="00737C0F">
              <w:t>IV</w:t>
            </w:r>
            <w:r w:rsidR="000941C5" w:rsidRPr="00737C0F">
              <w:t>.</w:t>
            </w:r>
            <w:r w:rsidRPr="00737C0F">
              <w:t xml:space="preserve"> Tiesību akta projekta ietekme uz</w:t>
            </w:r>
            <w:r w:rsidR="005060A1" w:rsidRPr="00737C0F">
              <w:t xml:space="preserve"> </w:t>
            </w:r>
            <w:r w:rsidRPr="00737C0F">
              <w:t>spēkā esošo tiesību normu sistēmu</w:t>
            </w:r>
          </w:p>
        </w:tc>
      </w:tr>
      <w:tr w:rsidR="00924023" w:rsidRPr="00737C0F" w:rsidTr="007E207E">
        <w:trPr>
          <w:jc w:val="center"/>
        </w:trPr>
        <w:tc>
          <w:tcPr>
            <w:tcW w:w="396" w:type="dxa"/>
          </w:tcPr>
          <w:p w:rsidR="00924023" w:rsidRPr="00737C0F" w:rsidRDefault="00924023" w:rsidP="00711F59">
            <w:pPr>
              <w:pStyle w:val="naiskr"/>
              <w:tabs>
                <w:tab w:val="left" w:pos="2628"/>
              </w:tabs>
              <w:spacing w:before="0" w:after="0"/>
              <w:jc w:val="both"/>
              <w:rPr>
                <w:iCs/>
              </w:rPr>
            </w:pPr>
            <w:r w:rsidRPr="00737C0F">
              <w:rPr>
                <w:iCs/>
              </w:rPr>
              <w:t>1.</w:t>
            </w:r>
          </w:p>
        </w:tc>
        <w:tc>
          <w:tcPr>
            <w:tcW w:w="3537" w:type="dxa"/>
          </w:tcPr>
          <w:p w:rsidR="00924023" w:rsidRPr="00737C0F" w:rsidRDefault="00924023" w:rsidP="00711F59">
            <w:pPr>
              <w:pStyle w:val="naiskr"/>
              <w:tabs>
                <w:tab w:val="left" w:pos="2628"/>
              </w:tabs>
              <w:spacing w:before="0" w:after="0"/>
              <w:jc w:val="both"/>
              <w:rPr>
                <w:iCs/>
              </w:rPr>
            </w:pPr>
            <w:r w:rsidRPr="00737C0F">
              <w:rPr>
                <w:sz w:val="22"/>
                <w:szCs w:val="22"/>
              </w:rPr>
              <w:t>Nepieciešamie saistītie tiesību akt</w:t>
            </w:r>
            <w:r w:rsidR="00DD1020" w:rsidRPr="00737C0F">
              <w:rPr>
                <w:sz w:val="22"/>
                <w:szCs w:val="22"/>
              </w:rPr>
              <w:t>u</w:t>
            </w:r>
            <w:r w:rsidRPr="00737C0F">
              <w:rPr>
                <w:sz w:val="22"/>
                <w:szCs w:val="22"/>
              </w:rPr>
              <w:t xml:space="preserve"> projekti</w:t>
            </w:r>
          </w:p>
        </w:tc>
        <w:tc>
          <w:tcPr>
            <w:tcW w:w="6165" w:type="dxa"/>
          </w:tcPr>
          <w:p w:rsidR="00924023" w:rsidRPr="00737C0F" w:rsidRDefault="00141C0A" w:rsidP="00141C0A">
            <w:pPr>
              <w:pStyle w:val="naiskr"/>
              <w:tabs>
                <w:tab w:val="left" w:pos="2628"/>
              </w:tabs>
              <w:spacing w:before="0" w:after="0"/>
              <w:jc w:val="both"/>
              <w:rPr>
                <w:iCs/>
              </w:rPr>
            </w:pPr>
            <w:r w:rsidRPr="00737C0F">
              <w:rPr>
                <w:iCs/>
              </w:rPr>
              <w:t>- </w:t>
            </w:r>
            <w:r w:rsidR="00B20196" w:rsidRPr="00737C0F">
              <w:rPr>
                <w:iCs/>
              </w:rPr>
              <w:t xml:space="preserve">Pēc šo noteikumu stāšanās spēkā, būs nepieciešams veikt tehniskos grozījumus </w:t>
            </w:r>
            <w:r w:rsidR="001B4C0A" w:rsidRPr="00737C0F">
              <w:rPr>
                <w:iCs/>
              </w:rPr>
              <w:t>M</w:t>
            </w:r>
            <w:r w:rsidR="009A5DFF" w:rsidRPr="00737C0F">
              <w:rPr>
                <w:iCs/>
              </w:rPr>
              <w:t xml:space="preserve">inistru kabineta </w:t>
            </w:r>
            <w:r w:rsidR="001B4C0A" w:rsidRPr="00737C0F">
              <w:rPr>
                <w:iCs/>
              </w:rPr>
              <w:t>2006.gada 5.decembra noteikumu Nr.984 „Noteikumi</w:t>
            </w:r>
            <w:r w:rsidR="009A5DFF" w:rsidRPr="00737C0F">
              <w:rPr>
                <w:iCs/>
              </w:rPr>
              <w:t xml:space="preserve"> par bāriņtiesas priekšsēdētāja, bāriņtiesas priekšsēdētāja vietnieka</w:t>
            </w:r>
            <w:r w:rsidR="00093A0F" w:rsidRPr="00737C0F">
              <w:rPr>
                <w:iCs/>
              </w:rPr>
              <w:t xml:space="preserve"> </w:t>
            </w:r>
            <w:r w:rsidR="009A5DFF" w:rsidRPr="00737C0F">
              <w:rPr>
                <w:iCs/>
              </w:rPr>
              <w:t>un bāriņtiesas locekļa mācību programmas saturu un apmācības kārtību” 11.punktā, lai</w:t>
            </w:r>
            <w:r w:rsidR="001B4C0A" w:rsidRPr="00737C0F">
              <w:rPr>
                <w:iCs/>
              </w:rPr>
              <w:t xml:space="preserve"> </w:t>
            </w:r>
            <w:r w:rsidR="009A5DFF" w:rsidRPr="00737C0F">
              <w:rPr>
                <w:iCs/>
              </w:rPr>
              <w:t xml:space="preserve">mainītu </w:t>
            </w:r>
            <w:r w:rsidR="001B4C0A" w:rsidRPr="00737C0F">
              <w:rPr>
                <w:iCs/>
              </w:rPr>
              <w:t xml:space="preserve">tajā minēto </w:t>
            </w:r>
            <w:r w:rsidR="009A5DFF" w:rsidRPr="00737C0F">
              <w:rPr>
                <w:iCs/>
              </w:rPr>
              <w:t xml:space="preserve">Ministru kabineta noteikumu nosaukumu. </w:t>
            </w:r>
            <w:r w:rsidR="005C70DB" w:rsidRPr="00737C0F">
              <w:rPr>
                <w:iCs/>
              </w:rPr>
              <w:t>Minētos grozījumu izstrādās un virzīs Labklājības ministrija</w:t>
            </w:r>
            <w:r w:rsidR="00781CF0" w:rsidRPr="00737C0F">
              <w:rPr>
                <w:iCs/>
              </w:rPr>
              <w:t>. Tehniskie grozījumi šajos noteikumos tiks iesniegti MK</w:t>
            </w:r>
            <w:r w:rsidR="00624325" w:rsidRPr="00737C0F">
              <w:rPr>
                <w:iCs/>
              </w:rPr>
              <w:t xml:space="preserve"> divas nedēļas pēc noteikumu projekta stāšanās spēkā.</w:t>
            </w:r>
          </w:p>
          <w:p w:rsidR="00141C0A" w:rsidRPr="00737C0F" w:rsidRDefault="00141C0A" w:rsidP="00665C56">
            <w:pPr>
              <w:jc w:val="both"/>
              <w:rPr>
                <w:iCs/>
              </w:rPr>
            </w:pPr>
            <w:r w:rsidRPr="00737C0F">
              <w:rPr>
                <w:iCs/>
              </w:rPr>
              <w:t xml:space="preserve">- Nepieciešams veikt grozījumus </w:t>
            </w:r>
            <w:r w:rsidRPr="00737C0F">
              <w:rPr>
                <w:bCs/>
              </w:rPr>
              <w:t xml:space="preserve">Ministru kabineta </w:t>
            </w:r>
            <w:r w:rsidRPr="00737C0F">
              <w:t xml:space="preserve">2013.gada 2.jūlijā </w:t>
            </w:r>
            <w:r w:rsidRPr="00737C0F">
              <w:rPr>
                <w:bCs/>
              </w:rPr>
              <w:t>noteikumu Nr.363</w:t>
            </w:r>
            <w:r w:rsidRPr="00737C0F">
              <w:t xml:space="preserve"> „</w:t>
            </w:r>
            <w:r w:rsidRPr="00737C0F">
              <w:rPr>
                <w:bCs/>
              </w:rPr>
              <w:t xml:space="preserve">Noteikumi par pedagogiem nepieciešamo izglītību un profesionālo kvalifikāciju un pedagogu profesionālās kvalifikācijas pilnveides kārtību” 11.punktā, iekļaujot tajā moduli „Bērnu </w:t>
            </w:r>
            <w:r w:rsidRPr="00737C0F">
              <w:rPr>
                <w:bCs/>
              </w:rPr>
              <w:lastRenderedPageBreak/>
              <w:t>tiesību aizsardzība</w:t>
            </w:r>
            <w:r w:rsidR="00665C56" w:rsidRPr="00737C0F">
              <w:rPr>
                <w:bCs/>
              </w:rPr>
              <w:t xml:space="preserve">”, kas ietvertu jautājumus par </w:t>
            </w:r>
            <w:r w:rsidRPr="00737C0F">
              <w:rPr>
                <w:lang w:eastAsia="ru-RU"/>
              </w:rPr>
              <w:t>bērnu tiesību aizsardzības sistēm</w:t>
            </w:r>
            <w:r w:rsidR="00665C56" w:rsidRPr="00737C0F">
              <w:rPr>
                <w:lang w:eastAsia="ru-RU"/>
              </w:rPr>
              <w:t>u</w:t>
            </w:r>
            <w:r w:rsidRPr="00737C0F">
              <w:rPr>
                <w:lang w:eastAsia="ru-RU"/>
              </w:rPr>
              <w:t xml:space="preserve"> un normatīv</w:t>
            </w:r>
            <w:r w:rsidR="00665C56" w:rsidRPr="00737C0F">
              <w:rPr>
                <w:lang w:eastAsia="ru-RU"/>
              </w:rPr>
              <w:t>ajiem</w:t>
            </w:r>
            <w:r w:rsidRPr="00737C0F">
              <w:rPr>
                <w:lang w:eastAsia="ru-RU"/>
              </w:rPr>
              <w:t xml:space="preserve"> akti</w:t>
            </w:r>
            <w:r w:rsidR="00665C56" w:rsidRPr="00737C0F">
              <w:rPr>
                <w:lang w:eastAsia="ru-RU"/>
              </w:rPr>
              <w:t>em</w:t>
            </w:r>
            <w:r w:rsidRPr="00737C0F">
              <w:rPr>
                <w:lang w:eastAsia="ru-RU"/>
              </w:rPr>
              <w:t xml:space="preserve"> bērnu tiesību aizsardzības jautājumos; starpt</w:t>
            </w:r>
            <w:r w:rsidR="00665C56" w:rsidRPr="00737C0F">
              <w:rPr>
                <w:lang w:eastAsia="ru-RU"/>
              </w:rPr>
              <w:t>autisko tiesību aktu piemērošanu</w:t>
            </w:r>
            <w:r w:rsidRPr="00737C0F">
              <w:rPr>
                <w:lang w:eastAsia="ru-RU"/>
              </w:rPr>
              <w:t xml:space="preserve"> bērnu tiesību aizsa</w:t>
            </w:r>
            <w:r w:rsidR="00665C56" w:rsidRPr="00737C0F">
              <w:rPr>
                <w:lang w:eastAsia="ru-RU"/>
              </w:rPr>
              <w:t>rdzībā; vecāku un bērnu tiesībām</w:t>
            </w:r>
            <w:r w:rsidRPr="00737C0F">
              <w:rPr>
                <w:lang w:eastAsia="ru-RU"/>
              </w:rPr>
              <w:t xml:space="preserve"> un pienākumi</w:t>
            </w:r>
            <w:r w:rsidR="00665C56" w:rsidRPr="00737C0F">
              <w:rPr>
                <w:lang w:eastAsia="ru-RU"/>
              </w:rPr>
              <w:t>em</w:t>
            </w:r>
            <w:r w:rsidRPr="00737C0F">
              <w:rPr>
                <w:lang w:eastAsia="ru-RU"/>
              </w:rPr>
              <w:t xml:space="preserve"> ģimenē; b</w:t>
            </w:r>
            <w:r w:rsidR="00665C56" w:rsidRPr="00737C0F">
              <w:t>ērna tiesībām</w:t>
            </w:r>
            <w:r w:rsidRPr="00737C0F">
              <w:t xml:space="preserve"> un pienākumi</w:t>
            </w:r>
            <w:r w:rsidR="00665C56" w:rsidRPr="00737C0F">
              <w:t>em</w:t>
            </w:r>
            <w:r w:rsidRPr="00737C0F">
              <w:t xml:space="preserve"> izglītības iestādē, ārpusģimenes aprū</w:t>
            </w:r>
            <w:r w:rsidR="00665C56" w:rsidRPr="00737C0F">
              <w:t>pes iestādē; izglītojamo drošību</w:t>
            </w:r>
            <w:r w:rsidRPr="00737C0F">
              <w:t xml:space="preserve"> izglītības iestādēs un to organizētajos pasākumos; bēr</w:t>
            </w:r>
            <w:r w:rsidR="00665C56" w:rsidRPr="00737C0F">
              <w:t>nu ar īpašām vajadzībām tiesībām</w:t>
            </w:r>
            <w:r w:rsidRPr="00737C0F">
              <w:t xml:space="preserve"> un</w:t>
            </w:r>
            <w:r w:rsidR="00665C56" w:rsidRPr="00737C0F">
              <w:t xml:space="preserve"> pienākumiem,</w:t>
            </w:r>
            <w:r w:rsidRPr="00737C0F">
              <w:rPr>
                <w:lang w:eastAsia="ru-RU"/>
              </w:rPr>
              <w:t xml:space="preserve"> un moduli „Vardarbība pret bērnu un vardarbība bērna ģimenē”</w:t>
            </w:r>
            <w:r w:rsidR="00665C56" w:rsidRPr="00737C0F">
              <w:rPr>
                <w:lang w:eastAsia="ru-RU"/>
              </w:rPr>
              <w:t xml:space="preserve">, kurā tiktu apskatīti jautājumi par </w:t>
            </w:r>
            <w:r w:rsidRPr="00737C0F">
              <w:rPr>
                <w:lang w:eastAsia="ru-RU"/>
              </w:rPr>
              <w:t>vardarbības veidi</w:t>
            </w:r>
            <w:r w:rsidR="00665C56" w:rsidRPr="00737C0F">
              <w:rPr>
                <w:lang w:eastAsia="ru-RU"/>
              </w:rPr>
              <w:t>em</w:t>
            </w:r>
            <w:r w:rsidRPr="00737C0F">
              <w:rPr>
                <w:lang w:eastAsia="ru-RU"/>
              </w:rPr>
              <w:t>, pazīm</w:t>
            </w:r>
            <w:r w:rsidR="00665C56" w:rsidRPr="00737C0F">
              <w:rPr>
                <w:lang w:eastAsia="ru-RU"/>
              </w:rPr>
              <w:t>ēm</w:t>
            </w:r>
            <w:r w:rsidRPr="00737C0F">
              <w:rPr>
                <w:lang w:eastAsia="ru-RU"/>
              </w:rPr>
              <w:t xml:space="preserve"> un sek</w:t>
            </w:r>
            <w:r w:rsidR="00665C56" w:rsidRPr="00737C0F">
              <w:rPr>
                <w:lang w:eastAsia="ru-RU"/>
              </w:rPr>
              <w:t>ām</w:t>
            </w:r>
            <w:r w:rsidRPr="00737C0F">
              <w:rPr>
                <w:lang w:eastAsia="ru-RU"/>
              </w:rPr>
              <w:t xml:space="preserve">, </w:t>
            </w:r>
            <w:r w:rsidRPr="00737C0F">
              <w:t>vardarbības gadījumu atpazīšan</w:t>
            </w:r>
            <w:r w:rsidR="00665C56" w:rsidRPr="00737C0F">
              <w:t>u</w:t>
            </w:r>
            <w:r w:rsidRPr="00737C0F">
              <w:t>, va</w:t>
            </w:r>
            <w:r w:rsidR="00665C56" w:rsidRPr="00737C0F">
              <w:t>rdarbības radīto seku mazināšanu</w:t>
            </w:r>
            <w:r w:rsidRPr="00737C0F">
              <w:t xml:space="preserve">, </w:t>
            </w:r>
            <w:r w:rsidRPr="00737C0F">
              <w:rPr>
                <w:lang w:eastAsia="ru-RU"/>
              </w:rPr>
              <w:t>starpinstitucionāl</w:t>
            </w:r>
            <w:r w:rsidR="00665C56" w:rsidRPr="00737C0F">
              <w:rPr>
                <w:lang w:eastAsia="ru-RU"/>
              </w:rPr>
              <w:t>u</w:t>
            </w:r>
            <w:r w:rsidRPr="00737C0F">
              <w:rPr>
                <w:lang w:eastAsia="ru-RU"/>
              </w:rPr>
              <w:t xml:space="preserve"> sadarbīb</w:t>
            </w:r>
            <w:r w:rsidR="00665C56" w:rsidRPr="00737C0F">
              <w:rPr>
                <w:lang w:eastAsia="ru-RU"/>
              </w:rPr>
              <w:t>u</w:t>
            </w:r>
            <w:r w:rsidRPr="00737C0F">
              <w:rPr>
                <w:lang w:eastAsia="ru-RU"/>
              </w:rPr>
              <w:t>, ja notikusi vardarbība</w:t>
            </w:r>
            <w:r w:rsidR="00665C56" w:rsidRPr="00737C0F">
              <w:rPr>
                <w:lang w:eastAsia="ru-RU"/>
              </w:rPr>
              <w:t>,</w:t>
            </w:r>
            <w:r w:rsidRPr="00737C0F">
              <w:rPr>
                <w:lang w:eastAsia="ru-RU"/>
              </w:rPr>
              <w:t xml:space="preserve"> un nosakot, ka šo moduļu regulāra apgūšana ir obligāta. Tādejādi pedagogu profesionālo pilnveides kārtību regulēs vieni noteikumi. Grozījumus veiks Izglītības un zinātnes ministrija līdz 2014.gada 1.</w:t>
            </w:r>
            <w:r w:rsidR="00665C56" w:rsidRPr="00737C0F">
              <w:rPr>
                <w:lang w:eastAsia="ru-RU"/>
              </w:rPr>
              <w:t>augustam</w:t>
            </w:r>
            <w:r w:rsidRPr="00737C0F">
              <w:rPr>
                <w:lang w:eastAsia="ru-RU"/>
              </w:rPr>
              <w:t>.</w:t>
            </w:r>
          </w:p>
        </w:tc>
      </w:tr>
      <w:tr w:rsidR="00924023" w:rsidRPr="00737C0F" w:rsidTr="007E207E">
        <w:trPr>
          <w:jc w:val="center"/>
        </w:trPr>
        <w:tc>
          <w:tcPr>
            <w:tcW w:w="396" w:type="dxa"/>
          </w:tcPr>
          <w:p w:rsidR="00924023" w:rsidRPr="00737C0F" w:rsidRDefault="00924023" w:rsidP="00711F59">
            <w:pPr>
              <w:pStyle w:val="naiskr"/>
              <w:tabs>
                <w:tab w:val="left" w:pos="2628"/>
              </w:tabs>
              <w:spacing w:before="0" w:after="0"/>
              <w:jc w:val="both"/>
              <w:rPr>
                <w:iCs/>
              </w:rPr>
            </w:pPr>
            <w:r w:rsidRPr="00737C0F">
              <w:rPr>
                <w:iCs/>
              </w:rPr>
              <w:lastRenderedPageBreak/>
              <w:t>2.</w:t>
            </w:r>
          </w:p>
        </w:tc>
        <w:tc>
          <w:tcPr>
            <w:tcW w:w="3537" w:type="dxa"/>
          </w:tcPr>
          <w:p w:rsidR="00924023" w:rsidRPr="00737C0F" w:rsidRDefault="00924023" w:rsidP="00711F59">
            <w:pPr>
              <w:pStyle w:val="naiskr"/>
              <w:tabs>
                <w:tab w:val="left" w:pos="2628"/>
              </w:tabs>
              <w:spacing w:before="0" w:after="0"/>
              <w:jc w:val="both"/>
              <w:rPr>
                <w:iCs/>
              </w:rPr>
            </w:pPr>
            <w:r w:rsidRPr="00737C0F">
              <w:rPr>
                <w:sz w:val="22"/>
                <w:szCs w:val="22"/>
              </w:rPr>
              <w:t>Cita informācija</w:t>
            </w:r>
          </w:p>
        </w:tc>
        <w:tc>
          <w:tcPr>
            <w:tcW w:w="6165" w:type="dxa"/>
          </w:tcPr>
          <w:p w:rsidR="00924023" w:rsidRPr="00737C0F" w:rsidRDefault="00093A0F" w:rsidP="00711F59">
            <w:pPr>
              <w:pStyle w:val="naiskr"/>
              <w:tabs>
                <w:tab w:val="left" w:pos="2628"/>
              </w:tabs>
              <w:spacing w:before="0" w:after="0"/>
              <w:jc w:val="both"/>
              <w:rPr>
                <w:iCs/>
              </w:rPr>
            </w:pPr>
            <w:r w:rsidRPr="00737C0F">
              <w:t xml:space="preserve">Nav </w:t>
            </w:r>
          </w:p>
        </w:tc>
      </w:tr>
    </w:tbl>
    <w:p w:rsidR="00C0006A" w:rsidRPr="00737C0F" w:rsidRDefault="00C0006A" w:rsidP="00C0006A">
      <w:pPr>
        <w:ind w:firstLine="720"/>
        <w:jc w:val="both"/>
        <w:rPr>
          <w:sz w:val="28"/>
          <w:szCs w:val="28"/>
        </w:rPr>
      </w:pPr>
    </w:p>
    <w:tbl>
      <w:tblPr>
        <w:tblW w:w="10206" w:type="dxa"/>
        <w:tblInd w:w="-539"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851"/>
        <w:gridCol w:w="3118"/>
        <w:gridCol w:w="6237"/>
      </w:tblGrid>
      <w:tr w:rsidR="00C0006A" w:rsidRPr="00737C0F" w:rsidTr="00DC7D87">
        <w:tc>
          <w:tcPr>
            <w:tcW w:w="10206" w:type="dxa"/>
            <w:gridSpan w:val="3"/>
            <w:tcBorders>
              <w:top w:val="outset" w:sz="6" w:space="0" w:color="auto"/>
              <w:left w:val="outset" w:sz="6" w:space="0" w:color="auto"/>
              <w:bottom w:val="outset" w:sz="6" w:space="0" w:color="auto"/>
              <w:right w:val="outset" w:sz="6" w:space="0" w:color="auto"/>
            </w:tcBorders>
            <w:vAlign w:val="center"/>
          </w:tcPr>
          <w:p w:rsidR="00C0006A" w:rsidRPr="00737C0F" w:rsidRDefault="00C0006A" w:rsidP="00DC7D87">
            <w:pPr>
              <w:jc w:val="center"/>
              <w:rPr>
                <w:b/>
              </w:rPr>
            </w:pPr>
            <w:r w:rsidRPr="00737C0F">
              <w:rPr>
                <w:b/>
              </w:rPr>
              <w:t>V. Tiesību akta projekta atbilstība Latvijas Republikas starptautiskajām saistībām</w:t>
            </w:r>
          </w:p>
        </w:tc>
      </w:tr>
      <w:tr w:rsidR="00C0006A" w:rsidRPr="00737C0F" w:rsidTr="00DC7D87">
        <w:tc>
          <w:tcPr>
            <w:tcW w:w="851" w:type="dxa"/>
            <w:tcBorders>
              <w:top w:val="outset" w:sz="6" w:space="0" w:color="auto"/>
              <w:left w:val="outset" w:sz="6" w:space="0" w:color="auto"/>
              <w:bottom w:val="outset" w:sz="6" w:space="0" w:color="auto"/>
              <w:right w:val="outset" w:sz="6" w:space="0" w:color="auto"/>
            </w:tcBorders>
          </w:tcPr>
          <w:p w:rsidR="00C0006A" w:rsidRPr="00737C0F" w:rsidRDefault="00C0006A" w:rsidP="00DC7D87">
            <w:pPr>
              <w:ind w:left="57"/>
            </w:pPr>
            <w:r w:rsidRPr="00737C0F">
              <w:t>1.</w:t>
            </w:r>
          </w:p>
        </w:tc>
        <w:tc>
          <w:tcPr>
            <w:tcW w:w="3118" w:type="dxa"/>
            <w:tcBorders>
              <w:top w:val="outset" w:sz="6" w:space="0" w:color="auto"/>
              <w:left w:val="outset" w:sz="6" w:space="0" w:color="auto"/>
              <w:bottom w:val="outset" w:sz="6" w:space="0" w:color="auto"/>
              <w:right w:val="outset" w:sz="6" w:space="0" w:color="auto"/>
            </w:tcBorders>
          </w:tcPr>
          <w:p w:rsidR="00C0006A" w:rsidRPr="00737C0F" w:rsidRDefault="00C0006A" w:rsidP="00DC7D87">
            <w:pPr>
              <w:ind w:left="57"/>
            </w:pPr>
            <w:r w:rsidRPr="00737C0F">
              <w:t>Saistības pret Eiropas Savienību</w:t>
            </w:r>
          </w:p>
        </w:tc>
        <w:tc>
          <w:tcPr>
            <w:tcW w:w="6237" w:type="dxa"/>
            <w:tcBorders>
              <w:top w:val="outset" w:sz="6" w:space="0" w:color="auto"/>
              <w:left w:val="outset" w:sz="6" w:space="0" w:color="auto"/>
              <w:bottom w:val="outset" w:sz="6" w:space="0" w:color="auto"/>
              <w:right w:val="outset" w:sz="6" w:space="0" w:color="auto"/>
            </w:tcBorders>
          </w:tcPr>
          <w:p w:rsidR="00C0006A" w:rsidRPr="00737C0F" w:rsidRDefault="00C0006A" w:rsidP="008340D7">
            <w:pPr>
              <w:ind w:left="57"/>
              <w:jc w:val="both"/>
            </w:pPr>
            <w:r w:rsidRPr="00737C0F">
              <w:t>Eiropas Parlamenta un Padomes Direktīva 2011/93/ES par seksuālas vardarbības pret bērniem, bērnu seksuālas izmantošanas un bērnu pornogrāfijas apkarošanu, un ar kuru aizstāj Padomes Pamatlēmumu 2004/68/TI. Direktīvas pārņemšanas termiņš ir 2013.gada 18.decembris.</w:t>
            </w:r>
          </w:p>
        </w:tc>
      </w:tr>
      <w:tr w:rsidR="00C0006A" w:rsidRPr="00737C0F" w:rsidTr="00DC7D87">
        <w:tc>
          <w:tcPr>
            <w:tcW w:w="851" w:type="dxa"/>
            <w:tcBorders>
              <w:top w:val="outset" w:sz="6" w:space="0" w:color="auto"/>
              <w:left w:val="outset" w:sz="6" w:space="0" w:color="auto"/>
              <w:bottom w:val="outset" w:sz="6" w:space="0" w:color="auto"/>
              <w:right w:val="outset" w:sz="6" w:space="0" w:color="auto"/>
            </w:tcBorders>
          </w:tcPr>
          <w:p w:rsidR="00C0006A" w:rsidRPr="00737C0F" w:rsidRDefault="00C0006A" w:rsidP="00DC7D87">
            <w:pPr>
              <w:ind w:left="57"/>
            </w:pPr>
            <w:r w:rsidRPr="00737C0F">
              <w:t>2.</w:t>
            </w:r>
          </w:p>
        </w:tc>
        <w:tc>
          <w:tcPr>
            <w:tcW w:w="3118" w:type="dxa"/>
            <w:tcBorders>
              <w:top w:val="outset" w:sz="6" w:space="0" w:color="auto"/>
              <w:left w:val="outset" w:sz="6" w:space="0" w:color="auto"/>
              <w:bottom w:val="outset" w:sz="6" w:space="0" w:color="auto"/>
              <w:right w:val="outset" w:sz="6" w:space="0" w:color="auto"/>
            </w:tcBorders>
          </w:tcPr>
          <w:p w:rsidR="00C0006A" w:rsidRPr="00737C0F" w:rsidRDefault="00C0006A" w:rsidP="00DC7D87">
            <w:pPr>
              <w:ind w:left="57"/>
            </w:pPr>
            <w:r w:rsidRPr="00737C0F">
              <w:t>Citas starptautiskās saistības</w:t>
            </w:r>
          </w:p>
        </w:tc>
        <w:tc>
          <w:tcPr>
            <w:tcW w:w="6237" w:type="dxa"/>
            <w:tcBorders>
              <w:top w:val="outset" w:sz="6" w:space="0" w:color="auto"/>
              <w:left w:val="outset" w:sz="6" w:space="0" w:color="auto"/>
              <w:bottom w:val="outset" w:sz="6" w:space="0" w:color="auto"/>
              <w:right w:val="outset" w:sz="6" w:space="0" w:color="auto"/>
            </w:tcBorders>
          </w:tcPr>
          <w:p w:rsidR="00C0006A" w:rsidRPr="00737C0F" w:rsidRDefault="00C0006A" w:rsidP="00DC7D87">
            <w:pPr>
              <w:ind w:left="57"/>
            </w:pPr>
            <w:r w:rsidRPr="00737C0F">
              <w:t>Nav.</w:t>
            </w:r>
          </w:p>
        </w:tc>
      </w:tr>
      <w:tr w:rsidR="00C0006A" w:rsidRPr="00737C0F" w:rsidTr="00DC7D87">
        <w:tc>
          <w:tcPr>
            <w:tcW w:w="851" w:type="dxa"/>
            <w:tcBorders>
              <w:top w:val="outset" w:sz="6" w:space="0" w:color="auto"/>
              <w:left w:val="outset" w:sz="6" w:space="0" w:color="auto"/>
              <w:bottom w:val="outset" w:sz="6" w:space="0" w:color="auto"/>
              <w:right w:val="outset" w:sz="6" w:space="0" w:color="auto"/>
            </w:tcBorders>
          </w:tcPr>
          <w:p w:rsidR="00C0006A" w:rsidRPr="00737C0F" w:rsidRDefault="00C0006A" w:rsidP="00DC7D87">
            <w:pPr>
              <w:ind w:left="57"/>
            </w:pPr>
            <w:r w:rsidRPr="00737C0F">
              <w:t>3.</w:t>
            </w:r>
          </w:p>
        </w:tc>
        <w:tc>
          <w:tcPr>
            <w:tcW w:w="3118" w:type="dxa"/>
            <w:tcBorders>
              <w:top w:val="outset" w:sz="6" w:space="0" w:color="auto"/>
              <w:left w:val="outset" w:sz="6" w:space="0" w:color="auto"/>
              <w:bottom w:val="outset" w:sz="6" w:space="0" w:color="auto"/>
              <w:right w:val="outset" w:sz="6" w:space="0" w:color="auto"/>
            </w:tcBorders>
          </w:tcPr>
          <w:p w:rsidR="00C0006A" w:rsidRPr="00737C0F" w:rsidRDefault="00C0006A" w:rsidP="00DC7D87">
            <w:pPr>
              <w:ind w:left="57"/>
            </w:pPr>
            <w:r w:rsidRPr="00737C0F">
              <w:t>Cita informācija</w:t>
            </w:r>
          </w:p>
        </w:tc>
        <w:tc>
          <w:tcPr>
            <w:tcW w:w="6237" w:type="dxa"/>
            <w:tcBorders>
              <w:top w:val="outset" w:sz="6" w:space="0" w:color="auto"/>
              <w:left w:val="outset" w:sz="6" w:space="0" w:color="auto"/>
              <w:bottom w:val="outset" w:sz="6" w:space="0" w:color="auto"/>
              <w:right w:val="outset" w:sz="6" w:space="0" w:color="auto"/>
            </w:tcBorders>
          </w:tcPr>
          <w:p w:rsidR="00C0006A" w:rsidRPr="00737C0F" w:rsidRDefault="0083633C" w:rsidP="0083633C">
            <w:pPr>
              <w:ind w:left="57"/>
              <w:jc w:val="both"/>
            </w:pPr>
            <w:r w:rsidRPr="00737C0F">
              <w:t>Tieslietu ministrija</w:t>
            </w:r>
            <w:r w:rsidR="0025132D" w:rsidRPr="00737C0F">
              <w:t xml:space="preserve"> sniedza šādu</w:t>
            </w:r>
            <w:r w:rsidRPr="00737C0F">
              <w:t xml:space="preserve"> salīdzinošu informāciju par Eiropas Parlamenta un Padomes Direktīva 2011/93/ES par seksuālas vardarbības pret bērniem, bērnu seksuālas izmantošanas un bērnu pornogrāfijas apkarošanu, un ar kuru aizstāj Padomes Pamatlēmumu 2004/68/TI, ieviešanas procedūrām un finansēšanas risinājumiem Lietuvā un Igaunijā:</w:t>
            </w:r>
          </w:p>
          <w:p w:rsidR="003012AF" w:rsidRPr="00737C0F" w:rsidRDefault="00F10B44" w:rsidP="00165B40">
            <w:pPr>
              <w:jc w:val="both"/>
            </w:pPr>
            <w:r w:rsidRPr="00737C0F">
              <w:t xml:space="preserve">        </w:t>
            </w:r>
            <w:r w:rsidR="003012AF" w:rsidRPr="00737C0F">
              <w:t>- Lietuvā par speciālistu apmācībām bērnu tiesību aizsardzības jautājumos ir atbildīga Sociālās drošības un darba lietu ministrija, izņemot policijas darbinieku apmācībās, par kurām ir atbildīga Iekšlietu ministrija un pašvaldības. Speciālistu apmācības tiek centralizēti organizētas atbilstoši Nacionālajai programmai bērnu izmantošanas novērtēšanai un bērnu atbalstam 2011.-2015.gadam</w:t>
            </w:r>
            <w:r w:rsidR="002D39ED" w:rsidRPr="00737C0F">
              <w:t xml:space="preserve"> un tās īstenošanai izstrādātajam rīcības plānam</w:t>
            </w:r>
            <w:r w:rsidR="003012AF" w:rsidRPr="00737C0F">
              <w:t xml:space="preserve">. </w:t>
            </w:r>
            <w:r w:rsidR="002D39ED" w:rsidRPr="00737C0F">
              <w:t>2013.gadā tika organizētas apmācības „Seksuālie noziegumi pret bērnu: speciālistu ABC” kvalifikācijas celšanai kopumā 240 speciālistiem dažādos Lietuvas reģionos, kas ikdienas darbā saskaras ar bērnu tiesību aizsardzības jautājumiem.</w:t>
            </w:r>
            <w:r w:rsidR="001749FD" w:rsidRPr="00737C0F">
              <w:t xml:space="preserve"> Paredzētais ikgadējs finansējums </w:t>
            </w:r>
            <w:r w:rsidR="000C12BF" w:rsidRPr="00737C0F">
              <w:t xml:space="preserve">Sociālās drošības un darba lietu ministrijas </w:t>
            </w:r>
            <w:r w:rsidR="001749FD" w:rsidRPr="00737C0F">
              <w:t>apmācībām ir 50000 LTL (apm. 14 500 EUR)</w:t>
            </w:r>
            <w:r w:rsidR="000C12BF" w:rsidRPr="00737C0F">
              <w:t>, savukārt Iekšlietu ministrijai – 30 LTL (apm. 7 700 EUR). Papildus Programmā paredzētajām ikgadējām speciālistu apmācībām, Sociālās drošības un darba lietu ministrija īsteno projektu EE</w:t>
            </w:r>
            <w:r w:rsidR="00165B40" w:rsidRPr="00737C0F">
              <w:t xml:space="preserve">Z Finanšu mehānisma programmas 2009.-2014.gadam „Riska grupas bērni un jaunieši” ietvaros, lai pēc Islandes modeļa </w:t>
            </w:r>
            <w:r w:rsidR="00F34A81" w:rsidRPr="00737C0F">
              <w:t>(„</w:t>
            </w:r>
            <w:proofErr w:type="spellStart"/>
            <w:r w:rsidR="00F34A81" w:rsidRPr="00737C0F">
              <w:t>Barnahus</w:t>
            </w:r>
            <w:proofErr w:type="spellEnd"/>
            <w:r w:rsidR="00F34A81" w:rsidRPr="00737C0F">
              <w:t xml:space="preserve">”) </w:t>
            </w:r>
            <w:r w:rsidR="00F34A81" w:rsidRPr="00737C0F">
              <w:lastRenderedPageBreak/>
              <w:t xml:space="preserve">izveidotu palīdzības centru bērniem, kas cietuši no seksuālas izmantošanas. Projekta ietvaros notiek speciālistu apmācības darbam ar bērniem, kas cietuši no seksuālas izmantošanas. </w:t>
            </w:r>
          </w:p>
          <w:p w:rsidR="00F34A81" w:rsidRPr="00737C0F" w:rsidRDefault="00F10B44" w:rsidP="00165B40">
            <w:pPr>
              <w:jc w:val="both"/>
            </w:pPr>
            <w:r w:rsidRPr="00737C0F">
              <w:t xml:space="preserve">      </w:t>
            </w:r>
            <w:r w:rsidR="00F34A81" w:rsidRPr="00737C0F">
              <w:t xml:space="preserve">- Igaunijā apmācības tiek organizētas decentralizēti, proti, katra institūcija (tajā skaitā, Valsts policija, prokuratūra, tiesas) apmācības saviem speciālistiem organizē un apmaksā pati. Šo apmācību saturu katra institūcija nosaka pati atbilstoši konkrētās jomas speciālistu vajadzībām. </w:t>
            </w:r>
          </w:p>
        </w:tc>
      </w:tr>
    </w:tbl>
    <w:p w:rsidR="00C0006A" w:rsidRPr="00737C0F" w:rsidRDefault="00C0006A" w:rsidP="00C0006A"/>
    <w:p w:rsidR="009F3972" w:rsidRPr="00737C0F" w:rsidRDefault="009F3972" w:rsidP="009F3972">
      <w:pPr>
        <w:rPr>
          <w:sz w:val="2"/>
          <w:szCs w:val="2"/>
        </w:rPr>
      </w:pPr>
    </w:p>
    <w:tbl>
      <w:tblPr>
        <w:tblW w:w="10206" w:type="dxa"/>
        <w:tblInd w:w="-539"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2391"/>
        <w:gridCol w:w="1852"/>
        <w:gridCol w:w="2719"/>
        <w:gridCol w:w="3244"/>
      </w:tblGrid>
      <w:tr w:rsidR="009F3972" w:rsidRPr="00737C0F" w:rsidTr="0068293F">
        <w:trPr>
          <w:cantSplit/>
          <w:trHeight w:val="523"/>
        </w:trPr>
        <w:tc>
          <w:tcPr>
            <w:tcW w:w="10206" w:type="dxa"/>
            <w:gridSpan w:val="4"/>
            <w:tcBorders>
              <w:top w:val="outset" w:sz="6" w:space="0" w:color="auto"/>
              <w:left w:val="outset" w:sz="6" w:space="0" w:color="auto"/>
              <w:bottom w:val="outset" w:sz="6" w:space="0" w:color="auto"/>
              <w:right w:val="outset" w:sz="6" w:space="0" w:color="auto"/>
            </w:tcBorders>
            <w:vAlign w:val="center"/>
          </w:tcPr>
          <w:p w:rsidR="009F3972" w:rsidRPr="00737C0F" w:rsidRDefault="009F3972" w:rsidP="0068293F">
            <w:pPr>
              <w:ind w:left="57"/>
              <w:jc w:val="center"/>
              <w:rPr>
                <w:b/>
              </w:rPr>
            </w:pPr>
            <w:r w:rsidRPr="00737C0F">
              <w:rPr>
                <w:b/>
              </w:rPr>
              <w:t>1.tabula</w:t>
            </w:r>
          </w:p>
          <w:p w:rsidR="009F3972" w:rsidRPr="00737C0F" w:rsidRDefault="009F3972" w:rsidP="0068293F">
            <w:pPr>
              <w:ind w:left="57"/>
              <w:jc w:val="center"/>
            </w:pPr>
            <w:r w:rsidRPr="00737C0F">
              <w:rPr>
                <w:b/>
              </w:rPr>
              <w:t>Tiesību akta projekta atbilstība ES tiesību aktiem</w:t>
            </w:r>
          </w:p>
        </w:tc>
      </w:tr>
      <w:tr w:rsidR="009F3972" w:rsidRPr="00737C0F" w:rsidTr="0068293F">
        <w:trPr>
          <w:cantSplit/>
        </w:trPr>
        <w:tc>
          <w:tcPr>
            <w:tcW w:w="2391" w:type="dxa"/>
            <w:tcBorders>
              <w:top w:val="outset" w:sz="6" w:space="0" w:color="auto"/>
              <w:left w:val="outset" w:sz="6" w:space="0" w:color="auto"/>
              <w:bottom w:val="outset" w:sz="6" w:space="0" w:color="auto"/>
              <w:right w:val="outset" w:sz="6" w:space="0" w:color="auto"/>
            </w:tcBorders>
            <w:vAlign w:val="center"/>
          </w:tcPr>
          <w:p w:rsidR="009F3972" w:rsidRPr="00737C0F" w:rsidRDefault="009F3972" w:rsidP="0068293F">
            <w:pPr>
              <w:ind w:left="57"/>
              <w:jc w:val="center"/>
            </w:pPr>
            <w:r w:rsidRPr="00737C0F">
              <w:t>A</w:t>
            </w:r>
          </w:p>
        </w:tc>
        <w:tc>
          <w:tcPr>
            <w:tcW w:w="1852" w:type="dxa"/>
            <w:tcBorders>
              <w:top w:val="outset" w:sz="6" w:space="0" w:color="auto"/>
              <w:left w:val="outset" w:sz="6" w:space="0" w:color="auto"/>
              <w:bottom w:val="outset" w:sz="6" w:space="0" w:color="auto"/>
              <w:right w:val="outset" w:sz="6" w:space="0" w:color="auto"/>
            </w:tcBorders>
            <w:vAlign w:val="center"/>
          </w:tcPr>
          <w:p w:rsidR="009F3972" w:rsidRPr="00737C0F" w:rsidRDefault="009F3972" w:rsidP="0068293F">
            <w:pPr>
              <w:ind w:left="57"/>
              <w:jc w:val="center"/>
            </w:pPr>
            <w:r w:rsidRPr="00737C0F">
              <w:t>B</w:t>
            </w:r>
          </w:p>
        </w:tc>
        <w:tc>
          <w:tcPr>
            <w:tcW w:w="2719" w:type="dxa"/>
            <w:tcBorders>
              <w:top w:val="outset" w:sz="6" w:space="0" w:color="auto"/>
              <w:left w:val="outset" w:sz="6" w:space="0" w:color="auto"/>
              <w:bottom w:val="outset" w:sz="6" w:space="0" w:color="auto"/>
              <w:right w:val="outset" w:sz="6" w:space="0" w:color="auto"/>
            </w:tcBorders>
            <w:vAlign w:val="center"/>
          </w:tcPr>
          <w:p w:rsidR="009F3972" w:rsidRPr="00737C0F" w:rsidRDefault="009F3972" w:rsidP="0068293F">
            <w:pPr>
              <w:ind w:left="57"/>
              <w:jc w:val="center"/>
            </w:pPr>
            <w:r w:rsidRPr="00737C0F">
              <w:t>C</w:t>
            </w:r>
          </w:p>
        </w:tc>
        <w:tc>
          <w:tcPr>
            <w:tcW w:w="3244" w:type="dxa"/>
            <w:tcBorders>
              <w:top w:val="outset" w:sz="6" w:space="0" w:color="auto"/>
              <w:left w:val="outset" w:sz="6" w:space="0" w:color="auto"/>
              <w:bottom w:val="outset" w:sz="6" w:space="0" w:color="auto"/>
              <w:right w:val="outset" w:sz="6" w:space="0" w:color="auto"/>
            </w:tcBorders>
            <w:vAlign w:val="center"/>
          </w:tcPr>
          <w:p w:rsidR="009F3972" w:rsidRPr="00737C0F" w:rsidRDefault="009F3972" w:rsidP="0068293F">
            <w:pPr>
              <w:ind w:left="57"/>
              <w:jc w:val="center"/>
            </w:pPr>
            <w:r w:rsidRPr="00737C0F">
              <w:t>D</w:t>
            </w:r>
          </w:p>
        </w:tc>
      </w:tr>
      <w:tr w:rsidR="009F3972" w:rsidRPr="00737C0F" w:rsidTr="0068293F">
        <w:trPr>
          <w:cantSplit/>
          <w:trHeight w:val="4708"/>
        </w:trPr>
        <w:tc>
          <w:tcPr>
            <w:tcW w:w="2391" w:type="dxa"/>
            <w:tcBorders>
              <w:top w:val="outset" w:sz="6" w:space="0" w:color="auto"/>
              <w:left w:val="outset" w:sz="6" w:space="0" w:color="auto"/>
              <w:bottom w:val="outset" w:sz="6" w:space="0" w:color="auto"/>
              <w:right w:val="outset" w:sz="6" w:space="0" w:color="auto"/>
            </w:tcBorders>
          </w:tcPr>
          <w:p w:rsidR="009F3972" w:rsidRPr="00737C0F" w:rsidRDefault="009F3972" w:rsidP="0068293F">
            <w:pPr>
              <w:spacing w:after="120"/>
              <w:ind w:left="57"/>
              <w:rPr>
                <w:spacing w:val="-3"/>
              </w:rPr>
            </w:pPr>
            <w:r w:rsidRPr="00737C0F">
              <w:rPr>
                <w:spacing w:val="-3"/>
              </w:rPr>
              <w:t>Attiecīgā ES tiesību akta panta numurs (uzskaitot katru tiesību akta vienību – pantu, daļu, punktu, apakšpunktu)</w:t>
            </w:r>
          </w:p>
        </w:tc>
        <w:tc>
          <w:tcPr>
            <w:tcW w:w="1852" w:type="dxa"/>
            <w:tcBorders>
              <w:top w:val="outset" w:sz="6" w:space="0" w:color="auto"/>
              <w:left w:val="outset" w:sz="6" w:space="0" w:color="auto"/>
              <w:bottom w:val="outset" w:sz="6" w:space="0" w:color="auto"/>
              <w:right w:val="outset" w:sz="6" w:space="0" w:color="auto"/>
            </w:tcBorders>
          </w:tcPr>
          <w:p w:rsidR="009F3972" w:rsidRPr="00737C0F" w:rsidRDefault="009F3972" w:rsidP="0068293F">
            <w:pPr>
              <w:spacing w:after="120"/>
              <w:ind w:left="57"/>
              <w:rPr>
                <w:spacing w:val="-3"/>
              </w:rPr>
            </w:pPr>
            <w:r w:rsidRPr="00737C0F">
              <w:rPr>
                <w:spacing w:val="-3"/>
              </w:rPr>
              <w:t xml:space="preserve">Projekta vienība, kas pārņem vai ievieš katru šīs tabulas A ailē minēto ES tiesību akta vienību, vai tiesību </w:t>
            </w:r>
            <w:smartTag w:uri="urn:schemas-microsoft-com:office:smarttags" w:element="place">
              <w:smartTagPr>
                <w:attr w:name="text" w:val="akts"/>
                <w:attr w:name="baseform" w:val="akts"/>
                <w:attr w:name="id" w:val="-1"/>
              </w:smartTagPr>
              <w:r w:rsidRPr="00737C0F">
                <w:rPr>
                  <w:spacing w:val="-3"/>
                </w:rPr>
                <w:t>akts</w:t>
              </w:r>
            </w:smartTag>
            <w:r w:rsidRPr="00737C0F">
              <w:rPr>
                <w:spacing w:val="-3"/>
              </w:rPr>
              <w:t>, kur attiecīgā ES tiesību akta vienība pārņemta vai ieviesta</w:t>
            </w:r>
          </w:p>
        </w:tc>
        <w:tc>
          <w:tcPr>
            <w:tcW w:w="2719" w:type="dxa"/>
            <w:tcBorders>
              <w:top w:val="outset" w:sz="6" w:space="0" w:color="auto"/>
              <w:left w:val="outset" w:sz="6" w:space="0" w:color="auto"/>
              <w:bottom w:val="outset" w:sz="6" w:space="0" w:color="auto"/>
              <w:right w:val="outset" w:sz="6" w:space="0" w:color="auto"/>
            </w:tcBorders>
          </w:tcPr>
          <w:p w:rsidR="009F3972" w:rsidRPr="00737C0F" w:rsidRDefault="009F3972" w:rsidP="0068293F">
            <w:pPr>
              <w:spacing w:after="120"/>
              <w:ind w:left="57"/>
              <w:rPr>
                <w:spacing w:val="-3"/>
              </w:rPr>
            </w:pPr>
            <w:r w:rsidRPr="00737C0F">
              <w:rPr>
                <w:spacing w:val="-3"/>
              </w:rPr>
              <w:t>Informācija par to, vai šīs tabulas A ailē minētās ES tiesību akta vienības tiek pārņemtas vai ieviestas pilnībā vai daļēji.</w:t>
            </w:r>
          </w:p>
          <w:p w:rsidR="009F3972" w:rsidRPr="00737C0F" w:rsidRDefault="009F3972" w:rsidP="0068293F">
            <w:pPr>
              <w:spacing w:after="120"/>
              <w:ind w:left="57"/>
              <w:rPr>
                <w:spacing w:val="-3"/>
              </w:rPr>
            </w:pPr>
            <w:r w:rsidRPr="00737C0F">
              <w:rPr>
                <w:spacing w:val="-3"/>
              </w:rPr>
              <w:t>Ja attiecīgā ES tiesību akta vienība tiek pārņemta vai ieviesta daļēji, sniedz attiecīgu skaidrojumu, kā arī precīzi norāda, kad un kādā veidā ES tiesību akta vienība tiks pārņemta vai ieviesta pilnībā.</w:t>
            </w:r>
          </w:p>
          <w:p w:rsidR="009F3972" w:rsidRPr="00737C0F" w:rsidRDefault="009F3972" w:rsidP="0068293F">
            <w:pPr>
              <w:spacing w:after="120"/>
              <w:ind w:left="57"/>
              <w:rPr>
                <w:spacing w:val="-3"/>
              </w:rPr>
            </w:pPr>
            <w:r w:rsidRPr="00737C0F">
              <w:rPr>
                <w:spacing w:val="-3"/>
              </w:rPr>
              <w:t>Norāda institūciju, kas ir atbildīga par šo saistību izpildi pilnībā</w:t>
            </w:r>
          </w:p>
        </w:tc>
        <w:tc>
          <w:tcPr>
            <w:tcW w:w="3244" w:type="dxa"/>
            <w:tcBorders>
              <w:top w:val="outset" w:sz="6" w:space="0" w:color="auto"/>
              <w:left w:val="outset" w:sz="6" w:space="0" w:color="auto"/>
              <w:bottom w:val="outset" w:sz="6" w:space="0" w:color="auto"/>
              <w:right w:val="outset" w:sz="6" w:space="0" w:color="auto"/>
            </w:tcBorders>
          </w:tcPr>
          <w:p w:rsidR="009F3972" w:rsidRPr="00737C0F" w:rsidRDefault="009F3972" w:rsidP="0068293F">
            <w:pPr>
              <w:spacing w:after="120"/>
              <w:ind w:left="57"/>
            </w:pPr>
            <w:r w:rsidRPr="00737C0F">
              <w:rPr>
                <w:spacing w:val="-3"/>
              </w:rPr>
              <w:t xml:space="preserve">Informācija par to, vai šīs </w:t>
            </w:r>
            <w:r w:rsidRPr="00737C0F">
              <w:t>tabulas B ailē minētās projekta vienības paredz stingrākas prasības nekā šīs tabulas A ailē minētās ES tiesību akta vienības.</w:t>
            </w:r>
          </w:p>
          <w:p w:rsidR="009F3972" w:rsidRPr="00737C0F" w:rsidRDefault="009F3972" w:rsidP="0068293F">
            <w:pPr>
              <w:spacing w:after="120"/>
              <w:ind w:left="57"/>
            </w:pPr>
            <w:r w:rsidRPr="00737C0F">
              <w:t>Ja projekts satur stingrākas prasības nekā attiecīgais ES tiesību akts, norāda pamatojumu un samērīgumu.</w:t>
            </w:r>
          </w:p>
          <w:p w:rsidR="009F3972" w:rsidRPr="00737C0F" w:rsidRDefault="009F3972" w:rsidP="0068293F">
            <w:pPr>
              <w:ind w:left="57"/>
              <w:rPr>
                <w:spacing w:val="-3"/>
              </w:rPr>
            </w:pPr>
            <w:r w:rsidRPr="00737C0F">
              <w:t>Norāda iespējamās alternatīvas (t.sk. alternatīvas, kas neparedz tiesiskā regulējuma izstrādi) – kādos gadījumos būtu iespējams izvairīties no stingrāku prasību</w:t>
            </w:r>
            <w:r w:rsidRPr="00737C0F">
              <w:rPr>
                <w:spacing w:val="-3"/>
              </w:rPr>
              <w:t xml:space="preserve"> noteikšanas, nekā paredzēts attiecīgajos ES tiesību aktos</w:t>
            </w:r>
          </w:p>
        </w:tc>
      </w:tr>
      <w:tr w:rsidR="009F3972" w:rsidRPr="00737C0F" w:rsidTr="0068293F">
        <w:trPr>
          <w:cantSplit/>
          <w:trHeight w:val="851"/>
        </w:trPr>
        <w:tc>
          <w:tcPr>
            <w:tcW w:w="2391" w:type="dxa"/>
            <w:tcBorders>
              <w:top w:val="outset" w:sz="6" w:space="0" w:color="auto"/>
              <w:left w:val="outset" w:sz="6" w:space="0" w:color="auto"/>
              <w:bottom w:val="outset" w:sz="6" w:space="0" w:color="auto"/>
              <w:right w:val="outset" w:sz="6" w:space="0" w:color="auto"/>
            </w:tcBorders>
          </w:tcPr>
          <w:p w:rsidR="009F3972" w:rsidRPr="00737C0F" w:rsidRDefault="009F3972" w:rsidP="0068293F">
            <w:pPr>
              <w:spacing w:after="120"/>
              <w:ind w:left="57"/>
              <w:rPr>
                <w:spacing w:val="-2"/>
              </w:rPr>
            </w:pPr>
            <w:r w:rsidRPr="00737C0F">
              <w:t>23.panta 3.punkts.</w:t>
            </w:r>
          </w:p>
        </w:tc>
        <w:tc>
          <w:tcPr>
            <w:tcW w:w="1852" w:type="dxa"/>
            <w:tcBorders>
              <w:top w:val="outset" w:sz="6" w:space="0" w:color="auto"/>
              <w:left w:val="outset" w:sz="6" w:space="0" w:color="auto"/>
              <w:bottom w:val="outset" w:sz="6" w:space="0" w:color="auto"/>
              <w:right w:val="outset" w:sz="6" w:space="0" w:color="auto"/>
            </w:tcBorders>
          </w:tcPr>
          <w:p w:rsidR="009F3972" w:rsidRPr="00737C0F" w:rsidRDefault="009F3972" w:rsidP="0068293F">
            <w:pPr>
              <w:spacing w:after="120"/>
              <w:ind w:left="57"/>
              <w:rPr>
                <w:spacing w:val="-2"/>
              </w:rPr>
            </w:pPr>
            <w:r w:rsidRPr="00737C0F">
              <w:rPr>
                <w:spacing w:val="-2"/>
              </w:rPr>
              <w:t>Noteikumu projekta 5. un 6.punkts</w:t>
            </w:r>
          </w:p>
        </w:tc>
        <w:tc>
          <w:tcPr>
            <w:tcW w:w="2719" w:type="dxa"/>
            <w:tcBorders>
              <w:top w:val="outset" w:sz="6" w:space="0" w:color="auto"/>
              <w:left w:val="outset" w:sz="6" w:space="0" w:color="auto"/>
              <w:bottom w:val="outset" w:sz="6" w:space="0" w:color="auto"/>
              <w:right w:val="outset" w:sz="6" w:space="0" w:color="auto"/>
            </w:tcBorders>
          </w:tcPr>
          <w:p w:rsidR="009F3972" w:rsidRPr="00737C0F" w:rsidRDefault="009F3972" w:rsidP="0068293F">
            <w:pPr>
              <w:ind w:left="57"/>
              <w:rPr>
                <w:spacing w:val="-2"/>
              </w:rPr>
            </w:pPr>
            <w:r w:rsidRPr="00737C0F">
              <w:rPr>
                <w:spacing w:val="-2"/>
              </w:rPr>
              <w:t>Atbilst.</w:t>
            </w:r>
          </w:p>
        </w:tc>
        <w:tc>
          <w:tcPr>
            <w:tcW w:w="3244" w:type="dxa"/>
            <w:tcBorders>
              <w:top w:val="outset" w:sz="6" w:space="0" w:color="auto"/>
              <w:left w:val="outset" w:sz="6" w:space="0" w:color="auto"/>
              <w:bottom w:val="outset" w:sz="6" w:space="0" w:color="auto"/>
              <w:right w:val="outset" w:sz="6" w:space="0" w:color="auto"/>
            </w:tcBorders>
          </w:tcPr>
          <w:p w:rsidR="009F3972" w:rsidRPr="00737C0F" w:rsidRDefault="009F3972" w:rsidP="0068293F">
            <w:pPr>
              <w:ind w:left="57"/>
              <w:rPr>
                <w:spacing w:val="-2"/>
              </w:rPr>
            </w:pPr>
            <w:r w:rsidRPr="00737C0F">
              <w:rPr>
                <w:spacing w:val="-2"/>
              </w:rPr>
              <w:t>Neparedz stingrākas prasības kā Direktīva.</w:t>
            </w:r>
          </w:p>
        </w:tc>
      </w:tr>
      <w:tr w:rsidR="009F3972" w:rsidRPr="00737C0F" w:rsidTr="0068293F">
        <w:trPr>
          <w:cantSplit/>
          <w:trHeight w:val="579"/>
        </w:trPr>
        <w:tc>
          <w:tcPr>
            <w:tcW w:w="2391" w:type="dxa"/>
            <w:tcBorders>
              <w:top w:val="outset" w:sz="6" w:space="0" w:color="auto"/>
              <w:left w:val="outset" w:sz="6" w:space="0" w:color="auto"/>
              <w:bottom w:val="outset" w:sz="6" w:space="0" w:color="auto"/>
              <w:right w:val="outset" w:sz="6" w:space="0" w:color="auto"/>
            </w:tcBorders>
          </w:tcPr>
          <w:p w:rsidR="009F3972" w:rsidRPr="00737C0F" w:rsidRDefault="009F3972" w:rsidP="0068293F">
            <w:pPr>
              <w:ind w:left="57"/>
            </w:pPr>
            <w:r w:rsidRPr="00737C0F">
              <w:t>Cita informācija</w:t>
            </w:r>
          </w:p>
        </w:tc>
        <w:tc>
          <w:tcPr>
            <w:tcW w:w="7815" w:type="dxa"/>
            <w:gridSpan w:val="3"/>
            <w:tcBorders>
              <w:top w:val="outset" w:sz="6" w:space="0" w:color="auto"/>
              <w:left w:val="outset" w:sz="6" w:space="0" w:color="auto"/>
              <w:bottom w:val="outset" w:sz="6" w:space="0" w:color="auto"/>
              <w:right w:val="outset" w:sz="6" w:space="0" w:color="auto"/>
            </w:tcBorders>
          </w:tcPr>
          <w:p w:rsidR="009F3972" w:rsidRPr="00737C0F" w:rsidRDefault="009F3972" w:rsidP="0068293F">
            <w:pPr>
              <w:ind w:left="57"/>
              <w:jc w:val="both"/>
            </w:pPr>
            <w:r w:rsidRPr="00737C0F">
              <w:t>Direktīvas normas, kas netiek transponētas ar šo noteikumu projektu, tiks ieviestas ar likumprojektu „Grozījumi Bērnu tiesību aizsardzības likumā”, likumprojektu „Grozījumi Krimināllikumā”, likumprojektu „Grozījumi Kriminālprocesa likumā”, likumprojektu „Grozījumi Pornogrāfijas ierobežošanas likumā”, likumprojektu „Grozījumi Sociālo pakalpojumu un sociālās palīdzības likumā” un likumprojektu „Grozījumi likumā „Par presi un citiem masu informācijas līdzekļiem””.</w:t>
            </w:r>
          </w:p>
        </w:tc>
      </w:tr>
    </w:tbl>
    <w:p w:rsidR="009F3972" w:rsidRPr="00737C0F" w:rsidRDefault="009F3972" w:rsidP="00C0006A"/>
    <w:tbl>
      <w:tblPr>
        <w:tblW w:w="10206" w:type="dxa"/>
        <w:tblInd w:w="-539"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10206"/>
      </w:tblGrid>
      <w:tr w:rsidR="00C0006A" w:rsidRPr="00737C0F" w:rsidTr="00DC7D87">
        <w:trPr>
          <w:trHeight w:val="20"/>
        </w:trPr>
        <w:tc>
          <w:tcPr>
            <w:tcW w:w="10206" w:type="dxa"/>
            <w:tcBorders>
              <w:top w:val="outset" w:sz="6" w:space="0" w:color="auto"/>
              <w:left w:val="outset" w:sz="6" w:space="0" w:color="auto"/>
              <w:bottom w:val="outset" w:sz="6" w:space="0" w:color="auto"/>
              <w:right w:val="outset" w:sz="6" w:space="0" w:color="auto"/>
            </w:tcBorders>
            <w:vAlign w:val="center"/>
          </w:tcPr>
          <w:p w:rsidR="00C0006A" w:rsidRPr="00737C0F" w:rsidRDefault="00C0006A" w:rsidP="00DC7D87">
            <w:pPr>
              <w:ind w:left="57"/>
              <w:jc w:val="center"/>
              <w:rPr>
                <w:b/>
              </w:rPr>
            </w:pPr>
            <w:r w:rsidRPr="00737C0F">
              <w:rPr>
                <w:b/>
              </w:rPr>
              <w:t>2.tabula</w:t>
            </w:r>
          </w:p>
          <w:p w:rsidR="00C0006A" w:rsidRPr="00737C0F" w:rsidRDefault="00C0006A" w:rsidP="00DC7D87">
            <w:pPr>
              <w:ind w:left="57"/>
              <w:jc w:val="center"/>
              <w:rPr>
                <w:b/>
              </w:rPr>
            </w:pPr>
            <w:r w:rsidRPr="00737C0F">
              <w:rPr>
                <w:b/>
              </w:rPr>
              <w:t>Ar tiesību akta projektu izpildītās vai uzņemtās saistības, kas izriet no starptautiskajiem tiesību aktiem vai starptautiskas institūcijas vai organizācijas dokumentiem.</w:t>
            </w:r>
          </w:p>
          <w:p w:rsidR="00C0006A" w:rsidRPr="00737C0F" w:rsidRDefault="00C0006A" w:rsidP="00DC7D87">
            <w:pPr>
              <w:ind w:left="57"/>
              <w:jc w:val="center"/>
              <w:rPr>
                <w:b/>
              </w:rPr>
            </w:pPr>
            <w:r w:rsidRPr="00737C0F">
              <w:rPr>
                <w:b/>
              </w:rPr>
              <w:t>Pasākumi šo saistību izpildei</w:t>
            </w:r>
          </w:p>
        </w:tc>
      </w:tr>
      <w:tr w:rsidR="00C0006A" w:rsidRPr="00737C0F" w:rsidTr="00DC7D87">
        <w:trPr>
          <w:trHeight w:val="20"/>
        </w:trPr>
        <w:tc>
          <w:tcPr>
            <w:tcW w:w="10206" w:type="dxa"/>
            <w:tcBorders>
              <w:top w:val="outset" w:sz="6" w:space="0" w:color="auto"/>
              <w:left w:val="outset" w:sz="6" w:space="0" w:color="auto"/>
              <w:bottom w:val="outset" w:sz="6" w:space="0" w:color="auto"/>
              <w:right w:val="outset" w:sz="6" w:space="0" w:color="auto"/>
            </w:tcBorders>
            <w:vAlign w:val="center"/>
          </w:tcPr>
          <w:p w:rsidR="00C0006A" w:rsidRPr="00737C0F" w:rsidRDefault="00C0006A" w:rsidP="00DC7D87">
            <w:pPr>
              <w:ind w:left="57"/>
              <w:jc w:val="center"/>
            </w:pPr>
            <w:r w:rsidRPr="00737C0F">
              <w:t>Projekts šo jomu neskar.</w:t>
            </w:r>
          </w:p>
        </w:tc>
      </w:tr>
    </w:tbl>
    <w:p w:rsidR="00E46559" w:rsidRPr="00737C0F" w:rsidRDefault="00E46559" w:rsidP="006C4607">
      <w:pPr>
        <w:pStyle w:val="naisf"/>
        <w:spacing w:before="0" w:after="0"/>
        <w:jc w:val="center"/>
        <w:rPr>
          <w:b/>
        </w:rPr>
      </w:pPr>
    </w:p>
    <w:tbl>
      <w:tblPr>
        <w:tblW w:w="10256"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1"/>
        <w:gridCol w:w="3544"/>
        <w:gridCol w:w="6261"/>
      </w:tblGrid>
      <w:tr w:rsidR="00277929" w:rsidRPr="00737C0F" w:rsidTr="00FD2A8A">
        <w:trPr>
          <w:jc w:val="center"/>
        </w:trPr>
        <w:tc>
          <w:tcPr>
            <w:tcW w:w="10256" w:type="dxa"/>
            <w:gridSpan w:val="3"/>
          </w:tcPr>
          <w:p w:rsidR="00277929" w:rsidRPr="00737C0F" w:rsidRDefault="00277929" w:rsidP="007D099D">
            <w:pPr>
              <w:pStyle w:val="naisnod"/>
              <w:spacing w:before="0" w:after="0"/>
              <w:ind w:left="57" w:right="57"/>
            </w:pPr>
            <w:r w:rsidRPr="00737C0F">
              <w:t>VI</w:t>
            </w:r>
            <w:r w:rsidR="000941C5" w:rsidRPr="00737C0F">
              <w:t>.</w:t>
            </w:r>
            <w:r w:rsidRPr="00737C0F">
              <w:t xml:space="preserve"> Sabiedrības līdzdalība un šīs līdzdalības rezultāti</w:t>
            </w:r>
          </w:p>
        </w:tc>
      </w:tr>
      <w:tr w:rsidR="00183CC2" w:rsidRPr="00737C0F" w:rsidTr="00446C83">
        <w:trPr>
          <w:trHeight w:val="553"/>
          <w:jc w:val="center"/>
        </w:trPr>
        <w:tc>
          <w:tcPr>
            <w:tcW w:w="451" w:type="dxa"/>
          </w:tcPr>
          <w:p w:rsidR="00183CC2" w:rsidRPr="00737C0F" w:rsidRDefault="00183CC2" w:rsidP="007D099D">
            <w:pPr>
              <w:pStyle w:val="naiskr"/>
              <w:spacing w:before="0" w:after="0"/>
              <w:ind w:left="57" w:right="57"/>
              <w:rPr>
                <w:bCs/>
                <w:sz w:val="22"/>
                <w:szCs w:val="22"/>
              </w:rPr>
            </w:pPr>
            <w:r w:rsidRPr="00737C0F">
              <w:rPr>
                <w:bCs/>
                <w:sz w:val="22"/>
                <w:szCs w:val="22"/>
              </w:rPr>
              <w:t>1.</w:t>
            </w:r>
          </w:p>
        </w:tc>
        <w:tc>
          <w:tcPr>
            <w:tcW w:w="3544" w:type="dxa"/>
          </w:tcPr>
          <w:p w:rsidR="00183CC2" w:rsidRPr="00737C0F" w:rsidRDefault="00183CC2" w:rsidP="007D099D">
            <w:pPr>
              <w:pStyle w:val="naiskr"/>
              <w:tabs>
                <w:tab w:val="left" w:pos="170"/>
              </w:tabs>
              <w:spacing w:before="0" w:after="0"/>
              <w:ind w:left="57" w:right="57"/>
              <w:rPr>
                <w:sz w:val="22"/>
                <w:szCs w:val="22"/>
              </w:rPr>
            </w:pPr>
            <w:r w:rsidRPr="00737C0F">
              <w:rPr>
                <w:sz w:val="22"/>
                <w:szCs w:val="22"/>
              </w:rPr>
              <w:t>Sabiedrības informēšana par projekta izstrādes uzsākšanu</w:t>
            </w:r>
          </w:p>
        </w:tc>
        <w:tc>
          <w:tcPr>
            <w:tcW w:w="6261" w:type="dxa"/>
          </w:tcPr>
          <w:p w:rsidR="00B20196" w:rsidRPr="00737C0F" w:rsidRDefault="00A43B05" w:rsidP="00B20196">
            <w:pPr>
              <w:pStyle w:val="naiskr"/>
              <w:spacing w:before="0" w:after="0"/>
              <w:ind w:left="57" w:right="57"/>
              <w:jc w:val="both"/>
            </w:pPr>
            <w:r w:rsidRPr="00737C0F">
              <w:rPr>
                <w:iCs/>
              </w:rPr>
              <w:t xml:space="preserve">Noteikumu projekts izstrādāts, balstoties uz veiktajiem grozījumiem Bērnu tiesību </w:t>
            </w:r>
            <w:r w:rsidR="003E5A6A" w:rsidRPr="00737C0F">
              <w:rPr>
                <w:iCs/>
              </w:rPr>
              <w:t xml:space="preserve">aizsardzības likumā, kura izstrāde </w:t>
            </w:r>
            <w:r w:rsidR="003E5A6A" w:rsidRPr="00737C0F">
              <w:rPr>
                <w:iCs/>
              </w:rPr>
              <w:lastRenderedPageBreak/>
              <w:t>tika uzsākta 2011.gadā</w:t>
            </w:r>
            <w:r w:rsidR="00446C83" w:rsidRPr="00737C0F">
              <w:rPr>
                <w:iCs/>
              </w:rPr>
              <w:t>. Likumprojekta „Grozījumi Bērnu tiesību aizsardzības likumā” anotācijā kā viens no nepieciešamajiem saistītajiem tiesību aktu projektiem tika minēts noteikumu projekts.</w:t>
            </w:r>
            <w:r w:rsidR="00CC1AF5" w:rsidRPr="00737C0F">
              <w:t xml:space="preserve"> </w:t>
            </w:r>
          </w:p>
          <w:p w:rsidR="00446C83" w:rsidRPr="00737C0F" w:rsidRDefault="009670A1" w:rsidP="00B20196">
            <w:pPr>
              <w:pStyle w:val="naiskr"/>
              <w:spacing w:before="0" w:after="0"/>
              <w:ind w:left="57" w:right="57"/>
              <w:jc w:val="both"/>
            </w:pPr>
            <w:r w:rsidRPr="00737C0F">
              <w:rPr>
                <w:iCs/>
              </w:rPr>
              <w:t>Informācija par noteikumu projektu tika iekļauta,</w:t>
            </w:r>
            <w:r w:rsidR="00CC1AF5" w:rsidRPr="00737C0F">
              <w:rPr>
                <w:iCs/>
              </w:rPr>
              <w:t xml:space="preserve"> sniedzot atbildes </w:t>
            </w:r>
            <w:r w:rsidRPr="00737C0F">
              <w:rPr>
                <w:iCs/>
              </w:rPr>
              <w:t>nevalstiskām organizācijām un izglītības iestādēm</w:t>
            </w:r>
            <w:r w:rsidR="0009356D" w:rsidRPr="00737C0F">
              <w:rPr>
                <w:iCs/>
              </w:rPr>
              <w:t xml:space="preserve"> (piem., Valsts policijas koledžai)</w:t>
            </w:r>
            <w:r w:rsidRPr="00737C0F">
              <w:rPr>
                <w:iCs/>
              </w:rPr>
              <w:t xml:space="preserve">. </w:t>
            </w:r>
          </w:p>
        </w:tc>
      </w:tr>
      <w:tr w:rsidR="00277929" w:rsidRPr="00737C0F" w:rsidTr="00446C83">
        <w:trPr>
          <w:trHeight w:val="339"/>
          <w:jc w:val="center"/>
        </w:trPr>
        <w:tc>
          <w:tcPr>
            <w:tcW w:w="451" w:type="dxa"/>
          </w:tcPr>
          <w:p w:rsidR="00277929" w:rsidRPr="00737C0F" w:rsidRDefault="00183CC2" w:rsidP="007D099D">
            <w:pPr>
              <w:pStyle w:val="naiskr"/>
              <w:spacing w:before="0" w:after="0"/>
              <w:ind w:left="57" w:right="57"/>
              <w:rPr>
                <w:bCs/>
                <w:sz w:val="22"/>
                <w:szCs w:val="22"/>
              </w:rPr>
            </w:pPr>
            <w:r w:rsidRPr="00737C0F">
              <w:rPr>
                <w:bCs/>
                <w:sz w:val="22"/>
                <w:szCs w:val="22"/>
              </w:rPr>
              <w:lastRenderedPageBreak/>
              <w:t>2</w:t>
            </w:r>
            <w:r w:rsidR="00277929" w:rsidRPr="00737C0F">
              <w:rPr>
                <w:bCs/>
                <w:sz w:val="22"/>
                <w:szCs w:val="22"/>
              </w:rPr>
              <w:t>.</w:t>
            </w:r>
          </w:p>
        </w:tc>
        <w:tc>
          <w:tcPr>
            <w:tcW w:w="3544" w:type="dxa"/>
          </w:tcPr>
          <w:p w:rsidR="00277929" w:rsidRPr="00737C0F" w:rsidRDefault="00E179CD" w:rsidP="007D099D">
            <w:pPr>
              <w:pStyle w:val="naiskr"/>
              <w:spacing w:before="0" w:after="0"/>
              <w:ind w:left="57" w:right="57"/>
              <w:rPr>
                <w:sz w:val="22"/>
                <w:szCs w:val="22"/>
              </w:rPr>
            </w:pPr>
            <w:r w:rsidRPr="00737C0F">
              <w:rPr>
                <w:sz w:val="22"/>
                <w:szCs w:val="22"/>
              </w:rPr>
              <w:t>S</w:t>
            </w:r>
            <w:r w:rsidR="00DB073B" w:rsidRPr="00737C0F">
              <w:rPr>
                <w:sz w:val="22"/>
                <w:szCs w:val="22"/>
              </w:rPr>
              <w:t>abiedrības</w:t>
            </w:r>
            <w:r w:rsidR="00B73166" w:rsidRPr="00737C0F">
              <w:rPr>
                <w:sz w:val="22"/>
                <w:szCs w:val="22"/>
              </w:rPr>
              <w:t xml:space="preserve"> </w:t>
            </w:r>
            <w:r w:rsidR="00DB073B" w:rsidRPr="00737C0F">
              <w:rPr>
                <w:sz w:val="22"/>
                <w:szCs w:val="22"/>
              </w:rPr>
              <w:t>līdzdalība</w:t>
            </w:r>
            <w:r w:rsidR="00B73166" w:rsidRPr="00737C0F">
              <w:rPr>
                <w:sz w:val="22"/>
                <w:szCs w:val="22"/>
              </w:rPr>
              <w:t xml:space="preserve"> </w:t>
            </w:r>
            <w:r w:rsidR="00AB2B1A" w:rsidRPr="00737C0F">
              <w:rPr>
                <w:sz w:val="22"/>
                <w:szCs w:val="22"/>
              </w:rPr>
              <w:t>projekta izstrādē</w:t>
            </w:r>
            <w:r w:rsidR="00DB073B" w:rsidRPr="00737C0F">
              <w:rPr>
                <w:sz w:val="22"/>
                <w:szCs w:val="22"/>
              </w:rPr>
              <w:t xml:space="preserve"> </w:t>
            </w:r>
          </w:p>
        </w:tc>
        <w:tc>
          <w:tcPr>
            <w:tcW w:w="6261" w:type="dxa"/>
          </w:tcPr>
          <w:p w:rsidR="00446C83" w:rsidRPr="00737C0F" w:rsidRDefault="00AA2899" w:rsidP="00AA2899">
            <w:pPr>
              <w:pStyle w:val="naiskr"/>
              <w:spacing w:before="0" w:after="0"/>
              <w:ind w:left="57" w:right="57"/>
              <w:jc w:val="both"/>
              <w:rPr>
                <w:iCs/>
              </w:rPr>
            </w:pPr>
            <w:r w:rsidRPr="00737C0F">
              <w:t>Sabiedrības līdzdalība noteikumu projekta izstrādē nebija nepieciešama, jo tas attiecas uz valsts pārvaldē un pašvaldībās strādājošo, un tiesu varai piederīgo speciālistu profesionālo kompetenci. Noteikumu projekts būtiski nemaina apmācību kārtību, kura ir noteikta kopš 2005.gada.</w:t>
            </w:r>
          </w:p>
        </w:tc>
      </w:tr>
      <w:tr w:rsidR="00277929" w:rsidRPr="00737C0F" w:rsidTr="00446C83">
        <w:trPr>
          <w:trHeight w:val="375"/>
          <w:jc w:val="center"/>
        </w:trPr>
        <w:tc>
          <w:tcPr>
            <w:tcW w:w="451" w:type="dxa"/>
          </w:tcPr>
          <w:p w:rsidR="00277929" w:rsidRPr="00737C0F" w:rsidRDefault="00183CC2" w:rsidP="007D099D">
            <w:pPr>
              <w:pStyle w:val="naiskr"/>
              <w:spacing w:before="0" w:after="0"/>
              <w:ind w:left="57" w:right="57"/>
              <w:rPr>
                <w:bCs/>
                <w:sz w:val="22"/>
                <w:szCs w:val="22"/>
              </w:rPr>
            </w:pPr>
            <w:r w:rsidRPr="00737C0F">
              <w:rPr>
                <w:bCs/>
                <w:sz w:val="22"/>
                <w:szCs w:val="22"/>
              </w:rPr>
              <w:t>3</w:t>
            </w:r>
            <w:r w:rsidR="00277929" w:rsidRPr="00737C0F">
              <w:rPr>
                <w:bCs/>
                <w:sz w:val="22"/>
                <w:szCs w:val="22"/>
              </w:rPr>
              <w:t>.</w:t>
            </w:r>
          </w:p>
        </w:tc>
        <w:tc>
          <w:tcPr>
            <w:tcW w:w="3544" w:type="dxa"/>
          </w:tcPr>
          <w:p w:rsidR="00784422" w:rsidRPr="00737C0F" w:rsidRDefault="00DB78F0" w:rsidP="007D099D">
            <w:pPr>
              <w:pStyle w:val="naiskr"/>
              <w:spacing w:before="0" w:after="0"/>
              <w:ind w:left="57" w:right="57"/>
              <w:rPr>
                <w:sz w:val="22"/>
                <w:szCs w:val="22"/>
              </w:rPr>
            </w:pPr>
            <w:r w:rsidRPr="00737C0F">
              <w:rPr>
                <w:sz w:val="22"/>
                <w:szCs w:val="22"/>
              </w:rPr>
              <w:t xml:space="preserve">Sabiedrības līdzdalības rezultāti </w:t>
            </w:r>
          </w:p>
        </w:tc>
        <w:tc>
          <w:tcPr>
            <w:tcW w:w="6261" w:type="dxa"/>
          </w:tcPr>
          <w:p w:rsidR="00277929" w:rsidRPr="00737C0F" w:rsidRDefault="008C5C04" w:rsidP="0009356D">
            <w:pPr>
              <w:pStyle w:val="naiskr"/>
              <w:spacing w:before="0" w:after="0"/>
              <w:ind w:left="57" w:right="57"/>
              <w:jc w:val="both"/>
              <w:rPr>
                <w:sz w:val="22"/>
                <w:szCs w:val="22"/>
              </w:rPr>
            </w:pPr>
            <w:r w:rsidRPr="00737C0F">
              <w:rPr>
                <w:iCs/>
                <w:sz w:val="22"/>
                <w:szCs w:val="22"/>
              </w:rPr>
              <w:t>Projekts šo jomu neskar</w:t>
            </w:r>
          </w:p>
        </w:tc>
      </w:tr>
      <w:tr w:rsidR="00DE0B83" w:rsidRPr="00737C0F" w:rsidTr="00446C83">
        <w:trPr>
          <w:trHeight w:val="397"/>
          <w:jc w:val="center"/>
        </w:trPr>
        <w:tc>
          <w:tcPr>
            <w:tcW w:w="451" w:type="dxa"/>
          </w:tcPr>
          <w:p w:rsidR="00DE0B83" w:rsidRPr="00737C0F" w:rsidRDefault="00183CC2" w:rsidP="007D099D">
            <w:pPr>
              <w:pStyle w:val="naiskr"/>
              <w:spacing w:before="0" w:after="0"/>
              <w:ind w:left="57" w:right="57"/>
              <w:rPr>
                <w:bCs/>
                <w:sz w:val="22"/>
                <w:szCs w:val="22"/>
              </w:rPr>
            </w:pPr>
            <w:r w:rsidRPr="00737C0F">
              <w:rPr>
                <w:bCs/>
                <w:sz w:val="22"/>
                <w:szCs w:val="22"/>
              </w:rPr>
              <w:t>4</w:t>
            </w:r>
            <w:r w:rsidR="00DE0B83" w:rsidRPr="00737C0F">
              <w:rPr>
                <w:bCs/>
                <w:sz w:val="22"/>
                <w:szCs w:val="22"/>
              </w:rPr>
              <w:t>.</w:t>
            </w:r>
          </w:p>
        </w:tc>
        <w:tc>
          <w:tcPr>
            <w:tcW w:w="3544" w:type="dxa"/>
          </w:tcPr>
          <w:p w:rsidR="00DE0B83" w:rsidRPr="00737C0F" w:rsidRDefault="00DE0B83" w:rsidP="007D099D">
            <w:pPr>
              <w:pStyle w:val="naiskr"/>
              <w:spacing w:before="0" w:after="0"/>
              <w:ind w:left="57" w:right="57"/>
              <w:rPr>
                <w:sz w:val="22"/>
                <w:szCs w:val="22"/>
              </w:rPr>
            </w:pPr>
            <w:r w:rsidRPr="00737C0F">
              <w:rPr>
                <w:sz w:val="22"/>
                <w:szCs w:val="22"/>
              </w:rPr>
              <w:t>Saeimas un ekspertu līdzdalība</w:t>
            </w:r>
          </w:p>
        </w:tc>
        <w:tc>
          <w:tcPr>
            <w:tcW w:w="6261" w:type="dxa"/>
          </w:tcPr>
          <w:p w:rsidR="00DE0B83" w:rsidRPr="00737C0F" w:rsidRDefault="00446C83" w:rsidP="007D099D">
            <w:pPr>
              <w:pStyle w:val="naiskr"/>
              <w:spacing w:before="0" w:after="0"/>
              <w:ind w:left="57" w:right="57"/>
              <w:jc w:val="both"/>
              <w:rPr>
                <w:sz w:val="22"/>
                <w:szCs w:val="22"/>
              </w:rPr>
            </w:pPr>
            <w:r w:rsidRPr="00737C0F">
              <w:rPr>
                <w:iCs/>
                <w:sz w:val="22"/>
                <w:szCs w:val="22"/>
              </w:rPr>
              <w:t>Projekts šo jomu neskar</w:t>
            </w:r>
          </w:p>
        </w:tc>
      </w:tr>
      <w:tr w:rsidR="00277929" w:rsidRPr="00737C0F" w:rsidTr="00503679">
        <w:trPr>
          <w:trHeight w:val="294"/>
          <w:jc w:val="center"/>
        </w:trPr>
        <w:tc>
          <w:tcPr>
            <w:tcW w:w="451" w:type="dxa"/>
          </w:tcPr>
          <w:p w:rsidR="00277929" w:rsidRPr="00737C0F" w:rsidRDefault="00183CC2" w:rsidP="007D099D">
            <w:pPr>
              <w:pStyle w:val="naiskr"/>
              <w:spacing w:before="0" w:after="0"/>
              <w:ind w:left="57" w:right="57"/>
              <w:rPr>
                <w:bCs/>
                <w:sz w:val="22"/>
                <w:szCs w:val="22"/>
              </w:rPr>
            </w:pPr>
            <w:r w:rsidRPr="00737C0F">
              <w:rPr>
                <w:bCs/>
                <w:sz w:val="22"/>
                <w:szCs w:val="22"/>
              </w:rPr>
              <w:t>5</w:t>
            </w:r>
            <w:r w:rsidR="00277929" w:rsidRPr="00737C0F">
              <w:rPr>
                <w:bCs/>
                <w:sz w:val="22"/>
                <w:szCs w:val="22"/>
              </w:rPr>
              <w:t>.</w:t>
            </w:r>
          </w:p>
        </w:tc>
        <w:tc>
          <w:tcPr>
            <w:tcW w:w="3544" w:type="dxa"/>
          </w:tcPr>
          <w:p w:rsidR="002F78C8" w:rsidRPr="00737C0F" w:rsidRDefault="006C4607" w:rsidP="00503679">
            <w:pPr>
              <w:pStyle w:val="naiskr"/>
              <w:spacing w:before="0" w:after="0"/>
              <w:ind w:left="57" w:right="57"/>
              <w:rPr>
                <w:sz w:val="22"/>
                <w:szCs w:val="22"/>
              </w:rPr>
            </w:pPr>
            <w:r w:rsidRPr="00737C0F">
              <w:rPr>
                <w:sz w:val="22"/>
                <w:szCs w:val="22"/>
              </w:rPr>
              <w:t>Cita informācija</w:t>
            </w:r>
          </w:p>
        </w:tc>
        <w:tc>
          <w:tcPr>
            <w:tcW w:w="6261" w:type="dxa"/>
          </w:tcPr>
          <w:p w:rsidR="00845811" w:rsidRPr="00737C0F" w:rsidRDefault="00446C83" w:rsidP="007D099D">
            <w:pPr>
              <w:pStyle w:val="naiskr"/>
              <w:spacing w:before="0" w:after="0"/>
              <w:ind w:left="57" w:right="57"/>
              <w:jc w:val="both"/>
              <w:rPr>
                <w:sz w:val="22"/>
                <w:szCs w:val="22"/>
              </w:rPr>
            </w:pPr>
            <w:r w:rsidRPr="00737C0F">
              <w:rPr>
                <w:iCs/>
                <w:sz w:val="22"/>
                <w:szCs w:val="22"/>
              </w:rPr>
              <w:t xml:space="preserve">Nav </w:t>
            </w:r>
          </w:p>
        </w:tc>
      </w:tr>
    </w:tbl>
    <w:p w:rsidR="0015060C" w:rsidRPr="00737C0F" w:rsidRDefault="0015060C" w:rsidP="006C4607">
      <w:pPr>
        <w:pStyle w:val="naisf"/>
        <w:spacing w:before="0" w:after="0"/>
        <w:rPr>
          <w:sz w:val="28"/>
          <w:szCs w:val="28"/>
        </w:rPr>
      </w:pPr>
    </w:p>
    <w:tbl>
      <w:tblPr>
        <w:tblW w:w="10264"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74"/>
        <w:gridCol w:w="4588"/>
        <w:gridCol w:w="5302"/>
      </w:tblGrid>
      <w:tr w:rsidR="0023436E" w:rsidRPr="00737C0F" w:rsidTr="00FD2A8A">
        <w:tc>
          <w:tcPr>
            <w:tcW w:w="10264" w:type="dxa"/>
            <w:gridSpan w:val="3"/>
            <w:tcBorders>
              <w:top w:val="single" w:sz="4" w:space="0" w:color="auto"/>
            </w:tcBorders>
          </w:tcPr>
          <w:p w:rsidR="0023436E" w:rsidRPr="00737C0F" w:rsidRDefault="0023436E" w:rsidP="007D099D">
            <w:pPr>
              <w:pStyle w:val="naisnod"/>
              <w:spacing w:before="0" w:after="0"/>
              <w:ind w:left="57" w:right="57"/>
            </w:pPr>
            <w:r w:rsidRPr="00737C0F">
              <w:t>VII</w:t>
            </w:r>
            <w:r w:rsidR="000941C5" w:rsidRPr="00737C0F">
              <w:t>.</w:t>
            </w:r>
            <w:r w:rsidRPr="00737C0F">
              <w:t xml:space="preserve"> Tiesību akta projekta izpildes nodrošināšana un tās ietekme uz institūcijām</w:t>
            </w:r>
          </w:p>
        </w:tc>
      </w:tr>
      <w:tr w:rsidR="0023436E" w:rsidRPr="00737C0F" w:rsidTr="00FD2A8A">
        <w:trPr>
          <w:trHeight w:val="427"/>
        </w:trPr>
        <w:tc>
          <w:tcPr>
            <w:tcW w:w="374" w:type="dxa"/>
          </w:tcPr>
          <w:p w:rsidR="0023436E" w:rsidRPr="00737C0F" w:rsidRDefault="0023436E" w:rsidP="007D099D">
            <w:pPr>
              <w:pStyle w:val="naisnod"/>
              <w:spacing w:before="0" w:after="0"/>
              <w:ind w:left="57" w:right="57"/>
              <w:jc w:val="left"/>
              <w:rPr>
                <w:b w:val="0"/>
                <w:sz w:val="22"/>
                <w:szCs w:val="22"/>
              </w:rPr>
            </w:pPr>
            <w:r w:rsidRPr="00737C0F">
              <w:rPr>
                <w:b w:val="0"/>
                <w:sz w:val="22"/>
                <w:szCs w:val="22"/>
              </w:rPr>
              <w:t>1.</w:t>
            </w:r>
          </w:p>
        </w:tc>
        <w:tc>
          <w:tcPr>
            <w:tcW w:w="4588" w:type="dxa"/>
          </w:tcPr>
          <w:p w:rsidR="0023436E" w:rsidRPr="00737C0F" w:rsidRDefault="001A4066" w:rsidP="007D099D">
            <w:pPr>
              <w:pStyle w:val="naisf"/>
              <w:spacing w:before="0" w:after="0"/>
              <w:ind w:left="57" w:right="57" w:firstLine="0"/>
              <w:jc w:val="left"/>
              <w:rPr>
                <w:sz w:val="22"/>
                <w:szCs w:val="22"/>
              </w:rPr>
            </w:pPr>
            <w:r w:rsidRPr="00737C0F">
              <w:rPr>
                <w:sz w:val="22"/>
                <w:szCs w:val="22"/>
              </w:rPr>
              <w:t>P</w:t>
            </w:r>
            <w:r w:rsidR="0023436E" w:rsidRPr="00737C0F">
              <w:rPr>
                <w:sz w:val="22"/>
                <w:szCs w:val="22"/>
              </w:rPr>
              <w:t xml:space="preserve">rojekta izpildē iesaistītās institūcijas </w:t>
            </w:r>
          </w:p>
        </w:tc>
        <w:tc>
          <w:tcPr>
            <w:tcW w:w="5302" w:type="dxa"/>
          </w:tcPr>
          <w:p w:rsidR="0097528C" w:rsidRPr="00737C0F" w:rsidRDefault="00C72352" w:rsidP="00E719C5">
            <w:pPr>
              <w:pStyle w:val="naisnod"/>
              <w:spacing w:before="0" w:after="0"/>
              <w:ind w:left="57" w:right="57"/>
              <w:jc w:val="left"/>
              <w:rPr>
                <w:b w:val="0"/>
                <w:sz w:val="22"/>
                <w:szCs w:val="22"/>
              </w:rPr>
            </w:pPr>
            <w:r w:rsidRPr="00737C0F">
              <w:rPr>
                <w:b w:val="0"/>
                <w:iCs/>
                <w:sz w:val="22"/>
                <w:szCs w:val="22"/>
              </w:rPr>
              <w:t>Labklājības ministrija</w:t>
            </w:r>
            <w:r w:rsidR="0097528C" w:rsidRPr="00737C0F">
              <w:rPr>
                <w:b w:val="0"/>
                <w:iCs/>
                <w:sz w:val="22"/>
                <w:szCs w:val="22"/>
              </w:rPr>
              <w:t xml:space="preserve">, </w:t>
            </w:r>
            <w:r w:rsidR="00446C83" w:rsidRPr="00737C0F">
              <w:rPr>
                <w:b w:val="0"/>
                <w:iCs/>
                <w:sz w:val="22"/>
                <w:szCs w:val="22"/>
              </w:rPr>
              <w:t>Valsts bērnu t</w:t>
            </w:r>
            <w:r w:rsidR="0097528C" w:rsidRPr="00737C0F">
              <w:rPr>
                <w:b w:val="0"/>
                <w:iCs/>
                <w:sz w:val="22"/>
                <w:szCs w:val="22"/>
              </w:rPr>
              <w:t>iesību aizsardzības inspekcija</w:t>
            </w:r>
          </w:p>
        </w:tc>
      </w:tr>
      <w:tr w:rsidR="0023436E" w:rsidRPr="00737C0F" w:rsidTr="00FD2A8A">
        <w:trPr>
          <w:trHeight w:val="463"/>
        </w:trPr>
        <w:tc>
          <w:tcPr>
            <w:tcW w:w="374" w:type="dxa"/>
          </w:tcPr>
          <w:p w:rsidR="0023436E" w:rsidRPr="00737C0F" w:rsidRDefault="0023436E" w:rsidP="007D099D">
            <w:pPr>
              <w:pStyle w:val="naisnod"/>
              <w:spacing w:before="0" w:after="0"/>
              <w:ind w:left="57" w:right="57"/>
              <w:jc w:val="left"/>
              <w:rPr>
                <w:b w:val="0"/>
                <w:sz w:val="22"/>
                <w:szCs w:val="22"/>
              </w:rPr>
            </w:pPr>
            <w:r w:rsidRPr="00737C0F">
              <w:rPr>
                <w:b w:val="0"/>
                <w:sz w:val="22"/>
                <w:szCs w:val="22"/>
              </w:rPr>
              <w:t>2.</w:t>
            </w:r>
          </w:p>
        </w:tc>
        <w:tc>
          <w:tcPr>
            <w:tcW w:w="4588" w:type="dxa"/>
          </w:tcPr>
          <w:p w:rsidR="0023436E" w:rsidRPr="00737C0F" w:rsidRDefault="001A4066" w:rsidP="007D099D">
            <w:pPr>
              <w:pStyle w:val="naisf"/>
              <w:spacing w:before="0" w:after="0"/>
              <w:ind w:left="57" w:right="57" w:firstLine="0"/>
              <w:jc w:val="left"/>
              <w:rPr>
                <w:sz w:val="22"/>
                <w:szCs w:val="22"/>
              </w:rPr>
            </w:pPr>
            <w:r w:rsidRPr="00737C0F">
              <w:rPr>
                <w:sz w:val="22"/>
                <w:szCs w:val="22"/>
              </w:rPr>
              <w:t>Projekta i</w:t>
            </w:r>
            <w:r w:rsidR="0023436E" w:rsidRPr="00737C0F">
              <w:rPr>
                <w:sz w:val="22"/>
                <w:szCs w:val="22"/>
              </w:rPr>
              <w:t xml:space="preserve">zpildes ietekme uz pārvaldes funkcijām </w:t>
            </w:r>
          </w:p>
        </w:tc>
        <w:tc>
          <w:tcPr>
            <w:tcW w:w="5302" w:type="dxa"/>
          </w:tcPr>
          <w:p w:rsidR="0023436E" w:rsidRPr="00737C0F" w:rsidRDefault="00083F21" w:rsidP="001F5BCC">
            <w:pPr>
              <w:jc w:val="both"/>
              <w:rPr>
                <w:b/>
                <w:sz w:val="22"/>
                <w:szCs w:val="22"/>
              </w:rPr>
            </w:pPr>
            <w:r w:rsidRPr="00737C0F">
              <w:t xml:space="preserve">Noteikumu projekts paredz jaunu pienākumu Valsts bērnu tiesību aizsardzības inspekcijai </w:t>
            </w:r>
            <w:r w:rsidR="0069426F" w:rsidRPr="00737C0F">
              <w:t xml:space="preserve">- saskaņot izglītības iestāžu </w:t>
            </w:r>
            <w:r w:rsidR="001F5BCC" w:rsidRPr="00737C0F">
              <w:t>izglītības</w:t>
            </w:r>
            <w:r w:rsidRPr="00737C0F">
              <w:t xml:space="preserve"> </w:t>
            </w:r>
            <w:r w:rsidR="00C72352" w:rsidRPr="00737C0F">
              <w:t>programmas pirms to īstenošanas, k</w:t>
            </w:r>
            <w:r w:rsidR="00E719C5" w:rsidRPr="00737C0F">
              <w:t>o insp</w:t>
            </w:r>
            <w:r w:rsidR="00C72352" w:rsidRPr="00737C0F">
              <w:t>ekcija</w:t>
            </w:r>
            <w:r w:rsidR="00E719C5" w:rsidRPr="00737C0F">
              <w:t xml:space="preserve"> veiks esošo funkciju ietvaros</w:t>
            </w:r>
            <w:r w:rsidR="00C72352" w:rsidRPr="00737C0F">
              <w:t>.</w:t>
            </w:r>
          </w:p>
        </w:tc>
      </w:tr>
      <w:tr w:rsidR="0023436E" w:rsidRPr="00737C0F" w:rsidTr="00FD2A8A">
        <w:trPr>
          <w:trHeight w:val="725"/>
        </w:trPr>
        <w:tc>
          <w:tcPr>
            <w:tcW w:w="374" w:type="dxa"/>
          </w:tcPr>
          <w:p w:rsidR="0023436E" w:rsidRPr="00737C0F" w:rsidRDefault="0023436E" w:rsidP="007D099D">
            <w:pPr>
              <w:pStyle w:val="naisnod"/>
              <w:spacing w:before="0" w:after="0"/>
              <w:ind w:left="57" w:right="57"/>
              <w:jc w:val="left"/>
              <w:rPr>
                <w:b w:val="0"/>
                <w:sz w:val="22"/>
                <w:szCs w:val="22"/>
              </w:rPr>
            </w:pPr>
            <w:r w:rsidRPr="00737C0F">
              <w:rPr>
                <w:b w:val="0"/>
                <w:sz w:val="22"/>
                <w:szCs w:val="22"/>
              </w:rPr>
              <w:t>3.</w:t>
            </w:r>
          </w:p>
        </w:tc>
        <w:tc>
          <w:tcPr>
            <w:tcW w:w="4588" w:type="dxa"/>
          </w:tcPr>
          <w:p w:rsidR="0023436E" w:rsidRPr="00737C0F" w:rsidRDefault="001A4066" w:rsidP="007D099D">
            <w:pPr>
              <w:pStyle w:val="naisf"/>
              <w:spacing w:before="0" w:after="0"/>
              <w:ind w:left="57" w:right="57" w:firstLine="0"/>
              <w:jc w:val="left"/>
              <w:rPr>
                <w:sz w:val="22"/>
                <w:szCs w:val="22"/>
              </w:rPr>
            </w:pPr>
            <w:r w:rsidRPr="00737C0F">
              <w:rPr>
                <w:sz w:val="22"/>
                <w:szCs w:val="22"/>
              </w:rPr>
              <w:t>Projekta iz</w:t>
            </w:r>
            <w:r w:rsidR="0023436E" w:rsidRPr="00737C0F">
              <w:rPr>
                <w:sz w:val="22"/>
                <w:szCs w:val="22"/>
              </w:rPr>
              <w:t>pildes ietekme uz pārvaldes institucionālo struktūru.</w:t>
            </w:r>
          </w:p>
          <w:p w:rsidR="0023436E" w:rsidRPr="00737C0F" w:rsidRDefault="006C4607" w:rsidP="007D099D">
            <w:pPr>
              <w:pStyle w:val="naisf"/>
              <w:spacing w:before="0" w:after="0"/>
              <w:ind w:left="57" w:right="57" w:firstLine="0"/>
              <w:jc w:val="left"/>
              <w:rPr>
                <w:sz w:val="22"/>
                <w:szCs w:val="22"/>
              </w:rPr>
            </w:pPr>
            <w:r w:rsidRPr="00737C0F">
              <w:rPr>
                <w:sz w:val="22"/>
                <w:szCs w:val="22"/>
              </w:rPr>
              <w:t>Jaunu institūciju izveide</w:t>
            </w:r>
          </w:p>
        </w:tc>
        <w:tc>
          <w:tcPr>
            <w:tcW w:w="5302" w:type="dxa"/>
          </w:tcPr>
          <w:p w:rsidR="0023436E" w:rsidRPr="00737C0F" w:rsidRDefault="00CC1AF5" w:rsidP="00CC1AF5">
            <w:pPr>
              <w:pStyle w:val="naisnod"/>
              <w:spacing w:before="0" w:after="0"/>
              <w:ind w:left="57" w:right="57"/>
              <w:jc w:val="left"/>
              <w:rPr>
                <w:b w:val="0"/>
                <w:sz w:val="22"/>
                <w:szCs w:val="22"/>
              </w:rPr>
            </w:pPr>
            <w:r w:rsidRPr="00737C0F">
              <w:rPr>
                <w:b w:val="0"/>
                <w:iCs/>
                <w:sz w:val="22"/>
                <w:szCs w:val="22"/>
              </w:rPr>
              <w:t>Jaunu institūciju izveide nav plānota</w:t>
            </w:r>
          </w:p>
        </w:tc>
      </w:tr>
      <w:tr w:rsidR="0023436E" w:rsidRPr="00737C0F" w:rsidTr="00FD2A8A">
        <w:trPr>
          <w:trHeight w:val="780"/>
        </w:trPr>
        <w:tc>
          <w:tcPr>
            <w:tcW w:w="374" w:type="dxa"/>
          </w:tcPr>
          <w:p w:rsidR="0023436E" w:rsidRPr="00737C0F" w:rsidRDefault="0023436E" w:rsidP="007D099D">
            <w:pPr>
              <w:pStyle w:val="naisnod"/>
              <w:spacing w:before="0" w:after="0"/>
              <w:ind w:left="57" w:right="57"/>
              <w:jc w:val="left"/>
              <w:rPr>
                <w:b w:val="0"/>
                <w:sz w:val="22"/>
                <w:szCs w:val="22"/>
              </w:rPr>
            </w:pPr>
            <w:r w:rsidRPr="00737C0F">
              <w:rPr>
                <w:b w:val="0"/>
                <w:sz w:val="22"/>
                <w:szCs w:val="22"/>
              </w:rPr>
              <w:t>4.</w:t>
            </w:r>
          </w:p>
        </w:tc>
        <w:tc>
          <w:tcPr>
            <w:tcW w:w="4588" w:type="dxa"/>
          </w:tcPr>
          <w:p w:rsidR="0023436E" w:rsidRPr="00737C0F" w:rsidRDefault="001A4066" w:rsidP="007D099D">
            <w:pPr>
              <w:pStyle w:val="naisf"/>
              <w:spacing w:before="0" w:after="0"/>
              <w:ind w:left="57" w:right="57" w:firstLine="0"/>
              <w:jc w:val="left"/>
              <w:rPr>
                <w:sz w:val="22"/>
                <w:szCs w:val="22"/>
              </w:rPr>
            </w:pPr>
            <w:r w:rsidRPr="00737C0F">
              <w:rPr>
                <w:sz w:val="22"/>
                <w:szCs w:val="22"/>
              </w:rPr>
              <w:t>Projekta i</w:t>
            </w:r>
            <w:r w:rsidR="0023436E" w:rsidRPr="00737C0F">
              <w:rPr>
                <w:sz w:val="22"/>
                <w:szCs w:val="22"/>
              </w:rPr>
              <w:t>zpildes ietekme uz pārvaldes institucionālo struktūru.</w:t>
            </w:r>
          </w:p>
          <w:p w:rsidR="0023436E" w:rsidRPr="00737C0F" w:rsidRDefault="006C4607" w:rsidP="007D099D">
            <w:pPr>
              <w:pStyle w:val="naisf"/>
              <w:spacing w:before="0" w:after="0"/>
              <w:ind w:left="57" w:right="57" w:firstLine="0"/>
              <w:jc w:val="left"/>
              <w:rPr>
                <w:sz w:val="22"/>
                <w:szCs w:val="22"/>
              </w:rPr>
            </w:pPr>
            <w:r w:rsidRPr="00737C0F">
              <w:rPr>
                <w:sz w:val="22"/>
                <w:szCs w:val="22"/>
              </w:rPr>
              <w:t>Esošu institūciju likvidācija</w:t>
            </w:r>
          </w:p>
        </w:tc>
        <w:tc>
          <w:tcPr>
            <w:tcW w:w="5302" w:type="dxa"/>
          </w:tcPr>
          <w:p w:rsidR="0023436E" w:rsidRPr="00737C0F" w:rsidRDefault="00CC1AF5" w:rsidP="007D099D">
            <w:pPr>
              <w:pStyle w:val="naisnod"/>
              <w:spacing w:before="0" w:after="0"/>
              <w:ind w:left="57" w:right="57"/>
              <w:jc w:val="left"/>
              <w:rPr>
                <w:b w:val="0"/>
                <w:sz w:val="22"/>
                <w:szCs w:val="22"/>
              </w:rPr>
            </w:pPr>
            <w:r w:rsidRPr="00737C0F">
              <w:rPr>
                <w:b w:val="0"/>
                <w:iCs/>
                <w:sz w:val="22"/>
                <w:szCs w:val="22"/>
              </w:rPr>
              <w:t xml:space="preserve">Esošo institūciju likvidācija nav plānota </w:t>
            </w:r>
          </w:p>
        </w:tc>
      </w:tr>
      <w:tr w:rsidR="0023436E" w:rsidRPr="00737C0F" w:rsidTr="00FD2A8A">
        <w:trPr>
          <w:trHeight w:val="703"/>
        </w:trPr>
        <w:tc>
          <w:tcPr>
            <w:tcW w:w="374" w:type="dxa"/>
          </w:tcPr>
          <w:p w:rsidR="0023436E" w:rsidRPr="00737C0F" w:rsidRDefault="0023436E" w:rsidP="007D099D">
            <w:pPr>
              <w:pStyle w:val="naisnod"/>
              <w:spacing w:before="0" w:after="0"/>
              <w:ind w:left="57" w:right="57"/>
              <w:jc w:val="left"/>
              <w:rPr>
                <w:b w:val="0"/>
                <w:sz w:val="22"/>
                <w:szCs w:val="22"/>
              </w:rPr>
            </w:pPr>
            <w:r w:rsidRPr="00737C0F">
              <w:rPr>
                <w:b w:val="0"/>
                <w:sz w:val="22"/>
                <w:szCs w:val="22"/>
              </w:rPr>
              <w:t>5.</w:t>
            </w:r>
          </w:p>
        </w:tc>
        <w:tc>
          <w:tcPr>
            <w:tcW w:w="4588" w:type="dxa"/>
          </w:tcPr>
          <w:p w:rsidR="0023436E" w:rsidRPr="00737C0F" w:rsidRDefault="001A4066" w:rsidP="007D099D">
            <w:pPr>
              <w:pStyle w:val="naisf"/>
              <w:spacing w:before="0" w:after="0"/>
              <w:ind w:left="57" w:right="57" w:firstLine="0"/>
              <w:jc w:val="left"/>
              <w:rPr>
                <w:sz w:val="22"/>
                <w:szCs w:val="22"/>
              </w:rPr>
            </w:pPr>
            <w:r w:rsidRPr="00737C0F">
              <w:rPr>
                <w:sz w:val="22"/>
                <w:szCs w:val="22"/>
              </w:rPr>
              <w:t>Projekta i</w:t>
            </w:r>
            <w:r w:rsidR="0023436E" w:rsidRPr="00737C0F">
              <w:rPr>
                <w:sz w:val="22"/>
                <w:szCs w:val="22"/>
              </w:rPr>
              <w:t>zpildes ietekme uz pārvaldes institucionālo struktūru.</w:t>
            </w:r>
          </w:p>
          <w:p w:rsidR="0023436E" w:rsidRPr="00737C0F" w:rsidRDefault="0023436E" w:rsidP="007D099D">
            <w:pPr>
              <w:pStyle w:val="naisf"/>
              <w:spacing w:before="0" w:after="0"/>
              <w:ind w:left="57" w:right="57" w:firstLine="0"/>
              <w:jc w:val="left"/>
              <w:rPr>
                <w:sz w:val="22"/>
                <w:szCs w:val="22"/>
              </w:rPr>
            </w:pPr>
            <w:r w:rsidRPr="00737C0F">
              <w:rPr>
                <w:sz w:val="22"/>
                <w:szCs w:val="22"/>
              </w:rPr>
              <w:t>Esošu institūciju reorganizācija</w:t>
            </w:r>
          </w:p>
        </w:tc>
        <w:tc>
          <w:tcPr>
            <w:tcW w:w="5302" w:type="dxa"/>
          </w:tcPr>
          <w:p w:rsidR="0023436E" w:rsidRPr="00737C0F" w:rsidRDefault="00CC1AF5" w:rsidP="007D099D">
            <w:pPr>
              <w:pStyle w:val="naisnod"/>
              <w:spacing w:before="0" w:after="0"/>
              <w:ind w:left="57" w:right="57"/>
              <w:jc w:val="left"/>
              <w:rPr>
                <w:b w:val="0"/>
                <w:sz w:val="22"/>
                <w:szCs w:val="22"/>
              </w:rPr>
            </w:pPr>
            <w:r w:rsidRPr="00737C0F">
              <w:rPr>
                <w:b w:val="0"/>
                <w:iCs/>
                <w:sz w:val="22"/>
                <w:szCs w:val="22"/>
              </w:rPr>
              <w:t>Esošo institūciju reorganizācija nav plānota</w:t>
            </w:r>
          </w:p>
        </w:tc>
      </w:tr>
      <w:tr w:rsidR="0023436E" w:rsidRPr="00737C0F" w:rsidTr="00503679">
        <w:trPr>
          <w:trHeight w:val="233"/>
        </w:trPr>
        <w:tc>
          <w:tcPr>
            <w:tcW w:w="374" w:type="dxa"/>
          </w:tcPr>
          <w:p w:rsidR="0023436E" w:rsidRPr="00737C0F" w:rsidRDefault="00F63DAC" w:rsidP="007D099D">
            <w:pPr>
              <w:pStyle w:val="naiskr"/>
              <w:spacing w:before="0" w:after="0"/>
              <w:ind w:left="57" w:right="57"/>
              <w:rPr>
                <w:sz w:val="22"/>
                <w:szCs w:val="22"/>
              </w:rPr>
            </w:pPr>
            <w:r w:rsidRPr="00737C0F">
              <w:rPr>
                <w:sz w:val="22"/>
                <w:szCs w:val="22"/>
              </w:rPr>
              <w:t>6</w:t>
            </w:r>
            <w:r w:rsidR="0023436E" w:rsidRPr="00737C0F">
              <w:rPr>
                <w:sz w:val="22"/>
                <w:szCs w:val="22"/>
              </w:rPr>
              <w:t>.</w:t>
            </w:r>
          </w:p>
        </w:tc>
        <w:tc>
          <w:tcPr>
            <w:tcW w:w="4588" w:type="dxa"/>
          </w:tcPr>
          <w:p w:rsidR="0023436E" w:rsidRPr="00737C0F" w:rsidRDefault="006C4607" w:rsidP="007D099D">
            <w:pPr>
              <w:pStyle w:val="naiskr"/>
              <w:spacing w:before="0" w:after="0"/>
              <w:ind w:left="57" w:right="57"/>
              <w:rPr>
                <w:sz w:val="22"/>
                <w:szCs w:val="22"/>
              </w:rPr>
            </w:pPr>
            <w:r w:rsidRPr="00737C0F">
              <w:rPr>
                <w:sz w:val="22"/>
                <w:szCs w:val="22"/>
              </w:rPr>
              <w:t>Cita informācija</w:t>
            </w:r>
          </w:p>
        </w:tc>
        <w:tc>
          <w:tcPr>
            <w:tcW w:w="5302" w:type="dxa"/>
          </w:tcPr>
          <w:p w:rsidR="0023436E" w:rsidRPr="00737C0F" w:rsidRDefault="00CC1AF5" w:rsidP="007D099D">
            <w:pPr>
              <w:pStyle w:val="naiskr"/>
              <w:spacing w:before="0" w:after="0"/>
              <w:ind w:left="57" w:right="57"/>
              <w:rPr>
                <w:sz w:val="22"/>
                <w:szCs w:val="22"/>
              </w:rPr>
            </w:pPr>
            <w:r w:rsidRPr="00737C0F">
              <w:rPr>
                <w:sz w:val="22"/>
                <w:szCs w:val="22"/>
              </w:rPr>
              <w:t xml:space="preserve">Nav </w:t>
            </w:r>
          </w:p>
        </w:tc>
      </w:tr>
    </w:tbl>
    <w:p w:rsidR="00BF40ED" w:rsidRPr="00737C0F" w:rsidRDefault="00BF40ED" w:rsidP="006C4607">
      <w:pPr>
        <w:pStyle w:val="naisf"/>
        <w:tabs>
          <w:tab w:val="left" w:pos="6804"/>
        </w:tabs>
        <w:spacing w:before="0" w:after="0"/>
        <w:ind w:firstLine="720"/>
        <w:rPr>
          <w:sz w:val="28"/>
          <w:szCs w:val="28"/>
        </w:rPr>
      </w:pPr>
    </w:p>
    <w:p w:rsidR="00BF36AE" w:rsidRPr="00737C0F" w:rsidRDefault="00BF36AE" w:rsidP="006C4607">
      <w:pPr>
        <w:pStyle w:val="naisf"/>
        <w:tabs>
          <w:tab w:val="left" w:pos="6804"/>
        </w:tabs>
        <w:spacing w:before="0" w:after="0"/>
        <w:ind w:firstLine="720"/>
        <w:rPr>
          <w:sz w:val="28"/>
          <w:szCs w:val="28"/>
        </w:rPr>
      </w:pPr>
    </w:p>
    <w:p w:rsidR="00C647B1" w:rsidRDefault="00513A29" w:rsidP="00C647B1">
      <w:pPr>
        <w:rPr>
          <w:sz w:val="26"/>
          <w:szCs w:val="26"/>
        </w:rPr>
      </w:pPr>
      <w:r>
        <w:rPr>
          <w:sz w:val="26"/>
          <w:szCs w:val="26"/>
        </w:rPr>
        <w:t>Labklājības ministra vietā-</w:t>
      </w:r>
      <w:r w:rsidR="00E126DF" w:rsidRPr="00737C0F">
        <w:rPr>
          <w:sz w:val="26"/>
          <w:szCs w:val="26"/>
        </w:rPr>
        <w:tab/>
      </w:r>
      <w:r w:rsidR="00E126DF" w:rsidRPr="00737C0F">
        <w:rPr>
          <w:sz w:val="26"/>
          <w:szCs w:val="26"/>
        </w:rPr>
        <w:tab/>
      </w:r>
      <w:r w:rsidR="00E126DF" w:rsidRPr="00737C0F">
        <w:rPr>
          <w:sz w:val="26"/>
          <w:szCs w:val="26"/>
        </w:rPr>
        <w:tab/>
      </w:r>
      <w:r w:rsidR="00E126DF" w:rsidRPr="00737C0F">
        <w:rPr>
          <w:sz w:val="26"/>
          <w:szCs w:val="26"/>
        </w:rPr>
        <w:tab/>
      </w:r>
      <w:r w:rsidR="00E126DF" w:rsidRPr="00737C0F">
        <w:rPr>
          <w:sz w:val="26"/>
          <w:szCs w:val="26"/>
        </w:rPr>
        <w:tab/>
      </w:r>
      <w:r w:rsidR="00E126DF" w:rsidRPr="00737C0F">
        <w:rPr>
          <w:sz w:val="26"/>
          <w:szCs w:val="26"/>
        </w:rPr>
        <w:tab/>
      </w:r>
      <w:r w:rsidR="00E126DF" w:rsidRPr="00737C0F">
        <w:rPr>
          <w:sz w:val="26"/>
          <w:szCs w:val="26"/>
        </w:rPr>
        <w:tab/>
      </w:r>
      <w:r w:rsidR="00E126DF" w:rsidRPr="00737C0F">
        <w:rPr>
          <w:sz w:val="26"/>
          <w:szCs w:val="26"/>
        </w:rPr>
        <w:tab/>
        <w:t xml:space="preserve"> </w:t>
      </w:r>
    </w:p>
    <w:p w:rsidR="00513A29" w:rsidRPr="00737C0F" w:rsidRDefault="00513A29" w:rsidP="00C647B1">
      <w:pPr>
        <w:rPr>
          <w:sz w:val="20"/>
          <w:szCs w:val="20"/>
        </w:rPr>
      </w:pPr>
      <w:r>
        <w:rPr>
          <w:sz w:val="26"/>
          <w:szCs w:val="26"/>
        </w:rPr>
        <w:t>Zemkopības ministrs</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roofErr w:type="spellStart"/>
      <w:r>
        <w:rPr>
          <w:sz w:val="26"/>
          <w:szCs w:val="26"/>
        </w:rPr>
        <w:t>J.Dūklavs</w:t>
      </w:r>
      <w:proofErr w:type="spellEnd"/>
    </w:p>
    <w:p w:rsidR="00503679" w:rsidRPr="00737C0F" w:rsidRDefault="00503679" w:rsidP="00C647B1">
      <w:pPr>
        <w:rPr>
          <w:sz w:val="20"/>
          <w:szCs w:val="20"/>
        </w:rPr>
      </w:pPr>
    </w:p>
    <w:p w:rsidR="00BF36AE" w:rsidRPr="00737C0F" w:rsidRDefault="00BF36AE" w:rsidP="00C647B1">
      <w:pPr>
        <w:rPr>
          <w:sz w:val="20"/>
          <w:szCs w:val="20"/>
        </w:rPr>
      </w:pPr>
    </w:p>
    <w:p w:rsidR="00BF36AE" w:rsidRPr="00737C0F" w:rsidRDefault="00BF36AE" w:rsidP="00C647B1">
      <w:pPr>
        <w:rPr>
          <w:sz w:val="20"/>
          <w:szCs w:val="20"/>
        </w:rPr>
      </w:pPr>
    </w:p>
    <w:p w:rsidR="00BF36AE" w:rsidRPr="00737C0F" w:rsidRDefault="00BF36AE" w:rsidP="00C647B1">
      <w:pPr>
        <w:rPr>
          <w:sz w:val="20"/>
          <w:szCs w:val="20"/>
        </w:rPr>
      </w:pPr>
    </w:p>
    <w:p w:rsidR="00C647B1" w:rsidRPr="00737C0F" w:rsidRDefault="00427593" w:rsidP="00C647B1">
      <w:pPr>
        <w:rPr>
          <w:sz w:val="20"/>
          <w:szCs w:val="20"/>
        </w:rPr>
      </w:pPr>
      <w:r w:rsidRPr="00737C0F">
        <w:rPr>
          <w:sz w:val="20"/>
          <w:szCs w:val="20"/>
        </w:rPr>
        <w:t>20</w:t>
      </w:r>
      <w:r w:rsidR="00623C1F" w:rsidRPr="00737C0F">
        <w:rPr>
          <w:sz w:val="20"/>
          <w:szCs w:val="20"/>
        </w:rPr>
        <w:t>.03</w:t>
      </w:r>
      <w:r w:rsidR="00503679" w:rsidRPr="00737C0F">
        <w:rPr>
          <w:sz w:val="20"/>
          <w:szCs w:val="20"/>
        </w:rPr>
        <w:t>.2014.</w:t>
      </w:r>
      <w:r w:rsidR="009F3972" w:rsidRPr="00737C0F">
        <w:rPr>
          <w:sz w:val="20"/>
          <w:szCs w:val="20"/>
        </w:rPr>
        <w:t xml:space="preserve"> </w:t>
      </w:r>
      <w:r w:rsidR="00397065">
        <w:rPr>
          <w:sz w:val="20"/>
          <w:szCs w:val="20"/>
        </w:rPr>
        <w:t>08:00</w:t>
      </w:r>
    </w:p>
    <w:p w:rsidR="00C647B1" w:rsidRPr="00737C0F" w:rsidRDefault="00C270F3" w:rsidP="00C647B1">
      <w:pPr>
        <w:tabs>
          <w:tab w:val="left" w:pos="2918"/>
        </w:tabs>
        <w:rPr>
          <w:sz w:val="20"/>
          <w:szCs w:val="20"/>
        </w:rPr>
      </w:pPr>
      <w:r>
        <w:rPr>
          <w:sz w:val="20"/>
          <w:szCs w:val="20"/>
        </w:rPr>
        <w:t>7591</w:t>
      </w:r>
      <w:r w:rsidR="00E67023">
        <w:rPr>
          <w:sz w:val="20"/>
          <w:szCs w:val="20"/>
        </w:rPr>
        <w:t xml:space="preserve"> </w:t>
      </w:r>
      <w:bookmarkStart w:id="6" w:name="_GoBack"/>
      <w:bookmarkEnd w:id="6"/>
      <w:r w:rsidR="00C647B1" w:rsidRPr="00737C0F">
        <w:rPr>
          <w:sz w:val="20"/>
          <w:szCs w:val="20"/>
        </w:rPr>
        <w:tab/>
      </w:r>
    </w:p>
    <w:p w:rsidR="00C647B1" w:rsidRPr="00737C0F" w:rsidRDefault="00C647B1" w:rsidP="00C647B1">
      <w:pPr>
        <w:rPr>
          <w:sz w:val="20"/>
          <w:szCs w:val="20"/>
        </w:rPr>
      </w:pPr>
      <w:proofErr w:type="spellStart"/>
      <w:r w:rsidRPr="00737C0F">
        <w:rPr>
          <w:sz w:val="20"/>
          <w:szCs w:val="20"/>
        </w:rPr>
        <w:t>V.Boļšakova</w:t>
      </w:r>
      <w:proofErr w:type="spellEnd"/>
      <w:r w:rsidR="00727062" w:rsidRPr="00737C0F">
        <w:rPr>
          <w:sz w:val="20"/>
          <w:szCs w:val="20"/>
        </w:rPr>
        <w:t>, 67021610</w:t>
      </w:r>
    </w:p>
    <w:p w:rsidR="00705DB5" w:rsidRDefault="00E67023" w:rsidP="00503679">
      <w:pPr>
        <w:rPr>
          <w:sz w:val="28"/>
          <w:szCs w:val="28"/>
        </w:rPr>
      </w:pPr>
      <w:hyperlink r:id="rId10" w:history="1">
        <w:r w:rsidR="00C647B1" w:rsidRPr="00737C0F">
          <w:rPr>
            <w:rStyle w:val="Hyperlink"/>
            <w:sz w:val="20"/>
            <w:szCs w:val="20"/>
          </w:rPr>
          <w:t>viktorija.bolsakova@lm.gov.lv</w:t>
        </w:r>
      </w:hyperlink>
    </w:p>
    <w:sectPr w:rsidR="00705DB5" w:rsidSect="005716AC">
      <w:headerReference w:type="even" r:id="rId11"/>
      <w:headerReference w:type="default" r:id="rId12"/>
      <w:footerReference w:type="default" r:id="rId13"/>
      <w:footerReference w:type="first" r:id="rId14"/>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946" w:rsidRDefault="00346946">
      <w:r>
        <w:separator/>
      </w:r>
    </w:p>
  </w:endnote>
  <w:endnote w:type="continuationSeparator" w:id="0">
    <w:p w:rsidR="00346946" w:rsidRDefault="00346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7" w:usb1="00000000" w:usb2="00000000" w:usb3="00000000" w:csb0="0000000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946" w:rsidRPr="009670A1" w:rsidRDefault="00346946" w:rsidP="003C449B">
    <w:pPr>
      <w:pStyle w:val="Footer"/>
      <w:rPr>
        <w:sz w:val="20"/>
        <w:szCs w:val="20"/>
      </w:rPr>
    </w:pPr>
    <w:r w:rsidRPr="009670A1">
      <w:rPr>
        <w:sz w:val="20"/>
        <w:szCs w:val="20"/>
      </w:rPr>
      <w:t>L</w:t>
    </w:r>
    <w:r w:rsidR="00427593">
      <w:rPr>
        <w:sz w:val="20"/>
        <w:szCs w:val="20"/>
      </w:rPr>
      <w:t>Manot_20</w:t>
    </w:r>
    <w:r w:rsidR="00623C1F">
      <w:rPr>
        <w:sz w:val="20"/>
        <w:szCs w:val="20"/>
      </w:rPr>
      <w:t>03</w:t>
    </w:r>
    <w:r>
      <w:rPr>
        <w:sz w:val="20"/>
        <w:szCs w:val="20"/>
      </w:rPr>
      <w:t>14</w:t>
    </w:r>
    <w:r w:rsidRPr="009670A1">
      <w:rPr>
        <w:sz w:val="20"/>
        <w:szCs w:val="20"/>
      </w:rPr>
      <w:t>_SpecZin; Ministru kabineta noteikumu projekts „</w:t>
    </w:r>
    <w:r>
      <w:rPr>
        <w:bCs/>
        <w:sz w:val="20"/>
        <w:szCs w:val="20"/>
      </w:rPr>
      <w:t>Noteikumi par speciālo</w:t>
    </w:r>
    <w:r w:rsidRPr="009670A1">
      <w:rPr>
        <w:bCs/>
        <w:sz w:val="20"/>
        <w:szCs w:val="20"/>
      </w:rPr>
      <w:t xml:space="preserve"> zināšanu bērnu tiesību aizsardzības jomā apguves kārtību, šo zināšanu saturu un apjomu</w:t>
    </w:r>
    <w:r w:rsidRPr="009670A1">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946" w:rsidRPr="009670A1" w:rsidRDefault="00346946" w:rsidP="009670A1">
    <w:pPr>
      <w:pStyle w:val="Footer"/>
      <w:rPr>
        <w:sz w:val="20"/>
        <w:szCs w:val="20"/>
      </w:rPr>
    </w:pPr>
    <w:r w:rsidRPr="009670A1">
      <w:rPr>
        <w:sz w:val="20"/>
        <w:szCs w:val="20"/>
      </w:rPr>
      <w:t>L</w:t>
    </w:r>
    <w:r w:rsidR="00427593">
      <w:rPr>
        <w:sz w:val="20"/>
        <w:szCs w:val="20"/>
      </w:rPr>
      <w:t>Manot_20</w:t>
    </w:r>
    <w:r w:rsidR="00623C1F">
      <w:rPr>
        <w:sz w:val="20"/>
        <w:szCs w:val="20"/>
      </w:rPr>
      <w:t>03</w:t>
    </w:r>
    <w:r>
      <w:rPr>
        <w:sz w:val="20"/>
        <w:szCs w:val="20"/>
      </w:rPr>
      <w:t>14</w:t>
    </w:r>
    <w:r w:rsidRPr="009670A1">
      <w:rPr>
        <w:sz w:val="20"/>
        <w:szCs w:val="20"/>
      </w:rPr>
      <w:t>_SpecZin; Ministru kabineta noteikumu projekts „</w:t>
    </w:r>
    <w:r w:rsidRPr="009670A1">
      <w:rPr>
        <w:bCs/>
        <w:sz w:val="20"/>
        <w:szCs w:val="20"/>
      </w:rPr>
      <w:t>Noteikumi par speciāl</w:t>
    </w:r>
    <w:r>
      <w:rPr>
        <w:bCs/>
        <w:sz w:val="20"/>
        <w:szCs w:val="20"/>
      </w:rPr>
      <w:t>o</w:t>
    </w:r>
    <w:r w:rsidRPr="009670A1">
      <w:rPr>
        <w:bCs/>
        <w:sz w:val="20"/>
        <w:szCs w:val="20"/>
      </w:rPr>
      <w:t xml:space="preserve"> zināšanu bērnu tiesību aizsardzības jomā apguves kārtību, šo zināšanu saturu un apjomu</w:t>
    </w:r>
    <w:r w:rsidRPr="009670A1">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946" w:rsidRDefault="00346946">
      <w:r>
        <w:separator/>
      </w:r>
    </w:p>
  </w:footnote>
  <w:footnote w:type="continuationSeparator" w:id="0">
    <w:p w:rsidR="00346946" w:rsidRDefault="003469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946" w:rsidRDefault="00346946"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6946" w:rsidRDefault="003469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946" w:rsidRDefault="00346946"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7023">
      <w:rPr>
        <w:rStyle w:val="PageNumber"/>
        <w:noProof/>
      </w:rPr>
      <w:t>21</w:t>
    </w:r>
    <w:r>
      <w:rPr>
        <w:rStyle w:val="PageNumber"/>
      </w:rPr>
      <w:fldChar w:fldCharType="end"/>
    </w:r>
  </w:p>
  <w:p w:rsidR="00346946" w:rsidRDefault="003469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267C"/>
    <w:multiLevelType w:val="hybridMultilevel"/>
    <w:tmpl w:val="919EC29C"/>
    <w:lvl w:ilvl="0" w:tplc="EB304E2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nsid w:val="351F2FCF"/>
    <w:multiLevelType w:val="hybridMultilevel"/>
    <w:tmpl w:val="D8ACBFE8"/>
    <w:lvl w:ilvl="0" w:tplc="81ECC30A">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35A7019C"/>
    <w:multiLevelType w:val="hybridMultilevel"/>
    <w:tmpl w:val="6B6432C0"/>
    <w:lvl w:ilvl="0" w:tplc="5CCA3B9E">
      <w:start w:val="200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4B2E6D7C"/>
    <w:multiLevelType w:val="hybridMultilevel"/>
    <w:tmpl w:val="D570CA1A"/>
    <w:lvl w:ilvl="0" w:tplc="CB04D102">
      <w:start w:val="20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5">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9133ED4"/>
    <w:multiLevelType w:val="hybridMultilevel"/>
    <w:tmpl w:val="678E3AFA"/>
    <w:lvl w:ilvl="0" w:tplc="F2E6E7BA">
      <w:start w:val="2013"/>
      <w:numFmt w:val="bullet"/>
      <w:lvlText w:val="-"/>
      <w:lvlJc w:val="left"/>
      <w:pPr>
        <w:ind w:left="720" w:hanging="360"/>
      </w:pPr>
      <w:rPr>
        <w:rFonts w:ascii="Times New Roman" w:eastAsia="Times New Roman" w:hAnsi="Times New Roman" w:cs="Times New Roman" w:hint="default"/>
        <w:color w:val="414142"/>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4"/>
  </w:num>
  <w:num w:numId="4">
    <w:abstractNumId w:val="2"/>
  </w:num>
  <w:num w:numId="5">
    <w:abstractNumId w:val="1"/>
  </w:num>
  <w:num w:numId="6">
    <w:abstractNumId w:val="12"/>
  </w:num>
  <w:num w:numId="7">
    <w:abstractNumId w:val="16"/>
  </w:num>
  <w:num w:numId="8">
    <w:abstractNumId w:val="8"/>
  </w:num>
  <w:num w:numId="9">
    <w:abstractNumId w:val="3"/>
  </w:num>
  <w:num w:numId="10">
    <w:abstractNumId w:val="9"/>
  </w:num>
  <w:num w:numId="11">
    <w:abstractNumId w:val="10"/>
  </w:num>
  <w:num w:numId="12">
    <w:abstractNumId w:val="13"/>
  </w:num>
  <w:num w:numId="13">
    <w:abstractNumId w:val="14"/>
  </w:num>
  <w:num w:numId="14">
    <w:abstractNumId w:val="11"/>
  </w:num>
  <w:num w:numId="15">
    <w:abstractNumId w:val="7"/>
  </w:num>
  <w:num w:numId="16">
    <w:abstractNumId w:val="6"/>
  </w:num>
  <w:num w:numId="17">
    <w:abstractNumId w:val="1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11D24"/>
    <w:rsid w:val="00013FF4"/>
    <w:rsid w:val="00020FE1"/>
    <w:rsid w:val="00022E13"/>
    <w:rsid w:val="000264E2"/>
    <w:rsid w:val="00027DFA"/>
    <w:rsid w:val="00032388"/>
    <w:rsid w:val="00033152"/>
    <w:rsid w:val="0003336F"/>
    <w:rsid w:val="00035CE2"/>
    <w:rsid w:val="0004258F"/>
    <w:rsid w:val="00044A8C"/>
    <w:rsid w:val="00053C32"/>
    <w:rsid w:val="0005540F"/>
    <w:rsid w:val="0005553B"/>
    <w:rsid w:val="000604D2"/>
    <w:rsid w:val="00062571"/>
    <w:rsid w:val="000679BA"/>
    <w:rsid w:val="00075D0E"/>
    <w:rsid w:val="000834EE"/>
    <w:rsid w:val="00083F21"/>
    <w:rsid w:val="00084F9A"/>
    <w:rsid w:val="000860D5"/>
    <w:rsid w:val="0009005E"/>
    <w:rsid w:val="0009211F"/>
    <w:rsid w:val="0009356D"/>
    <w:rsid w:val="00093A0F"/>
    <w:rsid w:val="000941C5"/>
    <w:rsid w:val="00096F19"/>
    <w:rsid w:val="000A6451"/>
    <w:rsid w:val="000B064E"/>
    <w:rsid w:val="000B69CF"/>
    <w:rsid w:val="000C12BF"/>
    <w:rsid w:val="000C776B"/>
    <w:rsid w:val="000C790C"/>
    <w:rsid w:val="000D1BE5"/>
    <w:rsid w:val="000D59EE"/>
    <w:rsid w:val="000D601D"/>
    <w:rsid w:val="000D6D1A"/>
    <w:rsid w:val="000E130B"/>
    <w:rsid w:val="000E2E74"/>
    <w:rsid w:val="000E3F6E"/>
    <w:rsid w:val="000E6173"/>
    <w:rsid w:val="000F0349"/>
    <w:rsid w:val="000F061D"/>
    <w:rsid w:val="000F4794"/>
    <w:rsid w:val="000F5542"/>
    <w:rsid w:val="000F6140"/>
    <w:rsid w:val="001076D7"/>
    <w:rsid w:val="001106E1"/>
    <w:rsid w:val="00121D84"/>
    <w:rsid w:val="0012248C"/>
    <w:rsid w:val="00124F12"/>
    <w:rsid w:val="001250B5"/>
    <w:rsid w:val="001259B1"/>
    <w:rsid w:val="00125CD2"/>
    <w:rsid w:val="0012682F"/>
    <w:rsid w:val="001332E9"/>
    <w:rsid w:val="00133E50"/>
    <w:rsid w:val="00141C0A"/>
    <w:rsid w:val="00144844"/>
    <w:rsid w:val="00144E3A"/>
    <w:rsid w:val="0015060C"/>
    <w:rsid w:val="00152105"/>
    <w:rsid w:val="0016018A"/>
    <w:rsid w:val="00161F0E"/>
    <w:rsid w:val="0016364A"/>
    <w:rsid w:val="00165B40"/>
    <w:rsid w:val="00170E2A"/>
    <w:rsid w:val="001749FD"/>
    <w:rsid w:val="00174ACE"/>
    <w:rsid w:val="00177394"/>
    <w:rsid w:val="0018235E"/>
    <w:rsid w:val="00182C18"/>
    <w:rsid w:val="00183595"/>
    <w:rsid w:val="00183CC2"/>
    <w:rsid w:val="00184CD3"/>
    <w:rsid w:val="001900E4"/>
    <w:rsid w:val="0019060D"/>
    <w:rsid w:val="00190F88"/>
    <w:rsid w:val="001A1DDF"/>
    <w:rsid w:val="001A4066"/>
    <w:rsid w:val="001A5F34"/>
    <w:rsid w:val="001A63DA"/>
    <w:rsid w:val="001A6AE4"/>
    <w:rsid w:val="001A6DAE"/>
    <w:rsid w:val="001B01FD"/>
    <w:rsid w:val="001B087F"/>
    <w:rsid w:val="001B0EAB"/>
    <w:rsid w:val="001B3038"/>
    <w:rsid w:val="001B4A71"/>
    <w:rsid w:val="001B4C0A"/>
    <w:rsid w:val="001C20A9"/>
    <w:rsid w:val="001C25CA"/>
    <w:rsid w:val="001D2317"/>
    <w:rsid w:val="001D3F36"/>
    <w:rsid w:val="001D5B54"/>
    <w:rsid w:val="001D7CDA"/>
    <w:rsid w:val="001E0E27"/>
    <w:rsid w:val="001E10AB"/>
    <w:rsid w:val="001E1DBF"/>
    <w:rsid w:val="001E4639"/>
    <w:rsid w:val="001E4A7D"/>
    <w:rsid w:val="001F4209"/>
    <w:rsid w:val="001F43A8"/>
    <w:rsid w:val="001F540F"/>
    <w:rsid w:val="001F5A55"/>
    <w:rsid w:val="001F5BCC"/>
    <w:rsid w:val="001F5CD6"/>
    <w:rsid w:val="00202CE6"/>
    <w:rsid w:val="00204772"/>
    <w:rsid w:val="00206B80"/>
    <w:rsid w:val="0021263D"/>
    <w:rsid w:val="00213F0C"/>
    <w:rsid w:val="00214094"/>
    <w:rsid w:val="0021592D"/>
    <w:rsid w:val="00221A8E"/>
    <w:rsid w:val="00222D76"/>
    <w:rsid w:val="00223EB1"/>
    <w:rsid w:val="00224143"/>
    <w:rsid w:val="00231344"/>
    <w:rsid w:val="00232ADF"/>
    <w:rsid w:val="00232EDC"/>
    <w:rsid w:val="0023436E"/>
    <w:rsid w:val="002347C0"/>
    <w:rsid w:val="0023766C"/>
    <w:rsid w:val="00240E0A"/>
    <w:rsid w:val="00241A6C"/>
    <w:rsid w:val="00242D2B"/>
    <w:rsid w:val="00244A34"/>
    <w:rsid w:val="0025132D"/>
    <w:rsid w:val="002536AC"/>
    <w:rsid w:val="00260C49"/>
    <w:rsid w:val="0026210A"/>
    <w:rsid w:val="002627B2"/>
    <w:rsid w:val="00262E2B"/>
    <w:rsid w:val="0026418F"/>
    <w:rsid w:val="00270429"/>
    <w:rsid w:val="002723E9"/>
    <w:rsid w:val="00275F91"/>
    <w:rsid w:val="002778AB"/>
    <w:rsid w:val="00277929"/>
    <w:rsid w:val="00283B82"/>
    <w:rsid w:val="002846E9"/>
    <w:rsid w:val="00284B47"/>
    <w:rsid w:val="00284C34"/>
    <w:rsid w:val="002861A9"/>
    <w:rsid w:val="0029066C"/>
    <w:rsid w:val="002955EE"/>
    <w:rsid w:val="002B1257"/>
    <w:rsid w:val="002B2060"/>
    <w:rsid w:val="002B50DB"/>
    <w:rsid w:val="002B6599"/>
    <w:rsid w:val="002C12AB"/>
    <w:rsid w:val="002C3747"/>
    <w:rsid w:val="002C628F"/>
    <w:rsid w:val="002C7CAC"/>
    <w:rsid w:val="002D3306"/>
    <w:rsid w:val="002D39ED"/>
    <w:rsid w:val="002D48AA"/>
    <w:rsid w:val="002D7BAA"/>
    <w:rsid w:val="002D7F54"/>
    <w:rsid w:val="002D7FFC"/>
    <w:rsid w:val="002E1B8A"/>
    <w:rsid w:val="002E3FF4"/>
    <w:rsid w:val="002E5A4A"/>
    <w:rsid w:val="002F4402"/>
    <w:rsid w:val="002F78C8"/>
    <w:rsid w:val="003012AF"/>
    <w:rsid w:val="00301CF3"/>
    <w:rsid w:val="003037A9"/>
    <w:rsid w:val="00305FB0"/>
    <w:rsid w:val="00307FC8"/>
    <w:rsid w:val="003132C4"/>
    <w:rsid w:val="00317092"/>
    <w:rsid w:val="003249A9"/>
    <w:rsid w:val="00325496"/>
    <w:rsid w:val="00325952"/>
    <w:rsid w:val="0032715C"/>
    <w:rsid w:val="00331C0F"/>
    <w:rsid w:val="003321E7"/>
    <w:rsid w:val="00332C33"/>
    <w:rsid w:val="00334C37"/>
    <w:rsid w:val="00337CA5"/>
    <w:rsid w:val="00346946"/>
    <w:rsid w:val="00347AC6"/>
    <w:rsid w:val="00351BA6"/>
    <w:rsid w:val="00354C87"/>
    <w:rsid w:val="003558FB"/>
    <w:rsid w:val="00357A47"/>
    <w:rsid w:val="00362478"/>
    <w:rsid w:val="00367CCD"/>
    <w:rsid w:val="00371644"/>
    <w:rsid w:val="003741F3"/>
    <w:rsid w:val="00374406"/>
    <w:rsid w:val="00375B25"/>
    <w:rsid w:val="0038132C"/>
    <w:rsid w:val="00391485"/>
    <w:rsid w:val="00392FBF"/>
    <w:rsid w:val="00396542"/>
    <w:rsid w:val="0039685B"/>
    <w:rsid w:val="00397065"/>
    <w:rsid w:val="003A1962"/>
    <w:rsid w:val="003A31A6"/>
    <w:rsid w:val="003A498E"/>
    <w:rsid w:val="003A7F0C"/>
    <w:rsid w:val="003A7F79"/>
    <w:rsid w:val="003B3544"/>
    <w:rsid w:val="003B6404"/>
    <w:rsid w:val="003B64A5"/>
    <w:rsid w:val="003C259B"/>
    <w:rsid w:val="003C449B"/>
    <w:rsid w:val="003D21FF"/>
    <w:rsid w:val="003D4B75"/>
    <w:rsid w:val="003E3012"/>
    <w:rsid w:val="003E5A6A"/>
    <w:rsid w:val="003E5E52"/>
    <w:rsid w:val="003E78B7"/>
    <w:rsid w:val="003F0112"/>
    <w:rsid w:val="003F071A"/>
    <w:rsid w:val="003F0D3A"/>
    <w:rsid w:val="003F160B"/>
    <w:rsid w:val="003F2E1E"/>
    <w:rsid w:val="00400032"/>
    <w:rsid w:val="004004E0"/>
    <w:rsid w:val="00400B5B"/>
    <w:rsid w:val="004027BF"/>
    <w:rsid w:val="00405205"/>
    <w:rsid w:val="00405A00"/>
    <w:rsid w:val="00407D76"/>
    <w:rsid w:val="00411B1F"/>
    <w:rsid w:val="00420870"/>
    <w:rsid w:val="00427593"/>
    <w:rsid w:val="00431766"/>
    <w:rsid w:val="00432411"/>
    <w:rsid w:val="00432D0C"/>
    <w:rsid w:val="0043791B"/>
    <w:rsid w:val="00441483"/>
    <w:rsid w:val="00441BCB"/>
    <w:rsid w:val="00444828"/>
    <w:rsid w:val="00446C83"/>
    <w:rsid w:val="00450556"/>
    <w:rsid w:val="00450649"/>
    <w:rsid w:val="0045176A"/>
    <w:rsid w:val="00451F21"/>
    <w:rsid w:val="004550DD"/>
    <w:rsid w:val="00455648"/>
    <w:rsid w:val="00456332"/>
    <w:rsid w:val="00461826"/>
    <w:rsid w:val="00461AE0"/>
    <w:rsid w:val="0046554A"/>
    <w:rsid w:val="00470A4D"/>
    <w:rsid w:val="004721E8"/>
    <w:rsid w:val="00472D81"/>
    <w:rsid w:val="004737C9"/>
    <w:rsid w:val="00474191"/>
    <w:rsid w:val="004800F9"/>
    <w:rsid w:val="00481506"/>
    <w:rsid w:val="004842EA"/>
    <w:rsid w:val="00490306"/>
    <w:rsid w:val="0049134A"/>
    <w:rsid w:val="004A09F2"/>
    <w:rsid w:val="004A1F8C"/>
    <w:rsid w:val="004A3012"/>
    <w:rsid w:val="004A58CB"/>
    <w:rsid w:val="004B1795"/>
    <w:rsid w:val="004B34F5"/>
    <w:rsid w:val="004B56DD"/>
    <w:rsid w:val="004B5BAC"/>
    <w:rsid w:val="004C020F"/>
    <w:rsid w:val="004C0556"/>
    <w:rsid w:val="004C1AFD"/>
    <w:rsid w:val="004C52E2"/>
    <w:rsid w:val="004C558B"/>
    <w:rsid w:val="004D1D09"/>
    <w:rsid w:val="004D4A0D"/>
    <w:rsid w:val="004D665B"/>
    <w:rsid w:val="004E1B94"/>
    <w:rsid w:val="004E5BAC"/>
    <w:rsid w:val="004E733A"/>
    <w:rsid w:val="004F1F88"/>
    <w:rsid w:val="004F40FC"/>
    <w:rsid w:val="004F5F1B"/>
    <w:rsid w:val="00502374"/>
    <w:rsid w:val="00503679"/>
    <w:rsid w:val="005060A1"/>
    <w:rsid w:val="005104AE"/>
    <w:rsid w:val="005121D1"/>
    <w:rsid w:val="00513A23"/>
    <w:rsid w:val="00513A29"/>
    <w:rsid w:val="00515EAE"/>
    <w:rsid w:val="00515F04"/>
    <w:rsid w:val="00516072"/>
    <w:rsid w:val="00521199"/>
    <w:rsid w:val="00521321"/>
    <w:rsid w:val="00521E24"/>
    <w:rsid w:val="00532E03"/>
    <w:rsid w:val="005332EC"/>
    <w:rsid w:val="00534418"/>
    <w:rsid w:val="005353AB"/>
    <w:rsid w:val="00535FB2"/>
    <w:rsid w:val="00536AC5"/>
    <w:rsid w:val="00540C49"/>
    <w:rsid w:val="00540D2C"/>
    <w:rsid w:val="00544B93"/>
    <w:rsid w:val="0055078D"/>
    <w:rsid w:val="00553D27"/>
    <w:rsid w:val="00555266"/>
    <w:rsid w:val="005560BC"/>
    <w:rsid w:val="005573BE"/>
    <w:rsid w:val="00562508"/>
    <w:rsid w:val="005630CE"/>
    <w:rsid w:val="00566674"/>
    <w:rsid w:val="00567A40"/>
    <w:rsid w:val="005716AC"/>
    <w:rsid w:val="00572700"/>
    <w:rsid w:val="00580468"/>
    <w:rsid w:val="00582231"/>
    <w:rsid w:val="00582DF4"/>
    <w:rsid w:val="0058603B"/>
    <w:rsid w:val="00587F92"/>
    <w:rsid w:val="0059431B"/>
    <w:rsid w:val="00597B42"/>
    <w:rsid w:val="005A2F1B"/>
    <w:rsid w:val="005A3476"/>
    <w:rsid w:val="005A39CC"/>
    <w:rsid w:val="005B07B8"/>
    <w:rsid w:val="005B3814"/>
    <w:rsid w:val="005B4730"/>
    <w:rsid w:val="005C10FE"/>
    <w:rsid w:val="005C70DB"/>
    <w:rsid w:val="005E05D7"/>
    <w:rsid w:val="005E25D4"/>
    <w:rsid w:val="005E41E7"/>
    <w:rsid w:val="005E450F"/>
    <w:rsid w:val="005E74B0"/>
    <w:rsid w:val="005F0FA4"/>
    <w:rsid w:val="005F57C6"/>
    <w:rsid w:val="005F685D"/>
    <w:rsid w:val="00600BE1"/>
    <w:rsid w:val="006113E1"/>
    <w:rsid w:val="00615889"/>
    <w:rsid w:val="0062031C"/>
    <w:rsid w:val="0062298A"/>
    <w:rsid w:val="006235E2"/>
    <w:rsid w:val="00623733"/>
    <w:rsid w:val="00623C1F"/>
    <w:rsid w:val="00624325"/>
    <w:rsid w:val="00624EC8"/>
    <w:rsid w:val="00626514"/>
    <w:rsid w:val="00626589"/>
    <w:rsid w:val="00630B04"/>
    <w:rsid w:val="006339A0"/>
    <w:rsid w:val="0063498B"/>
    <w:rsid w:val="00636955"/>
    <w:rsid w:val="00637FDE"/>
    <w:rsid w:val="006413A8"/>
    <w:rsid w:val="00642E56"/>
    <w:rsid w:val="0064432D"/>
    <w:rsid w:val="006507C7"/>
    <w:rsid w:val="00651E00"/>
    <w:rsid w:val="00654D82"/>
    <w:rsid w:val="00665C56"/>
    <w:rsid w:val="0066691C"/>
    <w:rsid w:val="00673D71"/>
    <w:rsid w:val="00674052"/>
    <w:rsid w:val="00674572"/>
    <w:rsid w:val="00677C87"/>
    <w:rsid w:val="006809AB"/>
    <w:rsid w:val="0068293F"/>
    <w:rsid w:val="00687229"/>
    <w:rsid w:val="00687763"/>
    <w:rsid w:val="00692B0D"/>
    <w:rsid w:val="00693E0E"/>
    <w:rsid w:val="0069426F"/>
    <w:rsid w:val="0069462B"/>
    <w:rsid w:val="006A1AE3"/>
    <w:rsid w:val="006A231F"/>
    <w:rsid w:val="006A23F4"/>
    <w:rsid w:val="006A40A0"/>
    <w:rsid w:val="006A4D08"/>
    <w:rsid w:val="006B3026"/>
    <w:rsid w:val="006C30E1"/>
    <w:rsid w:val="006C432D"/>
    <w:rsid w:val="006C4607"/>
    <w:rsid w:val="006D0216"/>
    <w:rsid w:val="006D34FC"/>
    <w:rsid w:val="006D48F1"/>
    <w:rsid w:val="006D5A0B"/>
    <w:rsid w:val="006D72A4"/>
    <w:rsid w:val="006E65E2"/>
    <w:rsid w:val="006E6637"/>
    <w:rsid w:val="006F2D29"/>
    <w:rsid w:val="006F45BE"/>
    <w:rsid w:val="006F4735"/>
    <w:rsid w:val="007004FC"/>
    <w:rsid w:val="00700E4D"/>
    <w:rsid w:val="00705DB5"/>
    <w:rsid w:val="007061A2"/>
    <w:rsid w:val="00706670"/>
    <w:rsid w:val="00711F59"/>
    <w:rsid w:val="0072417C"/>
    <w:rsid w:val="00727062"/>
    <w:rsid w:val="00732212"/>
    <w:rsid w:val="00732C89"/>
    <w:rsid w:val="00734450"/>
    <w:rsid w:val="00734675"/>
    <w:rsid w:val="00736BF0"/>
    <w:rsid w:val="00737C0F"/>
    <w:rsid w:val="00741BA8"/>
    <w:rsid w:val="00745D49"/>
    <w:rsid w:val="00745F67"/>
    <w:rsid w:val="00746433"/>
    <w:rsid w:val="0075039E"/>
    <w:rsid w:val="00751DA2"/>
    <w:rsid w:val="00752D9D"/>
    <w:rsid w:val="0075456A"/>
    <w:rsid w:val="00754784"/>
    <w:rsid w:val="00757C6E"/>
    <w:rsid w:val="00760B40"/>
    <w:rsid w:val="00762BDA"/>
    <w:rsid w:val="007649F2"/>
    <w:rsid w:val="007672A4"/>
    <w:rsid w:val="007704F2"/>
    <w:rsid w:val="007726DA"/>
    <w:rsid w:val="007744A8"/>
    <w:rsid w:val="00775683"/>
    <w:rsid w:val="007805FD"/>
    <w:rsid w:val="00781CF0"/>
    <w:rsid w:val="00784422"/>
    <w:rsid w:val="00784C83"/>
    <w:rsid w:val="007956DA"/>
    <w:rsid w:val="007A794B"/>
    <w:rsid w:val="007B2650"/>
    <w:rsid w:val="007B3B54"/>
    <w:rsid w:val="007B3FA0"/>
    <w:rsid w:val="007B6CC0"/>
    <w:rsid w:val="007C0F2C"/>
    <w:rsid w:val="007C1FEA"/>
    <w:rsid w:val="007C2BCC"/>
    <w:rsid w:val="007C4EF0"/>
    <w:rsid w:val="007D099D"/>
    <w:rsid w:val="007D12EB"/>
    <w:rsid w:val="007D1CEE"/>
    <w:rsid w:val="007D56F5"/>
    <w:rsid w:val="007D68D5"/>
    <w:rsid w:val="007D78F4"/>
    <w:rsid w:val="007E207E"/>
    <w:rsid w:val="007E2664"/>
    <w:rsid w:val="007E3ABF"/>
    <w:rsid w:val="007E3E32"/>
    <w:rsid w:val="007E5BFA"/>
    <w:rsid w:val="007E6689"/>
    <w:rsid w:val="007E731C"/>
    <w:rsid w:val="007E7474"/>
    <w:rsid w:val="007E7481"/>
    <w:rsid w:val="007F0A03"/>
    <w:rsid w:val="007F3187"/>
    <w:rsid w:val="007F3F7D"/>
    <w:rsid w:val="007F69FF"/>
    <w:rsid w:val="00805E1A"/>
    <w:rsid w:val="00810040"/>
    <w:rsid w:val="008114E8"/>
    <w:rsid w:val="00813802"/>
    <w:rsid w:val="00814F75"/>
    <w:rsid w:val="0082023A"/>
    <w:rsid w:val="00821A7A"/>
    <w:rsid w:val="0082389E"/>
    <w:rsid w:val="008253F8"/>
    <w:rsid w:val="00832285"/>
    <w:rsid w:val="008325E4"/>
    <w:rsid w:val="00832A2B"/>
    <w:rsid w:val="008340D7"/>
    <w:rsid w:val="0083633C"/>
    <w:rsid w:val="00836E31"/>
    <w:rsid w:val="00842922"/>
    <w:rsid w:val="00845811"/>
    <w:rsid w:val="00846994"/>
    <w:rsid w:val="00850451"/>
    <w:rsid w:val="0085146D"/>
    <w:rsid w:val="00852042"/>
    <w:rsid w:val="008534C9"/>
    <w:rsid w:val="0085599D"/>
    <w:rsid w:val="0085625D"/>
    <w:rsid w:val="00857526"/>
    <w:rsid w:val="00870E48"/>
    <w:rsid w:val="00871DA3"/>
    <w:rsid w:val="00871FCD"/>
    <w:rsid w:val="0087510C"/>
    <w:rsid w:val="00875E25"/>
    <w:rsid w:val="00891D6F"/>
    <w:rsid w:val="008924B0"/>
    <w:rsid w:val="008968D2"/>
    <w:rsid w:val="0089738E"/>
    <w:rsid w:val="008B03E1"/>
    <w:rsid w:val="008B5886"/>
    <w:rsid w:val="008B5FDB"/>
    <w:rsid w:val="008C167E"/>
    <w:rsid w:val="008C1BC3"/>
    <w:rsid w:val="008C50F4"/>
    <w:rsid w:val="008C5649"/>
    <w:rsid w:val="008C5C04"/>
    <w:rsid w:val="008D582E"/>
    <w:rsid w:val="008E44A2"/>
    <w:rsid w:val="008E5422"/>
    <w:rsid w:val="008E697D"/>
    <w:rsid w:val="008E7C81"/>
    <w:rsid w:val="008F36AD"/>
    <w:rsid w:val="00903263"/>
    <w:rsid w:val="0090611F"/>
    <w:rsid w:val="00906A21"/>
    <w:rsid w:val="009079C3"/>
    <w:rsid w:val="00910462"/>
    <w:rsid w:val="00915AB1"/>
    <w:rsid w:val="00917532"/>
    <w:rsid w:val="00921E39"/>
    <w:rsid w:val="009235BA"/>
    <w:rsid w:val="00923797"/>
    <w:rsid w:val="00923D4E"/>
    <w:rsid w:val="00924023"/>
    <w:rsid w:val="009247E2"/>
    <w:rsid w:val="00924CE2"/>
    <w:rsid w:val="00925B9F"/>
    <w:rsid w:val="00931AED"/>
    <w:rsid w:val="00932277"/>
    <w:rsid w:val="00940488"/>
    <w:rsid w:val="009443BB"/>
    <w:rsid w:val="009444AD"/>
    <w:rsid w:val="0094582A"/>
    <w:rsid w:val="009476A3"/>
    <w:rsid w:val="0095334F"/>
    <w:rsid w:val="009565A5"/>
    <w:rsid w:val="009571D7"/>
    <w:rsid w:val="009572FA"/>
    <w:rsid w:val="00965897"/>
    <w:rsid w:val="009670A1"/>
    <w:rsid w:val="0096765C"/>
    <w:rsid w:val="009727E4"/>
    <w:rsid w:val="0097507F"/>
    <w:rsid w:val="0097528C"/>
    <w:rsid w:val="009837A5"/>
    <w:rsid w:val="00992C13"/>
    <w:rsid w:val="009934C5"/>
    <w:rsid w:val="00994C0F"/>
    <w:rsid w:val="009A3105"/>
    <w:rsid w:val="009A5DFF"/>
    <w:rsid w:val="009B22D7"/>
    <w:rsid w:val="009B72ED"/>
    <w:rsid w:val="009C192E"/>
    <w:rsid w:val="009C2F83"/>
    <w:rsid w:val="009C6DEB"/>
    <w:rsid w:val="009D097A"/>
    <w:rsid w:val="009D61F0"/>
    <w:rsid w:val="009D6504"/>
    <w:rsid w:val="009D7829"/>
    <w:rsid w:val="009E12D7"/>
    <w:rsid w:val="009E661A"/>
    <w:rsid w:val="009F27B0"/>
    <w:rsid w:val="009F284D"/>
    <w:rsid w:val="009F3972"/>
    <w:rsid w:val="009F6E82"/>
    <w:rsid w:val="00A01116"/>
    <w:rsid w:val="00A06781"/>
    <w:rsid w:val="00A074C3"/>
    <w:rsid w:val="00A145C0"/>
    <w:rsid w:val="00A1509C"/>
    <w:rsid w:val="00A249B9"/>
    <w:rsid w:val="00A3212B"/>
    <w:rsid w:val="00A33C4B"/>
    <w:rsid w:val="00A34260"/>
    <w:rsid w:val="00A43662"/>
    <w:rsid w:val="00A43B05"/>
    <w:rsid w:val="00A569C5"/>
    <w:rsid w:val="00A60A0E"/>
    <w:rsid w:val="00A65F2F"/>
    <w:rsid w:val="00A70CFD"/>
    <w:rsid w:val="00A724E0"/>
    <w:rsid w:val="00A72A0B"/>
    <w:rsid w:val="00A740A6"/>
    <w:rsid w:val="00A81E42"/>
    <w:rsid w:val="00A864FE"/>
    <w:rsid w:val="00A86F41"/>
    <w:rsid w:val="00A87D04"/>
    <w:rsid w:val="00A950C5"/>
    <w:rsid w:val="00AA0D0D"/>
    <w:rsid w:val="00AA14C4"/>
    <w:rsid w:val="00AA1D25"/>
    <w:rsid w:val="00AA2899"/>
    <w:rsid w:val="00AA3D12"/>
    <w:rsid w:val="00AB2B1A"/>
    <w:rsid w:val="00AB397F"/>
    <w:rsid w:val="00AB5832"/>
    <w:rsid w:val="00AC2675"/>
    <w:rsid w:val="00AC334B"/>
    <w:rsid w:val="00AC51F2"/>
    <w:rsid w:val="00AC7584"/>
    <w:rsid w:val="00AD3269"/>
    <w:rsid w:val="00AE5066"/>
    <w:rsid w:val="00AE5E24"/>
    <w:rsid w:val="00AE60D4"/>
    <w:rsid w:val="00AE61B7"/>
    <w:rsid w:val="00AE6CBA"/>
    <w:rsid w:val="00AE79AD"/>
    <w:rsid w:val="00AF0398"/>
    <w:rsid w:val="00AF35E4"/>
    <w:rsid w:val="00AF5CDE"/>
    <w:rsid w:val="00AF669C"/>
    <w:rsid w:val="00B00EB2"/>
    <w:rsid w:val="00B027C6"/>
    <w:rsid w:val="00B0445A"/>
    <w:rsid w:val="00B11A57"/>
    <w:rsid w:val="00B20196"/>
    <w:rsid w:val="00B211C3"/>
    <w:rsid w:val="00B22277"/>
    <w:rsid w:val="00B22341"/>
    <w:rsid w:val="00B24E08"/>
    <w:rsid w:val="00B25597"/>
    <w:rsid w:val="00B267B9"/>
    <w:rsid w:val="00B31718"/>
    <w:rsid w:val="00B32288"/>
    <w:rsid w:val="00B33E09"/>
    <w:rsid w:val="00B3547B"/>
    <w:rsid w:val="00B4603E"/>
    <w:rsid w:val="00B4781C"/>
    <w:rsid w:val="00B50708"/>
    <w:rsid w:val="00B50C68"/>
    <w:rsid w:val="00B51293"/>
    <w:rsid w:val="00B51987"/>
    <w:rsid w:val="00B51AF7"/>
    <w:rsid w:val="00B52B1E"/>
    <w:rsid w:val="00B54D8A"/>
    <w:rsid w:val="00B55481"/>
    <w:rsid w:val="00B56A61"/>
    <w:rsid w:val="00B56C32"/>
    <w:rsid w:val="00B57ACF"/>
    <w:rsid w:val="00B60331"/>
    <w:rsid w:val="00B60EB7"/>
    <w:rsid w:val="00B6359D"/>
    <w:rsid w:val="00B63E19"/>
    <w:rsid w:val="00B64BB1"/>
    <w:rsid w:val="00B64EE8"/>
    <w:rsid w:val="00B656B2"/>
    <w:rsid w:val="00B65C90"/>
    <w:rsid w:val="00B66825"/>
    <w:rsid w:val="00B67595"/>
    <w:rsid w:val="00B73166"/>
    <w:rsid w:val="00B763D0"/>
    <w:rsid w:val="00B778C0"/>
    <w:rsid w:val="00B831B7"/>
    <w:rsid w:val="00B83EB6"/>
    <w:rsid w:val="00B8426C"/>
    <w:rsid w:val="00B91B8D"/>
    <w:rsid w:val="00B94E90"/>
    <w:rsid w:val="00BA2F17"/>
    <w:rsid w:val="00BA5A24"/>
    <w:rsid w:val="00BB0A82"/>
    <w:rsid w:val="00BB7C94"/>
    <w:rsid w:val="00BC0A9D"/>
    <w:rsid w:val="00BC31E0"/>
    <w:rsid w:val="00BC65B9"/>
    <w:rsid w:val="00BC7BEB"/>
    <w:rsid w:val="00BD2F84"/>
    <w:rsid w:val="00BE16E1"/>
    <w:rsid w:val="00BE2C7A"/>
    <w:rsid w:val="00BE50DB"/>
    <w:rsid w:val="00BF1B48"/>
    <w:rsid w:val="00BF36AE"/>
    <w:rsid w:val="00BF40ED"/>
    <w:rsid w:val="00BF5BC2"/>
    <w:rsid w:val="00BF7516"/>
    <w:rsid w:val="00BF7FAC"/>
    <w:rsid w:val="00C0006A"/>
    <w:rsid w:val="00C00D65"/>
    <w:rsid w:val="00C03594"/>
    <w:rsid w:val="00C04F01"/>
    <w:rsid w:val="00C1133D"/>
    <w:rsid w:val="00C1339F"/>
    <w:rsid w:val="00C20F8A"/>
    <w:rsid w:val="00C254CB"/>
    <w:rsid w:val="00C270F3"/>
    <w:rsid w:val="00C27A08"/>
    <w:rsid w:val="00C30318"/>
    <w:rsid w:val="00C31312"/>
    <w:rsid w:val="00C31E36"/>
    <w:rsid w:val="00C326C6"/>
    <w:rsid w:val="00C35295"/>
    <w:rsid w:val="00C36ADD"/>
    <w:rsid w:val="00C36E74"/>
    <w:rsid w:val="00C36FF9"/>
    <w:rsid w:val="00C40595"/>
    <w:rsid w:val="00C41621"/>
    <w:rsid w:val="00C449FA"/>
    <w:rsid w:val="00C46299"/>
    <w:rsid w:val="00C5384F"/>
    <w:rsid w:val="00C56964"/>
    <w:rsid w:val="00C647B1"/>
    <w:rsid w:val="00C656D5"/>
    <w:rsid w:val="00C66A30"/>
    <w:rsid w:val="00C67103"/>
    <w:rsid w:val="00C71BB9"/>
    <w:rsid w:val="00C72352"/>
    <w:rsid w:val="00C80C2D"/>
    <w:rsid w:val="00C83CBD"/>
    <w:rsid w:val="00C94C28"/>
    <w:rsid w:val="00CB0247"/>
    <w:rsid w:val="00CB0967"/>
    <w:rsid w:val="00CB3440"/>
    <w:rsid w:val="00CC1692"/>
    <w:rsid w:val="00CC1AF5"/>
    <w:rsid w:val="00CC1C45"/>
    <w:rsid w:val="00CC2B48"/>
    <w:rsid w:val="00CC69B8"/>
    <w:rsid w:val="00CD138B"/>
    <w:rsid w:val="00CD19AC"/>
    <w:rsid w:val="00CD3E31"/>
    <w:rsid w:val="00CD74A3"/>
    <w:rsid w:val="00CE0527"/>
    <w:rsid w:val="00CE2498"/>
    <w:rsid w:val="00CE520F"/>
    <w:rsid w:val="00CE5B23"/>
    <w:rsid w:val="00CF475E"/>
    <w:rsid w:val="00CF695A"/>
    <w:rsid w:val="00CF70AD"/>
    <w:rsid w:val="00CF7729"/>
    <w:rsid w:val="00D00059"/>
    <w:rsid w:val="00D02E6E"/>
    <w:rsid w:val="00D041B6"/>
    <w:rsid w:val="00D05196"/>
    <w:rsid w:val="00D0782E"/>
    <w:rsid w:val="00D107FA"/>
    <w:rsid w:val="00D12275"/>
    <w:rsid w:val="00D12766"/>
    <w:rsid w:val="00D14473"/>
    <w:rsid w:val="00D20E8F"/>
    <w:rsid w:val="00D20FF4"/>
    <w:rsid w:val="00D24D2C"/>
    <w:rsid w:val="00D26FF7"/>
    <w:rsid w:val="00D32BD5"/>
    <w:rsid w:val="00D3414B"/>
    <w:rsid w:val="00D34B0A"/>
    <w:rsid w:val="00D35881"/>
    <w:rsid w:val="00D37A68"/>
    <w:rsid w:val="00D418FA"/>
    <w:rsid w:val="00D44FE8"/>
    <w:rsid w:val="00D46173"/>
    <w:rsid w:val="00D462C9"/>
    <w:rsid w:val="00D50957"/>
    <w:rsid w:val="00D550F6"/>
    <w:rsid w:val="00D62F33"/>
    <w:rsid w:val="00D726B7"/>
    <w:rsid w:val="00D72EEE"/>
    <w:rsid w:val="00D7374D"/>
    <w:rsid w:val="00D7729E"/>
    <w:rsid w:val="00D80017"/>
    <w:rsid w:val="00D85540"/>
    <w:rsid w:val="00D85F4F"/>
    <w:rsid w:val="00D91C7E"/>
    <w:rsid w:val="00D94378"/>
    <w:rsid w:val="00DA09E7"/>
    <w:rsid w:val="00DA1B9C"/>
    <w:rsid w:val="00DA2E83"/>
    <w:rsid w:val="00DA4DA9"/>
    <w:rsid w:val="00DA7DA5"/>
    <w:rsid w:val="00DB073B"/>
    <w:rsid w:val="00DB2213"/>
    <w:rsid w:val="00DB2C50"/>
    <w:rsid w:val="00DB2E15"/>
    <w:rsid w:val="00DB448B"/>
    <w:rsid w:val="00DB78F0"/>
    <w:rsid w:val="00DC0CEA"/>
    <w:rsid w:val="00DC2E43"/>
    <w:rsid w:val="00DC7D87"/>
    <w:rsid w:val="00DD095C"/>
    <w:rsid w:val="00DD1020"/>
    <w:rsid w:val="00DD1330"/>
    <w:rsid w:val="00DD5D6E"/>
    <w:rsid w:val="00DD6D19"/>
    <w:rsid w:val="00DE0B83"/>
    <w:rsid w:val="00DE1A81"/>
    <w:rsid w:val="00DE1C13"/>
    <w:rsid w:val="00DE4E10"/>
    <w:rsid w:val="00DF42E1"/>
    <w:rsid w:val="00E00284"/>
    <w:rsid w:val="00E02ABF"/>
    <w:rsid w:val="00E06681"/>
    <w:rsid w:val="00E126DF"/>
    <w:rsid w:val="00E140F9"/>
    <w:rsid w:val="00E14995"/>
    <w:rsid w:val="00E179CD"/>
    <w:rsid w:val="00E21A8A"/>
    <w:rsid w:val="00E23E8D"/>
    <w:rsid w:val="00E30180"/>
    <w:rsid w:val="00E36C32"/>
    <w:rsid w:val="00E37F98"/>
    <w:rsid w:val="00E41974"/>
    <w:rsid w:val="00E43EC8"/>
    <w:rsid w:val="00E45AE7"/>
    <w:rsid w:val="00E46559"/>
    <w:rsid w:val="00E47F68"/>
    <w:rsid w:val="00E5412E"/>
    <w:rsid w:val="00E54346"/>
    <w:rsid w:val="00E550C9"/>
    <w:rsid w:val="00E565ED"/>
    <w:rsid w:val="00E6419A"/>
    <w:rsid w:val="00E662C0"/>
    <w:rsid w:val="00E6670C"/>
    <w:rsid w:val="00E67023"/>
    <w:rsid w:val="00E719C5"/>
    <w:rsid w:val="00E776E8"/>
    <w:rsid w:val="00E878D2"/>
    <w:rsid w:val="00E92C1F"/>
    <w:rsid w:val="00E95D4B"/>
    <w:rsid w:val="00E970A2"/>
    <w:rsid w:val="00EA1591"/>
    <w:rsid w:val="00EA2D85"/>
    <w:rsid w:val="00EA7286"/>
    <w:rsid w:val="00EA774D"/>
    <w:rsid w:val="00EB153E"/>
    <w:rsid w:val="00EB199F"/>
    <w:rsid w:val="00EB7B03"/>
    <w:rsid w:val="00EC0B32"/>
    <w:rsid w:val="00EC23F7"/>
    <w:rsid w:val="00EC422E"/>
    <w:rsid w:val="00EC4BD8"/>
    <w:rsid w:val="00EC63EB"/>
    <w:rsid w:val="00ED412F"/>
    <w:rsid w:val="00ED621F"/>
    <w:rsid w:val="00EE5DB9"/>
    <w:rsid w:val="00EE7F27"/>
    <w:rsid w:val="00EF1F7A"/>
    <w:rsid w:val="00EF36B2"/>
    <w:rsid w:val="00EF76D6"/>
    <w:rsid w:val="00F01783"/>
    <w:rsid w:val="00F01BC7"/>
    <w:rsid w:val="00F02390"/>
    <w:rsid w:val="00F04FF7"/>
    <w:rsid w:val="00F10B44"/>
    <w:rsid w:val="00F1246B"/>
    <w:rsid w:val="00F12D23"/>
    <w:rsid w:val="00F15BBC"/>
    <w:rsid w:val="00F20187"/>
    <w:rsid w:val="00F201EC"/>
    <w:rsid w:val="00F208A9"/>
    <w:rsid w:val="00F227EB"/>
    <w:rsid w:val="00F237EA"/>
    <w:rsid w:val="00F24A8A"/>
    <w:rsid w:val="00F321FE"/>
    <w:rsid w:val="00F34A81"/>
    <w:rsid w:val="00F3577E"/>
    <w:rsid w:val="00F41D75"/>
    <w:rsid w:val="00F43DA1"/>
    <w:rsid w:val="00F46320"/>
    <w:rsid w:val="00F46682"/>
    <w:rsid w:val="00F5139D"/>
    <w:rsid w:val="00F57C16"/>
    <w:rsid w:val="00F63DAC"/>
    <w:rsid w:val="00F72DC0"/>
    <w:rsid w:val="00F73003"/>
    <w:rsid w:val="00F7435F"/>
    <w:rsid w:val="00F7454F"/>
    <w:rsid w:val="00F746C0"/>
    <w:rsid w:val="00F76693"/>
    <w:rsid w:val="00F77926"/>
    <w:rsid w:val="00F77988"/>
    <w:rsid w:val="00F77F48"/>
    <w:rsid w:val="00F8024A"/>
    <w:rsid w:val="00F8097D"/>
    <w:rsid w:val="00F80A7D"/>
    <w:rsid w:val="00FA1D83"/>
    <w:rsid w:val="00FA4189"/>
    <w:rsid w:val="00FB1CD7"/>
    <w:rsid w:val="00FB30F1"/>
    <w:rsid w:val="00FB53E7"/>
    <w:rsid w:val="00FB5861"/>
    <w:rsid w:val="00FC0591"/>
    <w:rsid w:val="00FC260E"/>
    <w:rsid w:val="00FC34BD"/>
    <w:rsid w:val="00FD2A8A"/>
    <w:rsid w:val="00FE2406"/>
    <w:rsid w:val="00FE2E61"/>
    <w:rsid w:val="00FF19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Virsraksts21">
    <w:name w:val="Virsraksts 21"/>
    <w:rsid w:val="003E5E52"/>
    <w:rPr>
      <w:b/>
      <w:i/>
      <w:sz w:val="22"/>
      <w:szCs w:val="28"/>
    </w:rPr>
  </w:style>
  <w:style w:type="paragraph" w:customStyle="1" w:styleId="tv2131">
    <w:name w:val="tv2131"/>
    <w:basedOn w:val="Normal"/>
    <w:rsid w:val="00AC2675"/>
    <w:pPr>
      <w:spacing w:line="360" w:lineRule="auto"/>
      <w:ind w:firstLine="300"/>
    </w:pPr>
    <w:rPr>
      <w:color w:val="414142"/>
      <w:sz w:val="20"/>
      <w:szCs w:val="20"/>
    </w:rPr>
  </w:style>
  <w:style w:type="paragraph" w:customStyle="1" w:styleId="CM4">
    <w:name w:val="CM4"/>
    <w:basedOn w:val="Normal"/>
    <w:next w:val="Normal"/>
    <w:uiPriority w:val="99"/>
    <w:rsid w:val="003741F3"/>
    <w:pPr>
      <w:autoSpaceDE w:val="0"/>
      <w:autoSpaceDN w:val="0"/>
      <w:adjustRightInd w:val="0"/>
    </w:pPr>
    <w:rPr>
      <w:rFonts w:ascii="EUAlbertina" w:eastAsia="Calibri" w:hAnsi="EUAlbertina"/>
      <w:lang w:val="en-US" w:eastAsia="en-US"/>
    </w:rPr>
  </w:style>
  <w:style w:type="character" w:customStyle="1" w:styleId="HeaderChar">
    <w:name w:val="Header Char"/>
    <w:link w:val="Header"/>
    <w:uiPriority w:val="99"/>
    <w:rsid w:val="006D0216"/>
    <w:rPr>
      <w:sz w:val="24"/>
      <w:szCs w:val="24"/>
    </w:rPr>
  </w:style>
  <w:style w:type="paragraph" w:styleId="ListParagraph">
    <w:name w:val="List Paragraph"/>
    <w:basedOn w:val="Normal"/>
    <w:uiPriority w:val="34"/>
    <w:qFormat/>
    <w:rsid w:val="003012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Virsraksts21">
    <w:name w:val="Virsraksts 21"/>
    <w:rsid w:val="003E5E52"/>
    <w:rPr>
      <w:b/>
      <w:i/>
      <w:sz w:val="22"/>
      <w:szCs w:val="28"/>
    </w:rPr>
  </w:style>
  <w:style w:type="paragraph" w:customStyle="1" w:styleId="tv2131">
    <w:name w:val="tv2131"/>
    <w:basedOn w:val="Normal"/>
    <w:rsid w:val="00AC2675"/>
    <w:pPr>
      <w:spacing w:line="360" w:lineRule="auto"/>
      <w:ind w:firstLine="300"/>
    </w:pPr>
    <w:rPr>
      <w:color w:val="414142"/>
      <w:sz w:val="20"/>
      <w:szCs w:val="20"/>
    </w:rPr>
  </w:style>
  <w:style w:type="paragraph" w:customStyle="1" w:styleId="CM4">
    <w:name w:val="CM4"/>
    <w:basedOn w:val="Normal"/>
    <w:next w:val="Normal"/>
    <w:uiPriority w:val="99"/>
    <w:rsid w:val="003741F3"/>
    <w:pPr>
      <w:autoSpaceDE w:val="0"/>
      <w:autoSpaceDN w:val="0"/>
      <w:adjustRightInd w:val="0"/>
    </w:pPr>
    <w:rPr>
      <w:rFonts w:ascii="EUAlbertina" w:eastAsia="Calibri" w:hAnsi="EUAlbertina"/>
      <w:lang w:val="en-US" w:eastAsia="en-US"/>
    </w:rPr>
  </w:style>
  <w:style w:type="character" w:customStyle="1" w:styleId="HeaderChar">
    <w:name w:val="Header Char"/>
    <w:link w:val="Header"/>
    <w:uiPriority w:val="99"/>
    <w:rsid w:val="006D0216"/>
    <w:rPr>
      <w:sz w:val="24"/>
      <w:szCs w:val="24"/>
    </w:rPr>
  </w:style>
  <w:style w:type="paragraph" w:styleId="ListParagraph">
    <w:name w:val="List Paragraph"/>
    <w:basedOn w:val="Normal"/>
    <w:uiPriority w:val="34"/>
    <w:qFormat/>
    <w:rsid w:val="00301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659244">
      <w:bodyDiv w:val="1"/>
      <w:marLeft w:val="0"/>
      <w:marRight w:val="0"/>
      <w:marTop w:val="0"/>
      <w:marBottom w:val="0"/>
      <w:divBdr>
        <w:top w:val="none" w:sz="0" w:space="0" w:color="auto"/>
        <w:left w:val="none" w:sz="0" w:space="0" w:color="auto"/>
        <w:bottom w:val="none" w:sz="0" w:space="0" w:color="auto"/>
        <w:right w:val="none" w:sz="0" w:space="0" w:color="auto"/>
      </w:divBdr>
      <w:divsChild>
        <w:div w:id="1034237402">
          <w:marLeft w:val="0"/>
          <w:marRight w:val="0"/>
          <w:marTop w:val="0"/>
          <w:marBottom w:val="0"/>
          <w:divBdr>
            <w:top w:val="none" w:sz="0" w:space="0" w:color="auto"/>
            <w:left w:val="none" w:sz="0" w:space="0" w:color="auto"/>
            <w:bottom w:val="none" w:sz="0" w:space="0" w:color="auto"/>
            <w:right w:val="none" w:sz="0" w:space="0" w:color="auto"/>
          </w:divBdr>
          <w:divsChild>
            <w:div w:id="809009112">
              <w:marLeft w:val="0"/>
              <w:marRight w:val="0"/>
              <w:marTop w:val="0"/>
              <w:marBottom w:val="0"/>
              <w:divBdr>
                <w:top w:val="none" w:sz="0" w:space="0" w:color="auto"/>
                <w:left w:val="none" w:sz="0" w:space="0" w:color="auto"/>
                <w:bottom w:val="none" w:sz="0" w:space="0" w:color="auto"/>
                <w:right w:val="none" w:sz="0" w:space="0" w:color="auto"/>
              </w:divBdr>
              <w:divsChild>
                <w:div w:id="770392183">
                  <w:marLeft w:val="0"/>
                  <w:marRight w:val="0"/>
                  <w:marTop w:val="0"/>
                  <w:marBottom w:val="0"/>
                  <w:divBdr>
                    <w:top w:val="none" w:sz="0" w:space="0" w:color="auto"/>
                    <w:left w:val="none" w:sz="0" w:space="0" w:color="auto"/>
                    <w:bottom w:val="none" w:sz="0" w:space="0" w:color="auto"/>
                    <w:right w:val="none" w:sz="0" w:space="0" w:color="auto"/>
                  </w:divBdr>
                  <w:divsChild>
                    <w:div w:id="479931419">
                      <w:marLeft w:val="0"/>
                      <w:marRight w:val="0"/>
                      <w:marTop w:val="0"/>
                      <w:marBottom w:val="0"/>
                      <w:divBdr>
                        <w:top w:val="none" w:sz="0" w:space="0" w:color="auto"/>
                        <w:left w:val="none" w:sz="0" w:space="0" w:color="auto"/>
                        <w:bottom w:val="none" w:sz="0" w:space="0" w:color="auto"/>
                        <w:right w:val="none" w:sz="0" w:space="0" w:color="auto"/>
                      </w:divBdr>
                      <w:divsChild>
                        <w:div w:id="2082560310">
                          <w:marLeft w:val="0"/>
                          <w:marRight w:val="0"/>
                          <w:marTop w:val="0"/>
                          <w:marBottom w:val="0"/>
                          <w:divBdr>
                            <w:top w:val="none" w:sz="0" w:space="0" w:color="auto"/>
                            <w:left w:val="none" w:sz="0" w:space="0" w:color="auto"/>
                            <w:bottom w:val="none" w:sz="0" w:space="0" w:color="auto"/>
                            <w:right w:val="none" w:sz="0" w:space="0" w:color="auto"/>
                          </w:divBdr>
                          <w:divsChild>
                            <w:div w:id="15249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viktorija.bolsakova@lm.gov.lv" TargetMode="External"/><Relationship Id="rId4" Type="http://schemas.microsoft.com/office/2007/relationships/stylesWithEffects" Target="stylesWithEffects.xml"/><Relationship Id="rId9" Type="http://schemas.openxmlformats.org/officeDocument/2006/relationships/hyperlink" Target="http://www.tiesibsargs.lv/lat/petijumi_un_viedokli/petijumi/"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894FC-6FA8-4A53-A096-6AED5F9FE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21</Pages>
  <Words>7591</Words>
  <Characters>53766</Characters>
  <Application>Microsoft Office Word</Application>
  <DocSecurity>0</DocSecurity>
  <Lines>448</Lines>
  <Paragraphs>122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instrukcijas projekts “Tiesību akta projekta sākotnējās ietekmes izvērtēšanas kārtība”</vt:lpstr>
      <vt:lpstr>Ministru kabineta instrukcijas projekts “Tiesību akta projekta sākotnējās ietekmes izvērtēšanas kārtība”</vt:lpstr>
    </vt:vector>
  </TitlesOfParts>
  <Company>Valsts kanceleja, Politikas koordinācijas departaments</Company>
  <LinksUpToDate>false</LinksUpToDate>
  <CharactersWithSpaces>61235</CharactersWithSpaces>
  <SharedDoc>false</SharedDoc>
  <HLinks>
    <vt:vector size="12" baseType="variant">
      <vt:variant>
        <vt:i4>786480</vt:i4>
      </vt:variant>
      <vt:variant>
        <vt:i4>3</vt:i4>
      </vt:variant>
      <vt:variant>
        <vt:i4>0</vt:i4>
      </vt:variant>
      <vt:variant>
        <vt:i4>5</vt:i4>
      </vt:variant>
      <vt:variant>
        <vt:lpwstr>mailto:viktorija.bolsakova@lm.gov.lv</vt:lpwstr>
      </vt:variant>
      <vt:variant>
        <vt:lpwstr/>
      </vt:variant>
      <vt:variant>
        <vt:i4>3473523</vt:i4>
      </vt:variant>
      <vt:variant>
        <vt:i4>0</vt:i4>
      </vt:variant>
      <vt:variant>
        <vt:i4>0</vt:i4>
      </vt:variant>
      <vt:variant>
        <vt:i4>5</vt:i4>
      </vt:variant>
      <vt:variant>
        <vt:lpwstr>http://www.tiesibsargs.lv/lat/petijumi_un_viedokli/petijumi/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instrukcijas projekts “Tiesību akta projekta sākotnējās ietekmes izvērtēšanas kārtība”</dc:title>
  <dc:subject>Instrukcijas pielikums</dc:subject>
  <dc:creator>Ieva Bloma</dc:creator>
  <cp:lastModifiedBy>Linda Liepa</cp:lastModifiedBy>
  <cp:revision>30</cp:revision>
  <cp:lastPrinted>2014-03-20T06:46:00Z</cp:lastPrinted>
  <dcterms:created xsi:type="dcterms:W3CDTF">2014-03-13T10:51:00Z</dcterms:created>
  <dcterms:modified xsi:type="dcterms:W3CDTF">2014-03-20T06:50:00Z</dcterms:modified>
</cp:coreProperties>
</file>