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Default="00817170" w:rsidP="00AD3269">
      <w:pPr>
        <w:pStyle w:val="naislab"/>
        <w:spacing w:before="0" w:after="0"/>
        <w:jc w:val="center"/>
        <w:outlineLvl w:val="0"/>
        <w:rPr>
          <w:b/>
          <w:sz w:val="28"/>
          <w:szCs w:val="28"/>
        </w:rPr>
      </w:pPr>
      <w:bookmarkStart w:id="0" w:name="OLE_LINK1"/>
      <w:bookmarkStart w:id="1" w:name="OLE_LINK2"/>
      <w:r w:rsidRPr="001069FC">
        <w:rPr>
          <w:b/>
          <w:sz w:val="28"/>
          <w:szCs w:val="28"/>
        </w:rPr>
        <w:t xml:space="preserve">Likumprojekta „Grozījumi likumā „Par tabakas izstrādājumu realizācijas, reklāmas un lietošanas ierobežošanu”” </w:t>
      </w:r>
      <w:r w:rsidR="00852042" w:rsidRPr="001069FC">
        <w:rPr>
          <w:b/>
          <w:sz w:val="28"/>
          <w:szCs w:val="28"/>
        </w:rPr>
        <w:t>sākotnējā</w:t>
      </w:r>
      <w:r w:rsidR="002D3306" w:rsidRPr="001069FC">
        <w:rPr>
          <w:b/>
          <w:sz w:val="28"/>
          <w:szCs w:val="28"/>
        </w:rPr>
        <w:t>s</w:t>
      </w:r>
      <w:r w:rsidR="00852042" w:rsidRPr="001069F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1069FC">
          <w:rPr>
            <w:b/>
            <w:sz w:val="28"/>
            <w:szCs w:val="28"/>
          </w:rPr>
          <w:t>ziņojums</w:t>
        </w:r>
      </w:smartTag>
      <w:r w:rsidR="005A11B1" w:rsidRPr="001069FC">
        <w:rPr>
          <w:b/>
          <w:sz w:val="28"/>
          <w:szCs w:val="28"/>
        </w:rPr>
        <w:t xml:space="preserve"> (anotācija)</w:t>
      </w:r>
    </w:p>
    <w:p w:rsidR="001D7CA2" w:rsidRPr="001069FC" w:rsidRDefault="001D7CA2" w:rsidP="00AD3269">
      <w:pPr>
        <w:pStyle w:val="naislab"/>
        <w:spacing w:before="0" w:after="0"/>
        <w:jc w:val="center"/>
        <w:outlineLvl w:val="0"/>
        <w:rPr>
          <w:b/>
          <w:sz w:val="28"/>
          <w:szCs w:val="2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5"/>
        <w:gridCol w:w="2574"/>
        <w:gridCol w:w="5992"/>
      </w:tblGrid>
      <w:tr w:rsidR="00852042" w:rsidRPr="001069FC" w:rsidTr="00046A6D">
        <w:tc>
          <w:tcPr>
            <w:tcW w:w="9725" w:type="dxa"/>
            <w:gridSpan w:val="3"/>
            <w:vAlign w:val="center"/>
          </w:tcPr>
          <w:bookmarkEnd w:id="0"/>
          <w:bookmarkEnd w:id="1"/>
          <w:p w:rsidR="00852042" w:rsidRPr="001069FC" w:rsidRDefault="00852042" w:rsidP="006C4607">
            <w:pPr>
              <w:pStyle w:val="naisnod"/>
              <w:spacing w:before="0" w:after="0"/>
              <w:rPr>
                <w:sz w:val="28"/>
                <w:szCs w:val="28"/>
              </w:rPr>
            </w:pPr>
            <w:r w:rsidRPr="001069FC">
              <w:rPr>
                <w:sz w:val="28"/>
                <w:szCs w:val="28"/>
              </w:rPr>
              <w:t>I</w:t>
            </w:r>
            <w:r w:rsidR="000941C5" w:rsidRPr="001069FC">
              <w:rPr>
                <w:sz w:val="28"/>
                <w:szCs w:val="28"/>
              </w:rPr>
              <w:t>.</w:t>
            </w:r>
            <w:r w:rsidRPr="001069FC">
              <w:rPr>
                <w:sz w:val="28"/>
                <w:szCs w:val="28"/>
              </w:rPr>
              <w:t xml:space="preserve"> Tiesību akta </w:t>
            </w:r>
            <w:r w:rsidR="002E3FF4" w:rsidRPr="001069FC">
              <w:rPr>
                <w:sz w:val="28"/>
                <w:szCs w:val="28"/>
              </w:rPr>
              <w:t xml:space="preserve">projekta </w:t>
            </w:r>
            <w:r w:rsidRPr="001069FC">
              <w:rPr>
                <w:sz w:val="28"/>
                <w:szCs w:val="28"/>
              </w:rPr>
              <w:t>izstrādes nepieciešamība</w:t>
            </w:r>
          </w:p>
        </w:tc>
      </w:tr>
      <w:tr w:rsidR="00896175" w:rsidRPr="001069FC" w:rsidTr="00046A6D">
        <w:trPr>
          <w:trHeight w:val="630"/>
        </w:trPr>
        <w:tc>
          <w:tcPr>
            <w:tcW w:w="550" w:type="dxa"/>
          </w:tcPr>
          <w:p w:rsidR="00262E2B" w:rsidRPr="001069FC" w:rsidRDefault="00262E2B" w:rsidP="006C4607">
            <w:pPr>
              <w:pStyle w:val="naiskr"/>
              <w:spacing w:before="0" w:after="0"/>
              <w:rPr>
                <w:sz w:val="28"/>
                <w:szCs w:val="28"/>
              </w:rPr>
            </w:pPr>
            <w:r w:rsidRPr="001069FC">
              <w:rPr>
                <w:sz w:val="28"/>
                <w:szCs w:val="28"/>
              </w:rPr>
              <w:t>1.</w:t>
            </w:r>
          </w:p>
        </w:tc>
        <w:tc>
          <w:tcPr>
            <w:tcW w:w="2716" w:type="dxa"/>
          </w:tcPr>
          <w:p w:rsidR="00262E2B" w:rsidRPr="001069FC" w:rsidRDefault="002D7F54" w:rsidP="006C4607">
            <w:pPr>
              <w:pStyle w:val="naiskr"/>
              <w:spacing w:before="0" w:after="0"/>
              <w:ind w:hanging="10"/>
              <w:rPr>
                <w:sz w:val="28"/>
                <w:szCs w:val="28"/>
              </w:rPr>
            </w:pPr>
            <w:r w:rsidRPr="001069FC">
              <w:rPr>
                <w:sz w:val="28"/>
                <w:szCs w:val="28"/>
              </w:rPr>
              <w:t>Pamatojums</w:t>
            </w:r>
          </w:p>
        </w:tc>
        <w:tc>
          <w:tcPr>
            <w:tcW w:w="6459" w:type="dxa"/>
          </w:tcPr>
          <w:p w:rsidR="00FF02BA" w:rsidRPr="00C7350F" w:rsidRDefault="00817170" w:rsidP="00C7350F">
            <w:pPr>
              <w:pStyle w:val="BodyText"/>
              <w:jc w:val="both"/>
              <w:outlineLvl w:val="0"/>
              <w:rPr>
                <w:sz w:val="28"/>
                <w:szCs w:val="28"/>
              </w:rPr>
            </w:pPr>
            <w:r w:rsidRPr="00C7350F">
              <w:rPr>
                <w:sz w:val="28"/>
                <w:szCs w:val="28"/>
              </w:rPr>
              <w:t xml:space="preserve">Ministru kabineta </w:t>
            </w:r>
            <w:r w:rsidR="00862483" w:rsidRPr="00C7350F">
              <w:rPr>
                <w:sz w:val="28"/>
                <w:szCs w:val="28"/>
              </w:rPr>
              <w:t xml:space="preserve">2013.gada 26.februāra </w:t>
            </w:r>
            <w:r w:rsidRPr="00C7350F">
              <w:rPr>
                <w:sz w:val="28"/>
                <w:szCs w:val="28"/>
              </w:rPr>
              <w:t>sēdes protokola</w:t>
            </w:r>
            <w:r w:rsidR="00FF02BA" w:rsidRPr="00C7350F">
              <w:rPr>
                <w:sz w:val="28"/>
                <w:szCs w:val="28"/>
              </w:rPr>
              <w:t xml:space="preserve"> Nr.11 38.</w:t>
            </w:r>
            <w:r w:rsidR="006636BD" w:rsidRPr="00C7350F">
              <w:rPr>
                <w:sz w:val="28"/>
                <w:szCs w:val="28"/>
              </w:rPr>
              <w:t>§</w:t>
            </w:r>
            <w:r w:rsidR="00FF02BA" w:rsidRPr="00C7350F">
              <w:rPr>
                <w:sz w:val="28"/>
                <w:szCs w:val="28"/>
              </w:rPr>
              <w:t xml:space="preserve"> „Informatīv</w:t>
            </w:r>
            <w:r w:rsidRPr="00C7350F">
              <w:rPr>
                <w:sz w:val="28"/>
                <w:szCs w:val="28"/>
              </w:rPr>
              <w:t>a</w:t>
            </w:r>
            <w:r w:rsidR="00FF02BA" w:rsidRPr="00C7350F">
              <w:rPr>
                <w:sz w:val="28"/>
                <w:szCs w:val="28"/>
              </w:rPr>
              <w:t>i</w:t>
            </w:r>
            <w:r w:rsidRPr="00C7350F">
              <w:rPr>
                <w:sz w:val="28"/>
                <w:szCs w:val="28"/>
              </w:rPr>
              <w:t>s ziņojums „Par elektronisko cigarešu statusu, lai noteiktu līdzvērtīgus ierobežojošus nosacījumus šo produktu realizācijai, reklāmai, lietošanas un aplikšanai</w:t>
            </w:r>
            <w:r w:rsidR="00FF02BA" w:rsidRPr="00C7350F">
              <w:rPr>
                <w:sz w:val="28"/>
                <w:szCs w:val="28"/>
              </w:rPr>
              <w:t xml:space="preserve"> ar akcīzes nodokli”” (TA-133)</w:t>
            </w:r>
            <w:r w:rsidR="00CB203E" w:rsidRPr="00C7350F">
              <w:rPr>
                <w:sz w:val="28"/>
                <w:szCs w:val="28"/>
              </w:rPr>
              <w:t xml:space="preserve"> (turpmāk- </w:t>
            </w:r>
            <w:r w:rsidR="00D63818" w:rsidRPr="00C7350F">
              <w:rPr>
                <w:sz w:val="28"/>
                <w:szCs w:val="28"/>
              </w:rPr>
              <w:t xml:space="preserve">MK 26.02.2013. </w:t>
            </w:r>
            <w:r w:rsidR="00CB203E" w:rsidRPr="00C7350F">
              <w:rPr>
                <w:sz w:val="28"/>
                <w:szCs w:val="28"/>
              </w:rPr>
              <w:t>protokols)</w:t>
            </w:r>
            <w:r w:rsidR="00862483" w:rsidRPr="00C7350F">
              <w:rPr>
                <w:sz w:val="28"/>
                <w:szCs w:val="28"/>
              </w:rPr>
              <w:t xml:space="preserve"> 2.punkts</w:t>
            </w:r>
            <w:r w:rsidR="00D63818" w:rsidRPr="00C7350F">
              <w:rPr>
                <w:sz w:val="28"/>
                <w:szCs w:val="28"/>
              </w:rPr>
              <w:t xml:space="preserve"> ar grozījumiem atbilstoši  2014.gada 4.februāra Ministru kabineta sēdes protokollēmuma Nr.7 18.§ </w:t>
            </w:r>
            <w:r w:rsidR="00C7350F" w:rsidRPr="00C7350F">
              <w:rPr>
                <w:sz w:val="28"/>
                <w:szCs w:val="28"/>
              </w:rPr>
              <w:t>„ Par Ministru kabineta 2013.gada 26.februāra sēdes protokola (prot. Nr.11 38.§) "Informatīvais ziņojums "Par elektronisko cigarešu statusu, lai noteiktu līdzvērtīgus ierobežojošus nosacījumus šo produktu realizācijai, reklāmai, lietošanai un aplikšanai ar akcīzes nodokli"" 2., 3., 4. un 5.punktā doto uzdevumu izpildi</w:t>
            </w:r>
            <w:r w:rsidR="00C7350F">
              <w:rPr>
                <w:sz w:val="28"/>
                <w:szCs w:val="28"/>
              </w:rPr>
              <w:t>” (</w:t>
            </w:r>
            <w:r w:rsidR="00C7350F" w:rsidRPr="00C7350F">
              <w:rPr>
                <w:sz w:val="28"/>
                <w:szCs w:val="28"/>
              </w:rPr>
              <w:t>TA-156</w:t>
            </w:r>
            <w:r w:rsidR="00C7350F">
              <w:rPr>
                <w:sz w:val="28"/>
                <w:szCs w:val="28"/>
              </w:rPr>
              <w:t xml:space="preserve">) </w:t>
            </w:r>
            <w:r w:rsidR="00D63818" w:rsidRPr="00C7350F">
              <w:rPr>
                <w:sz w:val="28"/>
                <w:szCs w:val="28"/>
              </w:rPr>
              <w:t xml:space="preserve">(turpmāk- MK 04.02.2014. protokols).  </w:t>
            </w:r>
          </w:p>
        </w:tc>
      </w:tr>
      <w:tr w:rsidR="00896175" w:rsidRPr="001069FC" w:rsidTr="00046A6D">
        <w:trPr>
          <w:trHeight w:val="472"/>
        </w:trPr>
        <w:tc>
          <w:tcPr>
            <w:tcW w:w="550" w:type="dxa"/>
          </w:tcPr>
          <w:p w:rsidR="00262E2B" w:rsidRPr="001069FC" w:rsidRDefault="00262E2B" w:rsidP="006C4607">
            <w:pPr>
              <w:pStyle w:val="naiskr"/>
              <w:spacing w:before="0" w:after="0"/>
              <w:rPr>
                <w:sz w:val="28"/>
                <w:szCs w:val="28"/>
              </w:rPr>
            </w:pPr>
            <w:r w:rsidRPr="001069FC">
              <w:rPr>
                <w:sz w:val="28"/>
                <w:szCs w:val="28"/>
              </w:rPr>
              <w:t>2.</w:t>
            </w:r>
          </w:p>
        </w:tc>
        <w:tc>
          <w:tcPr>
            <w:tcW w:w="2716" w:type="dxa"/>
          </w:tcPr>
          <w:p w:rsidR="00262E2B" w:rsidRPr="001069FC" w:rsidRDefault="00262E2B" w:rsidP="006C4607">
            <w:pPr>
              <w:pStyle w:val="naiskr"/>
              <w:tabs>
                <w:tab w:val="left" w:pos="170"/>
              </w:tabs>
              <w:spacing w:before="0" w:after="0"/>
              <w:rPr>
                <w:sz w:val="28"/>
                <w:szCs w:val="28"/>
              </w:rPr>
            </w:pPr>
            <w:r w:rsidRPr="001069FC">
              <w:rPr>
                <w:sz w:val="28"/>
                <w:szCs w:val="28"/>
              </w:rPr>
              <w:t>Pašreizējā situācija</w:t>
            </w:r>
            <w:r w:rsidR="001F5CD6" w:rsidRPr="001069FC">
              <w:rPr>
                <w:sz w:val="28"/>
                <w:szCs w:val="28"/>
              </w:rPr>
              <w:t xml:space="preserve"> un problēmas</w:t>
            </w:r>
          </w:p>
        </w:tc>
        <w:tc>
          <w:tcPr>
            <w:tcW w:w="6459" w:type="dxa"/>
          </w:tcPr>
          <w:p w:rsidR="008835C7" w:rsidRPr="00C7350F" w:rsidRDefault="00E73462" w:rsidP="005D2B6E">
            <w:pPr>
              <w:pStyle w:val="naiskr"/>
              <w:spacing w:before="0" w:after="0"/>
              <w:ind w:hanging="5"/>
              <w:jc w:val="both"/>
              <w:rPr>
                <w:sz w:val="28"/>
                <w:szCs w:val="28"/>
              </w:rPr>
            </w:pPr>
            <w:r w:rsidRPr="00C7350F">
              <w:rPr>
                <w:iCs/>
                <w:sz w:val="28"/>
                <w:szCs w:val="28"/>
              </w:rPr>
              <w:t>Elektroniskās cigaretes</w:t>
            </w:r>
            <w:r w:rsidR="007F6A54" w:rsidRPr="00C7350F">
              <w:rPr>
                <w:iCs/>
                <w:sz w:val="28"/>
                <w:szCs w:val="28"/>
              </w:rPr>
              <w:t xml:space="preserve"> un tajās lietojamie šķidrumi</w:t>
            </w:r>
            <w:r w:rsidRPr="00C7350F">
              <w:rPr>
                <w:iCs/>
                <w:sz w:val="28"/>
                <w:szCs w:val="28"/>
              </w:rPr>
              <w:t xml:space="preserve"> ir produktu kategorija, </w:t>
            </w:r>
            <w:r w:rsidR="007F6A54" w:rsidRPr="00C7350F">
              <w:rPr>
                <w:iCs/>
                <w:sz w:val="28"/>
                <w:szCs w:val="28"/>
              </w:rPr>
              <w:t xml:space="preserve">kam šobrīd </w:t>
            </w:r>
            <w:r w:rsidR="006636BD" w:rsidRPr="00C7350F">
              <w:rPr>
                <w:iCs/>
                <w:sz w:val="28"/>
                <w:szCs w:val="28"/>
              </w:rPr>
              <w:t xml:space="preserve">Latvijā </w:t>
            </w:r>
            <w:r w:rsidR="007F6A54" w:rsidRPr="00C7350F">
              <w:rPr>
                <w:iCs/>
                <w:sz w:val="28"/>
                <w:szCs w:val="28"/>
              </w:rPr>
              <w:t xml:space="preserve">nav izstrādāts tiesiskais regulējums. </w:t>
            </w:r>
            <w:r w:rsidRPr="00C7350F">
              <w:rPr>
                <w:iCs/>
                <w:sz w:val="28"/>
                <w:szCs w:val="28"/>
              </w:rPr>
              <w:t xml:space="preserve"> Tās ir brīvi</w:t>
            </w:r>
            <w:r w:rsidR="007F6A54" w:rsidRPr="00C7350F">
              <w:rPr>
                <w:iCs/>
                <w:sz w:val="28"/>
                <w:szCs w:val="28"/>
              </w:rPr>
              <w:t xml:space="preserve"> pieejamas </w:t>
            </w:r>
            <w:r w:rsidR="006636BD" w:rsidRPr="00C7350F">
              <w:rPr>
                <w:iCs/>
                <w:sz w:val="28"/>
                <w:szCs w:val="28"/>
              </w:rPr>
              <w:t>jebkuram iedzīvotājam, t</w:t>
            </w:r>
            <w:r w:rsidR="002915A0" w:rsidRPr="00C7350F">
              <w:rPr>
                <w:iCs/>
                <w:sz w:val="28"/>
                <w:szCs w:val="28"/>
              </w:rPr>
              <w:t>ostarp</w:t>
            </w:r>
            <w:r w:rsidR="006636BD" w:rsidRPr="00C7350F">
              <w:rPr>
                <w:iCs/>
                <w:sz w:val="28"/>
                <w:szCs w:val="28"/>
              </w:rPr>
              <w:t xml:space="preserve"> arī </w:t>
            </w:r>
            <w:r w:rsidR="007F6A54" w:rsidRPr="00C7350F">
              <w:rPr>
                <w:iCs/>
                <w:sz w:val="28"/>
                <w:szCs w:val="28"/>
              </w:rPr>
              <w:t xml:space="preserve">nepilngadīgajiem, un to </w:t>
            </w:r>
            <w:r w:rsidR="007F6A54" w:rsidRPr="00C7350F">
              <w:rPr>
                <w:sz w:val="28"/>
                <w:szCs w:val="28"/>
              </w:rPr>
              <w:t xml:space="preserve">realizācijai, reklāmai un lietošanai </w:t>
            </w:r>
            <w:r w:rsidRPr="00C7350F">
              <w:rPr>
                <w:sz w:val="28"/>
                <w:szCs w:val="28"/>
              </w:rPr>
              <w:t>nav noteikti ierobežojoši nosacījumi</w:t>
            </w:r>
            <w:r w:rsidR="007F6A54" w:rsidRPr="00C7350F">
              <w:rPr>
                <w:sz w:val="28"/>
                <w:szCs w:val="28"/>
              </w:rPr>
              <w:t xml:space="preserve">. </w:t>
            </w:r>
          </w:p>
          <w:p w:rsidR="00B12C62" w:rsidRPr="00C7350F" w:rsidRDefault="008835C7" w:rsidP="005D2B6E">
            <w:pPr>
              <w:pStyle w:val="naiskr"/>
              <w:spacing w:before="0" w:after="0"/>
              <w:ind w:hanging="5"/>
              <w:jc w:val="both"/>
              <w:rPr>
                <w:sz w:val="28"/>
                <w:szCs w:val="28"/>
              </w:rPr>
            </w:pPr>
            <w:r w:rsidRPr="00C7350F">
              <w:rPr>
                <w:sz w:val="28"/>
                <w:szCs w:val="28"/>
              </w:rPr>
              <w:t xml:space="preserve">Lai sakārtotu šo jomu, </w:t>
            </w:r>
            <w:r w:rsidR="00EE2DD9" w:rsidRPr="00C7350F">
              <w:rPr>
                <w:sz w:val="28"/>
                <w:szCs w:val="28"/>
              </w:rPr>
              <w:t xml:space="preserve">saskaņā ar </w:t>
            </w:r>
            <w:r w:rsidR="00D63818" w:rsidRPr="00C7350F">
              <w:rPr>
                <w:sz w:val="28"/>
                <w:szCs w:val="28"/>
              </w:rPr>
              <w:t>MK 26.02.2013. protokola</w:t>
            </w:r>
            <w:r w:rsidR="00EE2DD9" w:rsidRPr="00C7350F">
              <w:rPr>
                <w:sz w:val="28"/>
                <w:szCs w:val="28"/>
              </w:rPr>
              <w:t xml:space="preserve"> 2.punktu </w:t>
            </w:r>
            <w:r w:rsidR="00B12C62" w:rsidRPr="00C7350F">
              <w:rPr>
                <w:sz w:val="28"/>
                <w:szCs w:val="28"/>
              </w:rPr>
              <w:t>Veselības ministrijai tika uzdots līdz 2013.gada 1.martam izveidot darba grupu, lai izstrādātu elektronisko nikotīna ievades sistēmu tiesisko regulējumu (turpmāk- darba grupa), iekļaujot</w:t>
            </w:r>
            <w:r w:rsidR="00EE2DD9" w:rsidRPr="00C7350F">
              <w:rPr>
                <w:sz w:val="28"/>
                <w:szCs w:val="28"/>
              </w:rPr>
              <w:t xml:space="preserve"> darba grupā </w:t>
            </w:r>
            <w:r w:rsidR="00B12C62" w:rsidRPr="00C7350F">
              <w:rPr>
                <w:sz w:val="28"/>
                <w:szCs w:val="28"/>
              </w:rPr>
              <w:t xml:space="preserve">parstāvjus no </w:t>
            </w:r>
            <w:r w:rsidR="00EE2DD9" w:rsidRPr="00C7350F">
              <w:rPr>
                <w:sz w:val="28"/>
                <w:szCs w:val="28"/>
              </w:rPr>
              <w:t xml:space="preserve">Labklājības ministrijas, Finanšu ministrijas, Ekonomikas ministrijas, Iekšlietu ministrijas un Latvijas Ārstu biedrības. </w:t>
            </w:r>
            <w:r w:rsidR="00D63818" w:rsidRPr="00C7350F">
              <w:rPr>
                <w:sz w:val="28"/>
                <w:szCs w:val="28"/>
              </w:rPr>
              <w:t>Saskaņā ar  MK 04.02.2014. protokolu</w:t>
            </w:r>
            <w:r w:rsidR="00EE2DD9" w:rsidRPr="00C7350F">
              <w:rPr>
                <w:sz w:val="28"/>
                <w:szCs w:val="28"/>
              </w:rPr>
              <w:t xml:space="preserve">, darba grupai sagatavotais tiesību aktu projekts līdz 2014.gada 1.janvārim jāiesniedz veselības ministram, kuram tiesību aktu projekts noteiktā kārtībā jāiesniedz izskatīšanai Ministru kabinetā. </w:t>
            </w:r>
          </w:p>
          <w:p w:rsidR="0069670D" w:rsidRPr="00C7350F" w:rsidRDefault="00EE2DD9" w:rsidP="005D2B6E">
            <w:pPr>
              <w:pStyle w:val="naiskr"/>
              <w:spacing w:before="0" w:after="0"/>
              <w:ind w:hanging="5"/>
              <w:jc w:val="both"/>
              <w:rPr>
                <w:sz w:val="28"/>
                <w:szCs w:val="28"/>
              </w:rPr>
            </w:pPr>
            <w:r w:rsidRPr="00C7350F">
              <w:rPr>
                <w:sz w:val="28"/>
                <w:szCs w:val="28"/>
              </w:rPr>
              <w:lastRenderedPageBreak/>
              <w:t xml:space="preserve">Atbilstoši </w:t>
            </w:r>
            <w:r w:rsidR="00D63818" w:rsidRPr="00C7350F">
              <w:rPr>
                <w:sz w:val="28"/>
                <w:szCs w:val="28"/>
              </w:rPr>
              <w:t xml:space="preserve"> MK 26.02.2013. protokola </w:t>
            </w:r>
            <w:r w:rsidRPr="00C7350F">
              <w:rPr>
                <w:sz w:val="28"/>
                <w:szCs w:val="28"/>
              </w:rPr>
              <w:t xml:space="preserve"> 2.punktā noteiktajam, darba grupas sastāvs tika apstiprināts ar Veselības ministrijas 2013.gada 3.maija rīkojumu Nr.95</w:t>
            </w:r>
            <w:r w:rsidRPr="00C7350F">
              <w:rPr>
                <w:rStyle w:val="FootnoteReference"/>
                <w:sz w:val="28"/>
                <w:szCs w:val="28"/>
              </w:rPr>
              <w:footnoteReference w:id="1"/>
            </w:r>
            <w:r w:rsidRPr="00C7350F">
              <w:rPr>
                <w:sz w:val="28"/>
                <w:szCs w:val="28"/>
              </w:rPr>
              <w:t xml:space="preserve"> un tajā tika</w:t>
            </w:r>
            <w:r w:rsidR="008835C7" w:rsidRPr="00C7350F">
              <w:rPr>
                <w:sz w:val="28"/>
                <w:szCs w:val="28"/>
              </w:rPr>
              <w:t xml:space="preserve"> iekļauti pārstāvji no Veselības ministrijas, Ekonomikas ministrijas, Finanšu ministrijas, Valsts ieņēmumu dienesta, Labklājības ministrijas, Iekšlietu ministrijas, Valsts policijas, Zāļu valsts aģentūras, Slimību profilakses un kontroles centra un Latvijas Ārstu </w:t>
            </w:r>
            <w:r w:rsidRPr="00C7350F">
              <w:rPr>
                <w:sz w:val="28"/>
                <w:szCs w:val="28"/>
              </w:rPr>
              <w:t>biedrības</w:t>
            </w:r>
            <w:r w:rsidR="008835C7" w:rsidRPr="00C7350F">
              <w:rPr>
                <w:sz w:val="28"/>
                <w:szCs w:val="28"/>
              </w:rPr>
              <w:t xml:space="preserve">.  </w:t>
            </w:r>
            <w:r w:rsidR="00EE5607" w:rsidRPr="00C7350F">
              <w:rPr>
                <w:sz w:val="28"/>
                <w:szCs w:val="28"/>
              </w:rPr>
              <w:t xml:space="preserve">Klātienē </w:t>
            </w:r>
            <w:r w:rsidR="006636BD" w:rsidRPr="00C7350F">
              <w:rPr>
                <w:sz w:val="28"/>
                <w:szCs w:val="28"/>
              </w:rPr>
              <w:t>2013.gadā</w:t>
            </w:r>
            <w:r w:rsidR="008835C7" w:rsidRPr="00C7350F">
              <w:rPr>
                <w:sz w:val="28"/>
                <w:szCs w:val="28"/>
              </w:rPr>
              <w:t xml:space="preserve"> notikušas divas darba grupas sanāksmes- 23.maijā un 27.jūnijā</w:t>
            </w:r>
            <w:r w:rsidR="008835C7" w:rsidRPr="00C7350F">
              <w:rPr>
                <w:rStyle w:val="FootnoteReference"/>
                <w:sz w:val="28"/>
                <w:szCs w:val="28"/>
              </w:rPr>
              <w:footnoteReference w:id="2"/>
            </w:r>
            <w:r w:rsidR="00EE5607" w:rsidRPr="00C7350F">
              <w:rPr>
                <w:sz w:val="28"/>
                <w:szCs w:val="28"/>
              </w:rPr>
              <w:t xml:space="preserve"> un likumprojekts vairākkārt apspriests un saskaņots arī elektroniski. Tāpat d</w:t>
            </w:r>
            <w:r w:rsidR="00822CB3" w:rsidRPr="00C7350F">
              <w:rPr>
                <w:sz w:val="28"/>
                <w:szCs w:val="28"/>
              </w:rPr>
              <w:t>arba grupas locekļi</w:t>
            </w:r>
            <w:r w:rsidR="00EE5607" w:rsidRPr="00C7350F">
              <w:rPr>
                <w:sz w:val="28"/>
                <w:szCs w:val="28"/>
              </w:rPr>
              <w:t xml:space="preserve"> elektroniski</w:t>
            </w:r>
            <w:r w:rsidR="00822CB3" w:rsidRPr="00C7350F">
              <w:rPr>
                <w:sz w:val="28"/>
                <w:szCs w:val="28"/>
              </w:rPr>
              <w:t xml:space="preserve"> informēti par publiskās apspriešanas uzsākšanu un publiskās apspriešanas rezultātiem.  </w:t>
            </w:r>
          </w:p>
          <w:p w:rsidR="004F163A" w:rsidRPr="00C7350F" w:rsidRDefault="006636BD" w:rsidP="005D2B6E">
            <w:pPr>
              <w:pStyle w:val="naiskr"/>
              <w:spacing w:before="0" w:after="0"/>
              <w:ind w:hanging="5"/>
              <w:jc w:val="both"/>
              <w:rPr>
                <w:sz w:val="28"/>
                <w:szCs w:val="28"/>
              </w:rPr>
            </w:pPr>
            <w:r w:rsidRPr="00C7350F">
              <w:rPr>
                <w:sz w:val="28"/>
                <w:szCs w:val="28"/>
              </w:rPr>
              <w:t xml:space="preserve">Darba grupa sākotnēji </w:t>
            </w:r>
            <w:r w:rsidR="00422139" w:rsidRPr="00C7350F">
              <w:rPr>
                <w:sz w:val="28"/>
                <w:szCs w:val="28"/>
              </w:rPr>
              <w:t>rosināja izskatīt</w:t>
            </w:r>
            <w:r w:rsidRPr="00C7350F">
              <w:rPr>
                <w:sz w:val="28"/>
                <w:szCs w:val="28"/>
              </w:rPr>
              <w:t xml:space="preserve"> divus </w:t>
            </w:r>
            <w:r w:rsidR="0069670D" w:rsidRPr="00C7350F">
              <w:rPr>
                <w:sz w:val="28"/>
                <w:szCs w:val="28"/>
              </w:rPr>
              <w:t xml:space="preserve">likumprojekta variantus. Vienā no variantiem tika piedāvāts likumā „Par tabakas izstrādājumu realizācijas, reklāmas un lietošanas ierobežošanu”  (turpmāk- likums) noteikt, ka elektronisko smēķēšanas ierīču realizācijas, reklāmas un lietošanas ierobežošanas kārtību nosaka Ministru kabinets. Otrajā variantā tika piedāvāts likumā paredzēt elektronisko smēķēšanas ierīču realizācijas Latvijā aizliegumu. Jāatzīmē, ka šāds precedents likumā jau ir iepriekš bijis, kad tika iekļauta norma, ka Latvijā ir orālai lietošanai paredzētos tabakas izstrādājumus realizēt ir aizliegts. </w:t>
            </w:r>
          </w:p>
          <w:p w:rsidR="008835C7" w:rsidRPr="00C7350F" w:rsidRDefault="00604DDD" w:rsidP="005D2B6E">
            <w:pPr>
              <w:pStyle w:val="naiskr"/>
              <w:spacing w:before="0" w:after="0"/>
              <w:ind w:hanging="5"/>
              <w:jc w:val="both"/>
              <w:rPr>
                <w:sz w:val="28"/>
                <w:szCs w:val="28"/>
              </w:rPr>
            </w:pPr>
            <w:r w:rsidRPr="00C7350F">
              <w:rPr>
                <w:sz w:val="28"/>
                <w:szCs w:val="28"/>
              </w:rPr>
              <w:t xml:space="preserve">Ekonomikas ministrija lūdza paplašinātu pamatojumu elektronisko cigarešu realizācijas aizliegumam. Pamatojoties uz šo prasību Veselības ministrija sadarbībā ar Slimību profilakses un kontroles centru sagatavoja ziņojumu </w:t>
            </w:r>
            <w:r w:rsidR="000C0173" w:rsidRPr="00C7350F">
              <w:rPr>
                <w:sz w:val="28"/>
                <w:szCs w:val="28"/>
              </w:rPr>
              <w:t>par elektronisko cigarešu (elektronisko smēķēšanas ierīču) izplat</w:t>
            </w:r>
            <w:r w:rsidR="004F163A" w:rsidRPr="00C7350F">
              <w:rPr>
                <w:sz w:val="28"/>
                <w:szCs w:val="28"/>
              </w:rPr>
              <w:t xml:space="preserve">ību, </w:t>
            </w:r>
            <w:r w:rsidR="000C0173" w:rsidRPr="00C7350F">
              <w:rPr>
                <w:sz w:val="28"/>
                <w:szCs w:val="28"/>
              </w:rPr>
              <w:t xml:space="preserve">potenciālo ietekmi uz veselību un drošību, </w:t>
            </w:r>
            <w:r w:rsidRPr="00C7350F">
              <w:rPr>
                <w:sz w:val="28"/>
                <w:szCs w:val="28"/>
              </w:rPr>
              <w:t>iekļaujot tajā jaunākos pieejamos pētījumus</w:t>
            </w:r>
            <w:r w:rsidR="004F163A" w:rsidRPr="00C7350F">
              <w:rPr>
                <w:rStyle w:val="FootnoteReference"/>
                <w:sz w:val="28"/>
                <w:szCs w:val="28"/>
              </w:rPr>
              <w:footnoteReference w:id="3"/>
            </w:r>
            <w:r w:rsidRPr="00C7350F">
              <w:rPr>
                <w:sz w:val="28"/>
                <w:szCs w:val="28"/>
              </w:rPr>
              <w:t xml:space="preserve">.  Pēc informācijas izvērtēšanas </w:t>
            </w:r>
            <w:r w:rsidR="000C0173" w:rsidRPr="00C7350F">
              <w:rPr>
                <w:sz w:val="28"/>
                <w:szCs w:val="28"/>
              </w:rPr>
              <w:t xml:space="preserve">vairākums darba grupas locekļu atbalstīja likumprojekta variantu, kurā paredzēts </w:t>
            </w:r>
            <w:r w:rsidRPr="00C7350F">
              <w:rPr>
                <w:sz w:val="28"/>
                <w:szCs w:val="28"/>
              </w:rPr>
              <w:t xml:space="preserve">elektronisko cigarešu </w:t>
            </w:r>
            <w:r w:rsidR="000C0173" w:rsidRPr="00C7350F">
              <w:rPr>
                <w:sz w:val="28"/>
                <w:szCs w:val="28"/>
              </w:rPr>
              <w:lastRenderedPageBreak/>
              <w:t xml:space="preserve">realizācijas aizliegums Latvijā. </w:t>
            </w:r>
            <w:r w:rsidR="00FA142C" w:rsidRPr="00C7350F">
              <w:rPr>
                <w:sz w:val="28"/>
                <w:szCs w:val="28"/>
              </w:rPr>
              <w:t xml:space="preserve">Darba grupā pret šādu tiesisko regulējumu iebilda </w:t>
            </w:r>
            <w:r w:rsidRPr="00C7350F">
              <w:rPr>
                <w:sz w:val="28"/>
                <w:szCs w:val="28"/>
              </w:rPr>
              <w:t xml:space="preserve">Iekšlietu ministrija, kura pauda viedokli, ka apzinātie riski un kaitējums pamatā būtu novēršams izstrādājot atsevišķus Ministru kabineta noteikumus atbilstoši noteiktajam deleģējumam likumā. </w:t>
            </w:r>
          </w:p>
          <w:p w:rsidR="00B2437D" w:rsidRPr="00C7350F" w:rsidRDefault="00B2437D" w:rsidP="005D2B6E">
            <w:pPr>
              <w:pStyle w:val="naiskr"/>
              <w:spacing w:before="0" w:after="0"/>
              <w:ind w:hanging="5"/>
              <w:jc w:val="both"/>
              <w:rPr>
                <w:sz w:val="28"/>
                <w:szCs w:val="28"/>
              </w:rPr>
            </w:pPr>
          </w:p>
          <w:p w:rsidR="00E042D8" w:rsidRPr="00C7350F" w:rsidRDefault="00E042D8" w:rsidP="005D2B6E">
            <w:pPr>
              <w:pStyle w:val="naiskr"/>
              <w:spacing w:before="0" w:after="0"/>
              <w:ind w:hanging="5"/>
              <w:jc w:val="both"/>
              <w:rPr>
                <w:b/>
                <w:sz w:val="28"/>
                <w:szCs w:val="28"/>
              </w:rPr>
            </w:pPr>
            <w:r w:rsidRPr="00C7350F">
              <w:rPr>
                <w:b/>
                <w:sz w:val="28"/>
                <w:szCs w:val="28"/>
              </w:rPr>
              <w:t xml:space="preserve">Produkta apraksts. </w:t>
            </w:r>
          </w:p>
          <w:p w:rsidR="00E042D8" w:rsidRPr="00C7350F" w:rsidRDefault="00E042D8" w:rsidP="005D2B6E">
            <w:pPr>
              <w:jc w:val="both"/>
              <w:rPr>
                <w:sz w:val="28"/>
                <w:szCs w:val="28"/>
              </w:rPr>
            </w:pPr>
            <w:r w:rsidRPr="00C7350F">
              <w:rPr>
                <w:sz w:val="28"/>
                <w:szCs w:val="28"/>
              </w:rPr>
              <w:t>Elektroniskās nikotīna ievades sistēmas tiek ražotas, izmantojot dažādus nosaukumus, no kuriem visbiežāk tiek lietoti nosaukumi „elektroniskās cigaretes” vai „e-cigaretes”, „e-cig”, „el-cigaretes” vai „el-cig”. Ir ražotāji un izplatītāji, kas elektroniskās cigaretes dēvē par nikotīna inhalatoriem (</w:t>
            </w:r>
            <w:r w:rsidRPr="00C7350F">
              <w:rPr>
                <w:i/>
                <w:sz w:val="28"/>
                <w:szCs w:val="28"/>
              </w:rPr>
              <w:t>nicotine inhalator</w:t>
            </w:r>
            <w:r w:rsidRPr="00C7350F">
              <w:rPr>
                <w:sz w:val="28"/>
                <w:szCs w:val="28"/>
              </w:rPr>
              <w:t>), personiskajiem nikotīna iztvaicētājiem (</w:t>
            </w:r>
            <w:r w:rsidRPr="00C7350F">
              <w:rPr>
                <w:i/>
                <w:sz w:val="28"/>
                <w:szCs w:val="28"/>
              </w:rPr>
              <w:t>personal nicotine vaporizer</w:t>
            </w:r>
            <w:r w:rsidRPr="00C7350F">
              <w:rPr>
                <w:sz w:val="28"/>
                <w:szCs w:val="28"/>
              </w:rPr>
              <w:t>), savukārt elektronisko cigarešu smēķēšanu dēvē par elgarēšanu.</w:t>
            </w:r>
          </w:p>
          <w:p w:rsidR="00E042D8" w:rsidRPr="00C7350F" w:rsidRDefault="00E042D8" w:rsidP="005D2B6E">
            <w:pPr>
              <w:jc w:val="both"/>
              <w:rPr>
                <w:sz w:val="28"/>
                <w:szCs w:val="28"/>
              </w:rPr>
            </w:pPr>
            <w:r w:rsidRPr="00C7350F">
              <w:rPr>
                <w:sz w:val="28"/>
                <w:szCs w:val="28"/>
              </w:rPr>
              <w:t xml:space="preserve">Vairumā gadījumu elektroniskās cigaretes tiek ražotas izskatā, kas atgādina tradicionālās cigaretes, cigārus vai pīpes. Dažas elektroniskās cigaretes atgādina pildspalvas vai zibatmiņas karti. Internetā ir pieejama informācija, ka ir iespējams iegādāties un lietot arī elektroniskās ūdenspīpes. </w:t>
            </w:r>
          </w:p>
          <w:p w:rsidR="00E042D8" w:rsidRPr="00C7350F" w:rsidRDefault="00E042D8" w:rsidP="005D2B6E">
            <w:pPr>
              <w:jc w:val="both"/>
              <w:rPr>
                <w:sz w:val="28"/>
                <w:szCs w:val="28"/>
              </w:rPr>
            </w:pPr>
            <w:r w:rsidRPr="00C7350F">
              <w:rPr>
                <w:sz w:val="28"/>
                <w:szCs w:val="28"/>
              </w:rPr>
              <w:t xml:space="preserve">Tirdzniecībā atrodas gan nelādējamās, vienreizējās lietošanas elektroniskās cigaretes, gan daudzkārt lietojamas, atkārtoti uzlādējamas elektroniskās cigaretes ar maināmiem kārtridžiem, kuri var saturēt nikotīnu dažādās koncentrācijās, piemēram, 6 mg, 11mg, 16 mg vai var nesaturēt nikotīnu, piemēram 0 mg. Viens kārtridžs var atbilst aptuveni divām paciņām tradicionālo tabakas cigarešu. Maināmo kārtridžu iepakojumus ir iespējams iegādāties atsevišķi. Ir iespējams iegādāties elektronisko cigarešu komplektus ar dažādu veidu rezerves kārtridžiem, piemēram kārtridži, kas nesatur nikotīnu, kārtridži ar zemu nikotīna koncentrāciju, kā arī kārtridži ar augstu nikotīna koncentrāciju. Vienlaikus tirdzniecībā atrodas elektroniskās cigaretes, kurām nav nepieciešams mainīt kārtridžus, bet elektronisko cigarešu lietotājs pats var uzpildīt kārtridžu, atsevišķi iegādājoties un lietojot dažādu garšu un stipruma nikotīna šķidrumus kārtidžu </w:t>
            </w:r>
            <w:r w:rsidRPr="00C7350F">
              <w:rPr>
                <w:sz w:val="28"/>
                <w:szCs w:val="28"/>
              </w:rPr>
              <w:lastRenderedPageBreak/>
              <w:t>uzpildei, sauktus arī par e-šķidrumiem.</w:t>
            </w:r>
          </w:p>
          <w:p w:rsidR="00E042D8" w:rsidRPr="00C7350F" w:rsidRDefault="00E042D8" w:rsidP="005D2B6E">
            <w:pPr>
              <w:jc w:val="both"/>
              <w:rPr>
                <w:sz w:val="28"/>
                <w:szCs w:val="28"/>
              </w:rPr>
            </w:pPr>
            <w:r w:rsidRPr="00C7350F">
              <w:rPr>
                <w:sz w:val="28"/>
                <w:szCs w:val="28"/>
              </w:rPr>
              <w:t>Šķidrums, kuru satur elektroniskās cigaretes kārtridžs, satur propilēnglikolu. Propilēnglikols nodrošina tvaiku rašanos elektroniskās cigaretes ieelpošanas jeb inhalēšanas gaitā. Daži ražotāji ražo nikotīna šķidrumu, kas propilēnglikola vietā satur dārzeņu glicerīnu, lai mazinātu alerģiskas reakcijas, kas rodas dažiem lietotājiem inhalējot elektronisko cigarešu tvaikus.</w:t>
            </w:r>
            <w:r w:rsidRPr="00C7350F">
              <w:rPr>
                <w:rStyle w:val="FootnoteReference"/>
                <w:sz w:val="28"/>
                <w:szCs w:val="28"/>
              </w:rPr>
              <w:footnoteReference w:id="4"/>
            </w:r>
            <w:r w:rsidRPr="00C7350F">
              <w:rPr>
                <w:sz w:val="28"/>
                <w:szCs w:val="28"/>
              </w:rPr>
              <w:t xml:space="preserve"> Lielākā daļa nikotīna šķidrumu satur dažādās koncentrācijās nikotīnu un aromatizētājus, piemēram, tradicionālās tabakas aromātu, mentola, kafijas, šokolādes aromātus, dažādu augļu aromātus.</w:t>
            </w:r>
            <w:r w:rsidRPr="00C7350F">
              <w:rPr>
                <w:rStyle w:val="FootnoteReference"/>
                <w:sz w:val="28"/>
                <w:szCs w:val="28"/>
              </w:rPr>
              <w:footnoteReference w:id="5"/>
            </w:r>
          </w:p>
          <w:p w:rsidR="00E042D8" w:rsidRPr="00C7350F" w:rsidRDefault="00E042D8" w:rsidP="005D2B6E">
            <w:pPr>
              <w:pStyle w:val="naiskr"/>
              <w:spacing w:before="0" w:after="0"/>
              <w:ind w:hanging="5"/>
              <w:jc w:val="both"/>
              <w:rPr>
                <w:sz w:val="28"/>
                <w:szCs w:val="28"/>
              </w:rPr>
            </w:pPr>
          </w:p>
          <w:p w:rsidR="006239E5" w:rsidRPr="00C7350F" w:rsidRDefault="006239E5" w:rsidP="005D2B6E">
            <w:pPr>
              <w:pStyle w:val="naiskr"/>
              <w:spacing w:before="0" w:after="0"/>
              <w:ind w:hanging="5"/>
              <w:jc w:val="both"/>
              <w:rPr>
                <w:b/>
                <w:sz w:val="28"/>
                <w:szCs w:val="28"/>
              </w:rPr>
            </w:pPr>
            <w:r w:rsidRPr="00C7350F">
              <w:rPr>
                <w:b/>
                <w:sz w:val="28"/>
                <w:szCs w:val="28"/>
              </w:rPr>
              <w:t>Elektronisko cigarešu lietošanas izplatība.</w:t>
            </w:r>
          </w:p>
          <w:p w:rsidR="006239E5" w:rsidRPr="00C7350F" w:rsidRDefault="006239E5" w:rsidP="005D2B6E">
            <w:pPr>
              <w:pStyle w:val="Default"/>
              <w:jc w:val="both"/>
              <w:rPr>
                <w:sz w:val="28"/>
                <w:szCs w:val="28"/>
                <w:lang w:val="lv-LV"/>
              </w:rPr>
            </w:pPr>
            <w:r w:rsidRPr="00C7350F">
              <w:rPr>
                <w:sz w:val="28"/>
                <w:szCs w:val="28"/>
                <w:lang w:val="lv-LV"/>
              </w:rPr>
              <w:t>Elektronisko cigarešu lietošana strauji izplatās</w:t>
            </w:r>
            <w:r w:rsidR="004F163A" w:rsidRPr="00C7350F">
              <w:rPr>
                <w:sz w:val="28"/>
                <w:szCs w:val="28"/>
                <w:lang w:val="lv-LV"/>
              </w:rPr>
              <w:t xml:space="preserve"> </w:t>
            </w:r>
            <w:r w:rsidRPr="00C7350F">
              <w:rPr>
                <w:sz w:val="28"/>
                <w:szCs w:val="28"/>
                <w:lang w:val="lv-LV"/>
              </w:rPr>
              <w:t xml:space="preserve"> galvenokārt bērnu un jauniešu vidū. Saskaņā ar Pasaules Veselības organizācijas</w:t>
            </w:r>
            <w:r w:rsidR="00422139" w:rsidRPr="00C7350F">
              <w:rPr>
                <w:sz w:val="28"/>
                <w:szCs w:val="28"/>
                <w:lang w:val="lv-LV"/>
              </w:rPr>
              <w:t xml:space="preserve"> (turpmāk- PVO) </w:t>
            </w:r>
            <w:r w:rsidRPr="00C7350F">
              <w:rPr>
                <w:sz w:val="28"/>
                <w:szCs w:val="28"/>
                <w:lang w:val="lv-LV"/>
              </w:rPr>
              <w:t>Starptautiskā jauniešu smēķēšanas pētījuma Latvijā 2011.gada aptaujas datiem</w:t>
            </w:r>
            <w:r w:rsidRPr="00C7350F">
              <w:rPr>
                <w:rStyle w:val="FootnoteReference"/>
                <w:sz w:val="28"/>
                <w:szCs w:val="28"/>
                <w:lang w:val="lv-LV"/>
              </w:rPr>
              <w:footnoteReference w:id="6"/>
            </w:r>
            <w:r w:rsidRPr="00C7350F">
              <w:rPr>
                <w:sz w:val="28"/>
                <w:szCs w:val="28"/>
                <w:lang w:val="lv-LV"/>
              </w:rPr>
              <w:t>, kopumā 20,2% (22,0% zēnu un 18,0% meiteņu) 13 – 15 gadīgo skolēnu bija mēģinājuši smēķēt elektronisko cigareti</w:t>
            </w:r>
            <w:r w:rsidRPr="00C7350F">
              <w:rPr>
                <w:bCs/>
                <w:i/>
                <w:iCs/>
                <w:sz w:val="28"/>
                <w:szCs w:val="28"/>
                <w:lang w:val="lv-LV"/>
              </w:rPr>
              <w:t xml:space="preserve">. </w:t>
            </w:r>
            <w:r w:rsidRPr="00C7350F">
              <w:rPr>
                <w:sz w:val="28"/>
                <w:szCs w:val="28"/>
                <w:lang w:val="lv-LV"/>
              </w:rPr>
              <w:t xml:space="preserve">Pēdējā mēneša laikā, vienu vai vairākas dienas elektronisko cigareti bija smēķējuši 9,1% (10,3% zēnu un 7,7% meiteņu) skolēnu. </w:t>
            </w:r>
          </w:p>
          <w:p w:rsidR="006239E5" w:rsidRPr="00C7350F" w:rsidRDefault="006239E5" w:rsidP="005D2B6E">
            <w:pPr>
              <w:pStyle w:val="naiskr"/>
              <w:spacing w:before="0" w:after="0"/>
              <w:ind w:hanging="5"/>
              <w:jc w:val="both"/>
              <w:rPr>
                <w:sz w:val="28"/>
                <w:szCs w:val="28"/>
              </w:rPr>
            </w:pPr>
            <w:r w:rsidRPr="00C7350F">
              <w:rPr>
                <w:sz w:val="28"/>
                <w:szCs w:val="28"/>
              </w:rPr>
              <w:t>Straujš elektronisko cigarešu lietošanas pieaugums vērojams arī pieaugušo populācijā. Saskaņā ar Latvijas iedzīvotāju veselību ietekmējošo paradumu aptauju datiem</w:t>
            </w:r>
            <w:r w:rsidRPr="00C7350F">
              <w:rPr>
                <w:rStyle w:val="FootnoteReference"/>
                <w:sz w:val="28"/>
                <w:szCs w:val="28"/>
              </w:rPr>
              <w:footnoteReference w:id="7"/>
            </w:r>
            <w:r w:rsidRPr="00C7350F">
              <w:rPr>
                <w:sz w:val="28"/>
                <w:szCs w:val="28"/>
              </w:rPr>
              <w:t>, 15 – 64 gadu veco iedzīvotāju populācijā 2010.gadā elektroniskās cigaretes smēķēja 2% respondentu, bet 2012.gadā – jau 10,2%. Īpaši strauji elektronisko cigarešu lietošana pieaugusi jaunākajā vecuma grupā (15 – 24 gadi), kur vīriešu</w:t>
            </w:r>
            <w:r w:rsidR="00001588" w:rsidRPr="00C7350F">
              <w:rPr>
                <w:sz w:val="28"/>
                <w:szCs w:val="28"/>
              </w:rPr>
              <w:t xml:space="preserve"> populācijā lietotāju īpatsvars pieaudzis no 4</w:t>
            </w:r>
            <w:r w:rsidRPr="00C7350F">
              <w:rPr>
                <w:sz w:val="28"/>
                <w:szCs w:val="28"/>
              </w:rPr>
              <w:t xml:space="preserve">,4% 2010.gadā līdz 32,4% 2012.gadā, bet sievietēm- no 1,7% </w:t>
            </w:r>
            <w:r w:rsidR="00001588" w:rsidRPr="00C7350F">
              <w:rPr>
                <w:sz w:val="28"/>
                <w:szCs w:val="28"/>
              </w:rPr>
              <w:t xml:space="preserve">2010.gadā </w:t>
            </w:r>
            <w:r w:rsidRPr="00C7350F">
              <w:rPr>
                <w:sz w:val="28"/>
                <w:szCs w:val="28"/>
              </w:rPr>
              <w:t>līdz 11,4%</w:t>
            </w:r>
            <w:r w:rsidR="00001588" w:rsidRPr="00C7350F">
              <w:rPr>
                <w:sz w:val="28"/>
                <w:szCs w:val="28"/>
              </w:rPr>
              <w:t xml:space="preserve"> 2012.gadā</w:t>
            </w:r>
            <w:r w:rsidRPr="00C7350F">
              <w:rPr>
                <w:sz w:val="28"/>
                <w:szCs w:val="28"/>
              </w:rPr>
              <w:t xml:space="preserve">. </w:t>
            </w:r>
          </w:p>
          <w:p w:rsidR="00B2437D" w:rsidRPr="00C7350F" w:rsidRDefault="00B2437D" w:rsidP="005D2B6E">
            <w:pPr>
              <w:pStyle w:val="naiskr"/>
              <w:spacing w:before="0" w:after="0"/>
              <w:ind w:hanging="5"/>
              <w:jc w:val="both"/>
              <w:rPr>
                <w:b/>
                <w:bCs/>
                <w:sz w:val="28"/>
                <w:szCs w:val="28"/>
              </w:rPr>
            </w:pPr>
          </w:p>
          <w:p w:rsidR="006239E5" w:rsidRPr="00C7350F" w:rsidRDefault="00B2437D" w:rsidP="005D2B6E">
            <w:pPr>
              <w:pStyle w:val="naiskr"/>
              <w:spacing w:before="0" w:after="0"/>
              <w:ind w:hanging="5"/>
              <w:jc w:val="both"/>
              <w:rPr>
                <w:b/>
                <w:bCs/>
                <w:sz w:val="28"/>
                <w:szCs w:val="28"/>
              </w:rPr>
            </w:pPr>
            <w:r w:rsidRPr="00C7350F">
              <w:rPr>
                <w:b/>
                <w:bCs/>
                <w:sz w:val="28"/>
                <w:szCs w:val="28"/>
              </w:rPr>
              <w:t>I</w:t>
            </w:r>
            <w:r w:rsidR="006239E5" w:rsidRPr="00C7350F">
              <w:rPr>
                <w:b/>
                <w:bCs/>
                <w:sz w:val="28"/>
                <w:szCs w:val="28"/>
              </w:rPr>
              <w:t xml:space="preserve">etekme uz veselību. </w:t>
            </w:r>
          </w:p>
          <w:p w:rsidR="00303922" w:rsidRPr="00C7350F" w:rsidRDefault="00303922" w:rsidP="005D2B6E">
            <w:pPr>
              <w:pStyle w:val="naiskr"/>
              <w:spacing w:before="0" w:after="0"/>
              <w:ind w:hanging="5"/>
              <w:jc w:val="both"/>
              <w:rPr>
                <w:sz w:val="28"/>
                <w:szCs w:val="28"/>
              </w:rPr>
            </w:pPr>
            <w:r w:rsidRPr="00C7350F">
              <w:rPr>
                <w:bCs/>
                <w:sz w:val="28"/>
                <w:szCs w:val="28"/>
              </w:rPr>
              <w:t>Pamatā šobrīd pieejamajos pētījumos</w:t>
            </w:r>
            <w:r w:rsidR="006239E5" w:rsidRPr="00C7350F">
              <w:rPr>
                <w:bCs/>
                <w:sz w:val="28"/>
                <w:szCs w:val="28"/>
              </w:rPr>
              <w:t xml:space="preserve"> par </w:t>
            </w:r>
            <w:r w:rsidR="006239E5" w:rsidRPr="00C7350F">
              <w:rPr>
                <w:bCs/>
                <w:sz w:val="28"/>
                <w:szCs w:val="28"/>
              </w:rPr>
              <w:lastRenderedPageBreak/>
              <w:t xml:space="preserve">elektronisko cigarešu </w:t>
            </w:r>
            <w:r w:rsidRPr="00C7350F">
              <w:rPr>
                <w:bCs/>
                <w:sz w:val="28"/>
                <w:szCs w:val="28"/>
              </w:rPr>
              <w:t xml:space="preserve"> </w:t>
            </w:r>
            <w:r w:rsidR="004F163A" w:rsidRPr="00C7350F">
              <w:rPr>
                <w:bCs/>
                <w:sz w:val="28"/>
                <w:szCs w:val="28"/>
              </w:rPr>
              <w:t xml:space="preserve">ietekmi uz veselību </w:t>
            </w:r>
            <w:r w:rsidRPr="00C7350F">
              <w:rPr>
                <w:bCs/>
                <w:sz w:val="28"/>
                <w:szCs w:val="28"/>
              </w:rPr>
              <w:t>ir vērtēta elektronisko cigarešu lietošanas īstermiņa ietekme, jo produkts tirgū ir salīdzinoši neilgi. Kopš 2008.gada ASV Pārtikas un zāļu administrācija (</w:t>
            </w:r>
            <w:r w:rsidRPr="00C7350F">
              <w:rPr>
                <w:bCs/>
                <w:i/>
                <w:sz w:val="28"/>
                <w:szCs w:val="28"/>
              </w:rPr>
              <w:t>U.S. Food and Drug Administration</w:t>
            </w:r>
            <w:r w:rsidRPr="00C7350F">
              <w:rPr>
                <w:bCs/>
                <w:sz w:val="28"/>
                <w:szCs w:val="28"/>
              </w:rPr>
              <w:t>) (turpmāk- FDA) ir saņēmusi 47 ziņojumus par elektronisko cigarešu lietošanas blaknēm</w:t>
            </w:r>
            <w:r w:rsidRPr="00C7350F">
              <w:rPr>
                <w:rStyle w:val="FootnoteReference"/>
                <w:bCs/>
                <w:sz w:val="28"/>
                <w:szCs w:val="28"/>
              </w:rPr>
              <w:footnoteReference w:id="8"/>
            </w:r>
            <w:r w:rsidRPr="00C7350F">
              <w:rPr>
                <w:bCs/>
                <w:sz w:val="28"/>
                <w:szCs w:val="28"/>
              </w:rPr>
              <w:t>. Pie konstatētajām iedarbības sekām pēc 10 minūšu ilgas smēķēšanas ir pieskaitāms klepus (ziņoja 65% aptaujāto), kakla sāpes (ziņoja 68% aptaujāto), acu kairinājums (ziņoja 24% aptaujāto),  reibonis (ziņoja 78% aptaujāto). Saņemtas arī sūdzības par sausu muti un galvassāpēm</w:t>
            </w:r>
            <w:r w:rsidRPr="00C7350F">
              <w:rPr>
                <w:rStyle w:val="FootnoteReference"/>
                <w:bCs/>
                <w:sz w:val="28"/>
                <w:szCs w:val="28"/>
              </w:rPr>
              <w:footnoteReference w:id="9"/>
            </w:r>
            <w:r w:rsidRPr="00C7350F">
              <w:rPr>
                <w:bCs/>
                <w:sz w:val="28"/>
                <w:szCs w:val="28"/>
                <w:vertAlign w:val="superscript"/>
              </w:rPr>
              <w:t>;</w:t>
            </w:r>
            <w:r w:rsidRPr="00C7350F">
              <w:rPr>
                <w:rStyle w:val="FootnoteReference"/>
                <w:bCs/>
                <w:sz w:val="28"/>
                <w:szCs w:val="28"/>
              </w:rPr>
              <w:footnoteReference w:id="10"/>
            </w:r>
            <w:r w:rsidRPr="00C7350F">
              <w:rPr>
                <w:bCs/>
                <w:sz w:val="28"/>
                <w:szCs w:val="28"/>
              </w:rPr>
              <w:t>. Turklāt pretēji ražotāju un izplatītāju paustajam, ir apliecinājums tam, ka elektroniskās cigaretes lietošanas rezultātā vidē izdalās vielu daļiņas ar diametru 2,5 mikrometri vai mazāku (PM</w:t>
            </w:r>
            <w:r w:rsidRPr="00C7350F">
              <w:rPr>
                <w:bCs/>
                <w:sz w:val="28"/>
                <w:szCs w:val="28"/>
                <w:vertAlign w:val="subscript"/>
              </w:rPr>
              <w:t>2,5</w:t>
            </w:r>
            <w:r w:rsidRPr="00C7350F">
              <w:rPr>
                <w:bCs/>
                <w:sz w:val="28"/>
                <w:szCs w:val="28"/>
              </w:rPr>
              <w:t xml:space="preserve">), kas nozīmē to, ka šīs vielas viegli var iekļūt elpceļos. Līdz ar to nav iespējams izslēgt apkārtējo pakļaušanu otrreizējai dažādu vielu ieelpošanai, kas izdalās ar elektronisko cigarešu tvaiku. </w:t>
            </w:r>
          </w:p>
          <w:p w:rsidR="003D24E3" w:rsidRPr="00C7350F" w:rsidRDefault="003D24E3" w:rsidP="005D2B6E">
            <w:pPr>
              <w:jc w:val="both"/>
              <w:rPr>
                <w:bCs/>
                <w:sz w:val="28"/>
                <w:szCs w:val="28"/>
              </w:rPr>
            </w:pPr>
            <w:r w:rsidRPr="00C7350F">
              <w:rPr>
                <w:bCs/>
                <w:sz w:val="28"/>
                <w:szCs w:val="28"/>
              </w:rPr>
              <w:t xml:space="preserve">Elektronisko cigarešu šķidrumā ir trīs pamatsastāvdaļas: glicerīns, propilēnglikols un nikotīns. </w:t>
            </w:r>
          </w:p>
          <w:p w:rsidR="00303922" w:rsidRPr="00C7350F" w:rsidRDefault="00303922" w:rsidP="005D2B6E">
            <w:pPr>
              <w:jc w:val="both"/>
              <w:rPr>
                <w:sz w:val="28"/>
                <w:szCs w:val="28"/>
              </w:rPr>
            </w:pPr>
            <w:r w:rsidRPr="00C7350F">
              <w:rPr>
                <w:bCs/>
                <w:sz w:val="28"/>
                <w:szCs w:val="28"/>
              </w:rPr>
              <w:t xml:space="preserve">Galvenā sastāvdaļa elektroniskajās cigaretēs lietojamajiem šķidrumiem ir propilēnglikols. Tā ir viela, kas tiek plaši lietota kosmētikas, medicīnas un pārtikas precēs. Lai arī FDA propilēnglikolu klasificējusi kā lietošanai salīdzinoši drošu, ja tas tiek norīts, šobrīd trūkst informācijas par ietekmi uz veselību, ja tas tiek inhalēts plaušās. Tiek ziņots, ka pat īslaicīga personas pakļaušana propilēnglikola ietekmei iekštelpu gaisā var izraisīt acu un elpceļu kairinājumu. Tādejādi tiek palielināts iekaisuma un pat astmas risks. Sevišķi bīstami šāda produkta </w:t>
            </w:r>
            <w:r w:rsidRPr="00C7350F">
              <w:rPr>
                <w:bCs/>
                <w:sz w:val="28"/>
                <w:szCs w:val="28"/>
              </w:rPr>
              <w:lastRenderedPageBreak/>
              <w:t>lietošana varētu būt personām ar tādām elpceļu saslimšanām kā astma, hroniska obstruktīva plaušu slimība (HOPS), bronhīts, pneimonija</w:t>
            </w:r>
            <w:r w:rsidRPr="00C7350F">
              <w:rPr>
                <w:rStyle w:val="FootnoteReference"/>
                <w:sz w:val="28"/>
                <w:szCs w:val="28"/>
              </w:rPr>
              <w:footnoteReference w:id="11"/>
            </w:r>
            <w:r w:rsidRPr="00C7350F">
              <w:rPr>
                <w:sz w:val="28"/>
                <w:szCs w:val="28"/>
              </w:rPr>
              <w:t xml:space="preserve">.  </w:t>
            </w:r>
          </w:p>
          <w:p w:rsidR="00E94A4B" w:rsidRPr="00C7350F" w:rsidRDefault="00303922" w:rsidP="005D2B6E">
            <w:pPr>
              <w:jc w:val="both"/>
              <w:rPr>
                <w:bCs/>
                <w:sz w:val="28"/>
                <w:szCs w:val="28"/>
              </w:rPr>
            </w:pPr>
            <w:r w:rsidRPr="00C7350F">
              <w:rPr>
                <w:sz w:val="28"/>
                <w:szCs w:val="28"/>
              </w:rPr>
              <w:t>N</w:t>
            </w:r>
            <w:r w:rsidR="004E5006" w:rsidRPr="00C7350F">
              <w:rPr>
                <w:sz w:val="28"/>
                <w:szCs w:val="28"/>
              </w:rPr>
              <w:t>ikotīns</w:t>
            </w:r>
            <w:r w:rsidRPr="00C7350F">
              <w:rPr>
                <w:sz w:val="28"/>
                <w:szCs w:val="28"/>
              </w:rPr>
              <w:t xml:space="preserve"> </w:t>
            </w:r>
            <w:r w:rsidRPr="00C7350F">
              <w:rPr>
                <w:bCs/>
                <w:sz w:val="28"/>
                <w:szCs w:val="28"/>
              </w:rPr>
              <w:t>ir viela ar plašu ietekmi, tostarp paaugstina asinsspiedienu un pulsu, nomāc apetīti, var izraisīt sliktu dūšu un vemšanu. Tāpat ir pierādīts, ka nikotīns ir atkarību izraisoša viela. Lietojot to lielos daudzumos, nikotīns var būt bīstams dzīvībai, jo ir toksiska viela- pieaugušam cilvēkam aptuveni 50 mg nikotīna norīšana izraisa nāvi. Bērniem dzīvības apdraudējums tiek radīts jau pie 6 mg norīšanas</w:t>
            </w:r>
            <w:r w:rsidRPr="00C7350F">
              <w:rPr>
                <w:rStyle w:val="FootnoteReference"/>
                <w:bCs/>
                <w:sz w:val="28"/>
                <w:szCs w:val="28"/>
              </w:rPr>
              <w:footnoteReference w:id="12"/>
            </w:r>
            <w:r w:rsidRPr="00C7350F">
              <w:rPr>
                <w:bCs/>
                <w:sz w:val="28"/>
                <w:szCs w:val="28"/>
              </w:rPr>
              <w:t xml:space="preserve">. </w:t>
            </w:r>
            <w:r w:rsidR="004F163A" w:rsidRPr="00C7350F">
              <w:rPr>
                <w:bCs/>
                <w:sz w:val="28"/>
                <w:szCs w:val="28"/>
              </w:rPr>
              <w:t>Nikotīns šķērso arī placentu un tādejādi to uzsūc arī auglis. Rezultātā var tikt radīti plaušu bojājumi un sirds un centrālā nervu sistēmas traucējumi. Nikotīna lietošana šādā veidā var radīt psiholoģisku un fizisku atkarību, kā rezultātā pārtraukt lietot produktu ir ļoti grūti. Tas rada risku lietot paralēli gan tabakas izstrādājumus, gan nikotīnu saturošās elektroniskās cigaretes</w:t>
            </w:r>
            <w:r w:rsidR="004F163A" w:rsidRPr="00C7350F">
              <w:rPr>
                <w:rStyle w:val="FootnoteReference"/>
                <w:bCs/>
                <w:sz w:val="28"/>
                <w:szCs w:val="28"/>
              </w:rPr>
              <w:footnoteReference w:id="13"/>
            </w:r>
            <w:r w:rsidR="004F163A" w:rsidRPr="00C7350F">
              <w:rPr>
                <w:bCs/>
                <w:sz w:val="28"/>
                <w:szCs w:val="28"/>
              </w:rPr>
              <w:t xml:space="preserve">.  </w:t>
            </w:r>
          </w:p>
          <w:p w:rsidR="003D24E3" w:rsidRPr="00C7350F" w:rsidRDefault="00303922" w:rsidP="005D2B6E">
            <w:pPr>
              <w:jc w:val="both"/>
              <w:rPr>
                <w:bCs/>
                <w:sz w:val="28"/>
                <w:szCs w:val="28"/>
              </w:rPr>
            </w:pPr>
            <w:r w:rsidRPr="00C7350F">
              <w:rPr>
                <w:bCs/>
                <w:sz w:val="28"/>
                <w:szCs w:val="28"/>
              </w:rPr>
              <w:t>Viena no elektronisko cigarešu šķidruma pamatsastāvdaļām ir arī glicerīns. Glicerīns ir plaši lietota viela pārtikas produktu, kosmētikas un farmakoloģisko preču ražošanā. Lai arī glicerīns tiek uzskatīts par nekaitīgu vielu ar zemu toksicitātes līmeni, ja tas tiek lietots orāli, nav pilnvērtīgas informācijas par tā ietekmi uz veselību, ja tas tiek inhalēts. Kādam pacientam novērota lipoīdā pneimonija, ko izraisījušas uz glicerīna bāzes veidotas eļļas, kas tiek lietotas elektroniskajās cigaretēs. Pacientam simptomi izzuduši pēc tam, kad viņš pārtraucis elektronisko cigarešu lietošanu</w:t>
            </w:r>
            <w:r w:rsidRPr="00C7350F">
              <w:rPr>
                <w:rStyle w:val="FootnoteReference"/>
                <w:bCs/>
                <w:sz w:val="28"/>
                <w:szCs w:val="28"/>
              </w:rPr>
              <w:footnoteReference w:id="14"/>
            </w:r>
            <w:r w:rsidRPr="00C7350F">
              <w:rPr>
                <w:bCs/>
                <w:sz w:val="28"/>
                <w:szCs w:val="28"/>
              </w:rPr>
              <w:t xml:space="preserve">. </w:t>
            </w:r>
          </w:p>
          <w:p w:rsidR="003D24E3" w:rsidRPr="00C7350F" w:rsidRDefault="00303922" w:rsidP="005D2B6E">
            <w:pPr>
              <w:jc w:val="both"/>
              <w:rPr>
                <w:bCs/>
                <w:sz w:val="28"/>
                <w:szCs w:val="28"/>
              </w:rPr>
            </w:pPr>
            <w:r w:rsidRPr="00C7350F">
              <w:rPr>
                <w:bCs/>
                <w:sz w:val="28"/>
                <w:szCs w:val="28"/>
              </w:rPr>
              <w:t xml:space="preserve">Papildus pamatsastāvdaļām atsevišķās elektronisko cigarešu pārbaudēs ir atrastas vielas, kas ir raksturīgas tabakas izstrādājumiem. Piemēram, anabazīns un miosmīns, kas ir tabakā atrodami alkaloīdi un pēc savas ķīmiskās struktūras ir līdzīgi nikotīnam. Bažas rada pārbaudēs atrastais acetaldehīds  un formaldehīds, kas var rasties </w:t>
            </w:r>
            <w:r w:rsidRPr="00C7350F">
              <w:rPr>
                <w:bCs/>
                <w:sz w:val="28"/>
                <w:szCs w:val="28"/>
              </w:rPr>
              <w:lastRenderedPageBreak/>
              <w:t>glicerīna un propilēnglikola termiskas sadalīšanās rezultātā. Formaldehīds, kas ir kancerogēna viela, ir atrasta gan elektronisko cigarešu kārtridžos, gan izdalītajā tvaikā. Šobrīd pieejamie pētījumi liecina, ka elektronisko cigarešu izdalītajā tvaikā ir arī benzopirēns, silikāti un dažādu metālu daļiņas. Tāpat atrasts niķelis un hroms, kas ir kancerogēni, atrasti tādā pašā vai pat lielākā daudzumā kā tabakas izstrādājumu dūmos</w:t>
            </w:r>
            <w:r w:rsidRPr="00C7350F">
              <w:rPr>
                <w:rStyle w:val="FootnoteReference"/>
                <w:bCs/>
                <w:sz w:val="28"/>
                <w:szCs w:val="28"/>
              </w:rPr>
              <w:footnoteReference w:id="15"/>
            </w:r>
            <w:r w:rsidRPr="00C7350F">
              <w:rPr>
                <w:bCs/>
                <w:sz w:val="28"/>
                <w:szCs w:val="28"/>
              </w:rPr>
              <w:t>.Šīm vielām nav drošu limitu, tāpēc nevar izslēgt, ka elektroniskās cigaretes palielina arī vēža risku</w:t>
            </w:r>
            <w:r w:rsidRPr="00C7350F">
              <w:rPr>
                <w:rStyle w:val="FootnoteReference"/>
                <w:bCs/>
                <w:sz w:val="28"/>
                <w:szCs w:val="28"/>
              </w:rPr>
              <w:footnoteReference w:id="16"/>
            </w:r>
            <w:r w:rsidR="004E5006" w:rsidRPr="00C7350F">
              <w:rPr>
                <w:bCs/>
                <w:sz w:val="28"/>
                <w:szCs w:val="28"/>
                <w:vertAlign w:val="superscript"/>
              </w:rPr>
              <w:t>;</w:t>
            </w:r>
            <w:r w:rsidR="004E5006" w:rsidRPr="00C7350F">
              <w:rPr>
                <w:rStyle w:val="FootnoteReference"/>
                <w:sz w:val="28"/>
                <w:szCs w:val="28"/>
              </w:rPr>
              <w:footnoteReference w:id="17"/>
            </w:r>
            <w:r w:rsidR="004E5006" w:rsidRPr="00C7350F">
              <w:rPr>
                <w:bCs/>
                <w:sz w:val="28"/>
                <w:szCs w:val="28"/>
                <w:vertAlign w:val="superscript"/>
              </w:rPr>
              <w:t>;</w:t>
            </w:r>
            <w:r w:rsidR="004E5006" w:rsidRPr="00C7350F">
              <w:rPr>
                <w:rStyle w:val="FootnoteReference"/>
                <w:sz w:val="28"/>
                <w:szCs w:val="28"/>
              </w:rPr>
              <w:footnoteReference w:id="18"/>
            </w:r>
            <w:r w:rsidR="004E5006" w:rsidRPr="00C7350F">
              <w:rPr>
                <w:bCs/>
                <w:sz w:val="28"/>
                <w:szCs w:val="28"/>
              </w:rPr>
              <w:t>. Vēl kādās a</w:t>
            </w:r>
            <w:r w:rsidRPr="00C7350F">
              <w:rPr>
                <w:sz w:val="28"/>
                <w:szCs w:val="28"/>
              </w:rPr>
              <w:t>nalīzēs secināts, ka  kādas firmas elektronisko cigarešu šķidrums satur erektīlās disfunkcijas medikamentā CIALIS</w:t>
            </w:r>
            <w:r w:rsidRPr="00C7350F">
              <w:rPr>
                <w:i/>
                <w:sz w:val="28"/>
                <w:szCs w:val="28"/>
              </w:rPr>
              <w:t xml:space="preserve"> </w:t>
            </w:r>
            <w:r w:rsidRPr="00C7350F">
              <w:rPr>
                <w:sz w:val="28"/>
                <w:szCs w:val="28"/>
              </w:rPr>
              <w:t>esošu ķīmisku savienojumu tadalafil</w:t>
            </w:r>
            <w:r w:rsidRPr="00C7350F">
              <w:rPr>
                <w:i/>
                <w:sz w:val="28"/>
                <w:szCs w:val="28"/>
              </w:rPr>
              <w:t xml:space="preserve">, </w:t>
            </w:r>
            <w:r w:rsidRPr="00C7350F">
              <w:rPr>
                <w:sz w:val="28"/>
                <w:szCs w:val="28"/>
              </w:rPr>
              <w:t>kā arī recepšu medikamentu svara zaudēšanai- rimonabant</w:t>
            </w:r>
            <w:r w:rsidRPr="00C7350F">
              <w:rPr>
                <w:rStyle w:val="FootnoteReference"/>
                <w:sz w:val="28"/>
                <w:szCs w:val="28"/>
              </w:rPr>
              <w:footnoteReference w:id="19"/>
            </w:r>
            <w:r w:rsidRPr="00C7350F">
              <w:rPr>
                <w:sz w:val="28"/>
                <w:szCs w:val="28"/>
              </w:rPr>
              <w:t xml:space="preserve">. </w:t>
            </w:r>
          </w:p>
          <w:p w:rsidR="00422139" w:rsidRPr="00C7350F" w:rsidRDefault="003D24E3" w:rsidP="00422139">
            <w:pPr>
              <w:jc w:val="both"/>
              <w:rPr>
                <w:bCs/>
                <w:sz w:val="28"/>
                <w:szCs w:val="28"/>
              </w:rPr>
            </w:pPr>
            <w:r w:rsidRPr="00C7350F">
              <w:rPr>
                <w:sz w:val="28"/>
                <w:szCs w:val="28"/>
              </w:rPr>
              <w:t>Elektronisko cigarešu drošība joprojām nav zinātniski pierādīta</w:t>
            </w:r>
            <w:r w:rsidRPr="00C7350F">
              <w:rPr>
                <w:rStyle w:val="FootnoteReference"/>
                <w:sz w:val="28"/>
                <w:szCs w:val="28"/>
              </w:rPr>
              <w:footnoteReference w:id="20"/>
            </w:r>
            <w:r w:rsidRPr="00C7350F">
              <w:rPr>
                <w:sz w:val="28"/>
                <w:szCs w:val="28"/>
              </w:rPr>
              <w:t xml:space="preserve">. </w:t>
            </w:r>
            <w:r w:rsidR="00422139" w:rsidRPr="00C7350F">
              <w:rPr>
                <w:bCs/>
                <w:sz w:val="28"/>
                <w:szCs w:val="28"/>
              </w:rPr>
              <w:t xml:space="preserve">Tā, piemēram, </w:t>
            </w:r>
            <w:r w:rsidR="00422139" w:rsidRPr="00C7350F">
              <w:rPr>
                <w:sz w:val="28"/>
                <w:szCs w:val="28"/>
              </w:rPr>
              <w:t>2012.gada februārī plašsaziņas līdzekļos izskanēja informācija, ka ASV Floridas štatā elektroniskās cigaretes smēķēšanas laikā ierīce uzsprāgusi kādam vīrietim mutē</w:t>
            </w:r>
            <w:r w:rsidR="00422139" w:rsidRPr="00C7350F">
              <w:rPr>
                <w:bCs/>
                <w:sz w:val="28"/>
                <w:szCs w:val="28"/>
              </w:rPr>
              <w:t xml:space="preserve">, bet 2013.gadā Izraēlā tika reģistrēts </w:t>
            </w:r>
            <w:r w:rsidR="00422139" w:rsidRPr="00C7350F">
              <w:rPr>
                <w:sz w:val="28"/>
                <w:szCs w:val="28"/>
              </w:rPr>
              <w:t>gadījums, kur pēc elektronisko cigarešu šķidruma iepakojuma iztukšošanas divus gadus vecam bērnam iestājās nāve</w:t>
            </w:r>
            <w:r w:rsidR="00422139" w:rsidRPr="00C7350F">
              <w:rPr>
                <w:rStyle w:val="FootnoteReference"/>
                <w:sz w:val="28"/>
                <w:szCs w:val="28"/>
              </w:rPr>
              <w:footnoteReference w:id="21"/>
            </w:r>
            <w:r w:rsidR="00422139" w:rsidRPr="00C7350F">
              <w:rPr>
                <w:sz w:val="28"/>
                <w:szCs w:val="28"/>
              </w:rPr>
              <w:t xml:space="preserve">. </w:t>
            </w:r>
          </w:p>
          <w:p w:rsidR="003D24E3" w:rsidRPr="00C7350F" w:rsidRDefault="003D24E3" w:rsidP="005D2B6E">
            <w:pPr>
              <w:pStyle w:val="naiskr"/>
              <w:spacing w:before="0" w:after="0"/>
              <w:ind w:hanging="5"/>
              <w:jc w:val="both"/>
              <w:rPr>
                <w:bCs/>
                <w:sz w:val="28"/>
                <w:szCs w:val="28"/>
              </w:rPr>
            </w:pPr>
            <w:r w:rsidRPr="00C7350F">
              <w:rPr>
                <w:sz w:val="28"/>
                <w:szCs w:val="28"/>
              </w:rPr>
              <w:t>Tas saistīts gan ar kvalitātes standartu trūkumu, kā rezultātā produktos atrastās vielas un to daudzums neatbilst marķējumā norādītājam, kā arī ar to, ka t</w:t>
            </w:r>
            <w:r w:rsidRPr="00C7350F">
              <w:rPr>
                <w:bCs/>
                <w:sz w:val="28"/>
                <w:szCs w:val="28"/>
              </w:rPr>
              <w:t>rūkst no industrijas neatkarīgu epidemioloģisku pētījumu par īstermiņa un ilgtermiņa ietekmi uz patērētāja un  apkārtējo veselību un drošību. Bažas rada arī citu narkotisko un psihotropo vielu  lietošana izmantojot šīs ierīces.</w:t>
            </w:r>
            <w:r w:rsidR="004F163A" w:rsidRPr="00C7350F">
              <w:rPr>
                <w:bCs/>
                <w:sz w:val="28"/>
                <w:szCs w:val="28"/>
              </w:rPr>
              <w:t xml:space="preserve"> </w:t>
            </w:r>
          </w:p>
          <w:p w:rsidR="00303922" w:rsidRPr="00C7350F" w:rsidRDefault="006F78A3" w:rsidP="005D2B6E">
            <w:pPr>
              <w:pStyle w:val="NormalWeb"/>
              <w:spacing w:before="0" w:beforeAutospacing="0" w:after="0" w:afterAutospacing="0"/>
              <w:jc w:val="both"/>
              <w:rPr>
                <w:sz w:val="28"/>
                <w:szCs w:val="28"/>
              </w:rPr>
            </w:pPr>
            <w:r w:rsidRPr="00C7350F">
              <w:rPr>
                <w:sz w:val="28"/>
                <w:szCs w:val="28"/>
              </w:rPr>
              <w:lastRenderedPageBreak/>
              <w:t>Kādā</w:t>
            </w:r>
            <w:r w:rsidR="00303922" w:rsidRPr="00C7350F">
              <w:rPr>
                <w:sz w:val="28"/>
                <w:szCs w:val="28"/>
              </w:rPr>
              <w:t xml:space="preserve"> pētījumā</w:t>
            </w:r>
            <w:r w:rsidR="00303922" w:rsidRPr="00C7350F">
              <w:rPr>
                <w:rStyle w:val="FootnoteReference"/>
                <w:sz w:val="28"/>
                <w:szCs w:val="28"/>
              </w:rPr>
              <w:footnoteReference w:id="22"/>
            </w:r>
            <w:r w:rsidR="00303922" w:rsidRPr="00C7350F">
              <w:rPr>
                <w:sz w:val="28"/>
                <w:szCs w:val="28"/>
              </w:rPr>
              <w:t xml:space="preserve"> tika analizēta nikotīna koncentrācija 20 populārāko elektronisko cigarešu ražotāju kārtridžos un 15 uzpildāmajos šķidrumos Lielbritānijas un ASV tirgū. Rezultātā deviņiem no 20 pārbaudītajiem kārtridžiem nikotīna saturs atšķīrās no norādītā vidēji par 20%. Tādas pašas koncentrācijas svārstības tika konstatētas arī trim maināmajiem šķidrumiem. Līdzīgā pētījumā četrās no septiņām pārbaudītajām elektroniskajām cigaretēm tika uzrādīta nikotīna klātbūtne, lai gan ražotājs tās pārdeva kā nikotīnu nesaturošas elektroniskās cigaretes</w:t>
            </w:r>
            <w:r w:rsidR="00303922" w:rsidRPr="00C7350F">
              <w:rPr>
                <w:rStyle w:val="FootnoteReference"/>
                <w:sz w:val="28"/>
                <w:szCs w:val="28"/>
              </w:rPr>
              <w:footnoteReference w:id="23"/>
            </w:r>
            <w:r w:rsidR="00303922" w:rsidRPr="00C7350F">
              <w:rPr>
                <w:sz w:val="28"/>
                <w:szCs w:val="28"/>
              </w:rPr>
              <w:t xml:space="preserve">. Arī </w:t>
            </w:r>
            <w:r w:rsidR="00303922" w:rsidRPr="00C7350F">
              <w:rPr>
                <w:bCs/>
                <w:sz w:val="28"/>
                <w:szCs w:val="28"/>
              </w:rPr>
              <w:t>2012. gadā Francijā publicētajā pārskatā</w:t>
            </w:r>
            <w:r w:rsidR="00303922" w:rsidRPr="00C7350F">
              <w:rPr>
                <w:rStyle w:val="FootnoteReference"/>
                <w:bCs/>
                <w:sz w:val="28"/>
                <w:szCs w:val="28"/>
              </w:rPr>
              <w:footnoteReference w:id="24"/>
            </w:r>
            <w:r w:rsidR="00303922" w:rsidRPr="00C7350F">
              <w:rPr>
                <w:bCs/>
                <w:sz w:val="28"/>
                <w:szCs w:val="28"/>
              </w:rPr>
              <w:t xml:space="preserve"> tika secināts, ka nikotīna koncentrācija elektroniskajās cigaretēs bieži vien pārsniedz ražotāju norādīto koncentrāciju. </w:t>
            </w:r>
            <w:r w:rsidR="00303922" w:rsidRPr="00C7350F">
              <w:rPr>
                <w:sz w:val="28"/>
                <w:szCs w:val="28"/>
              </w:rPr>
              <w:t xml:space="preserve">Uzskatāmas nepilnības tika konstatētas izstrādājumos, kuri tika reklamēti kā nikotīnu nesaturoši, bet kuros nikotīna klātbūtne tika konstatēta. Šis fakts liek apšaubīt visu tirgū pieejamo produktu drošību, ieskaitot tos, kas pēc ražotāju norādēm nesatur nikotīnu. </w:t>
            </w:r>
          </w:p>
          <w:p w:rsidR="006F78A3" w:rsidRPr="00C7350F" w:rsidRDefault="006F78A3" w:rsidP="005D2B6E">
            <w:pPr>
              <w:jc w:val="both"/>
              <w:rPr>
                <w:sz w:val="28"/>
                <w:szCs w:val="28"/>
              </w:rPr>
            </w:pPr>
            <w:r w:rsidRPr="00C7350F">
              <w:rPr>
                <w:sz w:val="28"/>
                <w:szCs w:val="28"/>
              </w:rPr>
              <w:t>Vēl kādā pētījumā, a</w:t>
            </w:r>
            <w:r w:rsidR="00303922" w:rsidRPr="00C7350F">
              <w:rPr>
                <w:sz w:val="28"/>
                <w:szCs w:val="28"/>
              </w:rPr>
              <w:t xml:space="preserve">nalizējot </w:t>
            </w:r>
            <w:r w:rsidRPr="00C7350F">
              <w:rPr>
                <w:sz w:val="28"/>
                <w:szCs w:val="28"/>
              </w:rPr>
              <w:t>elektronisko cigarešu šķidrumu</w:t>
            </w:r>
            <w:r w:rsidR="00303922" w:rsidRPr="00C7350F">
              <w:rPr>
                <w:rStyle w:val="FootnoteReference"/>
                <w:sz w:val="28"/>
                <w:szCs w:val="28"/>
              </w:rPr>
              <w:footnoteReference w:id="25"/>
            </w:r>
            <w:r w:rsidR="00303922" w:rsidRPr="00C7350F">
              <w:rPr>
                <w:sz w:val="28"/>
                <w:szCs w:val="28"/>
              </w:rPr>
              <w:t xml:space="preserve"> tika konstatēta 11 toksisko vielu klātbūtne, kas pārsniedza norādīto koncentrāciju. </w:t>
            </w:r>
            <w:r w:rsidR="00303922" w:rsidRPr="00C7350F">
              <w:rPr>
                <w:bCs/>
                <w:sz w:val="28"/>
                <w:szCs w:val="28"/>
              </w:rPr>
              <w:t>Savukārt, citā pētījumā</w:t>
            </w:r>
            <w:r w:rsidR="00303922" w:rsidRPr="00C7350F">
              <w:rPr>
                <w:rStyle w:val="FootnoteReference"/>
                <w:bCs/>
                <w:sz w:val="28"/>
                <w:szCs w:val="28"/>
              </w:rPr>
              <w:footnoteReference w:id="26"/>
            </w:r>
            <w:r w:rsidR="00303922" w:rsidRPr="00C7350F">
              <w:rPr>
                <w:bCs/>
                <w:sz w:val="28"/>
                <w:szCs w:val="28"/>
              </w:rPr>
              <w:t xml:space="preserve"> autori konstatēja, ka starp elektronisko cigarešu </w:t>
            </w:r>
            <w:r w:rsidRPr="00C7350F">
              <w:rPr>
                <w:bCs/>
                <w:sz w:val="28"/>
                <w:szCs w:val="28"/>
              </w:rPr>
              <w:t>zīmoliem</w:t>
            </w:r>
            <w:r w:rsidR="00303922" w:rsidRPr="00C7350F">
              <w:rPr>
                <w:bCs/>
                <w:sz w:val="28"/>
                <w:szCs w:val="28"/>
              </w:rPr>
              <w:t xml:space="preserve"> pastāv būtiska atšķirība attiecībā uz  gaisa caurplūšanas spēju, kas nepieciešama, lai izdalītos tvaiks un tiktu nodrošināta preces ilgtermiņa darbība. </w:t>
            </w:r>
            <w:r w:rsidRPr="00C7350F">
              <w:rPr>
                <w:bCs/>
                <w:sz w:val="28"/>
                <w:szCs w:val="28"/>
              </w:rPr>
              <w:t>A</w:t>
            </w:r>
            <w:r w:rsidR="00303922" w:rsidRPr="00C7350F">
              <w:rPr>
                <w:bCs/>
                <w:sz w:val="28"/>
                <w:szCs w:val="28"/>
              </w:rPr>
              <w:t xml:space="preserve">utori </w:t>
            </w:r>
            <w:r w:rsidRPr="00C7350F">
              <w:rPr>
                <w:bCs/>
                <w:sz w:val="28"/>
                <w:szCs w:val="28"/>
              </w:rPr>
              <w:t xml:space="preserve">arī </w:t>
            </w:r>
            <w:r w:rsidR="00303922" w:rsidRPr="00C7350F">
              <w:rPr>
                <w:bCs/>
                <w:sz w:val="28"/>
                <w:szCs w:val="28"/>
              </w:rPr>
              <w:t xml:space="preserve">secināja, ka uz elektroniskajām cigaretēm nevar attiecināt tabakas izstrādājumu standartus un to atbilstības novērtēšanai nepieciešams izstrādāt specifiskus standartu protokolus. </w:t>
            </w:r>
          </w:p>
          <w:p w:rsidR="00A336DF" w:rsidRPr="00C7350F" w:rsidRDefault="006F78A3" w:rsidP="005D2B6E">
            <w:pPr>
              <w:jc w:val="both"/>
              <w:rPr>
                <w:sz w:val="28"/>
                <w:szCs w:val="28"/>
              </w:rPr>
            </w:pPr>
            <w:r w:rsidRPr="00C7350F">
              <w:rPr>
                <w:color w:val="000000"/>
                <w:sz w:val="28"/>
                <w:szCs w:val="28"/>
              </w:rPr>
              <w:t>S</w:t>
            </w:r>
            <w:r w:rsidR="00303922" w:rsidRPr="00C7350F">
              <w:rPr>
                <w:color w:val="000000"/>
                <w:sz w:val="28"/>
                <w:szCs w:val="28"/>
              </w:rPr>
              <w:t xml:space="preserve">askaņā ar PVO sniegto informāciju šobrīd nav pierādījumu tam, ka nikotīnu saturošas elektroniskās cigaretes būtu efektīvs līdzeklis smēķēšanas </w:t>
            </w:r>
            <w:r w:rsidR="00303922" w:rsidRPr="00C7350F">
              <w:rPr>
                <w:color w:val="000000"/>
                <w:sz w:val="28"/>
                <w:szCs w:val="28"/>
              </w:rPr>
              <w:lastRenderedPageBreak/>
              <w:t xml:space="preserve">pārtraukšanai. </w:t>
            </w:r>
            <w:r w:rsidR="00C25F67" w:rsidRPr="00C7350F">
              <w:rPr>
                <w:bCs/>
                <w:sz w:val="28"/>
                <w:szCs w:val="28"/>
              </w:rPr>
              <w:t>Elektroniskās cigaretes kā tabakas aizvietotāji, smēķēšanas alternatīva vai palīdzība smēķēšanas atmešanai  šobrīd pierādījumu trūkuma dēļ nevar tikt atbalstīta. Šobrīd neviens no smēķēšanas atmešanas līdzekļiem, kas tiek pakļauti ārstniecības līdzekļu regulējumam (piemēram, nikotīna plāksteri un košļājamās gumijas) nenodrošina nikotīna piegādi tieši plaušās, tāpēc bioloģiskais mehānisms attiecībā uz smēķēšanas atmešanu ar nikotīna inhalēšanu un vielu ietekme uz  organismu kopumā nav zināma. Tāpēc pirms tiek pieņemts lēmums šos produktus akceptēt kā ārstniecības līdzekļus, nepieciešams veikt izpēti par nikotīna un citu vielu tiešo ietekmi uz plaušām</w:t>
            </w:r>
            <w:r w:rsidR="00C25F67" w:rsidRPr="00C7350F">
              <w:rPr>
                <w:rStyle w:val="FootnoteReference"/>
                <w:color w:val="000000"/>
                <w:sz w:val="28"/>
                <w:szCs w:val="28"/>
              </w:rPr>
              <w:footnoteReference w:id="27"/>
            </w:r>
            <w:r w:rsidR="00C25F67" w:rsidRPr="00C7350F">
              <w:rPr>
                <w:bCs/>
                <w:sz w:val="28"/>
                <w:szCs w:val="28"/>
              </w:rPr>
              <w:t xml:space="preserve">. </w:t>
            </w:r>
            <w:r w:rsidR="00D15BA3" w:rsidRPr="00C7350F">
              <w:rPr>
                <w:sz w:val="28"/>
                <w:szCs w:val="28"/>
              </w:rPr>
              <w:t xml:space="preserve"> </w:t>
            </w:r>
            <w:r w:rsidR="00303922" w:rsidRPr="00C7350F">
              <w:rPr>
                <w:sz w:val="28"/>
                <w:szCs w:val="28"/>
              </w:rPr>
              <w:t xml:space="preserve">Saskaņā ar PVO paziņojumu, elektroniskās smēķēšanas ierīces var radīt atkarības risku tiem, kuri nelieto tradicionālos tabakas izstrādājumus. </w:t>
            </w:r>
          </w:p>
          <w:p w:rsidR="0012506F" w:rsidRPr="00C7350F" w:rsidRDefault="00303922" w:rsidP="005D2B6E">
            <w:pPr>
              <w:jc w:val="both"/>
              <w:rPr>
                <w:sz w:val="28"/>
                <w:szCs w:val="28"/>
              </w:rPr>
            </w:pPr>
            <w:r w:rsidRPr="00C7350F">
              <w:rPr>
                <w:sz w:val="28"/>
                <w:szCs w:val="28"/>
              </w:rPr>
              <w:t xml:space="preserve">Ņemot vērā, ka elektronisko smēķēšanas ierīču lietošanas laikā nenotiek tabakas dedzināšanas process, patērētāji maldīgi uzskata šo ierīču lietošanu par drošu alternatīvu tabakas smēķēšanai. Tai pat laikā pilnvērtīga, uz pierādījumiem balstīta informācija par sastāvdaļām un to emisijām un ilgtermiņa lietošanas ietekmi nav pieejama. To šobrīd izmanto preču ražotāji un izplatītāji, tādejādi maldinot un pievilinot jaunus patērētājus. </w:t>
            </w:r>
          </w:p>
          <w:p w:rsidR="006F78A3" w:rsidRPr="00C7350F" w:rsidRDefault="00C25F67" w:rsidP="005D2B6E">
            <w:pPr>
              <w:jc w:val="both"/>
              <w:rPr>
                <w:sz w:val="28"/>
                <w:szCs w:val="28"/>
              </w:rPr>
            </w:pPr>
            <w:r w:rsidRPr="00C7350F">
              <w:rPr>
                <w:color w:val="000000"/>
                <w:sz w:val="28"/>
                <w:szCs w:val="28"/>
              </w:rPr>
              <w:t>Ņemot vērā šo informāciju, PVO rekomendē atbildīgās institūcijas stingri aicināt iedzīvotājus nelietot šos produktus</w:t>
            </w:r>
            <w:r w:rsidRPr="00C7350F">
              <w:rPr>
                <w:rStyle w:val="FootnoteReference"/>
                <w:bCs/>
                <w:sz w:val="28"/>
                <w:szCs w:val="28"/>
              </w:rPr>
              <w:footnoteReference w:id="28"/>
            </w:r>
            <w:r w:rsidRPr="00C7350F">
              <w:rPr>
                <w:color w:val="000000"/>
                <w:sz w:val="28"/>
                <w:szCs w:val="28"/>
              </w:rPr>
              <w:t>.</w:t>
            </w:r>
          </w:p>
          <w:p w:rsidR="00B2437D" w:rsidRPr="00C7350F" w:rsidRDefault="00B2437D" w:rsidP="005D2B6E">
            <w:pPr>
              <w:pStyle w:val="naiskr"/>
              <w:spacing w:before="0" w:after="0"/>
              <w:ind w:hanging="5"/>
              <w:jc w:val="both"/>
              <w:rPr>
                <w:sz w:val="28"/>
                <w:szCs w:val="28"/>
              </w:rPr>
            </w:pPr>
          </w:p>
          <w:p w:rsidR="002836BD" w:rsidRPr="00C7350F" w:rsidRDefault="002836BD" w:rsidP="005D2B6E">
            <w:pPr>
              <w:pStyle w:val="naiskr"/>
              <w:spacing w:before="0" w:after="0"/>
              <w:ind w:hanging="5"/>
              <w:jc w:val="both"/>
              <w:rPr>
                <w:b/>
                <w:sz w:val="28"/>
                <w:szCs w:val="28"/>
              </w:rPr>
            </w:pPr>
            <w:r w:rsidRPr="00C7350F">
              <w:rPr>
                <w:b/>
                <w:sz w:val="28"/>
                <w:szCs w:val="28"/>
              </w:rPr>
              <w:t xml:space="preserve">Tiesiskais regulējums </w:t>
            </w:r>
            <w:r w:rsidR="00D90F51" w:rsidRPr="00C7350F">
              <w:rPr>
                <w:b/>
                <w:sz w:val="28"/>
                <w:szCs w:val="28"/>
              </w:rPr>
              <w:t xml:space="preserve">ES </w:t>
            </w:r>
            <w:r w:rsidRPr="00C7350F">
              <w:rPr>
                <w:b/>
                <w:sz w:val="28"/>
                <w:szCs w:val="28"/>
              </w:rPr>
              <w:t xml:space="preserve">valstīs. </w:t>
            </w:r>
          </w:p>
          <w:p w:rsidR="000B5D06" w:rsidRPr="00C7350F" w:rsidRDefault="000B3B97" w:rsidP="005D2B6E">
            <w:pPr>
              <w:pStyle w:val="naiskr"/>
              <w:spacing w:before="0" w:after="0"/>
              <w:ind w:hanging="5"/>
              <w:jc w:val="both"/>
              <w:rPr>
                <w:sz w:val="28"/>
                <w:szCs w:val="28"/>
              </w:rPr>
            </w:pPr>
            <w:r w:rsidRPr="00C7350F">
              <w:rPr>
                <w:sz w:val="28"/>
                <w:szCs w:val="28"/>
              </w:rPr>
              <w:t>Šobrīd elektroniskajām cigaretēm nav vienota tiesiskā regulējuma</w:t>
            </w:r>
            <w:r w:rsidR="00E60D93" w:rsidRPr="00C7350F">
              <w:rPr>
                <w:sz w:val="28"/>
                <w:szCs w:val="28"/>
              </w:rPr>
              <w:t xml:space="preserve"> ES. </w:t>
            </w:r>
            <w:r w:rsidR="00EE2DD9" w:rsidRPr="00C7350F">
              <w:rPr>
                <w:sz w:val="28"/>
                <w:szCs w:val="28"/>
              </w:rPr>
              <w:t>Eiropas Komisija elektroniskās cigaretes piedāvājusi regulēt direktīvas 2001/37/E</w:t>
            </w:r>
            <w:r w:rsidR="006A15A6" w:rsidRPr="00C7350F">
              <w:rPr>
                <w:sz w:val="28"/>
                <w:szCs w:val="28"/>
              </w:rPr>
              <w:t>K</w:t>
            </w:r>
            <w:r w:rsidR="006A15A6" w:rsidRPr="00C7350F">
              <w:rPr>
                <w:rStyle w:val="FootnoteReference"/>
                <w:sz w:val="28"/>
                <w:szCs w:val="28"/>
              </w:rPr>
              <w:footnoteReference w:id="29"/>
            </w:r>
            <w:r w:rsidR="006A15A6" w:rsidRPr="00C7350F">
              <w:rPr>
                <w:sz w:val="28"/>
                <w:szCs w:val="28"/>
              </w:rPr>
              <w:t>, kas šobrīd tiek pārskatīta, ietvaros.</w:t>
            </w:r>
            <w:r w:rsidR="00265BC8" w:rsidRPr="00C7350F">
              <w:rPr>
                <w:sz w:val="28"/>
                <w:szCs w:val="28"/>
              </w:rPr>
              <w:t xml:space="preserve"> 2012.gada decembrī, kad EK nāca klajā ar grozījumiem direktīvā 2001/37/EK, viens no priekšlikumiem bija regulēt elektroniskās cigaretes kā medicīnas produktu. Šāda pieeja tika atbalstīta </w:t>
            </w:r>
            <w:r w:rsidR="000B5D06" w:rsidRPr="00C7350F">
              <w:rPr>
                <w:sz w:val="28"/>
                <w:szCs w:val="28"/>
              </w:rPr>
              <w:t xml:space="preserve">arī </w:t>
            </w:r>
            <w:r w:rsidR="000B5D06" w:rsidRPr="00C7350F">
              <w:rPr>
                <w:sz w:val="28"/>
                <w:szCs w:val="28"/>
              </w:rPr>
              <w:lastRenderedPageBreak/>
              <w:t>2013.gada jūnijā ministru padomē, kad tika panākta vispārējā vienošanās par direktīvas projektu</w:t>
            </w:r>
            <w:r w:rsidR="00265BC8" w:rsidRPr="00C7350F">
              <w:rPr>
                <w:sz w:val="28"/>
                <w:szCs w:val="28"/>
              </w:rPr>
              <w:t xml:space="preserve">. </w:t>
            </w:r>
            <w:r w:rsidR="000B5D06" w:rsidRPr="00C7350F">
              <w:rPr>
                <w:sz w:val="28"/>
                <w:szCs w:val="28"/>
              </w:rPr>
              <w:t xml:space="preserve">Eiropas Komisijas piedāvātos grozījumus 2013.gada 8.oktobrī skatīja Eiropas Parlamentā, kur sākotnējais priekšlikums tika noraidīts. Tā vietā deputāti piedāvāja </w:t>
            </w:r>
            <w:r w:rsidR="00E042D8" w:rsidRPr="00C7350F">
              <w:rPr>
                <w:sz w:val="28"/>
                <w:szCs w:val="28"/>
              </w:rPr>
              <w:t xml:space="preserve">šos produktus pakļaut noteikumiem </w:t>
            </w:r>
            <w:r w:rsidR="000B5D06" w:rsidRPr="00C7350F">
              <w:rPr>
                <w:sz w:val="28"/>
                <w:szCs w:val="28"/>
              </w:rPr>
              <w:t xml:space="preserve">noteikt virkni prasības gan attiecībā uz pētījumu un vispārējās informācijas nodrošināšanu, pirms šāda veida produkti tiek ieviesti tirgū. </w:t>
            </w:r>
            <w:r w:rsidR="004A6592" w:rsidRPr="00C7350F">
              <w:rPr>
                <w:sz w:val="28"/>
                <w:szCs w:val="28"/>
              </w:rPr>
              <w:t xml:space="preserve">Latvija savā nacionālajā pozīcijā </w:t>
            </w:r>
            <w:r w:rsidR="006478D2" w:rsidRPr="00C7350F">
              <w:rPr>
                <w:sz w:val="28"/>
                <w:szCs w:val="28"/>
              </w:rPr>
              <w:t xml:space="preserve">(Ministru kabinetā apstiprināta 2013.gada 16.aprīlī, protokols Nr.20, </w:t>
            </w:r>
            <w:bookmarkStart w:id="2" w:name="61"/>
            <w:r w:rsidR="006478D2" w:rsidRPr="00C7350F">
              <w:rPr>
                <w:sz w:val="28"/>
                <w:szCs w:val="28"/>
              </w:rPr>
              <w:t>61.§</w:t>
            </w:r>
            <w:bookmarkEnd w:id="2"/>
            <w:r w:rsidR="006478D2" w:rsidRPr="00C7350F">
              <w:rPr>
                <w:sz w:val="28"/>
                <w:szCs w:val="28"/>
              </w:rPr>
              <w:t xml:space="preserve">) </w:t>
            </w:r>
            <w:r w:rsidR="004A6592" w:rsidRPr="00C7350F">
              <w:rPr>
                <w:sz w:val="28"/>
                <w:szCs w:val="28"/>
              </w:rPr>
              <w:t xml:space="preserve">paudusi viedokli, ka ir nepieciešams vienots tiesiskais regulējums ES. </w:t>
            </w:r>
          </w:p>
          <w:p w:rsidR="002F5A03" w:rsidRPr="00C7350F" w:rsidRDefault="00265BC8" w:rsidP="005D2B6E">
            <w:pPr>
              <w:pStyle w:val="naiskr"/>
              <w:spacing w:before="0" w:after="0"/>
              <w:ind w:hanging="5"/>
              <w:jc w:val="both"/>
              <w:rPr>
                <w:sz w:val="28"/>
                <w:szCs w:val="28"/>
              </w:rPr>
            </w:pPr>
            <w:r w:rsidRPr="00C7350F">
              <w:rPr>
                <w:sz w:val="28"/>
                <w:szCs w:val="28"/>
              </w:rPr>
              <w:t>Grieķijā elektroniskās cigaretes tiek regulētas tabakas kontroles likumdošanā un tām ir noteikts realizācijas aizliegums. Savukārt, Norvēģijā saskaņā ar tabakas kontroles likumdošanu ir aizliegta jebkādu jaunu tabakas vai nikotīnu saturošu izstrādājumu realizācija. Lietuvas parlamentā šobrīd iesniegti grozījumi tabakas realizācij</w:t>
            </w:r>
            <w:r w:rsidR="00422139" w:rsidRPr="00C7350F">
              <w:rPr>
                <w:sz w:val="28"/>
                <w:szCs w:val="28"/>
              </w:rPr>
              <w:t>as</w:t>
            </w:r>
            <w:r w:rsidRPr="00C7350F">
              <w:rPr>
                <w:sz w:val="28"/>
                <w:szCs w:val="28"/>
              </w:rPr>
              <w:t xml:space="preserve"> likumā, kur paredzēts noteikt tabakas aizstājējproduktu, tostarp elektronisko cigarešu realizācijas aizliegumu</w:t>
            </w:r>
            <w:r w:rsidRPr="00C7350F">
              <w:rPr>
                <w:rStyle w:val="FootnoteReference"/>
                <w:sz w:val="28"/>
                <w:szCs w:val="28"/>
              </w:rPr>
              <w:footnoteReference w:id="30"/>
            </w:r>
            <w:r w:rsidRPr="00C7350F">
              <w:rPr>
                <w:sz w:val="28"/>
                <w:szCs w:val="28"/>
              </w:rPr>
              <w:t>.</w:t>
            </w:r>
            <w:r w:rsidR="00604CA4" w:rsidRPr="00C7350F">
              <w:rPr>
                <w:sz w:val="28"/>
                <w:szCs w:val="28"/>
              </w:rPr>
              <w:t xml:space="preserve"> Norvēģijas piemēram plāno sekot arī Somija, kura nolēmusi tuvākajā laikā sasaukt ekspertu darba gru</w:t>
            </w:r>
            <w:r w:rsidR="00591943" w:rsidRPr="00C7350F">
              <w:rPr>
                <w:sz w:val="28"/>
                <w:szCs w:val="28"/>
              </w:rPr>
              <w:t xml:space="preserve">pu, lai lemtu par </w:t>
            </w:r>
            <w:r w:rsidR="002F5A03" w:rsidRPr="00C7350F">
              <w:rPr>
                <w:sz w:val="28"/>
                <w:szCs w:val="28"/>
              </w:rPr>
              <w:t xml:space="preserve">grozījumiem </w:t>
            </w:r>
            <w:r w:rsidR="00591943" w:rsidRPr="00C7350F">
              <w:rPr>
                <w:sz w:val="28"/>
                <w:szCs w:val="28"/>
              </w:rPr>
              <w:t>ties</w:t>
            </w:r>
            <w:r w:rsidR="002F5A03" w:rsidRPr="00C7350F">
              <w:rPr>
                <w:sz w:val="28"/>
                <w:szCs w:val="28"/>
              </w:rPr>
              <w:t>ību aktos, ar kur</w:t>
            </w:r>
            <w:r w:rsidR="00422139" w:rsidRPr="00C7350F">
              <w:rPr>
                <w:sz w:val="28"/>
                <w:szCs w:val="28"/>
              </w:rPr>
              <w:t>iem</w:t>
            </w:r>
            <w:r w:rsidR="002F5A03" w:rsidRPr="00C7350F">
              <w:rPr>
                <w:sz w:val="28"/>
                <w:szCs w:val="28"/>
              </w:rPr>
              <w:t xml:space="preserve"> tiktu noteikts</w:t>
            </w:r>
            <w:r w:rsidR="00591943" w:rsidRPr="00C7350F">
              <w:rPr>
                <w:sz w:val="28"/>
                <w:szCs w:val="28"/>
              </w:rPr>
              <w:t>, ka jebk</w:t>
            </w:r>
            <w:r w:rsidR="002F5A03" w:rsidRPr="00C7350F">
              <w:rPr>
                <w:sz w:val="28"/>
                <w:szCs w:val="28"/>
              </w:rPr>
              <w:t>ādu jaunu</w:t>
            </w:r>
            <w:r w:rsidR="00591943" w:rsidRPr="00C7350F">
              <w:rPr>
                <w:sz w:val="28"/>
                <w:szCs w:val="28"/>
              </w:rPr>
              <w:t xml:space="preserve"> tabakas un nikotīnu saturoš</w:t>
            </w:r>
            <w:r w:rsidR="00422139" w:rsidRPr="00C7350F">
              <w:rPr>
                <w:sz w:val="28"/>
                <w:szCs w:val="28"/>
              </w:rPr>
              <w:t>u izstrādājumu realizācija</w:t>
            </w:r>
            <w:r w:rsidR="002F5A03" w:rsidRPr="00C7350F">
              <w:rPr>
                <w:sz w:val="28"/>
                <w:szCs w:val="28"/>
              </w:rPr>
              <w:t xml:space="preserve"> Somijas tirgū ir aizliegta. </w:t>
            </w:r>
          </w:p>
          <w:p w:rsidR="008835C7" w:rsidRPr="00C7350F" w:rsidRDefault="00CB54E1" w:rsidP="005D2B6E">
            <w:pPr>
              <w:pStyle w:val="naiskr"/>
              <w:spacing w:before="0" w:after="0"/>
              <w:ind w:hanging="5"/>
              <w:jc w:val="both"/>
              <w:rPr>
                <w:sz w:val="28"/>
                <w:szCs w:val="28"/>
              </w:rPr>
            </w:pPr>
            <w:r w:rsidRPr="00C7350F">
              <w:rPr>
                <w:sz w:val="28"/>
                <w:szCs w:val="28"/>
              </w:rPr>
              <w:t>Lai arī daudzās valstīs (Austrijā, Dānijā, Beļģijā, Igaunijā, Zviedrijā, Vācijā, Somijā, Nīderlandē, Portugālē</w:t>
            </w:r>
            <w:r w:rsidR="002836BD" w:rsidRPr="00C7350F">
              <w:rPr>
                <w:sz w:val="28"/>
                <w:szCs w:val="28"/>
              </w:rPr>
              <w:t>, Lielbritānijā</w:t>
            </w:r>
            <w:r w:rsidRPr="00C7350F">
              <w:rPr>
                <w:sz w:val="28"/>
                <w:szCs w:val="28"/>
              </w:rPr>
              <w:t xml:space="preserve">) nikotīnu saturošas elektroniskās cigaretes tiek uzskatītas par zālēm, nevienā nav izsniegtas licences šo produktu realizācijai atbilstoši zāļu likumdošanai. Tāpat minētajās valstīs nav </w:t>
            </w:r>
            <w:r w:rsidR="002F5A03" w:rsidRPr="00C7350F">
              <w:rPr>
                <w:sz w:val="28"/>
                <w:szCs w:val="28"/>
              </w:rPr>
              <w:t>tiesību aktu</w:t>
            </w:r>
            <w:r w:rsidRPr="00C7350F">
              <w:rPr>
                <w:sz w:val="28"/>
                <w:szCs w:val="28"/>
              </w:rPr>
              <w:t>, kur būtu noteikts, ka šie produkti regulējami kā zāles</w:t>
            </w:r>
            <w:r w:rsidR="00CD236C" w:rsidRPr="00C7350F">
              <w:rPr>
                <w:sz w:val="28"/>
                <w:szCs w:val="28"/>
              </w:rPr>
              <w:t xml:space="preserve">, tāpēc realitātē elektroniskās cigaretes patērētājiem ir brīvi pieejamas. </w:t>
            </w:r>
            <w:r w:rsidR="005A11B1" w:rsidRPr="00C7350F">
              <w:rPr>
                <w:sz w:val="28"/>
                <w:szCs w:val="28"/>
              </w:rPr>
              <w:t>Polijā elektroniskajām cigaretēm noteikts tikai reklāmas a</w:t>
            </w:r>
            <w:r w:rsidR="00387360" w:rsidRPr="00C7350F">
              <w:rPr>
                <w:sz w:val="28"/>
                <w:szCs w:val="28"/>
              </w:rPr>
              <w:t xml:space="preserve">izliegums. Maltā elektroniskās cigaretes tiek regulētas tabakas kontroles </w:t>
            </w:r>
            <w:r w:rsidR="00265BC8" w:rsidRPr="00C7350F">
              <w:rPr>
                <w:sz w:val="28"/>
                <w:szCs w:val="28"/>
              </w:rPr>
              <w:t xml:space="preserve">tiesību aktā </w:t>
            </w:r>
            <w:r w:rsidR="00387360" w:rsidRPr="00C7350F">
              <w:rPr>
                <w:sz w:val="28"/>
                <w:szCs w:val="28"/>
              </w:rPr>
              <w:t xml:space="preserve">un tām noteikti tādi paši realizācijas, reklāmas un </w:t>
            </w:r>
            <w:r w:rsidR="00387360" w:rsidRPr="00C7350F">
              <w:rPr>
                <w:sz w:val="28"/>
                <w:szCs w:val="28"/>
              </w:rPr>
              <w:lastRenderedPageBreak/>
              <w:t xml:space="preserve">lietošanas ierobežojoši pasākumi kā tabakas izstrādājumiem. </w:t>
            </w:r>
            <w:r w:rsidR="002836BD" w:rsidRPr="00C7350F">
              <w:rPr>
                <w:sz w:val="28"/>
                <w:szCs w:val="28"/>
              </w:rPr>
              <w:t xml:space="preserve">Itālijā noteikti tirdzniecības ierobežojumi personām vecumā līdz 16 gadiem. </w:t>
            </w:r>
          </w:p>
          <w:p w:rsidR="005D2B6E" w:rsidRPr="00C7350F" w:rsidRDefault="005D2B6E" w:rsidP="005D2B6E">
            <w:pPr>
              <w:pStyle w:val="naiskr"/>
              <w:spacing w:before="0" w:after="0"/>
              <w:ind w:hanging="5"/>
              <w:jc w:val="both"/>
              <w:rPr>
                <w:sz w:val="28"/>
                <w:szCs w:val="28"/>
              </w:rPr>
            </w:pPr>
          </w:p>
          <w:p w:rsidR="0063453C" w:rsidRPr="00C7350F" w:rsidRDefault="0063453C" w:rsidP="002B7667">
            <w:pPr>
              <w:pStyle w:val="Default"/>
              <w:spacing w:after="27"/>
              <w:jc w:val="both"/>
              <w:rPr>
                <w:sz w:val="28"/>
                <w:szCs w:val="28"/>
                <w:lang w:val="lv-LV"/>
              </w:rPr>
            </w:pPr>
          </w:p>
          <w:p w:rsidR="002B7667" w:rsidRPr="00C7350F" w:rsidRDefault="0063453C" w:rsidP="002B7667">
            <w:pPr>
              <w:pStyle w:val="Default"/>
              <w:spacing w:after="27"/>
              <w:jc w:val="both"/>
              <w:rPr>
                <w:b/>
                <w:sz w:val="28"/>
                <w:szCs w:val="28"/>
                <w:lang w:val="lv-LV"/>
              </w:rPr>
            </w:pPr>
            <w:r w:rsidRPr="00C7350F">
              <w:rPr>
                <w:b/>
                <w:sz w:val="28"/>
                <w:szCs w:val="28"/>
                <w:lang w:val="lv-LV"/>
              </w:rPr>
              <w:t>K</w:t>
            </w:r>
            <w:r w:rsidR="002B7667" w:rsidRPr="00C7350F">
              <w:rPr>
                <w:b/>
                <w:sz w:val="28"/>
                <w:szCs w:val="28"/>
                <w:lang w:val="lv-LV"/>
              </w:rPr>
              <w:t xml:space="preserve">opsavilikums. </w:t>
            </w:r>
          </w:p>
          <w:p w:rsidR="002B7667" w:rsidRPr="00C7350F" w:rsidRDefault="002B7667" w:rsidP="002B7667">
            <w:pPr>
              <w:pStyle w:val="Default"/>
              <w:spacing w:after="27"/>
              <w:jc w:val="both"/>
              <w:rPr>
                <w:sz w:val="28"/>
                <w:szCs w:val="28"/>
                <w:lang w:val="lv-LV"/>
              </w:rPr>
            </w:pPr>
            <w:r w:rsidRPr="00C7350F">
              <w:rPr>
                <w:sz w:val="28"/>
                <w:szCs w:val="28"/>
                <w:lang w:val="lv-LV"/>
              </w:rPr>
              <w:t>1) Kvalitātes standartu un atbilstības novērtējuma trūkuma dēļ tirgū nonāk produkti, par kuriem nav apliecinājuma, ka tie ir droši lietošanai. Arī PVO apliecina, ka nav pierādījumu tam, ka elektroniskās smēķēšanas ierīces būtu lietošanai drošs produkts. Tāpat PVO apliecina, ka šobrīd nav pamata definēt elektroniskās smēķēšanas ierīces kā smēķēšanas atmešanas līdzekli.</w:t>
            </w:r>
          </w:p>
          <w:p w:rsidR="002B7667" w:rsidRPr="00C7350F" w:rsidRDefault="002B7667" w:rsidP="002B7667">
            <w:pPr>
              <w:pStyle w:val="Default"/>
              <w:jc w:val="both"/>
              <w:rPr>
                <w:sz w:val="28"/>
                <w:szCs w:val="28"/>
                <w:lang w:val="lv-LV"/>
              </w:rPr>
            </w:pPr>
            <w:r w:rsidRPr="00C7350F">
              <w:rPr>
                <w:sz w:val="28"/>
                <w:szCs w:val="28"/>
                <w:lang w:val="lv-LV"/>
              </w:rPr>
              <w:t xml:space="preserve">2) Pētījumi apliecina, ka uz iepakojuma norādītie vielu daudzumi, kā arī pašas vielas neatbilst patiesajam elektronisko smēķēšanas ierīču šķidruma sastāvam. Ir apliecinājumi tam, ka nikotīns ir atrasts to elektronisko cigarešu šķidrumos, kur uz iepakojuma norādīts, ka produkts nesatur nikotīnu. Ir pierādījumi tam, </w:t>
            </w:r>
            <w:r w:rsidRPr="00C7350F">
              <w:rPr>
                <w:color w:val="auto"/>
                <w:sz w:val="28"/>
                <w:szCs w:val="28"/>
                <w:lang w:val="lv-LV"/>
              </w:rPr>
              <w:t xml:space="preserve">ka produkti satur virkni citu ķīmisku savienojumu- tostarp dietilēnglikolu (zināms kā augsti toksiska viela), dažādus nitrozamīnus (kancerogēni, kas atrodami tabakā), un citus, cilvēku veselībai kaitējošus ķīmiskus savienojumus. </w:t>
            </w:r>
          </w:p>
          <w:p w:rsidR="002B7667" w:rsidRPr="00C7350F" w:rsidRDefault="002B7667" w:rsidP="002B7667">
            <w:pPr>
              <w:pStyle w:val="Default"/>
              <w:jc w:val="both"/>
              <w:rPr>
                <w:sz w:val="28"/>
                <w:szCs w:val="28"/>
                <w:lang w:val="lv-LV"/>
              </w:rPr>
            </w:pPr>
            <w:r w:rsidRPr="00C7350F">
              <w:rPr>
                <w:sz w:val="28"/>
                <w:szCs w:val="28"/>
                <w:lang w:val="lv-LV"/>
              </w:rPr>
              <w:t xml:space="preserve">3) </w:t>
            </w:r>
            <w:r w:rsidRPr="00C7350F">
              <w:rPr>
                <w:color w:val="auto"/>
                <w:sz w:val="28"/>
                <w:szCs w:val="28"/>
                <w:lang w:val="lv-LV"/>
              </w:rPr>
              <w:t>T</w:t>
            </w:r>
            <w:r w:rsidR="0058697B" w:rsidRPr="00C7350F">
              <w:rPr>
                <w:color w:val="auto"/>
                <w:sz w:val="28"/>
                <w:szCs w:val="28"/>
                <w:lang w:val="lv-LV"/>
              </w:rPr>
              <w:t>r</w:t>
            </w:r>
            <w:r w:rsidRPr="00C7350F">
              <w:rPr>
                <w:color w:val="auto"/>
                <w:sz w:val="28"/>
                <w:szCs w:val="28"/>
                <w:lang w:val="lv-LV"/>
              </w:rPr>
              <w:t xml:space="preserve">ūkst no industrijas neatkarīgu reprezentatīvu epidemioloģisko pētījumu, kas apliecinātu </w:t>
            </w:r>
            <w:r w:rsidR="0058697B" w:rsidRPr="00C7350F">
              <w:rPr>
                <w:color w:val="auto"/>
                <w:sz w:val="28"/>
                <w:szCs w:val="28"/>
                <w:lang w:val="lv-LV"/>
              </w:rPr>
              <w:t xml:space="preserve">produkta ietekmi uz veselību, sevišķi ilgtermiņā. </w:t>
            </w:r>
            <w:r w:rsidRPr="00C7350F">
              <w:rPr>
                <w:color w:val="auto"/>
                <w:sz w:val="28"/>
                <w:szCs w:val="28"/>
                <w:lang w:val="lv-LV"/>
              </w:rPr>
              <w:t>Atsevišķi veiktie pētījumi liecina, ka arī apkārtējiem pastāv risks uzņemt veselībai kaitējošās vielas (pasīvā vielu lietošana), turklāt šobrīd nav pētījumu par šo vielu uzkrāšanos iekštelpās un ietekmi uz veselību. Dažādu ķīmisku savienojumu, sevišķi produktā atrodamo metālu deponēšanās dziļi plaušās rada bažas par iespējamu nopietnu kaitējumu veselībai nākotnē.</w:t>
            </w:r>
          </w:p>
          <w:p w:rsidR="002B7667" w:rsidRPr="00C7350F" w:rsidRDefault="0058697B" w:rsidP="002B7667">
            <w:pPr>
              <w:pStyle w:val="Default"/>
              <w:spacing w:after="27"/>
              <w:jc w:val="both"/>
              <w:rPr>
                <w:color w:val="auto"/>
                <w:sz w:val="28"/>
                <w:szCs w:val="28"/>
                <w:lang w:val="lv-LV"/>
              </w:rPr>
            </w:pPr>
            <w:r w:rsidRPr="00C7350F">
              <w:rPr>
                <w:color w:val="auto"/>
                <w:sz w:val="28"/>
                <w:szCs w:val="28"/>
                <w:lang w:val="lv-LV"/>
              </w:rPr>
              <w:t>4</w:t>
            </w:r>
            <w:r w:rsidR="002B7667" w:rsidRPr="00C7350F">
              <w:rPr>
                <w:color w:val="auto"/>
                <w:sz w:val="28"/>
                <w:szCs w:val="28"/>
                <w:lang w:val="lv-LV"/>
              </w:rPr>
              <w:t xml:space="preserve">) Nepamatotie apgalvojumi par šo produktu drošību vai veselīgākumu attiecībā pret tabakas izstrādājumiem, kā arī cigarešu simulācija var rosināt atsākt smēķēt bijušos smēķētājus, kā arī pievilināt tos patērētājus, kuri vēl pagaidām nav izvēlējušies lietot tabakas izstrādājumus. </w:t>
            </w:r>
            <w:r w:rsidR="007F08BC" w:rsidRPr="00C7350F">
              <w:rPr>
                <w:sz w:val="28"/>
                <w:szCs w:val="28"/>
                <w:lang w:val="lv-LV"/>
              </w:rPr>
              <w:t xml:space="preserve"> </w:t>
            </w:r>
          </w:p>
          <w:p w:rsidR="002B7667" w:rsidRPr="00C7350F" w:rsidRDefault="0058697B" w:rsidP="002B7667">
            <w:pPr>
              <w:pStyle w:val="Default"/>
              <w:jc w:val="both"/>
              <w:rPr>
                <w:color w:val="auto"/>
                <w:sz w:val="28"/>
                <w:szCs w:val="28"/>
                <w:lang w:val="lv-LV"/>
              </w:rPr>
            </w:pPr>
            <w:r w:rsidRPr="00C7350F">
              <w:rPr>
                <w:color w:val="auto"/>
                <w:sz w:val="28"/>
                <w:szCs w:val="28"/>
                <w:lang w:val="lv-LV"/>
              </w:rPr>
              <w:lastRenderedPageBreak/>
              <w:t>5</w:t>
            </w:r>
            <w:r w:rsidR="002B7667" w:rsidRPr="00C7350F">
              <w:rPr>
                <w:color w:val="auto"/>
                <w:sz w:val="28"/>
                <w:szCs w:val="28"/>
                <w:lang w:val="lv-LV"/>
              </w:rPr>
              <w:t xml:space="preserve">) Starptautiskos pētījumos vairākkārt atklātās preču nepilnības, preces satura neatbilstības norādītajam saturam un darbības nepilnības, kā rezultātā var notikt vielu pārdozēšana vai ierīces darbības traucējumi, kas rada apdraudējumu cilvēku veselībai un drošībai, var kalpot par iemeslu apšaubīt preces kvalitāti un drošību, un būt par iemeslu preces tirdzniecības aizliegumam valstī. </w:t>
            </w:r>
          </w:p>
          <w:p w:rsidR="002B7667" w:rsidRPr="00C7350F" w:rsidRDefault="0058697B" w:rsidP="002B7667">
            <w:pPr>
              <w:pStyle w:val="Default"/>
              <w:spacing w:after="27"/>
              <w:jc w:val="both"/>
              <w:rPr>
                <w:color w:val="auto"/>
                <w:sz w:val="28"/>
                <w:szCs w:val="28"/>
                <w:lang w:val="lv-LV"/>
              </w:rPr>
            </w:pPr>
            <w:r w:rsidRPr="00C7350F">
              <w:rPr>
                <w:color w:val="auto"/>
                <w:sz w:val="28"/>
                <w:szCs w:val="28"/>
                <w:lang w:val="lv-LV"/>
              </w:rPr>
              <w:t>6</w:t>
            </w:r>
            <w:r w:rsidR="002B7667" w:rsidRPr="00C7350F">
              <w:rPr>
                <w:color w:val="auto"/>
                <w:sz w:val="28"/>
                <w:szCs w:val="28"/>
                <w:lang w:val="lv-LV"/>
              </w:rPr>
              <w:t xml:space="preserve">) </w:t>
            </w:r>
            <w:r w:rsidRPr="00C7350F">
              <w:rPr>
                <w:color w:val="auto"/>
                <w:sz w:val="28"/>
                <w:szCs w:val="28"/>
                <w:lang w:val="lv-LV"/>
              </w:rPr>
              <w:t xml:space="preserve">Ņemot vērā augstāk minēto informāciju, </w:t>
            </w:r>
            <w:r w:rsidR="00F7393D" w:rsidRPr="00C7350F">
              <w:rPr>
                <w:color w:val="auto"/>
                <w:sz w:val="28"/>
                <w:szCs w:val="28"/>
                <w:lang w:val="lv-LV"/>
              </w:rPr>
              <w:t xml:space="preserve">saskaņā ar PVO 2013.gada jūlijā pausto paziņojumu, </w:t>
            </w:r>
            <w:r w:rsidRPr="00C7350F">
              <w:rPr>
                <w:color w:val="auto"/>
                <w:sz w:val="28"/>
                <w:szCs w:val="28"/>
                <w:lang w:val="lv-LV"/>
              </w:rPr>
              <w:t>kamēr vien nav pieejami zinātniski</w:t>
            </w:r>
            <w:r w:rsidR="00F7393D" w:rsidRPr="00C7350F">
              <w:rPr>
                <w:color w:val="auto"/>
                <w:sz w:val="28"/>
                <w:szCs w:val="28"/>
                <w:lang w:val="lv-LV"/>
              </w:rPr>
              <w:t xml:space="preserve"> pierādījumi </w:t>
            </w:r>
            <w:r w:rsidRPr="00C7350F">
              <w:rPr>
                <w:sz w:val="28"/>
                <w:szCs w:val="28"/>
                <w:lang w:val="lv-LV"/>
              </w:rPr>
              <w:t xml:space="preserve">par elektronisko </w:t>
            </w:r>
            <w:r w:rsidR="00F7393D" w:rsidRPr="00C7350F">
              <w:rPr>
                <w:sz w:val="28"/>
                <w:szCs w:val="28"/>
                <w:lang w:val="lv-LV"/>
              </w:rPr>
              <w:t xml:space="preserve">cigarešu </w:t>
            </w:r>
            <w:r w:rsidRPr="00C7350F">
              <w:rPr>
                <w:sz w:val="28"/>
                <w:szCs w:val="28"/>
                <w:lang w:val="lv-LV"/>
              </w:rPr>
              <w:t xml:space="preserve">ietekmi, drošību un kvalitāti, </w:t>
            </w:r>
            <w:r w:rsidR="00F7393D" w:rsidRPr="00C7350F">
              <w:rPr>
                <w:sz w:val="28"/>
                <w:szCs w:val="28"/>
                <w:lang w:val="lv-LV"/>
              </w:rPr>
              <w:t xml:space="preserve">cilvēki nedrīkt lietot elektroniskās cigaretes. </w:t>
            </w:r>
          </w:p>
          <w:p w:rsidR="001F00B4" w:rsidRPr="00C7350F" w:rsidRDefault="005D2B6E" w:rsidP="002B7667">
            <w:pPr>
              <w:pStyle w:val="Default"/>
              <w:spacing w:after="27"/>
              <w:jc w:val="both"/>
              <w:rPr>
                <w:sz w:val="28"/>
                <w:szCs w:val="28"/>
                <w:lang w:val="lv-LV"/>
              </w:rPr>
            </w:pPr>
            <w:r w:rsidRPr="00C7350F">
              <w:rPr>
                <w:sz w:val="28"/>
                <w:szCs w:val="28"/>
                <w:lang w:val="lv-LV"/>
              </w:rPr>
              <w:t>Ņemot vērā augstāk minēto, darba grupa ir l</w:t>
            </w:r>
            <w:r w:rsidR="002326D5" w:rsidRPr="00C7350F">
              <w:rPr>
                <w:sz w:val="28"/>
                <w:szCs w:val="28"/>
                <w:lang w:val="lv-LV"/>
              </w:rPr>
              <w:t xml:space="preserve">ēmusi, ka nepieciešams noteikt </w:t>
            </w:r>
            <w:r w:rsidRPr="00C7350F">
              <w:rPr>
                <w:sz w:val="28"/>
                <w:szCs w:val="28"/>
                <w:lang w:val="lv-LV"/>
              </w:rPr>
              <w:t xml:space="preserve">elektronisko cigarešu </w:t>
            </w:r>
            <w:r w:rsidR="002B7667" w:rsidRPr="00C7350F">
              <w:rPr>
                <w:sz w:val="28"/>
                <w:szCs w:val="28"/>
                <w:lang w:val="lv-LV"/>
              </w:rPr>
              <w:t xml:space="preserve">un tajās lietojamo šķidrumu </w:t>
            </w:r>
            <w:r w:rsidRPr="00C7350F">
              <w:rPr>
                <w:sz w:val="28"/>
                <w:szCs w:val="28"/>
                <w:lang w:val="lv-LV"/>
              </w:rPr>
              <w:t>realiz</w:t>
            </w:r>
            <w:r w:rsidR="002326D5" w:rsidRPr="00C7350F">
              <w:rPr>
                <w:sz w:val="28"/>
                <w:szCs w:val="28"/>
                <w:lang w:val="lv-LV"/>
              </w:rPr>
              <w:t xml:space="preserve">ācijas aizliegumu </w:t>
            </w:r>
            <w:r w:rsidRPr="00C7350F">
              <w:rPr>
                <w:sz w:val="28"/>
                <w:szCs w:val="28"/>
                <w:lang w:val="lv-LV"/>
              </w:rPr>
              <w:t xml:space="preserve">Latvijā vismaz līdz brīdim, kamēr netiks izstrādāts vienots tiesiskais regulējums ES. </w:t>
            </w:r>
          </w:p>
          <w:p w:rsidR="005D2B6E" w:rsidRPr="00C7350F" w:rsidRDefault="002B7667" w:rsidP="00702A3C">
            <w:pPr>
              <w:pStyle w:val="Default"/>
              <w:spacing w:after="27"/>
              <w:jc w:val="both"/>
              <w:rPr>
                <w:sz w:val="28"/>
                <w:szCs w:val="28"/>
                <w:lang w:val="lv-LV"/>
              </w:rPr>
            </w:pPr>
            <w:r w:rsidRPr="00C7350F">
              <w:rPr>
                <w:sz w:val="28"/>
                <w:szCs w:val="28"/>
                <w:lang w:val="lv-LV"/>
              </w:rPr>
              <w:t xml:space="preserve">Tiesību akta projektā paredzēts definēt gan elektroniskās smēķēšanas ierīces, gan tajās lietojamos šķidrumus. Lai gan aktīvā viela, kas rada apdraudējumu veselībai, ir šķidrums, ņemot vērā, ka tas var būt pievienots jau ražošanas procesā pašā ierīcē, gan klients pats to var pievienot lietošanas laikā, tiek piedāvātas atsevišķas definīcijas. </w:t>
            </w:r>
            <w:r w:rsidR="001F00B4" w:rsidRPr="00C7350F">
              <w:rPr>
                <w:sz w:val="28"/>
                <w:szCs w:val="28"/>
                <w:lang w:val="lv-LV"/>
              </w:rPr>
              <w:t xml:space="preserve">Turklāt ierīce ir radīta tieši šāda šķidruma lietošanai un bez šķidruma tā nevar tikt izmantota. Tāpat tiek grozīts termins „smēķēšana”, </w:t>
            </w:r>
            <w:r w:rsidR="00BC3065" w:rsidRPr="00C7350F">
              <w:rPr>
                <w:sz w:val="28"/>
                <w:szCs w:val="28"/>
                <w:lang w:val="lv-LV"/>
              </w:rPr>
              <w:t xml:space="preserve">attiecinot šo procesu arī uz elektronisko smēķēšanas ierīču lietošanu. Šāds definīcijas papildinājums </w:t>
            </w:r>
            <w:r w:rsidR="00402C9B" w:rsidRPr="00C7350F">
              <w:rPr>
                <w:sz w:val="28"/>
                <w:szCs w:val="28"/>
                <w:lang w:val="lv-LV"/>
              </w:rPr>
              <w:t xml:space="preserve">elektroniskajām smēķēšanas ierīcēm publiskās vietās ļaus noteikt tādus pašus lietošanas ierobežojumus kā tabakas izstrādājumiem. </w:t>
            </w:r>
            <w:r w:rsidR="00702A3C" w:rsidRPr="00C7350F">
              <w:rPr>
                <w:sz w:val="28"/>
                <w:szCs w:val="28"/>
                <w:lang w:val="lv-LV"/>
              </w:rPr>
              <w:t xml:space="preserve">Tiesību akta projekts paredz veikt grozījumus likuma mērķī, lai tvērumā iekļautu arī elektroniskās smēķēšanas ierīces un elektronisko smēķēšanas ierīču šķidrumus. </w:t>
            </w:r>
          </w:p>
          <w:p w:rsidR="00F00A57" w:rsidRPr="00C7350F" w:rsidRDefault="00F00A57" w:rsidP="00325908">
            <w:pPr>
              <w:pStyle w:val="Default"/>
              <w:spacing w:after="27"/>
              <w:jc w:val="both"/>
              <w:rPr>
                <w:sz w:val="28"/>
                <w:szCs w:val="28"/>
                <w:lang w:val="lv-LV"/>
              </w:rPr>
            </w:pPr>
            <w:r w:rsidRPr="00C7350F">
              <w:rPr>
                <w:sz w:val="28"/>
                <w:szCs w:val="28"/>
                <w:lang w:val="lv-LV"/>
              </w:rPr>
              <w:t>Vienlaikus jāatzīmē, ka šobrīd pieejamie pētījumi liecina, ka smēķēšanas atmešanas izredzes, lietojot el</w:t>
            </w:r>
            <w:r w:rsidR="00C03DD8" w:rsidRPr="00C7350F">
              <w:rPr>
                <w:sz w:val="28"/>
                <w:szCs w:val="28"/>
                <w:lang w:val="lv-LV"/>
              </w:rPr>
              <w:t>ektroniskās cigaretes ir  zemas.</w:t>
            </w:r>
            <w:r w:rsidR="00896175" w:rsidRPr="00C7350F">
              <w:rPr>
                <w:sz w:val="28"/>
                <w:szCs w:val="28"/>
                <w:lang w:val="lv-LV"/>
              </w:rPr>
              <w:t xml:space="preserve"> Tomēr </w:t>
            </w:r>
            <w:r w:rsidR="00C03DD8" w:rsidRPr="00C7350F">
              <w:rPr>
                <w:sz w:val="28"/>
                <w:szCs w:val="28"/>
                <w:lang w:val="lv-LV"/>
              </w:rPr>
              <w:t xml:space="preserve">runāt par </w:t>
            </w:r>
            <w:r w:rsidR="00896175" w:rsidRPr="00C7350F">
              <w:rPr>
                <w:sz w:val="28"/>
                <w:szCs w:val="28"/>
                <w:lang w:val="lv-LV"/>
              </w:rPr>
              <w:t xml:space="preserve">pilnvērtīgu </w:t>
            </w:r>
            <w:r w:rsidR="00C03DD8" w:rsidRPr="00C7350F">
              <w:rPr>
                <w:sz w:val="28"/>
                <w:szCs w:val="28"/>
                <w:lang w:val="lv-LV"/>
              </w:rPr>
              <w:t xml:space="preserve">smēķēšanas atmešanas efektu </w:t>
            </w:r>
            <w:r w:rsidR="00896175" w:rsidRPr="00C7350F">
              <w:rPr>
                <w:sz w:val="28"/>
                <w:szCs w:val="28"/>
                <w:lang w:val="lv-LV"/>
              </w:rPr>
              <w:t xml:space="preserve">šobrīd </w:t>
            </w:r>
            <w:r w:rsidR="00C03DD8" w:rsidRPr="00C7350F">
              <w:rPr>
                <w:sz w:val="28"/>
                <w:szCs w:val="28"/>
                <w:lang w:val="lv-LV"/>
              </w:rPr>
              <w:t>nav iespējams, jo</w:t>
            </w:r>
            <w:r w:rsidR="00896175" w:rsidRPr="00C7350F">
              <w:rPr>
                <w:sz w:val="28"/>
                <w:szCs w:val="28"/>
                <w:lang w:val="lv-LV"/>
              </w:rPr>
              <w:t xml:space="preserve">, piemēram, atšķirībā no nikotīna plāksteriem, kas ir reģistrēti kā ārstniecības līdzeklis smēķēšanas atmešanai, elektroniskajām smēķēšanas </w:t>
            </w:r>
            <w:r w:rsidR="00896175" w:rsidRPr="00C7350F">
              <w:rPr>
                <w:sz w:val="28"/>
                <w:szCs w:val="28"/>
                <w:lang w:val="lv-LV"/>
              </w:rPr>
              <w:lastRenderedPageBreak/>
              <w:t xml:space="preserve">ierīcēm </w:t>
            </w:r>
            <w:r w:rsidR="00C03DD8" w:rsidRPr="00C7350F">
              <w:rPr>
                <w:sz w:val="28"/>
                <w:szCs w:val="28"/>
                <w:lang w:val="lv-LV"/>
              </w:rPr>
              <w:t xml:space="preserve">nevienā valstī </w:t>
            </w:r>
            <w:r w:rsidR="00896175" w:rsidRPr="00C7350F">
              <w:rPr>
                <w:sz w:val="28"/>
                <w:szCs w:val="28"/>
                <w:lang w:val="lv-LV"/>
              </w:rPr>
              <w:t xml:space="preserve">līdz šim </w:t>
            </w:r>
            <w:r w:rsidR="00C03DD8" w:rsidRPr="00C7350F">
              <w:rPr>
                <w:sz w:val="28"/>
                <w:szCs w:val="28"/>
                <w:lang w:val="lv-LV"/>
              </w:rPr>
              <w:t xml:space="preserve">nav izsniegtas ārstniecības līdzekļu licences. </w:t>
            </w:r>
            <w:r w:rsidR="00325908" w:rsidRPr="00C7350F">
              <w:rPr>
                <w:sz w:val="28"/>
                <w:szCs w:val="28"/>
                <w:lang w:val="lv-LV"/>
              </w:rPr>
              <w:t xml:space="preserve">Ņemot vērā, ka likumprojektā regulētais subjekts nav ārstniecības līdzeklis, ar to netiek ierobežota šādu produktu realizācijas iespēja, </w:t>
            </w:r>
            <w:r w:rsidRPr="00C7350F">
              <w:rPr>
                <w:sz w:val="28"/>
                <w:szCs w:val="28"/>
                <w:lang w:val="lv-LV"/>
              </w:rPr>
              <w:t>ja</w:t>
            </w:r>
            <w:r w:rsidR="00325908" w:rsidRPr="00C7350F">
              <w:rPr>
                <w:sz w:val="28"/>
                <w:szCs w:val="28"/>
                <w:lang w:val="lv-LV"/>
              </w:rPr>
              <w:t xml:space="preserve"> vien tiek iz</w:t>
            </w:r>
            <w:r w:rsidRPr="00C7350F">
              <w:rPr>
                <w:sz w:val="28"/>
                <w:szCs w:val="28"/>
                <w:lang w:val="lv-LV"/>
              </w:rPr>
              <w:t>pildītas farmācijas jomu regulējošajos tiesību aktos noteiktās prasības.</w:t>
            </w:r>
          </w:p>
        </w:tc>
      </w:tr>
      <w:tr w:rsidR="00896175" w:rsidRPr="001069FC" w:rsidTr="00046A6D">
        <w:trPr>
          <w:trHeight w:val="1071"/>
        </w:trPr>
        <w:tc>
          <w:tcPr>
            <w:tcW w:w="550" w:type="dxa"/>
          </w:tcPr>
          <w:p w:rsidR="00262E2B" w:rsidRPr="001069FC" w:rsidRDefault="00262E2B" w:rsidP="006C4607">
            <w:pPr>
              <w:pStyle w:val="naiskr"/>
              <w:spacing w:before="0" w:after="0"/>
              <w:rPr>
                <w:sz w:val="28"/>
                <w:szCs w:val="28"/>
              </w:rPr>
            </w:pPr>
            <w:r w:rsidRPr="001069FC">
              <w:rPr>
                <w:sz w:val="28"/>
                <w:szCs w:val="28"/>
              </w:rPr>
              <w:lastRenderedPageBreak/>
              <w:t>3.</w:t>
            </w:r>
          </w:p>
        </w:tc>
        <w:tc>
          <w:tcPr>
            <w:tcW w:w="2716" w:type="dxa"/>
          </w:tcPr>
          <w:p w:rsidR="00262E2B" w:rsidRPr="001069FC" w:rsidRDefault="00420870" w:rsidP="006C4607">
            <w:pPr>
              <w:pStyle w:val="naiskr"/>
              <w:spacing w:before="0" w:after="0"/>
              <w:rPr>
                <w:sz w:val="28"/>
                <w:szCs w:val="28"/>
              </w:rPr>
            </w:pPr>
            <w:r w:rsidRPr="001069FC">
              <w:rPr>
                <w:sz w:val="28"/>
                <w:szCs w:val="28"/>
              </w:rPr>
              <w:t>S</w:t>
            </w:r>
            <w:r w:rsidR="000B69CF" w:rsidRPr="001069FC">
              <w:rPr>
                <w:sz w:val="28"/>
                <w:szCs w:val="28"/>
              </w:rPr>
              <w:t xml:space="preserve">aistītie </w:t>
            </w:r>
            <w:r w:rsidR="001A6AE4" w:rsidRPr="001069FC">
              <w:rPr>
                <w:sz w:val="28"/>
                <w:szCs w:val="28"/>
              </w:rPr>
              <w:t>politikas ietekmes novērtējumi</w:t>
            </w:r>
            <w:r w:rsidR="00CB0247" w:rsidRPr="001069FC">
              <w:rPr>
                <w:sz w:val="28"/>
                <w:szCs w:val="28"/>
              </w:rPr>
              <w:t xml:space="preserve"> un</w:t>
            </w:r>
            <w:r w:rsidR="001A6AE4" w:rsidRPr="001069FC">
              <w:rPr>
                <w:sz w:val="28"/>
                <w:szCs w:val="28"/>
              </w:rPr>
              <w:t xml:space="preserve"> </w:t>
            </w:r>
            <w:r w:rsidR="000B69CF" w:rsidRPr="001069FC">
              <w:rPr>
                <w:sz w:val="28"/>
                <w:szCs w:val="28"/>
              </w:rPr>
              <w:t>pētījumi</w:t>
            </w:r>
          </w:p>
        </w:tc>
        <w:tc>
          <w:tcPr>
            <w:tcW w:w="6459" w:type="dxa"/>
          </w:tcPr>
          <w:p w:rsidR="00D20FF4" w:rsidRPr="00896175" w:rsidRDefault="00394516" w:rsidP="005D2B6E">
            <w:pPr>
              <w:pStyle w:val="FootnoteText"/>
              <w:jc w:val="both"/>
              <w:rPr>
                <w:sz w:val="28"/>
                <w:szCs w:val="28"/>
              </w:rPr>
            </w:pPr>
            <w:r w:rsidRPr="00896175">
              <w:rPr>
                <w:sz w:val="28"/>
                <w:szCs w:val="28"/>
              </w:rPr>
              <w:t>Nav attiecināms</w:t>
            </w:r>
            <w:r w:rsidR="005C2678" w:rsidRPr="00896175">
              <w:rPr>
                <w:sz w:val="28"/>
                <w:szCs w:val="28"/>
              </w:rPr>
              <w:t>.</w:t>
            </w:r>
            <w:r w:rsidRPr="00896175">
              <w:rPr>
                <w:sz w:val="28"/>
                <w:szCs w:val="28"/>
              </w:rPr>
              <w:t xml:space="preserve"> </w:t>
            </w:r>
          </w:p>
        </w:tc>
      </w:tr>
      <w:tr w:rsidR="00896175" w:rsidRPr="001069FC" w:rsidTr="00046A6D">
        <w:trPr>
          <w:trHeight w:val="384"/>
        </w:trPr>
        <w:tc>
          <w:tcPr>
            <w:tcW w:w="550" w:type="dxa"/>
          </w:tcPr>
          <w:p w:rsidR="00262E2B" w:rsidRPr="001069FC" w:rsidRDefault="00262E2B" w:rsidP="006C4607">
            <w:pPr>
              <w:pStyle w:val="naiskr"/>
              <w:spacing w:before="0" w:after="0"/>
              <w:rPr>
                <w:sz w:val="28"/>
                <w:szCs w:val="28"/>
              </w:rPr>
            </w:pPr>
            <w:r w:rsidRPr="001069FC">
              <w:rPr>
                <w:sz w:val="28"/>
                <w:szCs w:val="28"/>
              </w:rPr>
              <w:t>4.</w:t>
            </w:r>
          </w:p>
        </w:tc>
        <w:tc>
          <w:tcPr>
            <w:tcW w:w="2716" w:type="dxa"/>
          </w:tcPr>
          <w:p w:rsidR="00262E2B" w:rsidRPr="001069FC" w:rsidRDefault="000C790C" w:rsidP="006C4607">
            <w:pPr>
              <w:pStyle w:val="naiskr"/>
              <w:spacing w:before="0" w:after="0"/>
              <w:rPr>
                <w:sz w:val="28"/>
                <w:szCs w:val="28"/>
              </w:rPr>
            </w:pPr>
            <w:r w:rsidRPr="001069FC">
              <w:rPr>
                <w:sz w:val="28"/>
                <w:szCs w:val="28"/>
              </w:rPr>
              <w:t>Tiesiskā r</w:t>
            </w:r>
            <w:r w:rsidR="00400032" w:rsidRPr="001069FC">
              <w:rPr>
                <w:sz w:val="28"/>
                <w:szCs w:val="28"/>
              </w:rPr>
              <w:t xml:space="preserve">egulējuma </w:t>
            </w:r>
            <w:r w:rsidR="00262E2B" w:rsidRPr="001069FC">
              <w:rPr>
                <w:sz w:val="28"/>
                <w:szCs w:val="28"/>
              </w:rPr>
              <w:t>mērķis un būtība</w:t>
            </w:r>
          </w:p>
        </w:tc>
        <w:tc>
          <w:tcPr>
            <w:tcW w:w="6459" w:type="dxa"/>
          </w:tcPr>
          <w:p w:rsidR="00D15BA3" w:rsidRPr="00F00A57" w:rsidRDefault="00D15BA3" w:rsidP="00CD6F2E">
            <w:pPr>
              <w:pStyle w:val="Default"/>
              <w:spacing w:after="27"/>
              <w:jc w:val="both"/>
              <w:rPr>
                <w:b/>
                <w:sz w:val="28"/>
                <w:szCs w:val="28"/>
                <w:lang w:val="lv-LV"/>
              </w:rPr>
            </w:pPr>
            <w:r w:rsidRPr="00D15BA3">
              <w:rPr>
                <w:sz w:val="28"/>
                <w:szCs w:val="28"/>
                <w:lang w:val="lv-LV"/>
              </w:rPr>
              <w:t>E</w:t>
            </w:r>
            <w:r w:rsidR="00A42D36" w:rsidRPr="00D15BA3">
              <w:rPr>
                <w:sz w:val="28"/>
                <w:szCs w:val="28"/>
                <w:lang w:val="lv-LV"/>
              </w:rPr>
              <w:t>lektronisko cigarešu lietošanas preval</w:t>
            </w:r>
            <w:r>
              <w:rPr>
                <w:sz w:val="28"/>
                <w:szCs w:val="28"/>
                <w:lang w:val="lv-LV"/>
              </w:rPr>
              <w:t>ence pieaug īpaši jauniešu vidū un</w:t>
            </w:r>
            <w:r w:rsidR="00A42D36" w:rsidRPr="00D15BA3">
              <w:rPr>
                <w:sz w:val="28"/>
                <w:szCs w:val="28"/>
                <w:lang w:val="lv-LV"/>
              </w:rPr>
              <w:t xml:space="preserve"> </w:t>
            </w:r>
            <w:r w:rsidR="0015115E" w:rsidRPr="00D15BA3">
              <w:rPr>
                <w:sz w:val="28"/>
                <w:szCs w:val="28"/>
                <w:lang w:val="lv-LV"/>
              </w:rPr>
              <w:t>tām</w:t>
            </w:r>
            <w:r w:rsidR="00A42D36" w:rsidRPr="00D15BA3">
              <w:rPr>
                <w:sz w:val="28"/>
                <w:szCs w:val="28"/>
                <w:lang w:val="lv-LV"/>
              </w:rPr>
              <w:t xml:space="preserve"> nav drošības un kvalitātes standartu, kas apliecinātu, ka</w:t>
            </w:r>
            <w:r w:rsidR="00834CB2" w:rsidRPr="00D15BA3">
              <w:rPr>
                <w:sz w:val="28"/>
                <w:szCs w:val="28"/>
                <w:lang w:val="lv-LV"/>
              </w:rPr>
              <w:t xml:space="preserve"> produkts ir drošs pa</w:t>
            </w:r>
            <w:r>
              <w:rPr>
                <w:sz w:val="28"/>
                <w:szCs w:val="28"/>
                <w:lang w:val="lv-LV"/>
              </w:rPr>
              <w:t>tēriņam. Š</w:t>
            </w:r>
            <w:r w:rsidR="00A42D36" w:rsidRPr="00D15BA3">
              <w:rPr>
                <w:sz w:val="28"/>
                <w:szCs w:val="28"/>
                <w:lang w:val="lv-LV"/>
              </w:rPr>
              <w:t xml:space="preserve">obrīd pieejamie pētījumi liecina par toksisku un kancerogēnu vielu klātbūtni elektronisko cigarešu šķidrumos, </w:t>
            </w:r>
            <w:r w:rsidR="00A42D36" w:rsidRPr="00DE31F5">
              <w:rPr>
                <w:sz w:val="28"/>
                <w:szCs w:val="28"/>
                <w:lang w:val="lv-LV"/>
              </w:rPr>
              <w:t xml:space="preserve">kas var </w:t>
            </w:r>
            <w:r w:rsidR="00053896" w:rsidRPr="00DE31F5">
              <w:rPr>
                <w:sz w:val="28"/>
                <w:szCs w:val="28"/>
                <w:lang w:val="lv-LV"/>
              </w:rPr>
              <w:t>negatīvi ietekmēt</w:t>
            </w:r>
            <w:r w:rsidRPr="00DE31F5">
              <w:rPr>
                <w:sz w:val="28"/>
                <w:szCs w:val="28"/>
                <w:lang w:val="lv-LV"/>
              </w:rPr>
              <w:t xml:space="preserve"> sabiedrības veselību. </w:t>
            </w:r>
            <w:r w:rsidR="00834CB2" w:rsidRPr="00DE31F5">
              <w:rPr>
                <w:sz w:val="28"/>
                <w:szCs w:val="28"/>
                <w:lang w:val="lv-LV"/>
              </w:rPr>
              <w:t xml:space="preserve"> </w:t>
            </w:r>
            <w:r w:rsidR="00F00A57" w:rsidRPr="00DE31F5">
              <w:rPr>
                <w:sz w:val="28"/>
                <w:szCs w:val="28"/>
                <w:lang w:val="lv-LV"/>
              </w:rPr>
              <w:t>Tāpat</w:t>
            </w:r>
            <w:r w:rsidR="007F08BC" w:rsidRPr="00DE31F5">
              <w:rPr>
                <w:sz w:val="28"/>
                <w:szCs w:val="28"/>
                <w:lang w:val="lv-LV"/>
              </w:rPr>
              <w:t xml:space="preserve"> pētījumi liecina, ka jaunieši, kuri lieto elektroniskās cigaretes, visbiežāk arī lieto tabakas izstrādājumus. Arī pieaugušo populācijā tiek novērots augsts duālo lietotāju īpatsvars- tiek lietoti  gan tabakas izstrādājumi, gan elektroniskās cigaretes. Rezultātā patērētāji papildus uzņem gan toksiskas un kancerogēnas vielas, gan vairākkārt palielina nikotīna atkar</w:t>
            </w:r>
            <w:r w:rsidR="00B94FB4" w:rsidRPr="00DE31F5">
              <w:rPr>
                <w:sz w:val="28"/>
                <w:szCs w:val="28"/>
                <w:lang w:val="lv-LV"/>
              </w:rPr>
              <w:t xml:space="preserve">ības risku. </w:t>
            </w:r>
            <w:r w:rsidR="00CD6F2E" w:rsidRPr="00DE31F5">
              <w:rPr>
                <w:sz w:val="28"/>
                <w:szCs w:val="28"/>
                <w:lang w:val="lv-LV"/>
              </w:rPr>
              <w:t>Līdz ar to l</w:t>
            </w:r>
            <w:r w:rsidRPr="00DE31F5">
              <w:rPr>
                <w:sz w:val="28"/>
                <w:szCs w:val="28"/>
                <w:lang w:val="lv-LV"/>
              </w:rPr>
              <w:t>ikumprojekta mērķis ir  mazināt apdraudējumu sabiedrības veselībai un patērētāju drošība</w:t>
            </w:r>
            <w:r w:rsidR="00CD6F2E" w:rsidRPr="00DE31F5">
              <w:rPr>
                <w:sz w:val="28"/>
                <w:szCs w:val="28"/>
                <w:lang w:val="lv-LV"/>
              </w:rPr>
              <w:t xml:space="preserve">i, iegūstot, ka kopienas līmenī, sevišķi jauniešu populācijā </w:t>
            </w:r>
            <w:r w:rsidRPr="00DE31F5">
              <w:rPr>
                <w:sz w:val="28"/>
                <w:szCs w:val="28"/>
                <w:lang w:val="lv-LV"/>
              </w:rPr>
              <w:t>tiek mazināts jaunu nikotīna atkar</w:t>
            </w:r>
            <w:r w:rsidR="00CD6F2E" w:rsidRPr="00DE31F5">
              <w:rPr>
                <w:sz w:val="28"/>
                <w:szCs w:val="28"/>
                <w:lang w:val="lv-LV"/>
              </w:rPr>
              <w:t xml:space="preserve">ības veidošanās gadījumu risks, </w:t>
            </w:r>
            <w:r w:rsidRPr="00DE31F5">
              <w:rPr>
                <w:sz w:val="28"/>
                <w:szCs w:val="28"/>
                <w:lang w:val="lv-LV"/>
              </w:rPr>
              <w:t xml:space="preserve">kā arī kancerogēnu un toksisku </w:t>
            </w:r>
            <w:r w:rsidR="00F00A57" w:rsidRPr="00DE31F5">
              <w:rPr>
                <w:sz w:val="28"/>
                <w:szCs w:val="28"/>
                <w:lang w:val="lv-LV"/>
              </w:rPr>
              <w:t>vielu papildu u</w:t>
            </w:r>
            <w:r w:rsidR="00CD6F2E" w:rsidRPr="00DE31F5">
              <w:rPr>
                <w:sz w:val="28"/>
                <w:szCs w:val="28"/>
                <w:lang w:val="lv-LV"/>
              </w:rPr>
              <w:t xml:space="preserve">zņemšanas </w:t>
            </w:r>
            <w:r w:rsidR="00F00A57" w:rsidRPr="00DE31F5">
              <w:rPr>
                <w:sz w:val="28"/>
                <w:szCs w:val="28"/>
                <w:lang w:val="lv-LV"/>
              </w:rPr>
              <w:t>risks</w:t>
            </w:r>
            <w:r w:rsidR="00CD6F2E" w:rsidRPr="00DE31F5">
              <w:rPr>
                <w:sz w:val="28"/>
                <w:szCs w:val="28"/>
                <w:lang w:val="lv-LV"/>
              </w:rPr>
              <w:t>, kas ļaus ietaupīt veselības aprūpes finanšu resursus un ilgtermiņā pozitīvi ietekmēs valsts ekonomisko attīstību, saglabājot cilvēku veselību un darbaspējas</w:t>
            </w:r>
            <w:r w:rsidR="00F00A57" w:rsidRPr="00DE31F5">
              <w:rPr>
                <w:sz w:val="28"/>
                <w:szCs w:val="28"/>
                <w:lang w:val="lv-LV"/>
              </w:rPr>
              <w:t>.</w:t>
            </w:r>
            <w:r w:rsidR="00CD6F2E" w:rsidRPr="00DE31F5">
              <w:rPr>
                <w:sz w:val="28"/>
                <w:szCs w:val="28"/>
                <w:lang w:val="lv-LV"/>
              </w:rPr>
              <w:t xml:space="preserve"> </w:t>
            </w:r>
            <w:r w:rsidR="00F00A57" w:rsidRPr="00DE31F5">
              <w:rPr>
                <w:sz w:val="28"/>
                <w:szCs w:val="28"/>
                <w:lang w:val="lv-LV"/>
              </w:rPr>
              <w:t xml:space="preserve">Tāpat tiks mazināts arī iespējamo saindēšanās </w:t>
            </w:r>
            <w:r w:rsidRPr="00DE31F5">
              <w:rPr>
                <w:sz w:val="28"/>
                <w:szCs w:val="28"/>
                <w:lang w:val="lv-LV"/>
              </w:rPr>
              <w:t>ar elektronisko smēķēšanas ierīču šķidrumiem</w:t>
            </w:r>
            <w:r w:rsidR="001F569C" w:rsidRPr="00DE31F5">
              <w:rPr>
                <w:sz w:val="28"/>
                <w:szCs w:val="28"/>
                <w:lang w:val="lv-LV"/>
              </w:rPr>
              <w:t xml:space="preserve"> gadījumu risks. </w:t>
            </w:r>
          </w:p>
        </w:tc>
      </w:tr>
      <w:tr w:rsidR="00896175" w:rsidRPr="001069FC" w:rsidTr="00046A6D">
        <w:trPr>
          <w:trHeight w:val="476"/>
        </w:trPr>
        <w:tc>
          <w:tcPr>
            <w:tcW w:w="550" w:type="dxa"/>
          </w:tcPr>
          <w:p w:rsidR="00262E2B" w:rsidRPr="001069FC" w:rsidRDefault="00262E2B" w:rsidP="006C4607">
            <w:pPr>
              <w:pStyle w:val="naiskr"/>
              <w:spacing w:before="0" w:after="0"/>
              <w:rPr>
                <w:sz w:val="28"/>
                <w:szCs w:val="28"/>
              </w:rPr>
            </w:pPr>
            <w:r w:rsidRPr="001069FC">
              <w:rPr>
                <w:sz w:val="28"/>
                <w:szCs w:val="28"/>
              </w:rPr>
              <w:t>5.</w:t>
            </w:r>
          </w:p>
        </w:tc>
        <w:tc>
          <w:tcPr>
            <w:tcW w:w="2716" w:type="dxa"/>
          </w:tcPr>
          <w:p w:rsidR="00262E2B" w:rsidRPr="001069FC" w:rsidRDefault="001A4066" w:rsidP="006E2DBB">
            <w:pPr>
              <w:pStyle w:val="naiskr"/>
              <w:spacing w:before="0" w:after="0"/>
              <w:jc w:val="both"/>
              <w:rPr>
                <w:sz w:val="28"/>
                <w:szCs w:val="28"/>
              </w:rPr>
            </w:pPr>
            <w:r w:rsidRPr="001069FC">
              <w:rPr>
                <w:sz w:val="28"/>
                <w:szCs w:val="28"/>
              </w:rPr>
              <w:t>Projekta i</w:t>
            </w:r>
            <w:r w:rsidR="00262E2B" w:rsidRPr="001069FC">
              <w:rPr>
                <w:sz w:val="28"/>
                <w:szCs w:val="28"/>
              </w:rPr>
              <w:t>zstrād</w:t>
            </w:r>
            <w:r w:rsidR="00420870" w:rsidRPr="001069FC">
              <w:rPr>
                <w:sz w:val="28"/>
                <w:szCs w:val="28"/>
              </w:rPr>
              <w:t xml:space="preserve">ē </w:t>
            </w:r>
            <w:r w:rsidR="00262E2B" w:rsidRPr="001069FC">
              <w:rPr>
                <w:sz w:val="28"/>
                <w:szCs w:val="28"/>
              </w:rPr>
              <w:t>iesaistītās institūcijas</w:t>
            </w:r>
          </w:p>
        </w:tc>
        <w:tc>
          <w:tcPr>
            <w:tcW w:w="6459" w:type="dxa"/>
          </w:tcPr>
          <w:p w:rsidR="00262E2B" w:rsidRPr="001069FC" w:rsidRDefault="00824B04" w:rsidP="006E2DBB">
            <w:pPr>
              <w:pStyle w:val="naiskr"/>
              <w:spacing w:before="0" w:after="0"/>
              <w:jc w:val="both"/>
              <w:rPr>
                <w:sz w:val="28"/>
                <w:szCs w:val="28"/>
              </w:rPr>
            </w:pPr>
            <w:r w:rsidRPr="001069FC">
              <w:rPr>
                <w:sz w:val="28"/>
                <w:szCs w:val="28"/>
              </w:rPr>
              <w:t xml:space="preserve">Ekonomikas ministrija, Finanšu ministrija, Valsts ieņēmumu dienests, Labklājības ministrija, Iekšlietu ministrija, Valsts policija, Zāļu valsts aģentūra, Slimību profilakses un kontroles centrs, </w:t>
            </w:r>
            <w:r w:rsidR="002778FB" w:rsidRPr="001069FC">
              <w:rPr>
                <w:sz w:val="28"/>
                <w:szCs w:val="28"/>
              </w:rPr>
              <w:t xml:space="preserve">Patērētāju tiesību aizsardzības centrs, </w:t>
            </w:r>
            <w:r w:rsidRPr="001069FC">
              <w:rPr>
                <w:sz w:val="28"/>
                <w:szCs w:val="28"/>
              </w:rPr>
              <w:t xml:space="preserve">Latvijas Ārstu biedrība.  </w:t>
            </w:r>
          </w:p>
        </w:tc>
      </w:tr>
      <w:tr w:rsidR="00896175" w:rsidRPr="001069FC" w:rsidTr="00046A6D">
        <w:trPr>
          <w:trHeight w:val="1340"/>
        </w:trPr>
        <w:tc>
          <w:tcPr>
            <w:tcW w:w="550" w:type="dxa"/>
          </w:tcPr>
          <w:p w:rsidR="00262E2B" w:rsidRPr="001069FC" w:rsidRDefault="00262E2B" w:rsidP="006C4607">
            <w:pPr>
              <w:pStyle w:val="naiskr"/>
              <w:spacing w:before="0" w:after="0"/>
              <w:rPr>
                <w:sz w:val="28"/>
                <w:szCs w:val="28"/>
              </w:rPr>
            </w:pPr>
            <w:r w:rsidRPr="001069FC">
              <w:rPr>
                <w:sz w:val="28"/>
                <w:szCs w:val="28"/>
              </w:rPr>
              <w:lastRenderedPageBreak/>
              <w:t>6.</w:t>
            </w:r>
          </w:p>
        </w:tc>
        <w:tc>
          <w:tcPr>
            <w:tcW w:w="2716" w:type="dxa"/>
          </w:tcPr>
          <w:p w:rsidR="00262E2B" w:rsidRPr="001069FC" w:rsidRDefault="00BB7C94" w:rsidP="006C4607">
            <w:pPr>
              <w:pStyle w:val="naiskr"/>
              <w:spacing w:before="0" w:after="0"/>
              <w:rPr>
                <w:i/>
                <w:sz w:val="28"/>
                <w:szCs w:val="28"/>
                <w:highlight w:val="yellow"/>
              </w:rPr>
            </w:pPr>
            <w:r w:rsidRPr="001069FC">
              <w:rPr>
                <w:sz w:val="28"/>
                <w:szCs w:val="28"/>
              </w:rPr>
              <w:t xml:space="preserve">Iemesli, kādēļ netika nodrošināta </w:t>
            </w:r>
            <w:r w:rsidR="00262E2B" w:rsidRPr="001069FC">
              <w:rPr>
                <w:sz w:val="28"/>
                <w:szCs w:val="28"/>
              </w:rPr>
              <w:t xml:space="preserve">sabiedrības </w:t>
            </w:r>
            <w:r w:rsidRPr="001069FC">
              <w:rPr>
                <w:sz w:val="28"/>
                <w:szCs w:val="28"/>
              </w:rPr>
              <w:t>līdzdalība</w:t>
            </w:r>
          </w:p>
        </w:tc>
        <w:tc>
          <w:tcPr>
            <w:tcW w:w="6459" w:type="dxa"/>
          </w:tcPr>
          <w:p w:rsidR="00D20FF4" w:rsidRPr="001069FC" w:rsidRDefault="000B642F" w:rsidP="006C4607">
            <w:pPr>
              <w:pStyle w:val="FootnoteText"/>
              <w:rPr>
                <w:sz w:val="28"/>
                <w:szCs w:val="28"/>
              </w:rPr>
            </w:pPr>
            <w:r w:rsidRPr="001069FC">
              <w:rPr>
                <w:sz w:val="28"/>
                <w:szCs w:val="28"/>
              </w:rPr>
              <w:t>Projekts šo jomu neskar.</w:t>
            </w:r>
          </w:p>
        </w:tc>
      </w:tr>
      <w:tr w:rsidR="00896175" w:rsidRPr="001069FC" w:rsidTr="00046A6D">
        <w:tc>
          <w:tcPr>
            <w:tcW w:w="550" w:type="dxa"/>
          </w:tcPr>
          <w:p w:rsidR="00262E2B" w:rsidRPr="001069FC" w:rsidRDefault="00262E2B" w:rsidP="006C4607">
            <w:pPr>
              <w:pStyle w:val="naiskr"/>
              <w:spacing w:before="0" w:after="0"/>
              <w:rPr>
                <w:sz w:val="28"/>
                <w:szCs w:val="28"/>
              </w:rPr>
            </w:pPr>
            <w:r w:rsidRPr="001069FC">
              <w:rPr>
                <w:sz w:val="28"/>
                <w:szCs w:val="28"/>
              </w:rPr>
              <w:t>7.</w:t>
            </w:r>
          </w:p>
        </w:tc>
        <w:tc>
          <w:tcPr>
            <w:tcW w:w="2716" w:type="dxa"/>
          </w:tcPr>
          <w:p w:rsidR="00262E2B" w:rsidRPr="001069FC" w:rsidRDefault="00262E2B" w:rsidP="006C4607">
            <w:pPr>
              <w:pStyle w:val="naiskr"/>
              <w:spacing w:before="0" w:after="0"/>
              <w:rPr>
                <w:sz w:val="28"/>
                <w:szCs w:val="28"/>
              </w:rPr>
            </w:pPr>
            <w:r w:rsidRPr="001069FC">
              <w:rPr>
                <w:sz w:val="28"/>
                <w:szCs w:val="28"/>
              </w:rPr>
              <w:t>Cita informācija</w:t>
            </w:r>
          </w:p>
        </w:tc>
        <w:tc>
          <w:tcPr>
            <w:tcW w:w="6459" w:type="dxa"/>
          </w:tcPr>
          <w:p w:rsidR="00262E2B" w:rsidRPr="001069FC" w:rsidRDefault="00262E2B" w:rsidP="006C4607">
            <w:pPr>
              <w:pStyle w:val="naiskr"/>
              <w:spacing w:before="0" w:after="0"/>
              <w:rPr>
                <w:sz w:val="28"/>
                <w:szCs w:val="28"/>
              </w:rPr>
            </w:pPr>
            <w:r w:rsidRPr="001069FC">
              <w:rPr>
                <w:sz w:val="28"/>
                <w:szCs w:val="28"/>
              </w:rPr>
              <w:t>Nav</w:t>
            </w:r>
            <w:r w:rsidR="000B642F" w:rsidRPr="001069FC">
              <w:rPr>
                <w:sz w:val="28"/>
                <w:szCs w:val="28"/>
              </w:rPr>
              <w:t>.</w:t>
            </w:r>
          </w:p>
        </w:tc>
      </w:tr>
    </w:tbl>
    <w:p w:rsidR="001D7CA2" w:rsidRDefault="001D7CA2" w:rsidP="0083113F">
      <w:pPr>
        <w:pStyle w:val="naisf"/>
        <w:spacing w:before="0" w:after="0"/>
        <w:ind w:firstLine="0"/>
        <w:rPr>
          <w:sz w:val="28"/>
          <w:szCs w:val="28"/>
        </w:rPr>
      </w:pPr>
    </w:p>
    <w:p w:rsidR="00325908" w:rsidRDefault="00325908" w:rsidP="0083113F">
      <w:pPr>
        <w:pStyle w:val="naisf"/>
        <w:spacing w:before="0" w:after="0"/>
        <w:ind w:firstLine="0"/>
        <w:rPr>
          <w:sz w:val="28"/>
          <w:szCs w:val="28"/>
        </w:rPr>
      </w:pPr>
    </w:p>
    <w:p w:rsidR="00325908" w:rsidRPr="001069FC" w:rsidRDefault="00325908" w:rsidP="0083113F">
      <w:pPr>
        <w:pStyle w:val="naisf"/>
        <w:spacing w:before="0" w:after="0"/>
        <w:ind w:firstLine="0"/>
        <w:rPr>
          <w:sz w:val="28"/>
          <w:szCs w:val="2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3"/>
        <w:gridCol w:w="4106"/>
        <w:gridCol w:w="4442"/>
      </w:tblGrid>
      <w:tr w:rsidR="0062298A" w:rsidRPr="001069FC" w:rsidTr="00046A6D">
        <w:tc>
          <w:tcPr>
            <w:tcW w:w="9758" w:type="dxa"/>
            <w:gridSpan w:val="3"/>
            <w:vAlign w:val="center"/>
          </w:tcPr>
          <w:p w:rsidR="0062298A" w:rsidRPr="001069FC" w:rsidRDefault="0062298A" w:rsidP="006C4607">
            <w:pPr>
              <w:pStyle w:val="naisnod"/>
              <w:spacing w:before="0" w:after="0"/>
              <w:rPr>
                <w:sz w:val="28"/>
                <w:szCs w:val="28"/>
              </w:rPr>
            </w:pPr>
            <w:r w:rsidRPr="001069FC">
              <w:rPr>
                <w:sz w:val="28"/>
                <w:szCs w:val="28"/>
              </w:rPr>
              <w:t>II</w:t>
            </w:r>
            <w:r w:rsidR="000941C5" w:rsidRPr="001069FC">
              <w:rPr>
                <w:sz w:val="28"/>
                <w:szCs w:val="28"/>
              </w:rPr>
              <w:t>.</w:t>
            </w:r>
            <w:r w:rsidRPr="001069FC">
              <w:rPr>
                <w:sz w:val="28"/>
                <w:szCs w:val="28"/>
              </w:rPr>
              <w:t xml:space="preserve"> Tiesību akta projekta ietekme uz sabiedrību</w:t>
            </w:r>
          </w:p>
        </w:tc>
      </w:tr>
      <w:tr w:rsidR="0062298A" w:rsidRPr="001069FC" w:rsidTr="00046A6D">
        <w:trPr>
          <w:trHeight w:val="467"/>
        </w:trPr>
        <w:tc>
          <w:tcPr>
            <w:tcW w:w="572" w:type="dxa"/>
          </w:tcPr>
          <w:p w:rsidR="0062298A" w:rsidRPr="001069FC" w:rsidRDefault="0062298A" w:rsidP="006C4607">
            <w:pPr>
              <w:pStyle w:val="naiskr"/>
              <w:spacing w:before="0" w:after="0"/>
              <w:rPr>
                <w:sz w:val="28"/>
                <w:szCs w:val="28"/>
              </w:rPr>
            </w:pPr>
            <w:r w:rsidRPr="001069FC">
              <w:rPr>
                <w:sz w:val="28"/>
                <w:szCs w:val="28"/>
              </w:rPr>
              <w:t>1.</w:t>
            </w:r>
          </w:p>
        </w:tc>
        <w:tc>
          <w:tcPr>
            <w:tcW w:w="4395" w:type="dxa"/>
          </w:tcPr>
          <w:p w:rsidR="0062298A" w:rsidRPr="001069FC" w:rsidRDefault="00C27A08" w:rsidP="006C4607">
            <w:pPr>
              <w:pStyle w:val="naiskr"/>
              <w:spacing w:before="0" w:after="0"/>
              <w:rPr>
                <w:sz w:val="28"/>
                <w:szCs w:val="28"/>
              </w:rPr>
            </w:pPr>
            <w:r w:rsidRPr="001069FC">
              <w:rPr>
                <w:sz w:val="28"/>
                <w:szCs w:val="28"/>
              </w:rPr>
              <w:t>Sabiedrības mērķgrupa</w:t>
            </w:r>
          </w:p>
        </w:tc>
        <w:tc>
          <w:tcPr>
            <w:tcW w:w="4791" w:type="dxa"/>
          </w:tcPr>
          <w:p w:rsidR="0062298A" w:rsidRPr="001069FC" w:rsidRDefault="00696EAF" w:rsidP="00696EAF">
            <w:pPr>
              <w:jc w:val="both"/>
              <w:rPr>
                <w:color w:val="000000"/>
                <w:sz w:val="28"/>
                <w:szCs w:val="28"/>
              </w:rPr>
            </w:pPr>
            <w:r w:rsidRPr="001069FC">
              <w:rPr>
                <w:iCs/>
                <w:sz w:val="28"/>
                <w:szCs w:val="28"/>
              </w:rPr>
              <w:t>Latvijas iedzīvotāji (skaits 2 072 855</w:t>
            </w:r>
            <w:r w:rsidRPr="001069FC">
              <w:rPr>
                <w:rStyle w:val="FootnoteReference"/>
                <w:iCs/>
                <w:sz w:val="28"/>
                <w:szCs w:val="28"/>
              </w:rPr>
              <w:footnoteReference w:id="31"/>
            </w:r>
            <w:r w:rsidRPr="001069FC">
              <w:rPr>
                <w:iCs/>
                <w:sz w:val="28"/>
                <w:szCs w:val="28"/>
              </w:rPr>
              <w:t>), sevišķi  bērni (402 728</w:t>
            </w:r>
            <w:r w:rsidRPr="001069FC">
              <w:rPr>
                <w:rStyle w:val="FootnoteReference"/>
                <w:iCs/>
                <w:sz w:val="28"/>
                <w:szCs w:val="28"/>
              </w:rPr>
              <w:footnoteReference w:id="32"/>
            </w:r>
            <w:r w:rsidRPr="001069FC">
              <w:rPr>
                <w:iCs/>
                <w:sz w:val="28"/>
                <w:szCs w:val="28"/>
              </w:rPr>
              <w:t xml:space="preserve">) un jaunieši līdz 25 gadu vecumam (vairāk kā </w:t>
            </w:r>
            <w:r w:rsidRPr="001069FC">
              <w:rPr>
                <w:color w:val="000000"/>
                <w:sz w:val="28"/>
                <w:szCs w:val="28"/>
              </w:rPr>
              <w:t>150 000 jaunieši</w:t>
            </w:r>
            <w:r w:rsidRPr="001069FC">
              <w:rPr>
                <w:rStyle w:val="FootnoteReference"/>
                <w:color w:val="000000"/>
                <w:sz w:val="28"/>
                <w:szCs w:val="28"/>
              </w:rPr>
              <w:footnoteReference w:id="33"/>
            </w:r>
            <w:r w:rsidRPr="001069FC">
              <w:rPr>
                <w:color w:val="000000"/>
                <w:sz w:val="28"/>
                <w:szCs w:val="28"/>
              </w:rPr>
              <w:t xml:space="preserve">). </w:t>
            </w:r>
          </w:p>
          <w:p w:rsidR="00696EAF" w:rsidRPr="001069FC" w:rsidRDefault="00696EAF" w:rsidP="00696EAF">
            <w:pPr>
              <w:jc w:val="both"/>
              <w:rPr>
                <w:iCs/>
                <w:sz w:val="28"/>
                <w:szCs w:val="28"/>
              </w:rPr>
            </w:pPr>
            <w:r w:rsidRPr="001069FC">
              <w:rPr>
                <w:color w:val="000000"/>
                <w:sz w:val="28"/>
                <w:szCs w:val="28"/>
              </w:rPr>
              <w:t xml:space="preserve">Elektronisko cigarešu ražotāji un izplatītāji. </w:t>
            </w:r>
          </w:p>
        </w:tc>
      </w:tr>
      <w:tr w:rsidR="0062298A" w:rsidRPr="001069FC" w:rsidTr="00046A6D">
        <w:trPr>
          <w:trHeight w:val="523"/>
        </w:trPr>
        <w:tc>
          <w:tcPr>
            <w:tcW w:w="572" w:type="dxa"/>
          </w:tcPr>
          <w:p w:rsidR="0062298A" w:rsidRPr="001069FC" w:rsidRDefault="0062298A" w:rsidP="006C4607">
            <w:pPr>
              <w:pStyle w:val="naiskr"/>
              <w:spacing w:before="0" w:after="0"/>
              <w:rPr>
                <w:sz w:val="28"/>
                <w:szCs w:val="28"/>
              </w:rPr>
            </w:pPr>
            <w:r w:rsidRPr="001069FC">
              <w:rPr>
                <w:sz w:val="28"/>
                <w:szCs w:val="28"/>
              </w:rPr>
              <w:t>2.</w:t>
            </w:r>
          </w:p>
        </w:tc>
        <w:tc>
          <w:tcPr>
            <w:tcW w:w="4395" w:type="dxa"/>
          </w:tcPr>
          <w:p w:rsidR="00C1133D" w:rsidRPr="001069FC" w:rsidRDefault="00C27A08" w:rsidP="006C4607">
            <w:pPr>
              <w:pStyle w:val="naiskr"/>
              <w:spacing w:before="0" w:after="0"/>
              <w:rPr>
                <w:sz w:val="28"/>
                <w:szCs w:val="28"/>
              </w:rPr>
            </w:pPr>
            <w:r w:rsidRPr="001069FC">
              <w:rPr>
                <w:sz w:val="28"/>
                <w:szCs w:val="28"/>
              </w:rPr>
              <w:t>Citas sabiedrības grupas (bez mērķgrupas), kuras tiesiskais regulējums arī ietekmē vai varētu ietekmēt</w:t>
            </w:r>
          </w:p>
        </w:tc>
        <w:tc>
          <w:tcPr>
            <w:tcW w:w="4791" w:type="dxa"/>
          </w:tcPr>
          <w:p w:rsidR="0062298A" w:rsidRPr="001069FC" w:rsidRDefault="008D7143" w:rsidP="008D7143">
            <w:pPr>
              <w:pStyle w:val="naiskr"/>
              <w:spacing w:before="0" w:after="0"/>
              <w:rPr>
                <w:sz w:val="28"/>
                <w:szCs w:val="28"/>
              </w:rPr>
            </w:pPr>
            <w:r w:rsidRPr="001069FC">
              <w:rPr>
                <w:sz w:val="28"/>
                <w:szCs w:val="28"/>
              </w:rPr>
              <w:t xml:space="preserve">Valsts policija- likumā iestrādāto normu kontroles funkcija. </w:t>
            </w:r>
          </w:p>
        </w:tc>
      </w:tr>
      <w:tr w:rsidR="0062298A" w:rsidRPr="001069FC" w:rsidTr="00046A6D">
        <w:trPr>
          <w:trHeight w:val="517"/>
        </w:trPr>
        <w:tc>
          <w:tcPr>
            <w:tcW w:w="572" w:type="dxa"/>
          </w:tcPr>
          <w:p w:rsidR="0062298A" w:rsidRPr="001069FC" w:rsidRDefault="0062298A" w:rsidP="006C4607">
            <w:pPr>
              <w:pStyle w:val="naiskr"/>
              <w:spacing w:before="0" w:after="0"/>
              <w:rPr>
                <w:sz w:val="28"/>
                <w:szCs w:val="28"/>
              </w:rPr>
            </w:pPr>
            <w:r w:rsidRPr="001069FC">
              <w:rPr>
                <w:sz w:val="28"/>
                <w:szCs w:val="28"/>
              </w:rPr>
              <w:t>3.</w:t>
            </w:r>
          </w:p>
        </w:tc>
        <w:tc>
          <w:tcPr>
            <w:tcW w:w="4395" w:type="dxa"/>
          </w:tcPr>
          <w:p w:rsidR="00C1133D" w:rsidRPr="001069FC" w:rsidRDefault="000C790C" w:rsidP="006C4607">
            <w:pPr>
              <w:pStyle w:val="naiskr"/>
              <w:spacing w:before="0" w:after="0"/>
              <w:rPr>
                <w:sz w:val="28"/>
                <w:szCs w:val="28"/>
              </w:rPr>
            </w:pPr>
            <w:r w:rsidRPr="001069FC">
              <w:rPr>
                <w:sz w:val="28"/>
                <w:szCs w:val="28"/>
              </w:rPr>
              <w:t>Tiesiskā r</w:t>
            </w:r>
            <w:r w:rsidR="003D21FF" w:rsidRPr="001069FC">
              <w:rPr>
                <w:sz w:val="28"/>
                <w:szCs w:val="28"/>
              </w:rPr>
              <w:t>egulējuma</w:t>
            </w:r>
            <w:r w:rsidR="00C27A08" w:rsidRPr="001069FC">
              <w:rPr>
                <w:sz w:val="28"/>
                <w:szCs w:val="28"/>
              </w:rPr>
              <w:t xml:space="preserve"> finansiālā ietekme</w:t>
            </w:r>
          </w:p>
        </w:tc>
        <w:tc>
          <w:tcPr>
            <w:tcW w:w="4791" w:type="dxa"/>
          </w:tcPr>
          <w:p w:rsidR="0062298A" w:rsidRPr="001069FC" w:rsidRDefault="008D7143" w:rsidP="005D289A">
            <w:pPr>
              <w:pStyle w:val="naiskr"/>
              <w:spacing w:before="0" w:after="0"/>
              <w:jc w:val="both"/>
              <w:rPr>
                <w:sz w:val="28"/>
                <w:szCs w:val="28"/>
              </w:rPr>
            </w:pPr>
            <w:r w:rsidRPr="001069FC">
              <w:rPr>
                <w:sz w:val="28"/>
                <w:szCs w:val="28"/>
              </w:rPr>
              <w:t>Ņemot vērā, ka produkts tirgū ir salīdzino</w:t>
            </w:r>
            <w:r w:rsidR="005D289A" w:rsidRPr="001069FC">
              <w:rPr>
                <w:sz w:val="28"/>
                <w:szCs w:val="28"/>
              </w:rPr>
              <w:t xml:space="preserve">ši nesen, </w:t>
            </w:r>
            <w:r w:rsidR="00696EAF" w:rsidRPr="001069FC">
              <w:rPr>
                <w:sz w:val="28"/>
                <w:szCs w:val="28"/>
              </w:rPr>
              <w:t>Veselības ministrijas rīcībā nav pieejami attiecīgie aprēķini.</w:t>
            </w:r>
          </w:p>
        </w:tc>
      </w:tr>
      <w:tr w:rsidR="00C27A08" w:rsidRPr="001069FC" w:rsidTr="00046A6D">
        <w:trPr>
          <w:trHeight w:val="517"/>
        </w:trPr>
        <w:tc>
          <w:tcPr>
            <w:tcW w:w="572" w:type="dxa"/>
          </w:tcPr>
          <w:p w:rsidR="00C27A08" w:rsidRPr="001069FC" w:rsidRDefault="00C27A08" w:rsidP="006C4607">
            <w:pPr>
              <w:pStyle w:val="naiskr"/>
              <w:spacing w:before="0" w:after="0"/>
              <w:rPr>
                <w:sz w:val="28"/>
                <w:szCs w:val="28"/>
              </w:rPr>
            </w:pPr>
            <w:r w:rsidRPr="001069FC">
              <w:rPr>
                <w:sz w:val="28"/>
                <w:szCs w:val="28"/>
              </w:rPr>
              <w:t>4.</w:t>
            </w:r>
          </w:p>
        </w:tc>
        <w:tc>
          <w:tcPr>
            <w:tcW w:w="4395" w:type="dxa"/>
          </w:tcPr>
          <w:p w:rsidR="00C27A08" w:rsidRPr="001069FC" w:rsidRDefault="00C27A08" w:rsidP="006C4607">
            <w:pPr>
              <w:pStyle w:val="naiskr"/>
              <w:spacing w:before="0" w:after="0"/>
              <w:rPr>
                <w:sz w:val="28"/>
                <w:szCs w:val="28"/>
              </w:rPr>
            </w:pPr>
            <w:r w:rsidRPr="001069FC">
              <w:rPr>
                <w:sz w:val="28"/>
                <w:szCs w:val="28"/>
              </w:rPr>
              <w:t>Tiesiskā regulējuma nefinansiālā ietekme</w:t>
            </w:r>
          </w:p>
        </w:tc>
        <w:tc>
          <w:tcPr>
            <w:tcW w:w="4791" w:type="dxa"/>
          </w:tcPr>
          <w:p w:rsidR="00C27A08" w:rsidRPr="001069FC" w:rsidRDefault="00696EAF" w:rsidP="00803E95">
            <w:pPr>
              <w:pStyle w:val="naiskr"/>
              <w:spacing w:before="0" w:after="0"/>
              <w:jc w:val="both"/>
              <w:rPr>
                <w:sz w:val="28"/>
                <w:szCs w:val="28"/>
              </w:rPr>
            </w:pPr>
            <w:r w:rsidRPr="001069FC">
              <w:rPr>
                <w:sz w:val="28"/>
                <w:szCs w:val="28"/>
              </w:rPr>
              <w:t>Tiks ierobežota atkarību izraisoša, lietošanai nedroša produkta izplatība sabiedrībā</w:t>
            </w:r>
            <w:r w:rsidR="00B2437D" w:rsidRPr="001069FC">
              <w:rPr>
                <w:sz w:val="28"/>
                <w:szCs w:val="28"/>
              </w:rPr>
              <w:t>, sevišķi jauniešu populācijā</w:t>
            </w:r>
            <w:r w:rsidRPr="001069FC">
              <w:rPr>
                <w:sz w:val="28"/>
                <w:szCs w:val="28"/>
              </w:rPr>
              <w:t xml:space="preserve">. </w:t>
            </w:r>
            <w:r w:rsidR="003331A2" w:rsidRPr="001069FC">
              <w:rPr>
                <w:sz w:val="28"/>
                <w:szCs w:val="28"/>
              </w:rPr>
              <w:t>Tiks samazināta elektronisko smēķēšanas ierīču industrijas ietekme uz potenciālajiem produkta lietotājiem, kuri vēl šobrīd nesmēķē, bet varētu uzsākt lietot elektroniskās smēķēšanas ierīces</w:t>
            </w:r>
            <w:r w:rsidR="00DF410D" w:rsidRPr="001069FC">
              <w:rPr>
                <w:sz w:val="28"/>
                <w:szCs w:val="28"/>
              </w:rPr>
              <w:t xml:space="preserve">. Tiesiskais regulējums </w:t>
            </w:r>
            <w:r w:rsidR="00803E95">
              <w:rPr>
                <w:sz w:val="28"/>
                <w:szCs w:val="28"/>
              </w:rPr>
              <w:t>mazinās risku</w:t>
            </w:r>
            <w:r w:rsidR="00DF410D" w:rsidRPr="001069FC">
              <w:rPr>
                <w:sz w:val="28"/>
                <w:szCs w:val="28"/>
              </w:rPr>
              <w:t xml:space="preserve"> patērētāji</w:t>
            </w:r>
            <w:r w:rsidR="00803E95">
              <w:rPr>
                <w:sz w:val="28"/>
                <w:szCs w:val="28"/>
              </w:rPr>
              <w:t>em</w:t>
            </w:r>
            <w:r w:rsidR="00DF410D" w:rsidRPr="001069FC">
              <w:rPr>
                <w:sz w:val="28"/>
                <w:szCs w:val="28"/>
              </w:rPr>
              <w:t xml:space="preserve"> vienlaikus lieto</w:t>
            </w:r>
            <w:r w:rsidR="00803E95">
              <w:rPr>
                <w:sz w:val="28"/>
                <w:szCs w:val="28"/>
              </w:rPr>
              <w:t>t</w:t>
            </w:r>
            <w:r w:rsidR="00DF410D" w:rsidRPr="001069FC">
              <w:rPr>
                <w:sz w:val="28"/>
                <w:szCs w:val="28"/>
              </w:rPr>
              <w:t xml:space="preserve"> gan elektroniskās smēķēšanas ierīces, gan tabakas izstrādājumus, tādejādi uzņemot nikotīnu lielos daudzumos. </w:t>
            </w:r>
            <w:r w:rsidR="00DA0D80" w:rsidRPr="001069FC">
              <w:rPr>
                <w:sz w:val="28"/>
                <w:szCs w:val="28"/>
              </w:rPr>
              <w:t xml:space="preserve">Rezultātā tiesiskais regulējums dos ieguldījumu sabiedrības veselībā, ļaus ietaupīt veselības aprūpes budžeta izmaksas. </w:t>
            </w:r>
          </w:p>
        </w:tc>
      </w:tr>
      <w:tr w:rsidR="0062298A" w:rsidRPr="001069FC" w:rsidTr="00046A6D">
        <w:trPr>
          <w:trHeight w:val="531"/>
        </w:trPr>
        <w:tc>
          <w:tcPr>
            <w:tcW w:w="572" w:type="dxa"/>
          </w:tcPr>
          <w:p w:rsidR="0062298A" w:rsidRPr="001069FC" w:rsidRDefault="00C27A08" w:rsidP="006C4607">
            <w:pPr>
              <w:pStyle w:val="naiskr"/>
              <w:spacing w:before="0" w:after="0"/>
              <w:rPr>
                <w:sz w:val="28"/>
                <w:szCs w:val="28"/>
              </w:rPr>
            </w:pPr>
            <w:r w:rsidRPr="001069FC">
              <w:rPr>
                <w:sz w:val="28"/>
                <w:szCs w:val="28"/>
              </w:rPr>
              <w:lastRenderedPageBreak/>
              <w:t>5</w:t>
            </w:r>
            <w:r w:rsidR="0062298A" w:rsidRPr="001069FC">
              <w:rPr>
                <w:sz w:val="28"/>
                <w:szCs w:val="28"/>
              </w:rPr>
              <w:t>.</w:t>
            </w:r>
          </w:p>
        </w:tc>
        <w:tc>
          <w:tcPr>
            <w:tcW w:w="4395" w:type="dxa"/>
          </w:tcPr>
          <w:p w:rsidR="00C1133D" w:rsidRPr="001069FC" w:rsidRDefault="00C1133D" w:rsidP="006C4607">
            <w:pPr>
              <w:pStyle w:val="naiskr"/>
              <w:spacing w:before="0" w:after="0"/>
              <w:rPr>
                <w:sz w:val="28"/>
                <w:szCs w:val="28"/>
              </w:rPr>
            </w:pPr>
            <w:r w:rsidRPr="001069FC">
              <w:rPr>
                <w:sz w:val="28"/>
                <w:szCs w:val="28"/>
              </w:rPr>
              <w:t>Administratīv</w:t>
            </w:r>
            <w:r w:rsidR="00C27A08" w:rsidRPr="001069FC">
              <w:rPr>
                <w:sz w:val="28"/>
                <w:szCs w:val="28"/>
              </w:rPr>
              <w:t>ās</w:t>
            </w:r>
            <w:r w:rsidRPr="001069FC">
              <w:rPr>
                <w:sz w:val="28"/>
                <w:szCs w:val="28"/>
              </w:rPr>
              <w:t xml:space="preserve"> procedūr</w:t>
            </w:r>
            <w:r w:rsidR="00965897" w:rsidRPr="001069FC">
              <w:rPr>
                <w:sz w:val="28"/>
                <w:szCs w:val="28"/>
              </w:rPr>
              <w:t>a</w:t>
            </w:r>
            <w:r w:rsidRPr="001069FC">
              <w:rPr>
                <w:sz w:val="28"/>
                <w:szCs w:val="28"/>
              </w:rPr>
              <w:t xml:space="preserve">s </w:t>
            </w:r>
            <w:r w:rsidR="00C27A08" w:rsidRPr="001069FC">
              <w:rPr>
                <w:sz w:val="28"/>
                <w:szCs w:val="28"/>
              </w:rPr>
              <w:t>raksturojums</w:t>
            </w:r>
          </w:p>
        </w:tc>
        <w:tc>
          <w:tcPr>
            <w:tcW w:w="4791" w:type="dxa"/>
          </w:tcPr>
          <w:p w:rsidR="0062298A" w:rsidRPr="001069FC" w:rsidRDefault="00696EAF" w:rsidP="006C4607">
            <w:pPr>
              <w:pStyle w:val="naiskr"/>
              <w:spacing w:before="0" w:after="0"/>
              <w:rPr>
                <w:sz w:val="28"/>
                <w:szCs w:val="28"/>
              </w:rPr>
            </w:pPr>
            <w:r w:rsidRPr="001069FC">
              <w:rPr>
                <w:sz w:val="28"/>
                <w:szCs w:val="28"/>
              </w:rPr>
              <w:t>Projekts šo jomu neskar.</w:t>
            </w:r>
          </w:p>
        </w:tc>
      </w:tr>
      <w:tr w:rsidR="0062298A" w:rsidRPr="001069FC" w:rsidTr="00046A6D">
        <w:trPr>
          <w:trHeight w:val="357"/>
        </w:trPr>
        <w:tc>
          <w:tcPr>
            <w:tcW w:w="572" w:type="dxa"/>
          </w:tcPr>
          <w:p w:rsidR="0062298A" w:rsidRPr="001069FC" w:rsidRDefault="00C27A08" w:rsidP="006C4607">
            <w:pPr>
              <w:pStyle w:val="naiskr"/>
              <w:spacing w:before="0" w:after="0"/>
              <w:rPr>
                <w:sz w:val="28"/>
                <w:szCs w:val="28"/>
              </w:rPr>
            </w:pPr>
            <w:r w:rsidRPr="001069FC">
              <w:rPr>
                <w:sz w:val="28"/>
                <w:szCs w:val="28"/>
              </w:rPr>
              <w:t>6</w:t>
            </w:r>
            <w:r w:rsidR="0062298A" w:rsidRPr="001069FC">
              <w:rPr>
                <w:sz w:val="28"/>
                <w:szCs w:val="28"/>
              </w:rPr>
              <w:t>.</w:t>
            </w:r>
          </w:p>
        </w:tc>
        <w:tc>
          <w:tcPr>
            <w:tcW w:w="4395" w:type="dxa"/>
          </w:tcPr>
          <w:p w:rsidR="00AE5066" w:rsidRPr="001069FC" w:rsidRDefault="00C27A08" w:rsidP="006C4607">
            <w:pPr>
              <w:pStyle w:val="naiskr"/>
              <w:spacing w:before="0" w:after="0"/>
              <w:rPr>
                <w:sz w:val="28"/>
                <w:szCs w:val="28"/>
              </w:rPr>
            </w:pPr>
            <w:r w:rsidRPr="001069FC">
              <w:rPr>
                <w:sz w:val="28"/>
                <w:szCs w:val="28"/>
              </w:rPr>
              <w:t xml:space="preserve">Administratīvo izmaksu </w:t>
            </w:r>
            <w:r w:rsidR="00502374" w:rsidRPr="001069FC">
              <w:rPr>
                <w:sz w:val="28"/>
                <w:szCs w:val="28"/>
              </w:rPr>
              <w:t xml:space="preserve">monetārs </w:t>
            </w:r>
            <w:r w:rsidRPr="001069FC">
              <w:rPr>
                <w:sz w:val="28"/>
                <w:szCs w:val="28"/>
              </w:rPr>
              <w:t>novērtējums</w:t>
            </w:r>
          </w:p>
        </w:tc>
        <w:tc>
          <w:tcPr>
            <w:tcW w:w="4791" w:type="dxa"/>
          </w:tcPr>
          <w:p w:rsidR="0062298A" w:rsidRPr="001069FC" w:rsidRDefault="00696EAF" w:rsidP="006C4607">
            <w:pPr>
              <w:pStyle w:val="naiskr"/>
              <w:spacing w:before="0" w:after="0"/>
              <w:rPr>
                <w:sz w:val="28"/>
                <w:szCs w:val="28"/>
              </w:rPr>
            </w:pPr>
            <w:r w:rsidRPr="001069FC">
              <w:rPr>
                <w:sz w:val="28"/>
                <w:szCs w:val="28"/>
              </w:rPr>
              <w:t>Projekts šo jomu neskar.</w:t>
            </w:r>
          </w:p>
        </w:tc>
      </w:tr>
      <w:tr w:rsidR="0062298A" w:rsidRPr="001069FC" w:rsidTr="00046A6D">
        <w:tc>
          <w:tcPr>
            <w:tcW w:w="572" w:type="dxa"/>
          </w:tcPr>
          <w:p w:rsidR="0062298A" w:rsidRPr="001069FC" w:rsidRDefault="00C27A08" w:rsidP="006C4607">
            <w:pPr>
              <w:pStyle w:val="naiskr"/>
              <w:spacing w:before="0" w:after="0"/>
              <w:rPr>
                <w:sz w:val="28"/>
                <w:szCs w:val="28"/>
              </w:rPr>
            </w:pPr>
            <w:r w:rsidRPr="001069FC">
              <w:rPr>
                <w:sz w:val="28"/>
                <w:szCs w:val="28"/>
              </w:rPr>
              <w:t>7</w:t>
            </w:r>
            <w:r w:rsidR="0062298A" w:rsidRPr="001069FC">
              <w:rPr>
                <w:sz w:val="28"/>
                <w:szCs w:val="28"/>
              </w:rPr>
              <w:t>.</w:t>
            </w:r>
          </w:p>
        </w:tc>
        <w:tc>
          <w:tcPr>
            <w:tcW w:w="4395" w:type="dxa"/>
          </w:tcPr>
          <w:p w:rsidR="0062298A" w:rsidRPr="001069FC" w:rsidRDefault="009E12D7" w:rsidP="006C4607">
            <w:pPr>
              <w:pStyle w:val="naiskr"/>
              <w:spacing w:before="0" w:after="0"/>
              <w:rPr>
                <w:sz w:val="28"/>
                <w:szCs w:val="28"/>
              </w:rPr>
            </w:pPr>
            <w:r w:rsidRPr="001069FC">
              <w:rPr>
                <w:sz w:val="28"/>
                <w:szCs w:val="28"/>
              </w:rPr>
              <w:t>Cita informācija</w:t>
            </w:r>
          </w:p>
        </w:tc>
        <w:tc>
          <w:tcPr>
            <w:tcW w:w="4791" w:type="dxa"/>
          </w:tcPr>
          <w:p w:rsidR="0062298A" w:rsidRPr="001069FC" w:rsidRDefault="0062298A" w:rsidP="006C4607">
            <w:pPr>
              <w:pStyle w:val="naiskr"/>
              <w:spacing w:before="0" w:after="0"/>
              <w:rPr>
                <w:sz w:val="28"/>
                <w:szCs w:val="28"/>
              </w:rPr>
            </w:pPr>
            <w:r w:rsidRPr="001069FC">
              <w:rPr>
                <w:sz w:val="28"/>
                <w:szCs w:val="28"/>
              </w:rPr>
              <w:t>Nav</w:t>
            </w:r>
            <w:r w:rsidR="00696EAF" w:rsidRPr="001069FC">
              <w:rPr>
                <w:sz w:val="28"/>
                <w:szCs w:val="28"/>
              </w:rPr>
              <w:t>.</w:t>
            </w:r>
          </w:p>
        </w:tc>
      </w:tr>
    </w:tbl>
    <w:p w:rsidR="00B140C3" w:rsidRDefault="00B140C3" w:rsidP="00B140C3">
      <w:pPr>
        <w:pStyle w:val="naisf"/>
        <w:spacing w:before="0" w:after="0"/>
        <w:rPr>
          <w:sz w:val="28"/>
          <w:szCs w:val="28"/>
        </w:rPr>
      </w:pPr>
    </w:p>
    <w:p w:rsidR="00325908" w:rsidRPr="001069FC" w:rsidRDefault="00325908" w:rsidP="00B140C3">
      <w:pPr>
        <w:pStyle w:val="naisf"/>
        <w:spacing w:before="0" w:after="0"/>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291"/>
        <w:gridCol w:w="1340"/>
        <w:gridCol w:w="1340"/>
        <w:gridCol w:w="1340"/>
        <w:gridCol w:w="1556"/>
      </w:tblGrid>
      <w:tr w:rsidR="00B140C3" w:rsidRPr="001069FC" w:rsidTr="001069FC">
        <w:trPr>
          <w:trHeight w:val="652"/>
          <w:jc w:val="center"/>
        </w:trPr>
        <w:tc>
          <w:tcPr>
            <w:tcW w:w="9044" w:type="dxa"/>
            <w:gridSpan w:val="6"/>
          </w:tcPr>
          <w:p w:rsidR="00B140C3" w:rsidRPr="001069FC" w:rsidRDefault="00B140C3" w:rsidP="001B2A84">
            <w:pPr>
              <w:pStyle w:val="naisnod"/>
              <w:spacing w:before="0" w:after="0"/>
              <w:rPr>
                <w:i/>
                <w:sz w:val="28"/>
                <w:szCs w:val="28"/>
              </w:rPr>
            </w:pPr>
            <w:r w:rsidRPr="001069FC">
              <w:rPr>
                <w:sz w:val="28"/>
                <w:szCs w:val="28"/>
              </w:rPr>
              <w:br w:type="page"/>
              <w:t>III. Tiesību akta projekta ietekme uz valsts budžetu un pašvaldību budžetiem</w:t>
            </w:r>
          </w:p>
        </w:tc>
      </w:tr>
      <w:tr w:rsidR="00B140C3" w:rsidRPr="001069FC" w:rsidTr="001069FC">
        <w:trPr>
          <w:jc w:val="center"/>
        </w:trPr>
        <w:tc>
          <w:tcPr>
            <w:tcW w:w="2177" w:type="dxa"/>
            <w:vMerge w:val="restart"/>
            <w:vAlign w:val="center"/>
          </w:tcPr>
          <w:p w:rsidR="00B140C3" w:rsidRPr="001069FC" w:rsidRDefault="00B140C3" w:rsidP="001B2A84">
            <w:pPr>
              <w:pStyle w:val="naisf"/>
              <w:spacing w:before="0" w:after="0"/>
              <w:ind w:firstLine="0"/>
              <w:jc w:val="center"/>
              <w:rPr>
                <w:b/>
                <w:sz w:val="28"/>
                <w:szCs w:val="28"/>
              </w:rPr>
            </w:pPr>
            <w:r w:rsidRPr="001069FC">
              <w:rPr>
                <w:b/>
                <w:sz w:val="28"/>
                <w:szCs w:val="28"/>
              </w:rPr>
              <w:t>Rādītāji</w:t>
            </w:r>
          </w:p>
        </w:tc>
        <w:tc>
          <w:tcPr>
            <w:tcW w:w="2631" w:type="dxa"/>
            <w:gridSpan w:val="2"/>
            <w:vMerge w:val="restart"/>
            <w:vAlign w:val="center"/>
          </w:tcPr>
          <w:p w:rsidR="00B140C3" w:rsidRPr="001069FC" w:rsidRDefault="00B140C3" w:rsidP="001B2A84">
            <w:pPr>
              <w:pStyle w:val="naisf"/>
              <w:spacing w:before="0" w:after="0"/>
              <w:ind w:firstLine="0"/>
              <w:jc w:val="center"/>
              <w:rPr>
                <w:b/>
                <w:sz w:val="28"/>
                <w:szCs w:val="28"/>
              </w:rPr>
            </w:pPr>
            <w:r w:rsidRPr="001069FC">
              <w:rPr>
                <w:b/>
                <w:sz w:val="28"/>
                <w:szCs w:val="28"/>
              </w:rPr>
              <w:t>n-tais gads</w:t>
            </w:r>
          </w:p>
        </w:tc>
        <w:tc>
          <w:tcPr>
            <w:tcW w:w="4236" w:type="dxa"/>
            <w:gridSpan w:val="3"/>
            <w:vAlign w:val="center"/>
          </w:tcPr>
          <w:p w:rsidR="00B140C3" w:rsidRPr="001069FC" w:rsidRDefault="00B140C3" w:rsidP="001B2A84">
            <w:pPr>
              <w:pStyle w:val="naisf"/>
              <w:spacing w:before="0" w:after="0"/>
              <w:ind w:firstLine="0"/>
              <w:jc w:val="center"/>
              <w:rPr>
                <w:b/>
                <w:i/>
                <w:sz w:val="28"/>
                <w:szCs w:val="28"/>
              </w:rPr>
            </w:pPr>
            <w:r w:rsidRPr="001069FC">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1069FC">
                <w:rPr>
                  <w:sz w:val="28"/>
                  <w:szCs w:val="28"/>
                </w:rPr>
                <w:t>. latu</w:t>
              </w:r>
            </w:smartTag>
            <w:r w:rsidRPr="001069FC">
              <w:rPr>
                <w:sz w:val="28"/>
                <w:szCs w:val="28"/>
              </w:rPr>
              <w:t>)</w:t>
            </w:r>
          </w:p>
        </w:tc>
      </w:tr>
      <w:tr w:rsidR="00B140C3" w:rsidRPr="001069FC" w:rsidTr="001069FC">
        <w:trPr>
          <w:jc w:val="center"/>
        </w:trPr>
        <w:tc>
          <w:tcPr>
            <w:tcW w:w="2177" w:type="dxa"/>
            <w:vMerge/>
            <w:vAlign w:val="center"/>
          </w:tcPr>
          <w:p w:rsidR="00B140C3" w:rsidRPr="001069FC" w:rsidRDefault="00B140C3" w:rsidP="001B2A84">
            <w:pPr>
              <w:pStyle w:val="naisf"/>
              <w:spacing w:before="0" w:after="0"/>
              <w:ind w:firstLine="0"/>
              <w:jc w:val="center"/>
              <w:rPr>
                <w:b/>
                <w:i/>
                <w:sz w:val="28"/>
                <w:szCs w:val="28"/>
              </w:rPr>
            </w:pPr>
          </w:p>
        </w:tc>
        <w:tc>
          <w:tcPr>
            <w:tcW w:w="2631" w:type="dxa"/>
            <w:gridSpan w:val="2"/>
            <w:vMerge/>
            <w:vAlign w:val="center"/>
          </w:tcPr>
          <w:p w:rsidR="00B140C3" w:rsidRPr="001069FC" w:rsidRDefault="00B140C3" w:rsidP="001B2A84">
            <w:pPr>
              <w:pStyle w:val="naisf"/>
              <w:spacing w:before="0" w:after="0"/>
              <w:ind w:firstLine="0"/>
              <w:jc w:val="center"/>
              <w:rPr>
                <w:b/>
                <w:i/>
                <w:sz w:val="28"/>
                <w:szCs w:val="28"/>
              </w:rPr>
            </w:pPr>
          </w:p>
        </w:tc>
        <w:tc>
          <w:tcPr>
            <w:tcW w:w="1340" w:type="dxa"/>
            <w:vAlign w:val="center"/>
          </w:tcPr>
          <w:p w:rsidR="00B140C3" w:rsidRPr="001069FC" w:rsidRDefault="00B140C3" w:rsidP="001B2A84">
            <w:pPr>
              <w:pStyle w:val="naisf"/>
              <w:spacing w:before="0" w:after="0"/>
              <w:ind w:firstLine="0"/>
              <w:jc w:val="center"/>
              <w:rPr>
                <w:b/>
                <w:i/>
                <w:sz w:val="28"/>
                <w:szCs w:val="28"/>
              </w:rPr>
            </w:pPr>
            <w:r w:rsidRPr="001069FC">
              <w:rPr>
                <w:b/>
                <w:bCs/>
                <w:sz w:val="28"/>
                <w:szCs w:val="28"/>
              </w:rPr>
              <w:t>n+1</w:t>
            </w:r>
          </w:p>
        </w:tc>
        <w:tc>
          <w:tcPr>
            <w:tcW w:w="1340" w:type="dxa"/>
            <w:vAlign w:val="center"/>
          </w:tcPr>
          <w:p w:rsidR="00B140C3" w:rsidRPr="001069FC" w:rsidRDefault="00B140C3" w:rsidP="001B2A84">
            <w:pPr>
              <w:pStyle w:val="naisf"/>
              <w:spacing w:before="0" w:after="0"/>
              <w:ind w:firstLine="0"/>
              <w:jc w:val="center"/>
              <w:rPr>
                <w:b/>
                <w:i/>
                <w:sz w:val="28"/>
                <w:szCs w:val="28"/>
              </w:rPr>
            </w:pPr>
            <w:r w:rsidRPr="001069FC">
              <w:rPr>
                <w:b/>
                <w:bCs/>
                <w:sz w:val="28"/>
                <w:szCs w:val="28"/>
              </w:rPr>
              <w:t>n+2</w:t>
            </w:r>
          </w:p>
        </w:tc>
        <w:tc>
          <w:tcPr>
            <w:tcW w:w="1556" w:type="dxa"/>
            <w:vAlign w:val="center"/>
          </w:tcPr>
          <w:p w:rsidR="00B140C3" w:rsidRPr="001069FC" w:rsidRDefault="00B140C3" w:rsidP="001B2A84">
            <w:pPr>
              <w:pStyle w:val="naisf"/>
              <w:spacing w:before="0" w:after="0"/>
              <w:ind w:firstLine="0"/>
              <w:jc w:val="center"/>
              <w:rPr>
                <w:b/>
                <w:i/>
                <w:sz w:val="28"/>
                <w:szCs w:val="28"/>
              </w:rPr>
            </w:pPr>
            <w:r w:rsidRPr="001069FC">
              <w:rPr>
                <w:b/>
                <w:bCs/>
                <w:sz w:val="28"/>
                <w:szCs w:val="28"/>
              </w:rPr>
              <w:t>n+3</w:t>
            </w:r>
          </w:p>
        </w:tc>
      </w:tr>
      <w:tr w:rsidR="00B140C3" w:rsidRPr="001069FC" w:rsidTr="001069FC">
        <w:trPr>
          <w:jc w:val="center"/>
        </w:trPr>
        <w:tc>
          <w:tcPr>
            <w:tcW w:w="2177" w:type="dxa"/>
            <w:vMerge/>
            <w:vAlign w:val="center"/>
          </w:tcPr>
          <w:p w:rsidR="00B140C3" w:rsidRPr="001069FC" w:rsidRDefault="00B140C3" w:rsidP="001B2A84">
            <w:pPr>
              <w:pStyle w:val="naisf"/>
              <w:spacing w:before="0" w:after="0"/>
              <w:ind w:firstLine="0"/>
              <w:jc w:val="center"/>
              <w:rPr>
                <w:b/>
                <w:i/>
                <w:sz w:val="28"/>
                <w:szCs w:val="28"/>
              </w:rPr>
            </w:pPr>
          </w:p>
        </w:tc>
        <w:tc>
          <w:tcPr>
            <w:tcW w:w="1291" w:type="dxa"/>
            <w:vAlign w:val="center"/>
          </w:tcPr>
          <w:p w:rsidR="00B140C3" w:rsidRPr="001069FC" w:rsidRDefault="00B140C3" w:rsidP="001B2A84">
            <w:pPr>
              <w:pStyle w:val="naisf"/>
              <w:spacing w:before="0" w:after="0"/>
              <w:ind w:firstLine="0"/>
              <w:jc w:val="center"/>
              <w:rPr>
                <w:b/>
                <w:i/>
                <w:sz w:val="28"/>
                <w:szCs w:val="28"/>
              </w:rPr>
            </w:pPr>
            <w:r w:rsidRPr="001069FC">
              <w:rPr>
                <w:sz w:val="28"/>
                <w:szCs w:val="28"/>
              </w:rPr>
              <w:t>Saskaņā ar valsts budžetu kārtējam gadam</w:t>
            </w:r>
          </w:p>
        </w:tc>
        <w:tc>
          <w:tcPr>
            <w:tcW w:w="1340" w:type="dxa"/>
            <w:vAlign w:val="center"/>
          </w:tcPr>
          <w:p w:rsidR="00B140C3" w:rsidRPr="001069FC" w:rsidRDefault="00B140C3" w:rsidP="001B2A84">
            <w:pPr>
              <w:pStyle w:val="naisf"/>
              <w:spacing w:before="0" w:after="0"/>
              <w:ind w:firstLine="0"/>
              <w:jc w:val="center"/>
              <w:rPr>
                <w:b/>
                <w:i/>
                <w:sz w:val="28"/>
                <w:szCs w:val="28"/>
              </w:rPr>
            </w:pPr>
            <w:r w:rsidRPr="001069FC">
              <w:rPr>
                <w:sz w:val="28"/>
                <w:szCs w:val="28"/>
              </w:rPr>
              <w:t>Izmaiņas kārtējā gadā, salīdzinot ar budžetu kārtējam gadam</w:t>
            </w:r>
          </w:p>
        </w:tc>
        <w:tc>
          <w:tcPr>
            <w:tcW w:w="1340" w:type="dxa"/>
            <w:vAlign w:val="center"/>
          </w:tcPr>
          <w:p w:rsidR="00B140C3" w:rsidRPr="001069FC" w:rsidRDefault="00B140C3" w:rsidP="001B2A84">
            <w:pPr>
              <w:pStyle w:val="naisf"/>
              <w:spacing w:before="0" w:after="0"/>
              <w:ind w:firstLine="0"/>
              <w:jc w:val="center"/>
              <w:rPr>
                <w:b/>
                <w:i/>
                <w:sz w:val="28"/>
                <w:szCs w:val="28"/>
              </w:rPr>
            </w:pPr>
            <w:r w:rsidRPr="001069FC">
              <w:rPr>
                <w:sz w:val="28"/>
                <w:szCs w:val="28"/>
              </w:rPr>
              <w:t>Izmaiņas, salīdzinot ar kārtējo (n) gadu</w:t>
            </w:r>
          </w:p>
        </w:tc>
        <w:tc>
          <w:tcPr>
            <w:tcW w:w="1340" w:type="dxa"/>
            <w:vAlign w:val="center"/>
          </w:tcPr>
          <w:p w:rsidR="00B140C3" w:rsidRPr="001069FC" w:rsidRDefault="00B140C3" w:rsidP="001B2A84">
            <w:pPr>
              <w:pStyle w:val="naisf"/>
              <w:spacing w:before="0" w:after="0"/>
              <w:ind w:firstLine="0"/>
              <w:jc w:val="center"/>
              <w:rPr>
                <w:b/>
                <w:i/>
                <w:sz w:val="28"/>
                <w:szCs w:val="28"/>
              </w:rPr>
            </w:pPr>
            <w:r w:rsidRPr="001069FC">
              <w:rPr>
                <w:sz w:val="28"/>
                <w:szCs w:val="28"/>
              </w:rPr>
              <w:t>Izmaiņas, salīdzinot ar kārtējo (n) gadu</w:t>
            </w:r>
          </w:p>
        </w:tc>
        <w:tc>
          <w:tcPr>
            <w:tcW w:w="1556" w:type="dxa"/>
            <w:vAlign w:val="center"/>
          </w:tcPr>
          <w:p w:rsidR="00B140C3" w:rsidRPr="001069FC" w:rsidRDefault="00B140C3" w:rsidP="001B2A84">
            <w:pPr>
              <w:pStyle w:val="naisf"/>
              <w:spacing w:before="0" w:after="0"/>
              <w:ind w:firstLine="0"/>
              <w:jc w:val="center"/>
              <w:rPr>
                <w:b/>
                <w:i/>
                <w:sz w:val="28"/>
                <w:szCs w:val="28"/>
              </w:rPr>
            </w:pPr>
            <w:r w:rsidRPr="001069FC">
              <w:rPr>
                <w:sz w:val="28"/>
                <w:szCs w:val="28"/>
              </w:rPr>
              <w:t>Izmaiņas, salīdzinot ar kārtējo (n) gadu</w:t>
            </w:r>
          </w:p>
        </w:tc>
      </w:tr>
      <w:tr w:rsidR="00B140C3" w:rsidRPr="001069FC" w:rsidTr="001069FC">
        <w:trPr>
          <w:jc w:val="center"/>
        </w:trPr>
        <w:tc>
          <w:tcPr>
            <w:tcW w:w="2177" w:type="dxa"/>
            <w:vAlign w:val="center"/>
          </w:tcPr>
          <w:p w:rsidR="00B140C3" w:rsidRPr="001069FC" w:rsidRDefault="00B140C3" w:rsidP="001B2A84">
            <w:pPr>
              <w:pStyle w:val="naisf"/>
              <w:spacing w:before="0" w:after="0"/>
              <w:ind w:firstLine="0"/>
              <w:jc w:val="center"/>
              <w:rPr>
                <w:bCs/>
                <w:sz w:val="28"/>
                <w:szCs w:val="28"/>
              </w:rPr>
            </w:pPr>
            <w:r w:rsidRPr="001069FC">
              <w:rPr>
                <w:bCs/>
                <w:sz w:val="28"/>
                <w:szCs w:val="28"/>
              </w:rPr>
              <w:t>1</w:t>
            </w:r>
          </w:p>
        </w:tc>
        <w:tc>
          <w:tcPr>
            <w:tcW w:w="1291" w:type="dxa"/>
            <w:vAlign w:val="center"/>
          </w:tcPr>
          <w:p w:rsidR="00B140C3" w:rsidRPr="001069FC" w:rsidRDefault="00B140C3" w:rsidP="001B2A84">
            <w:pPr>
              <w:pStyle w:val="naisf"/>
              <w:spacing w:before="0" w:after="0"/>
              <w:ind w:firstLine="0"/>
              <w:jc w:val="center"/>
              <w:rPr>
                <w:bCs/>
                <w:sz w:val="28"/>
                <w:szCs w:val="28"/>
              </w:rPr>
            </w:pPr>
            <w:r w:rsidRPr="001069FC">
              <w:rPr>
                <w:bCs/>
                <w:sz w:val="28"/>
                <w:szCs w:val="28"/>
              </w:rPr>
              <w:t>2</w:t>
            </w:r>
          </w:p>
        </w:tc>
        <w:tc>
          <w:tcPr>
            <w:tcW w:w="1340" w:type="dxa"/>
            <w:vAlign w:val="center"/>
          </w:tcPr>
          <w:p w:rsidR="00B140C3" w:rsidRPr="001069FC" w:rsidRDefault="00B140C3" w:rsidP="001B2A84">
            <w:pPr>
              <w:pStyle w:val="naisf"/>
              <w:spacing w:before="0" w:after="0"/>
              <w:ind w:firstLine="0"/>
              <w:jc w:val="center"/>
              <w:rPr>
                <w:bCs/>
                <w:sz w:val="28"/>
                <w:szCs w:val="28"/>
              </w:rPr>
            </w:pPr>
            <w:r w:rsidRPr="001069FC">
              <w:rPr>
                <w:bCs/>
                <w:sz w:val="28"/>
                <w:szCs w:val="28"/>
              </w:rPr>
              <w:t>3</w:t>
            </w:r>
          </w:p>
        </w:tc>
        <w:tc>
          <w:tcPr>
            <w:tcW w:w="1340" w:type="dxa"/>
            <w:vAlign w:val="center"/>
          </w:tcPr>
          <w:p w:rsidR="00B140C3" w:rsidRPr="001069FC" w:rsidRDefault="00B140C3" w:rsidP="001B2A84">
            <w:pPr>
              <w:pStyle w:val="naisf"/>
              <w:spacing w:before="0" w:after="0"/>
              <w:ind w:firstLine="0"/>
              <w:jc w:val="center"/>
              <w:rPr>
                <w:bCs/>
                <w:sz w:val="28"/>
                <w:szCs w:val="28"/>
              </w:rPr>
            </w:pPr>
            <w:r w:rsidRPr="001069FC">
              <w:rPr>
                <w:bCs/>
                <w:sz w:val="28"/>
                <w:szCs w:val="28"/>
              </w:rPr>
              <w:t>4</w:t>
            </w:r>
          </w:p>
        </w:tc>
        <w:tc>
          <w:tcPr>
            <w:tcW w:w="1340" w:type="dxa"/>
            <w:vAlign w:val="center"/>
          </w:tcPr>
          <w:p w:rsidR="00B140C3" w:rsidRPr="001069FC" w:rsidRDefault="00B140C3" w:rsidP="001B2A84">
            <w:pPr>
              <w:pStyle w:val="naisf"/>
              <w:spacing w:before="0" w:after="0"/>
              <w:ind w:firstLine="0"/>
              <w:jc w:val="center"/>
              <w:rPr>
                <w:bCs/>
                <w:sz w:val="28"/>
                <w:szCs w:val="28"/>
              </w:rPr>
            </w:pPr>
            <w:r w:rsidRPr="001069FC">
              <w:rPr>
                <w:bCs/>
                <w:sz w:val="28"/>
                <w:szCs w:val="28"/>
              </w:rPr>
              <w:t>5</w:t>
            </w:r>
          </w:p>
        </w:tc>
        <w:tc>
          <w:tcPr>
            <w:tcW w:w="1556" w:type="dxa"/>
            <w:vAlign w:val="center"/>
          </w:tcPr>
          <w:p w:rsidR="00B140C3" w:rsidRPr="001069FC" w:rsidRDefault="00B140C3" w:rsidP="001B2A84">
            <w:pPr>
              <w:pStyle w:val="naisf"/>
              <w:spacing w:before="0" w:after="0"/>
              <w:ind w:firstLine="0"/>
              <w:jc w:val="center"/>
              <w:rPr>
                <w:bCs/>
                <w:sz w:val="28"/>
                <w:szCs w:val="28"/>
              </w:rPr>
            </w:pPr>
            <w:r w:rsidRPr="001069FC">
              <w:rPr>
                <w:bCs/>
                <w:sz w:val="28"/>
                <w:szCs w:val="28"/>
              </w:rPr>
              <w:t>6</w:t>
            </w:r>
          </w:p>
        </w:tc>
      </w:tr>
      <w:tr w:rsidR="00B140C3" w:rsidRPr="001069FC" w:rsidTr="001069FC">
        <w:trPr>
          <w:jc w:val="center"/>
        </w:trPr>
        <w:tc>
          <w:tcPr>
            <w:tcW w:w="2177" w:type="dxa"/>
          </w:tcPr>
          <w:p w:rsidR="00B140C3" w:rsidRPr="001069FC" w:rsidRDefault="00B140C3" w:rsidP="001B2A84">
            <w:pPr>
              <w:pStyle w:val="naisf"/>
              <w:spacing w:before="0" w:after="0"/>
              <w:ind w:firstLine="0"/>
              <w:rPr>
                <w:i/>
                <w:sz w:val="28"/>
                <w:szCs w:val="28"/>
              </w:rPr>
            </w:pPr>
            <w:r w:rsidRPr="001069FC">
              <w:rPr>
                <w:sz w:val="28"/>
                <w:szCs w:val="28"/>
              </w:rPr>
              <w:t>1. Budžeta ieņēmumi:</w:t>
            </w:r>
          </w:p>
        </w:tc>
        <w:tc>
          <w:tcPr>
            <w:tcW w:w="6867" w:type="dxa"/>
            <w:gridSpan w:val="5"/>
            <w:vMerge w:val="restart"/>
            <w:vAlign w:val="center"/>
          </w:tcPr>
          <w:p w:rsidR="00B140C3" w:rsidRPr="001069FC" w:rsidRDefault="00B140C3" w:rsidP="001B2A84">
            <w:pPr>
              <w:pStyle w:val="naisf"/>
              <w:spacing w:before="0" w:after="0"/>
              <w:ind w:firstLine="0"/>
              <w:jc w:val="left"/>
              <w:rPr>
                <w:b/>
                <w:i/>
                <w:sz w:val="28"/>
                <w:szCs w:val="28"/>
              </w:rPr>
            </w:pPr>
            <w:r w:rsidRPr="001069FC">
              <w:rPr>
                <w:sz w:val="28"/>
                <w:szCs w:val="28"/>
              </w:rPr>
              <w:t>Projekts šo jomu neskar</w:t>
            </w:r>
            <w:r w:rsidR="005C2678" w:rsidRPr="001069FC">
              <w:rPr>
                <w:sz w:val="28"/>
                <w:szCs w:val="28"/>
              </w:rPr>
              <w:t>.</w:t>
            </w:r>
          </w:p>
        </w:tc>
      </w:tr>
      <w:tr w:rsidR="00B140C3" w:rsidRPr="001069FC" w:rsidTr="001069FC">
        <w:trPr>
          <w:jc w:val="center"/>
        </w:trPr>
        <w:tc>
          <w:tcPr>
            <w:tcW w:w="2177" w:type="dxa"/>
          </w:tcPr>
          <w:p w:rsidR="00B140C3" w:rsidRPr="001069FC" w:rsidRDefault="00B140C3" w:rsidP="001B2A84">
            <w:pPr>
              <w:pStyle w:val="naisf"/>
              <w:spacing w:before="0" w:after="0"/>
              <w:ind w:firstLine="0"/>
              <w:rPr>
                <w:i/>
                <w:sz w:val="28"/>
                <w:szCs w:val="28"/>
              </w:rPr>
            </w:pPr>
            <w:r w:rsidRPr="001069FC">
              <w:rPr>
                <w:sz w:val="28"/>
                <w:szCs w:val="28"/>
              </w:rPr>
              <w:t>1.1. valsts pamatbudžets, tai skaitā ieņēmumi no maksas pakalpojumiem un citi pašu ieņēmumi</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pStyle w:val="naisf"/>
              <w:spacing w:before="0" w:after="0"/>
              <w:ind w:firstLine="0"/>
              <w:rPr>
                <w:i/>
                <w:sz w:val="28"/>
                <w:szCs w:val="28"/>
              </w:rPr>
            </w:pPr>
            <w:r w:rsidRPr="001069FC">
              <w:rPr>
                <w:sz w:val="28"/>
                <w:szCs w:val="28"/>
              </w:rPr>
              <w:t>1.2. valsts speciālais budžets</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pStyle w:val="naisf"/>
              <w:spacing w:before="0" w:after="0"/>
              <w:ind w:firstLine="0"/>
              <w:rPr>
                <w:i/>
                <w:sz w:val="28"/>
                <w:szCs w:val="28"/>
              </w:rPr>
            </w:pPr>
            <w:r w:rsidRPr="001069FC">
              <w:rPr>
                <w:sz w:val="28"/>
                <w:szCs w:val="28"/>
              </w:rPr>
              <w:t>1.3. pašvaldību budžets</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2. Budžeta izdevumi:</w:t>
            </w:r>
          </w:p>
        </w:tc>
        <w:tc>
          <w:tcPr>
            <w:tcW w:w="6867" w:type="dxa"/>
            <w:gridSpan w:val="5"/>
            <w:vMerge w:val="restart"/>
            <w:vAlign w:val="center"/>
          </w:tcPr>
          <w:p w:rsidR="00B140C3" w:rsidRPr="001069FC" w:rsidRDefault="00B140C3" w:rsidP="001B2A84">
            <w:pPr>
              <w:pStyle w:val="naisf"/>
              <w:spacing w:before="0" w:after="0"/>
              <w:ind w:firstLine="0"/>
              <w:jc w:val="left"/>
              <w:rPr>
                <w:b/>
                <w:i/>
                <w:sz w:val="28"/>
                <w:szCs w:val="28"/>
              </w:rPr>
            </w:pPr>
            <w:r w:rsidRPr="001069FC">
              <w:rPr>
                <w:sz w:val="28"/>
                <w:szCs w:val="28"/>
              </w:rPr>
              <w:t>Projekts šo jomu neskar</w:t>
            </w:r>
            <w:r w:rsidR="005C2678" w:rsidRPr="001069FC">
              <w:rPr>
                <w:sz w:val="28"/>
                <w:szCs w:val="28"/>
              </w:rPr>
              <w:t>.</w:t>
            </w: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2.1. valsts pamatbudžets</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2.2. valsts speciālais budžets</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 xml:space="preserve">2.3. pašvaldību </w:t>
            </w:r>
            <w:r w:rsidRPr="001069FC">
              <w:rPr>
                <w:sz w:val="28"/>
                <w:szCs w:val="28"/>
              </w:rPr>
              <w:lastRenderedPageBreak/>
              <w:t xml:space="preserve">budžets </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lastRenderedPageBreak/>
              <w:t>3. Finansiālā ietekme:</w:t>
            </w:r>
          </w:p>
        </w:tc>
        <w:tc>
          <w:tcPr>
            <w:tcW w:w="6867" w:type="dxa"/>
            <w:gridSpan w:val="5"/>
            <w:vMerge w:val="restart"/>
            <w:shd w:val="clear" w:color="auto" w:fill="auto"/>
            <w:vAlign w:val="center"/>
          </w:tcPr>
          <w:p w:rsidR="00B140C3" w:rsidRPr="001069FC" w:rsidRDefault="00B140C3" w:rsidP="001B2A84">
            <w:pPr>
              <w:pStyle w:val="naisf"/>
              <w:spacing w:before="0" w:after="0"/>
              <w:ind w:firstLine="0"/>
              <w:rPr>
                <w:b/>
                <w:i/>
                <w:sz w:val="28"/>
                <w:szCs w:val="28"/>
              </w:rPr>
            </w:pPr>
            <w:r w:rsidRPr="001069FC">
              <w:rPr>
                <w:sz w:val="28"/>
                <w:szCs w:val="28"/>
              </w:rPr>
              <w:t>Projekts šo jomu neskar</w:t>
            </w:r>
            <w:r w:rsidR="005C2678" w:rsidRPr="001069FC">
              <w:rPr>
                <w:sz w:val="28"/>
                <w:szCs w:val="28"/>
              </w:rPr>
              <w:t>.</w:t>
            </w: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3.1. valsts pamatbudžets</w:t>
            </w:r>
          </w:p>
        </w:tc>
        <w:tc>
          <w:tcPr>
            <w:tcW w:w="6867" w:type="dxa"/>
            <w:gridSpan w:val="5"/>
            <w:vMerge/>
            <w:shd w:val="clear" w:color="auto" w:fill="auto"/>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3.2. speciālais budžets</w:t>
            </w:r>
          </w:p>
        </w:tc>
        <w:tc>
          <w:tcPr>
            <w:tcW w:w="6867" w:type="dxa"/>
            <w:gridSpan w:val="5"/>
            <w:vMerge/>
            <w:shd w:val="clear" w:color="auto" w:fill="auto"/>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 xml:space="preserve">3.3. pašvaldību budžets </w:t>
            </w:r>
          </w:p>
        </w:tc>
        <w:tc>
          <w:tcPr>
            <w:tcW w:w="6867" w:type="dxa"/>
            <w:gridSpan w:val="5"/>
            <w:vMerge/>
            <w:shd w:val="clear" w:color="auto" w:fill="auto"/>
          </w:tcPr>
          <w:p w:rsidR="00B140C3" w:rsidRPr="001069FC" w:rsidRDefault="00B140C3" w:rsidP="001B2A84">
            <w:pPr>
              <w:pStyle w:val="naisf"/>
              <w:spacing w:before="0" w:after="0"/>
              <w:ind w:firstLine="0"/>
              <w:rPr>
                <w:b/>
                <w:i/>
                <w:sz w:val="28"/>
                <w:szCs w:val="28"/>
              </w:rPr>
            </w:pPr>
          </w:p>
        </w:tc>
      </w:tr>
      <w:tr w:rsidR="00B140C3" w:rsidRPr="001069FC" w:rsidTr="001069FC">
        <w:trPr>
          <w:trHeight w:val="2254"/>
          <w:jc w:val="center"/>
        </w:trPr>
        <w:tc>
          <w:tcPr>
            <w:tcW w:w="2177" w:type="dxa"/>
          </w:tcPr>
          <w:p w:rsidR="00B140C3" w:rsidRPr="001069FC" w:rsidRDefault="00B140C3" w:rsidP="001B2A84">
            <w:pPr>
              <w:jc w:val="both"/>
              <w:rPr>
                <w:sz w:val="28"/>
                <w:szCs w:val="28"/>
              </w:rPr>
            </w:pPr>
            <w:r w:rsidRPr="001069FC">
              <w:rPr>
                <w:sz w:val="28"/>
                <w:szCs w:val="28"/>
              </w:rPr>
              <w:t>4. Finanšu līdzekļi papildu izde</w:t>
            </w:r>
            <w:r w:rsidRPr="001069FC">
              <w:rPr>
                <w:sz w:val="28"/>
                <w:szCs w:val="28"/>
              </w:rPr>
              <w:softHyphen/>
              <w:t>vumu finansēšanai (kompensējošu izdevumu samazinājumu norāda ar "+" zīmi)</w:t>
            </w:r>
          </w:p>
        </w:tc>
        <w:tc>
          <w:tcPr>
            <w:tcW w:w="6867" w:type="dxa"/>
            <w:gridSpan w:val="5"/>
          </w:tcPr>
          <w:p w:rsidR="00B140C3" w:rsidRPr="001069FC" w:rsidRDefault="00B140C3" w:rsidP="001B2A84">
            <w:pPr>
              <w:pStyle w:val="naisf"/>
              <w:spacing w:before="0" w:after="0"/>
              <w:ind w:firstLine="0"/>
              <w:jc w:val="left"/>
              <w:rPr>
                <w:b/>
                <w:i/>
                <w:sz w:val="28"/>
                <w:szCs w:val="28"/>
              </w:rPr>
            </w:pPr>
            <w:r w:rsidRPr="001069FC">
              <w:rPr>
                <w:sz w:val="28"/>
                <w:szCs w:val="28"/>
              </w:rPr>
              <w:t>Projekts šo jomu neskar</w:t>
            </w:r>
            <w:r w:rsidR="005C2678" w:rsidRPr="001069FC">
              <w:rPr>
                <w:sz w:val="28"/>
                <w:szCs w:val="28"/>
              </w:rPr>
              <w:t>.</w:t>
            </w: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5. Precizēta finansiālā ietekme:</w:t>
            </w:r>
          </w:p>
        </w:tc>
        <w:tc>
          <w:tcPr>
            <w:tcW w:w="6867" w:type="dxa"/>
            <w:gridSpan w:val="5"/>
            <w:vMerge w:val="restart"/>
          </w:tcPr>
          <w:p w:rsidR="00B140C3" w:rsidRPr="001069FC" w:rsidRDefault="00B140C3" w:rsidP="001B2A84">
            <w:pPr>
              <w:pStyle w:val="naisf"/>
              <w:spacing w:before="0" w:after="0"/>
              <w:ind w:firstLine="0"/>
              <w:rPr>
                <w:b/>
                <w:i/>
                <w:sz w:val="28"/>
                <w:szCs w:val="28"/>
              </w:rPr>
            </w:pPr>
            <w:r w:rsidRPr="001069FC">
              <w:rPr>
                <w:sz w:val="28"/>
                <w:szCs w:val="28"/>
              </w:rPr>
              <w:t>Projekts šo jomu neskar</w:t>
            </w:r>
            <w:r w:rsidR="0043794B" w:rsidRPr="001069FC">
              <w:rPr>
                <w:sz w:val="28"/>
                <w:szCs w:val="28"/>
              </w:rPr>
              <w:t>.</w:t>
            </w: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5.1. valsts pamatbudžets</w:t>
            </w:r>
          </w:p>
        </w:tc>
        <w:tc>
          <w:tcPr>
            <w:tcW w:w="6867" w:type="dxa"/>
            <w:gridSpan w:val="5"/>
            <w:vMerge/>
            <w:vAlign w:val="center"/>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5.2. speciālais budžets</w:t>
            </w:r>
          </w:p>
        </w:tc>
        <w:tc>
          <w:tcPr>
            <w:tcW w:w="6867" w:type="dxa"/>
            <w:gridSpan w:val="5"/>
            <w:vMerge/>
            <w:vAlign w:val="center"/>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 xml:space="preserve">5.3. pašvaldību budžets </w:t>
            </w:r>
          </w:p>
        </w:tc>
        <w:tc>
          <w:tcPr>
            <w:tcW w:w="6867" w:type="dxa"/>
            <w:gridSpan w:val="5"/>
            <w:vMerge/>
            <w:vAlign w:val="center"/>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6. Detalizēts ieņēmumu un izdevu</w:t>
            </w:r>
            <w:r w:rsidRPr="001069FC">
              <w:rPr>
                <w:sz w:val="28"/>
                <w:szCs w:val="28"/>
              </w:rPr>
              <w:softHyphen/>
              <w:t>mu aprēķins (ja nepieciešams, detalizētu ieņēmumu un izdevumu aprēķinu var pievienot anotācijas pielikumā):</w:t>
            </w:r>
          </w:p>
        </w:tc>
        <w:tc>
          <w:tcPr>
            <w:tcW w:w="6867" w:type="dxa"/>
            <w:gridSpan w:val="5"/>
            <w:vMerge w:val="restart"/>
            <w:vAlign w:val="center"/>
          </w:tcPr>
          <w:p w:rsidR="00B140C3" w:rsidRPr="001069FC" w:rsidRDefault="00B140C3" w:rsidP="001B2A84">
            <w:pPr>
              <w:pStyle w:val="naisf"/>
              <w:spacing w:before="0" w:after="0"/>
              <w:ind w:firstLine="0"/>
              <w:rPr>
                <w:sz w:val="28"/>
                <w:szCs w:val="28"/>
              </w:rPr>
            </w:pPr>
            <w:r w:rsidRPr="001069FC">
              <w:rPr>
                <w:sz w:val="28"/>
                <w:szCs w:val="28"/>
              </w:rPr>
              <w:t>Projekts šo jomu neskar</w:t>
            </w:r>
            <w:r w:rsidR="0043794B" w:rsidRPr="001069FC">
              <w:rPr>
                <w:sz w:val="28"/>
                <w:szCs w:val="28"/>
              </w:rPr>
              <w:t>.</w:t>
            </w: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6.1. detalizēts ieņēmumu aprēķins</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lastRenderedPageBreak/>
              <w:t>6.2. detalizēts izdevumu aprēķins</w:t>
            </w:r>
          </w:p>
        </w:tc>
        <w:tc>
          <w:tcPr>
            <w:tcW w:w="6867" w:type="dxa"/>
            <w:gridSpan w:val="5"/>
            <w:vMerge/>
          </w:tcPr>
          <w:p w:rsidR="00B140C3" w:rsidRPr="001069FC" w:rsidRDefault="00B140C3" w:rsidP="001B2A84">
            <w:pPr>
              <w:pStyle w:val="naisf"/>
              <w:spacing w:before="0" w:after="0"/>
              <w:ind w:firstLine="0"/>
              <w:rPr>
                <w:b/>
                <w:i/>
                <w:sz w:val="28"/>
                <w:szCs w:val="28"/>
              </w:rPr>
            </w:pPr>
          </w:p>
        </w:tc>
      </w:tr>
      <w:tr w:rsidR="00B140C3" w:rsidRPr="001069FC" w:rsidTr="001069FC">
        <w:trPr>
          <w:jc w:val="center"/>
        </w:trPr>
        <w:tc>
          <w:tcPr>
            <w:tcW w:w="2177" w:type="dxa"/>
          </w:tcPr>
          <w:p w:rsidR="00B140C3" w:rsidRPr="001069FC" w:rsidRDefault="00B140C3" w:rsidP="001B2A84">
            <w:pPr>
              <w:jc w:val="both"/>
              <w:rPr>
                <w:sz w:val="28"/>
                <w:szCs w:val="28"/>
              </w:rPr>
            </w:pPr>
            <w:r w:rsidRPr="001069FC">
              <w:rPr>
                <w:sz w:val="28"/>
                <w:szCs w:val="28"/>
              </w:rPr>
              <w:t>7. Cita informācija</w:t>
            </w:r>
          </w:p>
        </w:tc>
        <w:tc>
          <w:tcPr>
            <w:tcW w:w="6867" w:type="dxa"/>
            <w:gridSpan w:val="5"/>
          </w:tcPr>
          <w:p w:rsidR="00B140C3" w:rsidRPr="001069FC" w:rsidRDefault="00B140C3" w:rsidP="001B2A84">
            <w:pPr>
              <w:pStyle w:val="naisf"/>
              <w:tabs>
                <w:tab w:val="left" w:pos="4644"/>
              </w:tabs>
              <w:spacing w:before="0" w:after="0"/>
              <w:ind w:firstLine="0"/>
              <w:rPr>
                <w:b/>
                <w:i/>
                <w:sz w:val="28"/>
                <w:szCs w:val="28"/>
              </w:rPr>
            </w:pPr>
            <w:r w:rsidRPr="001069FC">
              <w:rPr>
                <w:sz w:val="28"/>
                <w:szCs w:val="28"/>
              </w:rPr>
              <w:t>Nav</w:t>
            </w:r>
            <w:r w:rsidR="0043794B" w:rsidRPr="001069FC">
              <w:rPr>
                <w:sz w:val="28"/>
                <w:szCs w:val="28"/>
              </w:rPr>
              <w:t>.</w:t>
            </w:r>
          </w:p>
        </w:tc>
      </w:tr>
    </w:tbl>
    <w:p w:rsidR="00B140C3" w:rsidRDefault="00B140C3" w:rsidP="00B140C3">
      <w:pPr>
        <w:pStyle w:val="naiskr"/>
        <w:tabs>
          <w:tab w:val="left" w:pos="2628"/>
        </w:tabs>
        <w:spacing w:before="0" w:after="0"/>
        <w:rPr>
          <w:i/>
          <w:sz w:val="28"/>
          <w:szCs w:val="28"/>
        </w:rPr>
      </w:pPr>
    </w:p>
    <w:p w:rsidR="001D7CA2" w:rsidRDefault="001D7CA2" w:rsidP="00B140C3">
      <w:pPr>
        <w:pStyle w:val="naiskr"/>
        <w:tabs>
          <w:tab w:val="left" w:pos="2628"/>
        </w:tabs>
        <w:spacing w:before="0" w:after="0"/>
        <w:rPr>
          <w:i/>
          <w:sz w:val="28"/>
          <w:szCs w:val="28"/>
        </w:rPr>
      </w:pPr>
    </w:p>
    <w:p w:rsidR="001D7CA2" w:rsidRPr="001069FC" w:rsidRDefault="001D7CA2" w:rsidP="00B140C3">
      <w:pPr>
        <w:pStyle w:val="naiskr"/>
        <w:tabs>
          <w:tab w:val="left" w:pos="2628"/>
        </w:tabs>
        <w:spacing w:before="0" w:after="0"/>
        <w:rPr>
          <w:i/>
          <w:sz w:val="28"/>
          <w:szCs w:val="28"/>
        </w:rPr>
      </w:pP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905"/>
        <w:gridCol w:w="5511"/>
      </w:tblGrid>
      <w:tr w:rsidR="00B140C3" w:rsidRPr="001069FC" w:rsidTr="001069FC">
        <w:trPr>
          <w:trHeight w:val="304"/>
          <w:jc w:val="center"/>
        </w:trPr>
        <w:tc>
          <w:tcPr>
            <w:tcW w:w="9086" w:type="dxa"/>
            <w:gridSpan w:val="3"/>
          </w:tcPr>
          <w:p w:rsidR="00B140C3" w:rsidRPr="001069FC" w:rsidRDefault="00B140C3" w:rsidP="001B2A84">
            <w:pPr>
              <w:pStyle w:val="naisnod"/>
              <w:spacing w:before="0" w:after="0"/>
              <w:rPr>
                <w:sz w:val="28"/>
                <w:szCs w:val="28"/>
              </w:rPr>
            </w:pPr>
            <w:r w:rsidRPr="001069FC">
              <w:rPr>
                <w:sz w:val="28"/>
                <w:szCs w:val="28"/>
              </w:rPr>
              <w:t>IV. Tiesību akta projekta ietekme uz spēkā esošo tiesību normu sistēmu</w:t>
            </w:r>
          </w:p>
        </w:tc>
      </w:tr>
      <w:tr w:rsidR="00B140C3" w:rsidRPr="001069FC" w:rsidTr="001069FC">
        <w:trPr>
          <w:trHeight w:val="623"/>
          <w:jc w:val="center"/>
        </w:trPr>
        <w:tc>
          <w:tcPr>
            <w:tcW w:w="670" w:type="dxa"/>
          </w:tcPr>
          <w:p w:rsidR="00B140C3" w:rsidRPr="001069FC" w:rsidRDefault="00B140C3" w:rsidP="001B2A84">
            <w:pPr>
              <w:pStyle w:val="naiskr"/>
              <w:tabs>
                <w:tab w:val="left" w:pos="2628"/>
              </w:tabs>
              <w:spacing w:before="0" w:after="0"/>
              <w:jc w:val="both"/>
              <w:rPr>
                <w:iCs/>
                <w:sz w:val="28"/>
                <w:szCs w:val="28"/>
              </w:rPr>
            </w:pPr>
            <w:r w:rsidRPr="001069FC">
              <w:rPr>
                <w:iCs/>
                <w:sz w:val="28"/>
                <w:szCs w:val="28"/>
              </w:rPr>
              <w:t>1.</w:t>
            </w:r>
          </w:p>
        </w:tc>
        <w:tc>
          <w:tcPr>
            <w:tcW w:w="2905" w:type="dxa"/>
          </w:tcPr>
          <w:p w:rsidR="00B140C3" w:rsidRPr="001069FC" w:rsidRDefault="00B140C3" w:rsidP="001B2A84">
            <w:pPr>
              <w:pStyle w:val="naiskr"/>
              <w:tabs>
                <w:tab w:val="left" w:pos="2628"/>
              </w:tabs>
              <w:spacing w:before="0" w:after="0"/>
              <w:jc w:val="both"/>
              <w:rPr>
                <w:iCs/>
                <w:sz w:val="28"/>
                <w:szCs w:val="28"/>
              </w:rPr>
            </w:pPr>
            <w:r w:rsidRPr="001069FC">
              <w:rPr>
                <w:sz w:val="28"/>
                <w:szCs w:val="28"/>
              </w:rPr>
              <w:t>Nepieciešamie saistītie tiesību aktu projekti</w:t>
            </w:r>
          </w:p>
        </w:tc>
        <w:tc>
          <w:tcPr>
            <w:tcW w:w="5511" w:type="dxa"/>
          </w:tcPr>
          <w:p w:rsidR="00B140C3" w:rsidRPr="001069FC" w:rsidRDefault="00366874" w:rsidP="00DD2485">
            <w:pPr>
              <w:pStyle w:val="naiskr"/>
              <w:tabs>
                <w:tab w:val="left" w:pos="2628"/>
              </w:tabs>
              <w:spacing w:before="0" w:after="0"/>
              <w:jc w:val="both"/>
              <w:rPr>
                <w:color w:val="000000"/>
                <w:sz w:val="28"/>
                <w:szCs w:val="28"/>
              </w:rPr>
            </w:pPr>
            <w:r w:rsidRPr="001069FC">
              <w:rPr>
                <w:sz w:val="28"/>
                <w:szCs w:val="28"/>
              </w:rPr>
              <w:t xml:space="preserve">Likumprojekts „Grozījumi Latvijas Administratīvo pārkāpumu kodeksā” – nepieciešams noteikt atbildību par likumprojektā ietvertā aizlieguma (aizliegts realizēt </w:t>
            </w:r>
            <w:r w:rsidRPr="001069FC">
              <w:rPr>
                <w:color w:val="000000"/>
                <w:sz w:val="28"/>
                <w:szCs w:val="28"/>
              </w:rPr>
              <w:t>elektroniskās smēķēšanas ierīces un elektronisko smēķēšanas ierīču šķidrumu) pārkāpumu.</w:t>
            </w:r>
          </w:p>
          <w:p w:rsidR="00366874" w:rsidRPr="001069FC" w:rsidRDefault="00366874" w:rsidP="00DD2485">
            <w:pPr>
              <w:pStyle w:val="naiskr"/>
              <w:tabs>
                <w:tab w:val="left" w:pos="2628"/>
              </w:tabs>
              <w:spacing w:before="0" w:after="0"/>
              <w:jc w:val="both"/>
              <w:rPr>
                <w:color w:val="000000"/>
                <w:sz w:val="28"/>
                <w:szCs w:val="28"/>
              </w:rPr>
            </w:pPr>
            <w:r w:rsidRPr="001069FC">
              <w:rPr>
                <w:color w:val="000000"/>
                <w:sz w:val="28"/>
                <w:szCs w:val="28"/>
              </w:rPr>
              <w:t>Atbildīgā ministrija – Veselības ministrija</w:t>
            </w:r>
            <w:r w:rsidR="0043794B" w:rsidRPr="001069FC">
              <w:rPr>
                <w:color w:val="000000"/>
                <w:sz w:val="28"/>
                <w:szCs w:val="28"/>
              </w:rPr>
              <w:t>.</w:t>
            </w:r>
          </w:p>
          <w:p w:rsidR="00366874" w:rsidRPr="001069FC" w:rsidRDefault="00366874" w:rsidP="00D63818">
            <w:pPr>
              <w:pStyle w:val="naiskr"/>
              <w:tabs>
                <w:tab w:val="left" w:pos="2628"/>
              </w:tabs>
              <w:spacing w:before="0" w:after="0"/>
              <w:jc w:val="both"/>
              <w:rPr>
                <w:iCs/>
                <w:sz w:val="28"/>
                <w:szCs w:val="28"/>
              </w:rPr>
            </w:pPr>
            <w:r w:rsidRPr="001069FC">
              <w:rPr>
                <w:color w:val="000000"/>
                <w:sz w:val="28"/>
                <w:szCs w:val="28"/>
              </w:rPr>
              <w:t xml:space="preserve">Termiņš – 2014.gada </w:t>
            </w:r>
            <w:r w:rsidR="00D63818">
              <w:rPr>
                <w:color w:val="000000"/>
                <w:sz w:val="28"/>
                <w:szCs w:val="28"/>
              </w:rPr>
              <w:t>31</w:t>
            </w:r>
            <w:r w:rsidRPr="001069FC">
              <w:rPr>
                <w:color w:val="000000"/>
                <w:sz w:val="28"/>
                <w:szCs w:val="28"/>
              </w:rPr>
              <w:t>.</w:t>
            </w:r>
            <w:r w:rsidR="00D63818">
              <w:rPr>
                <w:color w:val="000000"/>
                <w:sz w:val="28"/>
                <w:szCs w:val="28"/>
              </w:rPr>
              <w:t>decembris</w:t>
            </w:r>
            <w:r w:rsidR="0043794B" w:rsidRPr="001069FC">
              <w:rPr>
                <w:color w:val="000000"/>
                <w:sz w:val="28"/>
                <w:szCs w:val="28"/>
              </w:rPr>
              <w:t>.</w:t>
            </w:r>
          </w:p>
        </w:tc>
      </w:tr>
      <w:tr w:rsidR="00B140C3" w:rsidRPr="001069FC" w:rsidTr="001069FC">
        <w:trPr>
          <w:trHeight w:val="319"/>
          <w:jc w:val="center"/>
        </w:trPr>
        <w:tc>
          <w:tcPr>
            <w:tcW w:w="670" w:type="dxa"/>
          </w:tcPr>
          <w:p w:rsidR="00B140C3" w:rsidRPr="001069FC" w:rsidRDefault="00B140C3" w:rsidP="001B2A84">
            <w:pPr>
              <w:pStyle w:val="naiskr"/>
              <w:tabs>
                <w:tab w:val="left" w:pos="2628"/>
              </w:tabs>
              <w:spacing w:before="0" w:after="0"/>
              <w:jc w:val="both"/>
              <w:rPr>
                <w:iCs/>
                <w:sz w:val="28"/>
                <w:szCs w:val="28"/>
              </w:rPr>
            </w:pPr>
            <w:r w:rsidRPr="001069FC">
              <w:rPr>
                <w:iCs/>
                <w:sz w:val="28"/>
                <w:szCs w:val="28"/>
              </w:rPr>
              <w:t>2.</w:t>
            </w:r>
          </w:p>
        </w:tc>
        <w:tc>
          <w:tcPr>
            <w:tcW w:w="2905" w:type="dxa"/>
          </w:tcPr>
          <w:p w:rsidR="00B140C3" w:rsidRPr="001069FC" w:rsidRDefault="00B140C3" w:rsidP="001B2A84">
            <w:pPr>
              <w:pStyle w:val="naiskr"/>
              <w:tabs>
                <w:tab w:val="left" w:pos="2628"/>
              </w:tabs>
              <w:spacing w:before="0" w:after="0"/>
              <w:jc w:val="both"/>
              <w:rPr>
                <w:iCs/>
                <w:sz w:val="28"/>
                <w:szCs w:val="28"/>
              </w:rPr>
            </w:pPr>
            <w:r w:rsidRPr="001069FC">
              <w:rPr>
                <w:sz w:val="28"/>
                <w:szCs w:val="28"/>
              </w:rPr>
              <w:t>Cita informācija</w:t>
            </w:r>
          </w:p>
        </w:tc>
        <w:tc>
          <w:tcPr>
            <w:tcW w:w="5511" w:type="dxa"/>
          </w:tcPr>
          <w:p w:rsidR="00B140C3" w:rsidRPr="001069FC" w:rsidRDefault="00790235" w:rsidP="001B2A84">
            <w:pPr>
              <w:pStyle w:val="naiskr"/>
              <w:tabs>
                <w:tab w:val="left" w:pos="2628"/>
              </w:tabs>
              <w:spacing w:before="0" w:after="0"/>
              <w:jc w:val="both"/>
              <w:rPr>
                <w:iCs/>
                <w:sz w:val="28"/>
                <w:szCs w:val="28"/>
              </w:rPr>
            </w:pPr>
            <w:r w:rsidRPr="001069FC">
              <w:rPr>
                <w:sz w:val="28"/>
                <w:szCs w:val="28"/>
              </w:rPr>
              <w:t>Nav</w:t>
            </w:r>
            <w:r w:rsidR="0043794B" w:rsidRPr="001069FC">
              <w:rPr>
                <w:sz w:val="28"/>
                <w:szCs w:val="28"/>
              </w:rPr>
              <w:t>.</w:t>
            </w:r>
          </w:p>
        </w:tc>
      </w:tr>
    </w:tbl>
    <w:p w:rsidR="00B140C3" w:rsidRDefault="00B140C3" w:rsidP="00B140C3">
      <w:pPr>
        <w:ind w:firstLine="720"/>
        <w:jc w:val="both"/>
        <w:rPr>
          <w:sz w:val="28"/>
          <w:szCs w:val="28"/>
        </w:rPr>
      </w:pPr>
    </w:p>
    <w:p w:rsidR="001D7CA2" w:rsidRPr="001069FC" w:rsidRDefault="001D7CA2" w:rsidP="00B140C3">
      <w:pPr>
        <w:ind w:firstLine="720"/>
        <w:jc w:val="both"/>
        <w:rPr>
          <w:sz w:val="28"/>
          <w:szCs w:val="28"/>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2929"/>
        <w:gridCol w:w="5717"/>
      </w:tblGrid>
      <w:tr w:rsidR="00B140C3" w:rsidRPr="001069FC" w:rsidTr="001069FC">
        <w:tc>
          <w:tcPr>
            <w:tcW w:w="9072" w:type="dxa"/>
            <w:gridSpan w:val="3"/>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jc w:val="center"/>
              <w:rPr>
                <w:b/>
                <w:sz w:val="28"/>
                <w:szCs w:val="28"/>
              </w:rPr>
            </w:pPr>
            <w:r w:rsidRPr="001069FC">
              <w:rPr>
                <w:b/>
                <w:sz w:val="28"/>
                <w:szCs w:val="28"/>
              </w:rPr>
              <w:t>V. Tiesību akta projekta atbilstība Latvijas Republikas starptautiskajām saistībām</w:t>
            </w:r>
          </w:p>
        </w:tc>
      </w:tr>
      <w:tr w:rsidR="00B140C3" w:rsidRPr="001069FC" w:rsidTr="001069FC">
        <w:tc>
          <w:tcPr>
            <w:tcW w:w="426"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1.</w:t>
            </w:r>
          </w:p>
        </w:tc>
        <w:tc>
          <w:tcPr>
            <w:tcW w:w="2929"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Saistības pret Eiropas Savienību</w:t>
            </w:r>
          </w:p>
        </w:tc>
        <w:tc>
          <w:tcPr>
            <w:tcW w:w="5717" w:type="dxa"/>
            <w:tcBorders>
              <w:top w:val="outset" w:sz="6" w:space="0" w:color="auto"/>
              <w:left w:val="outset" w:sz="6" w:space="0" w:color="auto"/>
              <w:bottom w:val="outset" w:sz="6" w:space="0" w:color="auto"/>
              <w:right w:val="outset" w:sz="6" w:space="0" w:color="auto"/>
            </w:tcBorders>
          </w:tcPr>
          <w:p w:rsidR="00B140C3" w:rsidRPr="00A151C7" w:rsidRDefault="00A151C7" w:rsidP="00F142B2">
            <w:pPr>
              <w:ind w:left="57"/>
              <w:jc w:val="both"/>
              <w:rPr>
                <w:sz w:val="28"/>
                <w:szCs w:val="28"/>
              </w:rPr>
            </w:pPr>
            <w:r w:rsidRPr="00A151C7">
              <w:rPr>
                <w:sz w:val="28"/>
                <w:szCs w:val="28"/>
              </w:rPr>
              <w:t>Nav.</w:t>
            </w:r>
          </w:p>
        </w:tc>
      </w:tr>
      <w:tr w:rsidR="00B140C3" w:rsidRPr="001069FC" w:rsidTr="001069FC">
        <w:tc>
          <w:tcPr>
            <w:tcW w:w="426"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2.</w:t>
            </w:r>
          </w:p>
        </w:tc>
        <w:tc>
          <w:tcPr>
            <w:tcW w:w="2929"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Citas starptautiskās saistības</w:t>
            </w:r>
          </w:p>
        </w:tc>
        <w:tc>
          <w:tcPr>
            <w:tcW w:w="5717"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Projekts šo jomu neskar</w:t>
            </w:r>
            <w:r w:rsidR="0043794B" w:rsidRPr="001069FC">
              <w:rPr>
                <w:sz w:val="28"/>
                <w:szCs w:val="28"/>
              </w:rPr>
              <w:t>.</w:t>
            </w:r>
          </w:p>
        </w:tc>
      </w:tr>
      <w:tr w:rsidR="00B140C3" w:rsidRPr="001069FC" w:rsidTr="001069FC">
        <w:tc>
          <w:tcPr>
            <w:tcW w:w="426"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3.</w:t>
            </w:r>
          </w:p>
        </w:tc>
        <w:tc>
          <w:tcPr>
            <w:tcW w:w="2929"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Cita informācija</w:t>
            </w:r>
          </w:p>
        </w:tc>
        <w:tc>
          <w:tcPr>
            <w:tcW w:w="5717" w:type="dxa"/>
            <w:tcBorders>
              <w:top w:val="outset" w:sz="6" w:space="0" w:color="auto"/>
              <w:left w:val="outset" w:sz="6" w:space="0" w:color="auto"/>
              <w:bottom w:val="outset" w:sz="6" w:space="0" w:color="auto"/>
              <w:right w:val="outset" w:sz="6" w:space="0" w:color="auto"/>
            </w:tcBorders>
          </w:tcPr>
          <w:p w:rsidR="00B140C3" w:rsidRPr="001069FC" w:rsidRDefault="00AE62AC" w:rsidP="00325908">
            <w:pPr>
              <w:ind w:left="57"/>
              <w:jc w:val="both"/>
              <w:rPr>
                <w:sz w:val="28"/>
                <w:szCs w:val="28"/>
              </w:rPr>
            </w:pPr>
            <w:r>
              <w:rPr>
                <w:sz w:val="28"/>
                <w:szCs w:val="28"/>
              </w:rPr>
              <w:t>Projekts nosūtāms Eiropas Komisijai saskaņā ar Ministru kabineta 2010.gada 23.februāra instrukciju Nr.1 „Kārtība, kādā valsts pārvaldes iestādes sniedz informāciju par tehnisko noteikumu projektiem”.</w:t>
            </w:r>
          </w:p>
        </w:tc>
      </w:tr>
    </w:tbl>
    <w:p w:rsidR="001069FC" w:rsidRDefault="001069FC" w:rsidP="00B140C3">
      <w:pPr>
        <w:rPr>
          <w:sz w:val="28"/>
          <w:szCs w:val="28"/>
        </w:rPr>
      </w:pPr>
    </w:p>
    <w:p w:rsidR="001D7CA2" w:rsidRPr="001069FC" w:rsidRDefault="001D7CA2" w:rsidP="00B140C3">
      <w:pPr>
        <w:rPr>
          <w:sz w:val="28"/>
          <w:szCs w:val="28"/>
        </w:rPr>
      </w:pPr>
    </w:p>
    <w:tbl>
      <w:tblPr>
        <w:tblW w:w="0" w:type="auto"/>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761"/>
        <w:gridCol w:w="1792"/>
        <w:gridCol w:w="2595"/>
        <w:gridCol w:w="2951"/>
      </w:tblGrid>
      <w:tr w:rsidR="00B140C3" w:rsidRPr="001069FC" w:rsidTr="001069FC">
        <w:trPr>
          <w:cantSplit/>
          <w:trHeight w:val="523"/>
        </w:trPr>
        <w:tc>
          <w:tcPr>
            <w:tcW w:w="9099" w:type="dxa"/>
            <w:gridSpan w:val="4"/>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b/>
                <w:sz w:val="28"/>
                <w:szCs w:val="28"/>
              </w:rPr>
            </w:pPr>
            <w:r w:rsidRPr="001069FC">
              <w:rPr>
                <w:b/>
                <w:sz w:val="28"/>
                <w:szCs w:val="28"/>
              </w:rPr>
              <w:t>1.tabula</w:t>
            </w:r>
          </w:p>
          <w:p w:rsidR="00B140C3" w:rsidRPr="001069FC" w:rsidRDefault="00B140C3" w:rsidP="001B2A84">
            <w:pPr>
              <w:ind w:left="57"/>
              <w:jc w:val="center"/>
              <w:rPr>
                <w:sz w:val="28"/>
                <w:szCs w:val="28"/>
              </w:rPr>
            </w:pPr>
            <w:r w:rsidRPr="001069FC">
              <w:rPr>
                <w:b/>
                <w:sz w:val="28"/>
                <w:szCs w:val="28"/>
              </w:rPr>
              <w:t>Tiesību akta projekta atbilstība ES tiesību aktiem</w:t>
            </w:r>
          </w:p>
        </w:tc>
      </w:tr>
      <w:tr w:rsidR="00B140C3" w:rsidRPr="001069FC" w:rsidTr="001069FC">
        <w:trPr>
          <w:cantSplit/>
        </w:trPr>
        <w:tc>
          <w:tcPr>
            <w:tcW w:w="1761"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Attiecīgā ES tiesību akta datums, numurs un nosaukums</w:t>
            </w:r>
          </w:p>
        </w:tc>
        <w:tc>
          <w:tcPr>
            <w:tcW w:w="7338" w:type="dxa"/>
            <w:gridSpan w:val="3"/>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Projekts šo jomu neskar</w:t>
            </w:r>
            <w:r w:rsidR="00464D34">
              <w:rPr>
                <w:sz w:val="28"/>
                <w:szCs w:val="28"/>
              </w:rPr>
              <w:t>.</w:t>
            </w:r>
          </w:p>
        </w:tc>
      </w:tr>
      <w:tr w:rsidR="00B140C3" w:rsidRPr="001069FC" w:rsidTr="001069FC">
        <w:trPr>
          <w:cantSplit/>
        </w:trPr>
        <w:tc>
          <w:tcPr>
            <w:tcW w:w="1761"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lastRenderedPageBreak/>
              <w:t>A</w:t>
            </w:r>
          </w:p>
        </w:tc>
        <w:tc>
          <w:tcPr>
            <w:tcW w:w="1792"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t>B</w:t>
            </w:r>
          </w:p>
        </w:tc>
        <w:tc>
          <w:tcPr>
            <w:tcW w:w="2595"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t>C</w:t>
            </w:r>
          </w:p>
        </w:tc>
        <w:tc>
          <w:tcPr>
            <w:tcW w:w="2951"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t>D</w:t>
            </w:r>
          </w:p>
        </w:tc>
      </w:tr>
      <w:tr w:rsidR="00B140C3" w:rsidRPr="001069FC" w:rsidTr="001069FC">
        <w:trPr>
          <w:cantSplit/>
          <w:trHeight w:val="495"/>
        </w:trPr>
        <w:tc>
          <w:tcPr>
            <w:tcW w:w="1761"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spacing w:after="120"/>
              <w:ind w:left="57"/>
              <w:rPr>
                <w:spacing w:val="-3"/>
                <w:sz w:val="28"/>
                <w:szCs w:val="28"/>
              </w:rPr>
            </w:pPr>
            <w:r w:rsidRPr="001069FC">
              <w:rPr>
                <w:sz w:val="28"/>
                <w:szCs w:val="28"/>
              </w:rPr>
              <w:t>Projekts šo jomu neskar</w:t>
            </w:r>
          </w:p>
        </w:tc>
        <w:tc>
          <w:tcPr>
            <w:tcW w:w="1792"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spacing w:after="120"/>
              <w:ind w:left="57"/>
              <w:rPr>
                <w:spacing w:val="-3"/>
                <w:sz w:val="28"/>
                <w:szCs w:val="28"/>
              </w:rPr>
            </w:pPr>
            <w:r w:rsidRPr="001069FC">
              <w:rPr>
                <w:sz w:val="28"/>
                <w:szCs w:val="28"/>
              </w:rPr>
              <w:t>Projekts šo jomu neskar</w:t>
            </w:r>
            <w:r w:rsidR="00464D34">
              <w:rPr>
                <w:sz w:val="28"/>
                <w:szCs w:val="28"/>
              </w:rPr>
              <w:t>.</w:t>
            </w:r>
          </w:p>
        </w:tc>
        <w:tc>
          <w:tcPr>
            <w:tcW w:w="2595"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spacing w:after="120"/>
              <w:ind w:left="57"/>
              <w:rPr>
                <w:spacing w:val="-3"/>
                <w:sz w:val="28"/>
                <w:szCs w:val="28"/>
              </w:rPr>
            </w:pPr>
            <w:r w:rsidRPr="001069FC">
              <w:rPr>
                <w:sz w:val="28"/>
                <w:szCs w:val="28"/>
              </w:rPr>
              <w:t>Projekts šo jomu neskar</w:t>
            </w:r>
            <w:r w:rsidR="00464D34">
              <w:rPr>
                <w:sz w:val="28"/>
                <w:szCs w:val="28"/>
              </w:rPr>
              <w:t>.</w:t>
            </w:r>
          </w:p>
        </w:tc>
        <w:tc>
          <w:tcPr>
            <w:tcW w:w="2951"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pacing w:val="-3"/>
                <w:sz w:val="28"/>
                <w:szCs w:val="28"/>
              </w:rPr>
            </w:pPr>
            <w:r w:rsidRPr="001069FC">
              <w:rPr>
                <w:sz w:val="28"/>
                <w:szCs w:val="28"/>
              </w:rPr>
              <w:t>Projekts šo jomu neskar</w:t>
            </w:r>
            <w:r w:rsidR="00464D34">
              <w:rPr>
                <w:sz w:val="28"/>
                <w:szCs w:val="28"/>
              </w:rPr>
              <w:t>.</w:t>
            </w:r>
          </w:p>
        </w:tc>
      </w:tr>
      <w:tr w:rsidR="00B140C3" w:rsidRPr="001069FC" w:rsidTr="001069FC">
        <w:trPr>
          <w:cantSplit/>
          <w:trHeight w:val="579"/>
        </w:trPr>
        <w:tc>
          <w:tcPr>
            <w:tcW w:w="1761"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Cita informācija</w:t>
            </w:r>
          </w:p>
        </w:tc>
        <w:tc>
          <w:tcPr>
            <w:tcW w:w="7338" w:type="dxa"/>
            <w:gridSpan w:val="3"/>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Nav</w:t>
            </w:r>
            <w:r w:rsidR="0043794B" w:rsidRPr="001069FC">
              <w:rPr>
                <w:sz w:val="28"/>
                <w:szCs w:val="28"/>
              </w:rPr>
              <w:t>.</w:t>
            </w:r>
          </w:p>
        </w:tc>
      </w:tr>
    </w:tbl>
    <w:p w:rsidR="00B140C3" w:rsidRPr="001069FC" w:rsidRDefault="00B140C3" w:rsidP="00B140C3">
      <w:pPr>
        <w:rPr>
          <w:sz w:val="28"/>
          <w:szCs w:val="28"/>
        </w:rPr>
      </w:pPr>
    </w:p>
    <w:tbl>
      <w:tblPr>
        <w:tblW w:w="0" w:type="auto"/>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045"/>
        <w:gridCol w:w="3102"/>
        <w:gridCol w:w="3925"/>
      </w:tblGrid>
      <w:tr w:rsidR="00B140C3" w:rsidRPr="001069FC" w:rsidTr="001069FC">
        <w:trPr>
          <w:trHeight w:val="20"/>
        </w:trPr>
        <w:tc>
          <w:tcPr>
            <w:tcW w:w="9072" w:type="dxa"/>
            <w:gridSpan w:val="3"/>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b/>
                <w:sz w:val="28"/>
                <w:szCs w:val="28"/>
              </w:rPr>
            </w:pPr>
            <w:r w:rsidRPr="001069FC">
              <w:rPr>
                <w:b/>
                <w:sz w:val="28"/>
                <w:szCs w:val="28"/>
              </w:rPr>
              <w:t>2.tabula</w:t>
            </w:r>
          </w:p>
          <w:p w:rsidR="00B140C3" w:rsidRPr="001069FC" w:rsidRDefault="00B140C3" w:rsidP="001B2A84">
            <w:pPr>
              <w:ind w:left="57"/>
              <w:jc w:val="center"/>
              <w:rPr>
                <w:b/>
                <w:sz w:val="28"/>
                <w:szCs w:val="28"/>
              </w:rPr>
            </w:pPr>
            <w:r w:rsidRPr="001069FC">
              <w:rPr>
                <w:b/>
                <w:sz w:val="28"/>
                <w:szCs w:val="28"/>
              </w:rPr>
              <w:t>Ar tiesību akta projektu izpildītās vai uzņemtās saistības, kas izriet no starptautiskajiem tiesību aktiem vai starptautiskas institūcijas vai organizācijas dokumentiem.</w:t>
            </w:r>
          </w:p>
          <w:p w:rsidR="00B140C3" w:rsidRPr="001069FC" w:rsidRDefault="00B140C3" w:rsidP="001B2A84">
            <w:pPr>
              <w:ind w:left="57"/>
              <w:jc w:val="center"/>
              <w:rPr>
                <w:b/>
                <w:sz w:val="28"/>
                <w:szCs w:val="28"/>
              </w:rPr>
            </w:pPr>
            <w:r w:rsidRPr="001069FC">
              <w:rPr>
                <w:b/>
                <w:sz w:val="28"/>
                <w:szCs w:val="28"/>
              </w:rPr>
              <w:t>Pasākumi šo saistību izpildei</w:t>
            </w:r>
          </w:p>
        </w:tc>
      </w:tr>
      <w:tr w:rsidR="00B140C3" w:rsidRPr="001069FC" w:rsidTr="001069FC">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rPr>
                <w:sz w:val="28"/>
                <w:szCs w:val="28"/>
              </w:rPr>
            </w:pPr>
            <w:r w:rsidRPr="001069FC">
              <w:rPr>
                <w:sz w:val="28"/>
                <w:szCs w:val="28"/>
              </w:rPr>
              <w:t>Attiecīgā starptautiskā tiesību akta vai starptautiskas institūcijas vai organizācijas dokumenta (turpmāk – starptautiskais dokuments) datums, numurs un nosaukums</w:t>
            </w:r>
          </w:p>
        </w:tc>
        <w:tc>
          <w:tcPr>
            <w:tcW w:w="7027" w:type="dxa"/>
            <w:gridSpan w:val="2"/>
            <w:tcBorders>
              <w:top w:val="outset" w:sz="6" w:space="0" w:color="auto"/>
              <w:left w:val="outset" w:sz="6" w:space="0" w:color="auto"/>
              <w:bottom w:val="outset" w:sz="6" w:space="0" w:color="auto"/>
              <w:right w:val="outset" w:sz="6" w:space="0" w:color="auto"/>
            </w:tcBorders>
            <w:vAlign w:val="center"/>
          </w:tcPr>
          <w:p w:rsidR="00B140C3" w:rsidRPr="00A151C7" w:rsidRDefault="00A151C7" w:rsidP="00F142B2">
            <w:pPr>
              <w:ind w:left="57"/>
              <w:jc w:val="both"/>
              <w:rPr>
                <w:sz w:val="28"/>
                <w:szCs w:val="28"/>
              </w:rPr>
            </w:pPr>
            <w:r w:rsidRPr="00A151C7">
              <w:rPr>
                <w:sz w:val="28"/>
                <w:szCs w:val="28"/>
              </w:rPr>
              <w:t xml:space="preserve">Projekts šo jomu neskar. </w:t>
            </w:r>
          </w:p>
        </w:tc>
      </w:tr>
      <w:tr w:rsidR="00B140C3" w:rsidRPr="001069FC" w:rsidTr="001069FC">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t>A</w:t>
            </w:r>
          </w:p>
        </w:tc>
        <w:tc>
          <w:tcPr>
            <w:tcW w:w="3102"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t>B</w:t>
            </w:r>
          </w:p>
        </w:tc>
        <w:tc>
          <w:tcPr>
            <w:tcW w:w="3925" w:type="dxa"/>
            <w:tcBorders>
              <w:top w:val="outset" w:sz="6" w:space="0" w:color="auto"/>
              <w:left w:val="outset" w:sz="6" w:space="0" w:color="auto"/>
              <w:bottom w:val="outset" w:sz="6" w:space="0" w:color="auto"/>
              <w:right w:val="outset" w:sz="6" w:space="0" w:color="auto"/>
            </w:tcBorders>
            <w:vAlign w:val="center"/>
          </w:tcPr>
          <w:p w:rsidR="00B140C3" w:rsidRPr="001069FC" w:rsidRDefault="00B140C3" w:rsidP="001B2A84">
            <w:pPr>
              <w:ind w:left="57"/>
              <w:jc w:val="center"/>
              <w:rPr>
                <w:sz w:val="28"/>
                <w:szCs w:val="28"/>
              </w:rPr>
            </w:pPr>
            <w:r w:rsidRPr="001069FC">
              <w:rPr>
                <w:sz w:val="28"/>
                <w:szCs w:val="28"/>
              </w:rPr>
              <w:t>C</w:t>
            </w:r>
          </w:p>
        </w:tc>
      </w:tr>
      <w:tr w:rsidR="00B140C3" w:rsidRPr="001069FC" w:rsidTr="001069FC">
        <w:trPr>
          <w:trHeight w:val="20"/>
        </w:trPr>
        <w:tc>
          <w:tcPr>
            <w:tcW w:w="2045"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Projekts šo jomu neskar</w:t>
            </w:r>
            <w:r w:rsidR="00464D34">
              <w:rPr>
                <w:sz w:val="28"/>
                <w:szCs w:val="28"/>
              </w:rPr>
              <w:t>.</w:t>
            </w:r>
          </w:p>
        </w:tc>
        <w:tc>
          <w:tcPr>
            <w:tcW w:w="3102"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Projekts šo jomu neskar</w:t>
            </w:r>
            <w:r w:rsidR="0043794B" w:rsidRPr="001069FC">
              <w:rPr>
                <w:sz w:val="28"/>
                <w:szCs w:val="28"/>
              </w:rPr>
              <w:t>.</w:t>
            </w:r>
          </w:p>
        </w:tc>
        <w:tc>
          <w:tcPr>
            <w:tcW w:w="3925"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ight="57"/>
              <w:rPr>
                <w:sz w:val="28"/>
                <w:szCs w:val="28"/>
              </w:rPr>
            </w:pPr>
            <w:r w:rsidRPr="001069FC">
              <w:rPr>
                <w:sz w:val="28"/>
                <w:szCs w:val="28"/>
              </w:rPr>
              <w:t>Projekts šo jomu neskar</w:t>
            </w:r>
            <w:r w:rsidR="0043794B" w:rsidRPr="001069FC">
              <w:rPr>
                <w:sz w:val="28"/>
                <w:szCs w:val="28"/>
              </w:rPr>
              <w:t>.</w:t>
            </w:r>
          </w:p>
        </w:tc>
      </w:tr>
      <w:tr w:rsidR="00B140C3" w:rsidRPr="001069FC" w:rsidTr="001069FC">
        <w:trPr>
          <w:trHeight w:val="20"/>
        </w:trPr>
        <w:tc>
          <w:tcPr>
            <w:tcW w:w="2045" w:type="dxa"/>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Cita informācija</w:t>
            </w:r>
          </w:p>
        </w:tc>
        <w:tc>
          <w:tcPr>
            <w:tcW w:w="7027" w:type="dxa"/>
            <w:gridSpan w:val="2"/>
            <w:tcBorders>
              <w:top w:val="outset" w:sz="6" w:space="0" w:color="auto"/>
              <w:left w:val="outset" w:sz="6" w:space="0" w:color="auto"/>
              <w:bottom w:val="outset" w:sz="6" w:space="0" w:color="auto"/>
              <w:right w:val="outset" w:sz="6" w:space="0" w:color="auto"/>
            </w:tcBorders>
          </w:tcPr>
          <w:p w:rsidR="00B140C3" w:rsidRPr="001069FC" w:rsidRDefault="00B140C3" w:rsidP="001B2A84">
            <w:pPr>
              <w:ind w:left="57"/>
              <w:rPr>
                <w:sz w:val="28"/>
                <w:szCs w:val="28"/>
              </w:rPr>
            </w:pPr>
            <w:r w:rsidRPr="001069FC">
              <w:rPr>
                <w:sz w:val="28"/>
                <w:szCs w:val="28"/>
              </w:rPr>
              <w:t>Nav</w:t>
            </w:r>
            <w:r w:rsidR="0043794B" w:rsidRPr="001069FC">
              <w:rPr>
                <w:sz w:val="28"/>
                <w:szCs w:val="28"/>
              </w:rPr>
              <w:t>.</w:t>
            </w:r>
          </w:p>
        </w:tc>
      </w:tr>
    </w:tbl>
    <w:p w:rsidR="00E46559" w:rsidRDefault="00E46559" w:rsidP="006C4607">
      <w:pPr>
        <w:pStyle w:val="naisf"/>
        <w:spacing w:before="0" w:after="0"/>
        <w:jc w:val="center"/>
        <w:rPr>
          <w:b/>
          <w:sz w:val="28"/>
          <w:szCs w:val="28"/>
        </w:rPr>
      </w:pPr>
    </w:p>
    <w:p w:rsidR="001D7CA2" w:rsidRPr="001069FC" w:rsidRDefault="001D7CA2" w:rsidP="006C4607">
      <w:pPr>
        <w:pStyle w:val="naisf"/>
        <w:spacing w:before="0" w:after="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
        <w:gridCol w:w="3949"/>
        <w:gridCol w:w="4702"/>
      </w:tblGrid>
      <w:tr w:rsidR="00277929" w:rsidRPr="001069FC" w:rsidTr="00046A6D">
        <w:trPr>
          <w:jc w:val="center"/>
        </w:trPr>
        <w:tc>
          <w:tcPr>
            <w:tcW w:w="10256" w:type="dxa"/>
            <w:gridSpan w:val="3"/>
          </w:tcPr>
          <w:p w:rsidR="00277929" w:rsidRPr="001069FC" w:rsidRDefault="00277929" w:rsidP="007D099D">
            <w:pPr>
              <w:pStyle w:val="naisnod"/>
              <w:spacing w:before="0" w:after="0"/>
              <w:ind w:left="57" w:right="57"/>
              <w:rPr>
                <w:sz w:val="28"/>
                <w:szCs w:val="28"/>
              </w:rPr>
            </w:pPr>
            <w:r w:rsidRPr="001069FC">
              <w:rPr>
                <w:sz w:val="28"/>
                <w:szCs w:val="28"/>
              </w:rPr>
              <w:t>VI</w:t>
            </w:r>
            <w:r w:rsidR="000941C5" w:rsidRPr="001069FC">
              <w:rPr>
                <w:sz w:val="28"/>
                <w:szCs w:val="28"/>
              </w:rPr>
              <w:t>.</w:t>
            </w:r>
            <w:r w:rsidRPr="001069FC">
              <w:rPr>
                <w:sz w:val="28"/>
                <w:szCs w:val="28"/>
              </w:rPr>
              <w:t xml:space="preserve"> Sabiedrības līdzdalība un šīs līdzdalības rezultāti</w:t>
            </w:r>
          </w:p>
        </w:tc>
      </w:tr>
      <w:tr w:rsidR="00183CC2" w:rsidRPr="001069FC" w:rsidTr="00046A6D">
        <w:trPr>
          <w:trHeight w:val="553"/>
          <w:jc w:val="center"/>
        </w:trPr>
        <w:tc>
          <w:tcPr>
            <w:tcW w:w="451" w:type="dxa"/>
          </w:tcPr>
          <w:p w:rsidR="00183CC2" w:rsidRPr="001069FC" w:rsidRDefault="00183CC2" w:rsidP="007D099D">
            <w:pPr>
              <w:pStyle w:val="naiskr"/>
              <w:spacing w:before="0" w:after="0"/>
              <w:ind w:left="57" w:right="57"/>
              <w:rPr>
                <w:bCs/>
                <w:sz w:val="28"/>
                <w:szCs w:val="28"/>
              </w:rPr>
            </w:pPr>
            <w:r w:rsidRPr="001069FC">
              <w:rPr>
                <w:bCs/>
                <w:sz w:val="28"/>
                <w:szCs w:val="28"/>
              </w:rPr>
              <w:t>1.</w:t>
            </w:r>
          </w:p>
        </w:tc>
        <w:tc>
          <w:tcPr>
            <w:tcW w:w="4492" w:type="dxa"/>
          </w:tcPr>
          <w:p w:rsidR="00183CC2" w:rsidRPr="001069FC" w:rsidRDefault="00183CC2" w:rsidP="007D099D">
            <w:pPr>
              <w:pStyle w:val="naiskr"/>
              <w:tabs>
                <w:tab w:val="left" w:pos="170"/>
              </w:tabs>
              <w:spacing w:before="0" w:after="0"/>
              <w:ind w:left="57" w:right="57"/>
              <w:rPr>
                <w:sz w:val="28"/>
                <w:szCs w:val="28"/>
              </w:rPr>
            </w:pPr>
            <w:r w:rsidRPr="001069FC">
              <w:rPr>
                <w:sz w:val="28"/>
                <w:szCs w:val="28"/>
              </w:rPr>
              <w:t>Sabiedrības informēšana par projekta izstrādes uzsākšanu</w:t>
            </w:r>
          </w:p>
        </w:tc>
        <w:tc>
          <w:tcPr>
            <w:tcW w:w="5313" w:type="dxa"/>
          </w:tcPr>
          <w:p w:rsidR="00183CC2" w:rsidRPr="001069FC" w:rsidRDefault="00CC411C" w:rsidP="00CC411C">
            <w:pPr>
              <w:pStyle w:val="naiskr"/>
              <w:spacing w:before="0" w:after="0"/>
              <w:ind w:left="57" w:right="57"/>
              <w:jc w:val="both"/>
              <w:rPr>
                <w:sz w:val="28"/>
                <w:szCs w:val="28"/>
              </w:rPr>
            </w:pPr>
            <w:r w:rsidRPr="001069FC">
              <w:rPr>
                <w:iCs/>
                <w:sz w:val="28"/>
                <w:szCs w:val="28"/>
              </w:rPr>
              <w:t>Informācija tika ievietota V</w:t>
            </w:r>
            <w:r w:rsidR="00337E51" w:rsidRPr="001069FC">
              <w:rPr>
                <w:iCs/>
                <w:sz w:val="28"/>
                <w:szCs w:val="28"/>
              </w:rPr>
              <w:t>eselības ministrija</w:t>
            </w:r>
            <w:r w:rsidR="00001588" w:rsidRPr="001069FC">
              <w:rPr>
                <w:iCs/>
                <w:sz w:val="28"/>
                <w:szCs w:val="28"/>
              </w:rPr>
              <w:t>s</w:t>
            </w:r>
            <w:r w:rsidR="00337E51" w:rsidRPr="001069FC">
              <w:rPr>
                <w:iCs/>
                <w:sz w:val="28"/>
                <w:szCs w:val="28"/>
              </w:rPr>
              <w:t xml:space="preserve"> tīmekļa vietnē www.vm.gov.lv </w:t>
            </w:r>
            <w:r w:rsidRPr="001069FC">
              <w:rPr>
                <w:iCs/>
                <w:sz w:val="28"/>
                <w:szCs w:val="28"/>
              </w:rPr>
              <w:t>sadaļā „Aktualitātes” „Publiskā apspriešana”</w:t>
            </w:r>
            <w:r w:rsidRPr="001069FC">
              <w:rPr>
                <w:rStyle w:val="FootnoteReference"/>
                <w:iCs/>
                <w:sz w:val="28"/>
                <w:szCs w:val="28"/>
              </w:rPr>
              <w:footnoteReference w:id="34"/>
            </w:r>
            <w:r w:rsidRPr="001069FC">
              <w:rPr>
                <w:iCs/>
                <w:sz w:val="28"/>
                <w:szCs w:val="28"/>
              </w:rPr>
              <w:t xml:space="preserve">. </w:t>
            </w:r>
            <w:r w:rsidRPr="001069FC">
              <w:rPr>
                <w:sz w:val="28"/>
                <w:szCs w:val="28"/>
              </w:rPr>
              <w:t>Sabiedrības iespējas iesaistīties likumprojekta publiskajā apspriešanā, sniedzot savus viedokļus bija n</w:t>
            </w:r>
            <w:r w:rsidR="00405105">
              <w:rPr>
                <w:sz w:val="28"/>
                <w:szCs w:val="28"/>
              </w:rPr>
              <w:t>o 2013.gada 14.augusta līdz 2013</w:t>
            </w:r>
            <w:r w:rsidRPr="001069FC">
              <w:rPr>
                <w:sz w:val="28"/>
                <w:szCs w:val="28"/>
              </w:rPr>
              <w:t>.gada 13.septembrim. </w:t>
            </w:r>
          </w:p>
        </w:tc>
      </w:tr>
      <w:tr w:rsidR="00277929" w:rsidRPr="001069FC" w:rsidTr="00046A6D">
        <w:trPr>
          <w:trHeight w:val="339"/>
          <w:jc w:val="center"/>
        </w:trPr>
        <w:tc>
          <w:tcPr>
            <w:tcW w:w="451" w:type="dxa"/>
          </w:tcPr>
          <w:p w:rsidR="00277929" w:rsidRPr="001069FC" w:rsidRDefault="00183CC2" w:rsidP="007D099D">
            <w:pPr>
              <w:pStyle w:val="naiskr"/>
              <w:spacing w:before="0" w:after="0"/>
              <w:ind w:left="57" w:right="57"/>
              <w:rPr>
                <w:bCs/>
                <w:sz w:val="28"/>
                <w:szCs w:val="28"/>
              </w:rPr>
            </w:pPr>
            <w:r w:rsidRPr="001069FC">
              <w:rPr>
                <w:bCs/>
                <w:sz w:val="28"/>
                <w:szCs w:val="28"/>
              </w:rPr>
              <w:lastRenderedPageBreak/>
              <w:t>2</w:t>
            </w:r>
            <w:r w:rsidR="00277929" w:rsidRPr="001069FC">
              <w:rPr>
                <w:bCs/>
                <w:sz w:val="28"/>
                <w:szCs w:val="28"/>
              </w:rPr>
              <w:t>.</w:t>
            </w:r>
          </w:p>
        </w:tc>
        <w:tc>
          <w:tcPr>
            <w:tcW w:w="4492" w:type="dxa"/>
          </w:tcPr>
          <w:p w:rsidR="00277929" w:rsidRPr="001069FC" w:rsidRDefault="00E179CD" w:rsidP="007D099D">
            <w:pPr>
              <w:pStyle w:val="naiskr"/>
              <w:spacing w:before="0" w:after="0"/>
              <w:ind w:left="57" w:right="57"/>
              <w:rPr>
                <w:sz w:val="28"/>
                <w:szCs w:val="28"/>
              </w:rPr>
            </w:pPr>
            <w:r w:rsidRPr="001069FC">
              <w:rPr>
                <w:sz w:val="28"/>
                <w:szCs w:val="28"/>
              </w:rPr>
              <w:t>S</w:t>
            </w:r>
            <w:r w:rsidR="00DB073B" w:rsidRPr="001069FC">
              <w:rPr>
                <w:sz w:val="28"/>
                <w:szCs w:val="28"/>
              </w:rPr>
              <w:t>abiedrības</w:t>
            </w:r>
            <w:r w:rsidR="00B73166" w:rsidRPr="001069FC">
              <w:rPr>
                <w:sz w:val="28"/>
                <w:szCs w:val="28"/>
              </w:rPr>
              <w:t xml:space="preserve"> </w:t>
            </w:r>
            <w:r w:rsidR="00DB073B" w:rsidRPr="001069FC">
              <w:rPr>
                <w:sz w:val="28"/>
                <w:szCs w:val="28"/>
              </w:rPr>
              <w:t>līdzdalība</w:t>
            </w:r>
            <w:r w:rsidR="00B73166" w:rsidRPr="001069FC">
              <w:rPr>
                <w:sz w:val="28"/>
                <w:szCs w:val="28"/>
              </w:rPr>
              <w:t xml:space="preserve"> </w:t>
            </w:r>
            <w:r w:rsidR="00AB2B1A" w:rsidRPr="001069FC">
              <w:rPr>
                <w:sz w:val="28"/>
                <w:szCs w:val="28"/>
              </w:rPr>
              <w:t>projekta izstrādē</w:t>
            </w:r>
            <w:r w:rsidR="00DB073B" w:rsidRPr="001069FC">
              <w:rPr>
                <w:sz w:val="28"/>
                <w:szCs w:val="28"/>
              </w:rPr>
              <w:t xml:space="preserve"> </w:t>
            </w:r>
          </w:p>
        </w:tc>
        <w:tc>
          <w:tcPr>
            <w:tcW w:w="5313" w:type="dxa"/>
          </w:tcPr>
          <w:p w:rsidR="00337E51" w:rsidRPr="001069FC" w:rsidRDefault="00337E51" w:rsidP="007D099D">
            <w:pPr>
              <w:pStyle w:val="naiskr"/>
              <w:spacing w:before="0" w:after="0"/>
              <w:ind w:left="57" w:right="57"/>
              <w:jc w:val="both"/>
              <w:rPr>
                <w:sz w:val="28"/>
                <w:szCs w:val="28"/>
              </w:rPr>
            </w:pPr>
            <w:r w:rsidRPr="001069FC">
              <w:rPr>
                <w:sz w:val="28"/>
                <w:szCs w:val="28"/>
              </w:rPr>
              <w:t xml:space="preserve">Valsts institūcijas: </w:t>
            </w:r>
          </w:p>
          <w:p w:rsidR="00337E51" w:rsidRPr="001069FC" w:rsidRDefault="00337E51" w:rsidP="007D099D">
            <w:pPr>
              <w:pStyle w:val="naiskr"/>
              <w:spacing w:before="0" w:after="0"/>
              <w:ind w:left="57" w:right="57"/>
              <w:jc w:val="both"/>
              <w:rPr>
                <w:sz w:val="28"/>
                <w:szCs w:val="28"/>
              </w:rPr>
            </w:pPr>
            <w:r w:rsidRPr="001069FC">
              <w:rPr>
                <w:sz w:val="28"/>
                <w:szCs w:val="28"/>
              </w:rPr>
              <w:t xml:space="preserve">Ekonomikas ministrija, Finanšu ministrija, Valsts ieņēmumu dienests, Labklājības ministrija, Iekšlietu ministrija, Valsts policija, Zāļu valsts aģentūra, Slimību profilakses un kontroles centrs, Patērētāju tiesību aizsardzības centrs. </w:t>
            </w:r>
          </w:p>
          <w:p w:rsidR="00277929" w:rsidRPr="001069FC" w:rsidRDefault="00337E51" w:rsidP="00337E51">
            <w:pPr>
              <w:pStyle w:val="naiskr"/>
              <w:spacing w:before="0" w:after="0"/>
              <w:ind w:left="57" w:right="57"/>
              <w:jc w:val="both"/>
              <w:rPr>
                <w:sz w:val="28"/>
                <w:szCs w:val="28"/>
              </w:rPr>
            </w:pPr>
            <w:r w:rsidRPr="001069FC">
              <w:rPr>
                <w:sz w:val="28"/>
                <w:szCs w:val="28"/>
              </w:rPr>
              <w:t xml:space="preserve">Sociālie partneri: Latvijas Ārstu biedrība, Jaunatnes atturības federācija, Latvijas </w:t>
            </w:r>
            <w:r w:rsidR="00C5390A" w:rsidRPr="001069FC">
              <w:rPr>
                <w:sz w:val="28"/>
                <w:szCs w:val="28"/>
              </w:rPr>
              <w:t>U</w:t>
            </w:r>
            <w:r w:rsidRPr="001069FC">
              <w:rPr>
                <w:sz w:val="28"/>
                <w:szCs w:val="28"/>
              </w:rPr>
              <w:t>niversitātes atturības un veselības izglītības v</w:t>
            </w:r>
            <w:r w:rsidR="00C5390A" w:rsidRPr="001069FC">
              <w:rPr>
                <w:sz w:val="28"/>
                <w:szCs w:val="28"/>
              </w:rPr>
              <w:t>eicināšanas biedrība, Latvijas S</w:t>
            </w:r>
            <w:r w:rsidRPr="001069FC">
              <w:rPr>
                <w:sz w:val="28"/>
                <w:szCs w:val="28"/>
              </w:rPr>
              <w:t xml:space="preserve">abiedrības </w:t>
            </w:r>
            <w:r w:rsidR="00C5390A" w:rsidRPr="001069FC">
              <w:rPr>
                <w:sz w:val="28"/>
                <w:szCs w:val="28"/>
              </w:rPr>
              <w:t>veselības asociācija, Latvijas T</w:t>
            </w:r>
            <w:r w:rsidRPr="001069FC">
              <w:rPr>
                <w:sz w:val="28"/>
                <w:szCs w:val="28"/>
              </w:rPr>
              <w:t xml:space="preserve">irdzniecības un rūpniecības kamera.  </w:t>
            </w:r>
          </w:p>
          <w:p w:rsidR="00337E51" w:rsidRPr="001069FC" w:rsidRDefault="00337E51" w:rsidP="00337E51">
            <w:pPr>
              <w:pStyle w:val="naiskr"/>
              <w:spacing w:before="0" w:after="0"/>
              <w:ind w:left="57" w:right="57"/>
              <w:jc w:val="both"/>
              <w:rPr>
                <w:sz w:val="28"/>
                <w:szCs w:val="28"/>
              </w:rPr>
            </w:pPr>
            <w:r w:rsidRPr="001069FC">
              <w:rPr>
                <w:sz w:val="28"/>
                <w:szCs w:val="28"/>
              </w:rPr>
              <w:t xml:space="preserve">Citas juridiskas </w:t>
            </w:r>
            <w:r w:rsidR="00431494" w:rsidRPr="001069FC">
              <w:rPr>
                <w:sz w:val="28"/>
                <w:szCs w:val="28"/>
              </w:rPr>
              <w:t xml:space="preserve">un fiziskas personas. </w:t>
            </w:r>
          </w:p>
          <w:p w:rsidR="00337E51" w:rsidRPr="001069FC" w:rsidRDefault="00337E51" w:rsidP="008A02C1">
            <w:pPr>
              <w:pStyle w:val="naiskr"/>
              <w:spacing w:before="0" w:after="0"/>
              <w:ind w:left="57" w:right="57"/>
              <w:jc w:val="both"/>
              <w:rPr>
                <w:sz w:val="28"/>
                <w:szCs w:val="28"/>
              </w:rPr>
            </w:pPr>
            <w:r w:rsidRPr="001069FC">
              <w:rPr>
                <w:sz w:val="28"/>
                <w:szCs w:val="28"/>
              </w:rPr>
              <w:t xml:space="preserve">Likumprojekta izstrādes procesa laikā līdzdarboties varēja </w:t>
            </w:r>
            <w:r w:rsidR="008A02C1" w:rsidRPr="001069FC">
              <w:rPr>
                <w:sz w:val="28"/>
                <w:szCs w:val="28"/>
              </w:rPr>
              <w:t>piedaloties VM organizētajās</w:t>
            </w:r>
            <w:r w:rsidRPr="001069FC">
              <w:rPr>
                <w:sz w:val="28"/>
                <w:szCs w:val="28"/>
              </w:rPr>
              <w:t xml:space="preserve"> darba grupas sanāksmēs</w:t>
            </w:r>
            <w:r w:rsidR="008A02C1" w:rsidRPr="001069FC">
              <w:rPr>
                <w:sz w:val="28"/>
                <w:szCs w:val="28"/>
              </w:rPr>
              <w:t xml:space="preserve"> (ar rīkojumu apstiprinātā darba grupa)</w:t>
            </w:r>
            <w:r w:rsidRPr="001069FC">
              <w:rPr>
                <w:sz w:val="28"/>
                <w:szCs w:val="28"/>
              </w:rPr>
              <w:t>, gan sūtot vēstules, tai skaitā, arī e-pasta vēstules ar priekšlikumiem.</w:t>
            </w:r>
          </w:p>
        </w:tc>
      </w:tr>
      <w:tr w:rsidR="00277929" w:rsidRPr="001069FC" w:rsidTr="00046A6D">
        <w:trPr>
          <w:trHeight w:val="375"/>
          <w:jc w:val="center"/>
        </w:trPr>
        <w:tc>
          <w:tcPr>
            <w:tcW w:w="451" w:type="dxa"/>
          </w:tcPr>
          <w:p w:rsidR="00277929" w:rsidRPr="001069FC" w:rsidRDefault="00183CC2" w:rsidP="007D099D">
            <w:pPr>
              <w:pStyle w:val="naiskr"/>
              <w:spacing w:before="0" w:after="0"/>
              <w:ind w:left="57" w:right="57"/>
              <w:rPr>
                <w:bCs/>
                <w:sz w:val="28"/>
                <w:szCs w:val="28"/>
              </w:rPr>
            </w:pPr>
            <w:r w:rsidRPr="001069FC">
              <w:rPr>
                <w:bCs/>
                <w:sz w:val="28"/>
                <w:szCs w:val="28"/>
              </w:rPr>
              <w:t>3</w:t>
            </w:r>
            <w:r w:rsidR="00277929" w:rsidRPr="001069FC">
              <w:rPr>
                <w:bCs/>
                <w:sz w:val="28"/>
                <w:szCs w:val="28"/>
              </w:rPr>
              <w:t>.</w:t>
            </w:r>
          </w:p>
        </w:tc>
        <w:tc>
          <w:tcPr>
            <w:tcW w:w="4492" w:type="dxa"/>
          </w:tcPr>
          <w:p w:rsidR="00784422" w:rsidRPr="001069FC" w:rsidRDefault="00DB78F0" w:rsidP="007D099D">
            <w:pPr>
              <w:pStyle w:val="naiskr"/>
              <w:spacing w:before="0" w:after="0"/>
              <w:ind w:left="57" w:right="57"/>
              <w:rPr>
                <w:sz w:val="28"/>
                <w:szCs w:val="28"/>
              </w:rPr>
            </w:pPr>
            <w:r w:rsidRPr="001069FC">
              <w:rPr>
                <w:sz w:val="28"/>
                <w:szCs w:val="28"/>
              </w:rPr>
              <w:t xml:space="preserve">Sabiedrības līdzdalības rezultāti </w:t>
            </w:r>
          </w:p>
        </w:tc>
        <w:tc>
          <w:tcPr>
            <w:tcW w:w="5313" w:type="dxa"/>
          </w:tcPr>
          <w:p w:rsidR="00277929" w:rsidRPr="001069FC" w:rsidRDefault="00337E51" w:rsidP="007D099D">
            <w:pPr>
              <w:pStyle w:val="naiskr"/>
              <w:spacing w:before="0" w:after="0"/>
              <w:ind w:left="57" w:right="57"/>
              <w:jc w:val="both"/>
              <w:rPr>
                <w:sz w:val="28"/>
                <w:szCs w:val="28"/>
              </w:rPr>
            </w:pPr>
            <w:r w:rsidRPr="001069FC">
              <w:rPr>
                <w:iCs/>
                <w:sz w:val="28"/>
                <w:szCs w:val="28"/>
              </w:rPr>
              <w:t xml:space="preserve">Sabiedrības līdzdalības rezultāti ir pieejami Veselības ministrijas tīmekļa vietnē www.vm.gov.lv sadaļā „Aktualitātes” „Publiskā apspriešana” „Likumprojekts „Grozījumi likumā „Par tabakas izstrādājumu realizācijas, reklāmas un lietošanas ierobežošanu”” </w:t>
            </w:r>
            <w:r w:rsidRPr="001069FC">
              <w:rPr>
                <w:rStyle w:val="FootnoteReference"/>
                <w:iCs/>
                <w:sz w:val="28"/>
                <w:szCs w:val="28"/>
              </w:rPr>
              <w:footnoteReference w:id="35"/>
            </w:r>
            <w:r w:rsidR="008A02C1" w:rsidRPr="001069FC">
              <w:rPr>
                <w:iCs/>
                <w:sz w:val="28"/>
                <w:szCs w:val="28"/>
              </w:rPr>
              <w:t xml:space="preserve">. </w:t>
            </w:r>
          </w:p>
        </w:tc>
      </w:tr>
      <w:tr w:rsidR="00DE0B83" w:rsidRPr="001069FC" w:rsidTr="00046A6D">
        <w:trPr>
          <w:trHeight w:val="397"/>
          <w:jc w:val="center"/>
        </w:trPr>
        <w:tc>
          <w:tcPr>
            <w:tcW w:w="451" w:type="dxa"/>
          </w:tcPr>
          <w:p w:rsidR="00DE0B83" w:rsidRPr="001069FC" w:rsidRDefault="00183CC2" w:rsidP="007D099D">
            <w:pPr>
              <w:pStyle w:val="naiskr"/>
              <w:spacing w:before="0" w:after="0"/>
              <w:ind w:left="57" w:right="57"/>
              <w:rPr>
                <w:bCs/>
                <w:sz w:val="28"/>
                <w:szCs w:val="28"/>
              </w:rPr>
            </w:pPr>
            <w:r w:rsidRPr="001069FC">
              <w:rPr>
                <w:bCs/>
                <w:sz w:val="28"/>
                <w:szCs w:val="28"/>
              </w:rPr>
              <w:t>4</w:t>
            </w:r>
            <w:r w:rsidR="00DE0B83" w:rsidRPr="001069FC">
              <w:rPr>
                <w:bCs/>
                <w:sz w:val="28"/>
                <w:szCs w:val="28"/>
              </w:rPr>
              <w:t>.</w:t>
            </w:r>
          </w:p>
        </w:tc>
        <w:tc>
          <w:tcPr>
            <w:tcW w:w="4492" w:type="dxa"/>
          </w:tcPr>
          <w:p w:rsidR="00DE0B83" w:rsidRPr="001069FC" w:rsidRDefault="00DE0B83" w:rsidP="007D099D">
            <w:pPr>
              <w:pStyle w:val="naiskr"/>
              <w:spacing w:before="0" w:after="0"/>
              <w:ind w:left="57" w:right="57"/>
              <w:rPr>
                <w:sz w:val="28"/>
                <w:szCs w:val="28"/>
              </w:rPr>
            </w:pPr>
            <w:r w:rsidRPr="001069FC">
              <w:rPr>
                <w:sz w:val="28"/>
                <w:szCs w:val="28"/>
              </w:rPr>
              <w:t>Saeimas un ekspertu līdzdalība</w:t>
            </w:r>
          </w:p>
        </w:tc>
        <w:tc>
          <w:tcPr>
            <w:tcW w:w="5313" w:type="dxa"/>
          </w:tcPr>
          <w:p w:rsidR="00DE0B83" w:rsidRPr="001069FC" w:rsidRDefault="008A02C1" w:rsidP="007D099D">
            <w:pPr>
              <w:pStyle w:val="naiskr"/>
              <w:spacing w:before="0" w:after="0"/>
              <w:ind w:left="57" w:right="57"/>
              <w:jc w:val="both"/>
              <w:rPr>
                <w:sz w:val="28"/>
                <w:szCs w:val="28"/>
              </w:rPr>
            </w:pPr>
            <w:r w:rsidRPr="001069FC">
              <w:rPr>
                <w:iCs/>
                <w:sz w:val="28"/>
                <w:szCs w:val="28"/>
              </w:rPr>
              <w:t>Nav.</w:t>
            </w:r>
          </w:p>
        </w:tc>
      </w:tr>
      <w:tr w:rsidR="00277929" w:rsidRPr="001069FC" w:rsidTr="00046A6D">
        <w:trPr>
          <w:trHeight w:val="476"/>
          <w:jc w:val="center"/>
        </w:trPr>
        <w:tc>
          <w:tcPr>
            <w:tcW w:w="451" w:type="dxa"/>
          </w:tcPr>
          <w:p w:rsidR="00277929" w:rsidRPr="001069FC" w:rsidRDefault="00183CC2" w:rsidP="007D099D">
            <w:pPr>
              <w:pStyle w:val="naiskr"/>
              <w:spacing w:before="0" w:after="0"/>
              <w:ind w:left="57" w:right="57"/>
              <w:rPr>
                <w:bCs/>
                <w:sz w:val="28"/>
                <w:szCs w:val="28"/>
              </w:rPr>
            </w:pPr>
            <w:r w:rsidRPr="001069FC">
              <w:rPr>
                <w:bCs/>
                <w:sz w:val="28"/>
                <w:szCs w:val="28"/>
              </w:rPr>
              <w:t>5</w:t>
            </w:r>
            <w:r w:rsidR="00277929" w:rsidRPr="001069FC">
              <w:rPr>
                <w:bCs/>
                <w:sz w:val="28"/>
                <w:szCs w:val="28"/>
              </w:rPr>
              <w:t>.</w:t>
            </w:r>
          </w:p>
        </w:tc>
        <w:tc>
          <w:tcPr>
            <w:tcW w:w="4492" w:type="dxa"/>
          </w:tcPr>
          <w:p w:rsidR="00277929" w:rsidRPr="001069FC" w:rsidRDefault="006C4607" w:rsidP="007D099D">
            <w:pPr>
              <w:pStyle w:val="naiskr"/>
              <w:spacing w:before="0" w:after="0"/>
              <w:ind w:left="57" w:right="57"/>
              <w:rPr>
                <w:sz w:val="28"/>
                <w:szCs w:val="28"/>
              </w:rPr>
            </w:pPr>
            <w:r w:rsidRPr="001069FC">
              <w:rPr>
                <w:sz w:val="28"/>
                <w:szCs w:val="28"/>
              </w:rPr>
              <w:t>Cita informācija</w:t>
            </w:r>
          </w:p>
          <w:p w:rsidR="002F78C8" w:rsidRPr="001069FC" w:rsidRDefault="002F78C8" w:rsidP="007D099D">
            <w:pPr>
              <w:pStyle w:val="naiskr"/>
              <w:spacing w:before="0" w:after="0"/>
              <w:ind w:left="57" w:right="57"/>
              <w:rPr>
                <w:sz w:val="28"/>
                <w:szCs w:val="28"/>
              </w:rPr>
            </w:pPr>
          </w:p>
        </w:tc>
        <w:tc>
          <w:tcPr>
            <w:tcW w:w="5313" w:type="dxa"/>
          </w:tcPr>
          <w:p w:rsidR="00845811" w:rsidRPr="001069FC" w:rsidRDefault="00BB0A82" w:rsidP="007D099D">
            <w:pPr>
              <w:pStyle w:val="naiskr"/>
              <w:spacing w:before="0" w:after="0"/>
              <w:ind w:left="57" w:right="57"/>
              <w:jc w:val="both"/>
              <w:rPr>
                <w:sz w:val="28"/>
                <w:szCs w:val="28"/>
              </w:rPr>
            </w:pPr>
            <w:r w:rsidRPr="001069FC">
              <w:rPr>
                <w:sz w:val="28"/>
                <w:szCs w:val="28"/>
              </w:rPr>
              <w:t>Nav</w:t>
            </w:r>
            <w:r w:rsidR="008A02C1" w:rsidRPr="001069FC">
              <w:rPr>
                <w:sz w:val="28"/>
                <w:szCs w:val="28"/>
              </w:rPr>
              <w:t>.</w:t>
            </w:r>
          </w:p>
        </w:tc>
      </w:tr>
    </w:tbl>
    <w:p w:rsidR="0015060C" w:rsidRDefault="0015060C" w:rsidP="006C4607">
      <w:pPr>
        <w:pStyle w:val="naisf"/>
        <w:spacing w:before="0" w:after="0"/>
        <w:rPr>
          <w:sz w:val="28"/>
          <w:szCs w:val="28"/>
        </w:rPr>
      </w:pPr>
    </w:p>
    <w:p w:rsidR="001D7CA2" w:rsidRPr="001069FC" w:rsidRDefault="001D7CA2" w:rsidP="006C4607">
      <w:pPr>
        <w:pStyle w:val="naisf"/>
        <w:spacing w:before="0" w:after="0"/>
        <w:rPr>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6"/>
        <w:gridCol w:w="4198"/>
        <w:gridCol w:w="4418"/>
      </w:tblGrid>
      <w:tr w:rsidR="0023436E" w:rsidRPr="001069FC" w:rsidTr="001069FC">
        <w:tc>
          <w:tcPr>
            <w:tcW w:w="9072" w:type="dxa"/>
            <w:gridSpan w:val="3"/>
            <w:tcBorders>
              <w:top w:val="single" w:sz="4" w:space="0" w:color="auto"/>
            </w:tcBorders>
          </w:tcPr>
          <w:p w:rsidR="0023436E" w:rsidRPr="001069FC" w:rsidRDefault="0023436E" w:rsidP="007D099D">
            <w:pPr>
              <w:pStyle w:val="naisnod"/>
              <w:spacing w:before="0" w:after="0"/>
              <w:ind w:left="57" w:right="57"/>
              <w:rPr>
                <w:sz w:val="28"/>
                <w:szCs w:val="28"/>
              </w:rPr>
            </w:pPr>
            <w:r w:rsidRPr="001069FC">
              <w:rPr>
                <w:sz w:val="28"/>
                <w:szCs w:val="28"/>
              </w:rPr>
              <w:t>VII</w:t>
            </w:r>
            <w:r w:rsidR="000941C5" w:rsidRPr="001069FC">
              <w:rPr>
                <w:sz w:val="28"/>
                <w:szCs w:val="28"/>
              </w:rPr>
              <w:t>.</w:t>
            </w:r>
            <w:r w:rsidRPr="001069FC">
              <w:rPr>
                <w:sz w:val="28"/>
                <w:szCs w:val="28"/>
              </w:rPr>
              <w:t xml:space="preserve"> Tiesību akta projekta izpildes nodrošināšana un tās ietekme uz institūcijām</w:t>
            </w:r>
          </w:p>
        </w:tc>
      </w:tr>
      <w:tr w:rsidR="0023436E" w:rsidRPr="001069FC" w:rsidTr="001069FC">
        <w:trPr>
          <w:trHeight w:val="427"/>
        </w:trPr>
        <w:tc>
          <w:tcPr>
            <w:tcW w:w="456" w:type="dxa"/>
          </w:tcPr>
          <w:p w:rsidR="0023436E" w:rsidRPr="001069FC" w:rsidRDefault="0023436E" w:rsidP="007D099D">
            <w:pPr>
              <w:pStyle w:val="naisnod"/>
              <w:spacing w:before="0" w:after="0"/>
              <w:ind w:left="57" w:right="57"/>
              <w:jc w:val="left"/>
              <w:rPr>
                <w:b w:val="0"/>
                <w:sz w:val="28"/>
                <w:szCs w:val="28"/>
              </w:rPr>
            </w:pPr>
            <w:r w:rsidRPr="001069FC">
              <w:rPr>
                <w:b w:val="0"/>
                <w:sz w:val="28"/>
                <w:szCs w:val="28"/>
              </w:rPr>
              <w:t>1.</w:t>
            </w:r>
          </w:p>
        </w:tc>
        <w:tc>
          <w:tcPr>
            <w:tcW w:w="4198" w:type="dxa"/>
          </w:tcPr>
          <w:p w:rsidR="0023436E" w:rsidRPr="001069FC" w:rsidRDefault="001A4066" w:rsidP="007D099D">
            <w:pPr>
              <w:pStyle w:val="naisf"/>
              <w:spacing w:before="0" w:after="0"/>
              <w:ind w:left="57" w:right="57" w:firstLine="0"/>
              <w:jc w:val="left"/>
              <w:rPr>
                <w:sz w:val="28"/>
                <w:szCs w:val="28"/>
              </w:rPr>
            </w:pPr>
            <w:r w:rsidRPr="001069FC">
              <w:rPr>
                <w:sz w:val="28"/>
                <w:szCs w:val="28"/>
              </w:rPr>
              <w:t>P</w:t>
            </w:r>
            <w:r w:rsidR="0023436E" w:rsidRPr="001069FC">
              <w:rPr>
                <w:sz w:val="28"/>
                <w:szCs w:val="28"/>
              </w:rPr>
              <w:t xml:space="preserve">rojekta izpildē iesaistītās institūcijas </w:t>
            </w:r>
          </w:p>
        </w:tc>
        <w:tc>
          <w:tcPr>
            <w:tcW w:w="4418" w:type="dxa"/>
          </w:tcPr>
          <w:p w:rsidR="0023436E" w:rsidRPr="001069FC" w:rsidRDefault="006E2DBB" w:rsidP="00B2437D">
            <w:pPr>
              <w:pStyle w:val="naisnod"/>
              <w:spacing w:before="0" w:after="0"/>
              <w:ind w:right="57"/>
              <w:jc w:val="left"/>
              <w:rPr>
                <w:b w:val="0"/>
                <w:iCs/>
                <w:sz w:val="28"/>
                <w:szCs w:val="28"/>
              </w:rPr>
            </w:pPr>
            <w:r w:rsidRPr="001069FC">
              <w:rPr>
                <w:b w:val="0"/>
                <w:iCs/>
                <w:sz w:val="28"/>
                <w:szCs w:val="28"/>
              </w:rPr>
              <w:t xml:space="preserve">Valsts </w:t>
            </w:r>
            <w:r w:rsidR="00FB39FB">
              <w:rPr>
                <w:b w:val="0"/>
                <w:iCs/>
                <w:sz w:val="28"/>
                <w:szCs w:val="28"/>
              </w:rPr>
              <w:t xml:space="preserve">un pašvaldību </w:t>
            </w:r>
            <w:r w:rsidRPr="001069FC">
              <w:rPr>
                <w:b w:val="0"/>
                <w:iCs/>
                <w:sz w:val="28"/>
                <w:szCs w:val="28"/>
              </w:rPr>
              <w:t xml:space="preserve">policija. </w:t>
            </w:r>
          </w:p>
          <w:p w:rsidR="00B2437D" w:rsidRPr="001069FC" w:rsidRDefault="00B2437D" w:rsidP="00B2437D">
            <w:pPr>
              <w:pStyle w:val="naisnod"/>
              <w:spacing w:before="0" w:after="0"/>
              <w:ind w:right="57"/>
              <w:jc w:val="left"/>
              <w:rPr>
                <w:b w:val="0"/>
                <w:sz w:val="28"/>
                <w:szCs w:val="28"/>
              </w:rPr>
            </w:pPr>
          </w:p>
        </w:tc>
      </w:tr>
      <w:tr w:rsidR="0023436E" w:rsidRPr="001069FC" w:rsidTr="001069FC">
        <w:trPr>
          <w:trHeight w:val="463"/>
        </w:trPr>
        <w:tc>
          <w:tcPr>
            <w:tcW w:w="456" w:type="dxa"/>
          </w:tcPr>
          <w:p w:rsidR="0023436E" w:rsidRPr="001069FC" w:rsidRDefault="0023436E" w:rsidP="007D099D">
            <w:pPr>
              <w:pStyle w:val="naisnod"/>
              <w:spacing w:before="0" w:after="0"/>
              <w:ind w:left="57" w:right="57"/>
              <w:jc w:val="left"/>
              <w:rPr>
                <w:b w:val="0"/>
                <w:sz w:val="28"/>
                <w:szCs w:val="28"/>
              </w:rPr>
            </w:pPr>
            <w:r w:rsidRPr="001069FC">
              <w:rPr>
                <w:b w:val="0"/>
                <w:sz w:val="28"/>
                <w:szCs w:val="28"/>
              </w:rPr>
              <w:t>2.</w:t>
            </w:r>
          </w:p>
        </w:tc>
        <w:tc>
          <w:tcPr>
            <w:tcW w:w="4198" w:type="dxa"/>
          </w:tcPr>
          <w:p w:rsidR="0023436E" w:rsidRPr="001069FC" w:rsidRDefault="001A4066" w:rsidP="007D099D">
            <w:pPr>
              <w:pStyle w:val="naisf"/>
              <w:spacing w:before="0" w:after="0"/>
              <w:ind w:left="57" w:right="57" w:firstLine="0"/>
              <w:jc w:val="left"/>
              <w:rPr>
                <w:sz w:val="28"/>
                <w:szCs w:val="28"/>
              </w:rPr>
            </w:pPr>
            <w:r w:rsidRPr="001069FC">
              <w:rPr>
                <w:sz w:val="28"/>
                <w:szCs w:val="28"/>
              </w:rPr>
              <w:t>Projekta i</w:t>
            </w:r>
            <w:r w:rsidR="0023436E" w:rsidRPr="001069FC">
              <w:rPr>
                <w:sz w:val="28"/>
                <w:szCs w:val="28"/>
              </w:rPr>
              <w:t xml:space="preserve">zpildes ietekme uz </w:t>
            </w:r>
            <w:r w:rsidR="0023436E" w:rsidRPr="001069FC">
              <w:rPr>
                <w:sz w:val="28"/>
                <w:szCs w:val="28"/>
              </w:rPr>
              <w:lastRenderedPageBreak/>
              <w:t xml:space="preserve">pārvaldes funkcijām </w:t>
            </w:r>
          </w:p>
        </w:tc>
        <w:tc>
          <w:tcPr>
            <w:tcW w:w="4418" w:type="dxa"/>
          </w:tcPr>
          <w:p w:rsidR="0023436E" w:rsidRPr="001069FC" w:rsidRDefault="006E2DBB" w:rsidP="006E2DBB">
            <w:pPr>
              <w:pStyle w:val="naisnod"/>
              <w:spacing w:before="0" w:after="0"/>
              <w:ind w:right="57"/>
              <w:jc w:val="left"/>
              <w:rPr>
                <w:b w:val="0"/>
                <w:sz w:val="28"/>
                <w:szCs w:val="28"/>
              </w:rPr>
            </w:pPr>
            <w:r w:rsidRPr="001069FC">
              <w:rPr>
                <w:b w:val="0"/>
                <w:sz w:val="28"/>
                <w:szCs w:val="28"/>
              </w:rPr>
              <w:lastRenderedPageBreak/>
              <w:t xml:space="preserve">Projekts šo jomu neskar. </w:t>
            </w:r>
          </w:p>
        </w:tc>
      </w:tr>
      <w:tr w:rsidR="0023436E" w:rsidRPr="001069FC" w:rsidTr="001069FC">
        <w:trPr>
          <w:trHeight w:val="725"/>
        </w:trPr>
        <w:tc>
          <w:tcPr>
            <w:tcW w:w="456" w:type="dxa"/>
          </w:tcPr>
          <w:p w:rsidR="0023436E" w:rsidRPr="001069FC" w:rsidRDefault="0023436E" w:rsidP="007D099D">
            <w:pPr>
              <w:pStyle w:val="naisnod"/>
              <w:spacing w:before="0" w:after="0"/>
              <w:ind w:left="57" w:right="57"/>
              <w:jc w:val="left"/>
              <w:rPr>
                <w:b w:val="0"/>
                <w:sz w:val="28"/>
                <w:szCs w:val="28"/>
              </w:rPr>
            </w:pPr>
            <w:r w:rsidRPr="001069FC">
              <w:rPr>
                <w:b w:val="0"/>
                <w:sz w:val="28"/>
                <w:szCs w:val="28"/>
              </w:rPr>
              <w:lastRenderedPageBreak/>
              <w:t>3.</w:t>
            </w:r>
          </w:p>
        </w:tc>
        <w:tc>
          <w:tcPr>
            <w:tcW w:w="4198" w:type="dxa"/>
          </w:tcPr>
          <w:p w:rsidR="0023436E" w:rsidRPr="001069FC" w:rsidRDefault="001A4066" w:rsidP="007D099D">
            <w:pPr>
              <w:pStyle w:val="naisf"/>
              <w:spacing w:before="0" w:after="0"/>
              <w:ind w:left="57" w:right="57" w:firstLine="0"/>
              <w:jc w:val="left"/>
              <w:rPr>
                <w:sz w:val="28"/>
                <w:szCs w:val="28"/>
              </w:rPr>
            </w:pPr>
            <w:r w:rsidRPr="001069FC">
              <w:rPr>
                <w:sz w:val="28"/>
                <w:szCs w:val="28"/>
              </w:rPr>
              <w:t>Projekta iz</w:t>
            </w:r>
            <w:r w:rsidR="0023436E" w:rsidRPr="001069FC">
              <w:rPr>
                <w:sz w:val="28"/>
                <w:szCs w:val="28"/>
              </w:rPr>
              <w:t>pildes ietekme uz pārvaldes institucionālo struktūru.</w:t>
            </w:r>
          </w:p>
          <w:p w:rsidR="0023436E" w:rsidRPr="001069FC" w:rsidRDefault="006C4607" w:rsidP="007D099D">
            <w:pPr>
              <w:pStyle w:val="naisf"/>
              <w:spacing w:before="0" w:after="0"/>
              <w:ind w:left="57" w:right="57" w:firstLine="0"/>
              <w:jc w:val="left"/>
              <w:rPr>
                <w:sz w:val="28"/>
                <w:szCs w:val="28"/>
              </w:rPr>
            </w:pPr>
            <w:r w:rsidRPr="001069FC">
              <w:rPr>
                <w:sz w:val="28"/>
                <w:szCs w:val="28"/>
              </w:rPr>
              <w:t>Jaunu institūciju izveide</w:t>
            </w:r>
          </w:p>
        </w:tc>
        <w:tc>
          <w:tcPr>
            <w:tcW w:w="4418" w:type="dxa"/>
          </w:tcPr>
          <w:p w:rsidR="0023436E" w:rsidRPr="001069FC" w:rsidRDefault="00B2437D" w:rsidP="00B2437D">
            <w:pPr>
              <w:pStyle w:val="naisnod"/>
              <w:spacing w:before="0" w:after="0"/>
              <w:ind w:right="57"/>
              <w:jc w:val="left"/>
              <w:rPr>
                <w:b w:val="0"/>
                <w:sz w:val="28"/>
                <w:szCs w:val="28"/>
              </w:rPr>
            </w:pPr>
            <w:r w:rsidRPr="001069FC">
              <w:rPr>
                <w:b w:val="0"/>
                <w:sz w:val="28"/>
                <w:szCs w:val="28"/>
              </w:rPr>
              <w:t>Projekts šo jomu neskar.</w:t>
            </w:r>
          </w:p>
        </w:tc>
      </w:tr>
      <w:tr w:rsidR="0023436E" w:rsidRPr="001069FC" w:rsidTr="001069FC">
        <w:trPr>
          <w:trHeight w:val="780"/>
        </w:trPr>
        <w:tc>
          <w:tcPr>
            <w:tcW w:w="456" w:type="dxa"/>
          </w:tcPr>
          <w:p w:rsidR="0023436E" w:rsidRPr="001069FC" w:rsidRDefault="0023436E" w:rsidP="007D099D">
            <w:pPr>
              <w:pStyle w:val="naisnod"/>
              <w:spacing w:before="0" w:after="0"/>
              <w:ind w:left="57" w:right="57"/>
              <w:jc w:val="left"/>
              <w:rPr>
                <w:b w:val="0"/>
                <w:sz w:val="28"/>
                <w:szCs w:val="28"/>
              </w:rPr>
            </w:pPr>
            <w:r w:rsidRPr="001069FC">
              <w:rPr>
                <w:b w:val="0"/>
                <w:sz w:val="28"/>
                <w:szCs w:val="28"/>
              </w:rPr>
              <w:t>4.</w:t>
            </w:r>
          </w:p>
        </w:tc>
        <w:tc>
          <w:tcPr>
            <w:tcW w:w="4198" w:type="dxa"/>
          </w:tcPr>
          <w:p w:rsidR="0023436E" w:rsidRPr="001069FC" w:rsidRDefault="001A4066" w:rsidP="007D099D">
            <w:pPr>
              <w:pStyle w:val="naisf"/>
              <w:spacing w:before="0" w:after="0"/>
              <w:ind w:left="57" w:right="57" w:firstLine="0"/>
              <w:jc w:val="left"/>
              <w:rPr>
                <w:sz w:val="28"/>
                <w:szCs w:val="28"/>
              </w:rPr>
            </w:pPr>
            <w:r w:rsidRPr="001069FC">
              <w:rPr>
                <w:sz w:val="28"/>
                <w:szCs w:val="28"/>
              </w:rPr>
              <w:t>Projekta i</w:t>
            </w:r>
            <w:r w:rsidR="0023436E" w:rsidRPr="001069FC">
              <w:rPr>
                <w:sz w:val="28"/>
                <w:szCs w:val="28"/>
              </w:rPr>
              <w:t>zpildes ietekme uz pārvaldes institucionālo struktūru.</w:t>
            </w:r>
          </w:p>
          <w:p w:rsidR="0023436E" w:rsidRPr="001069FC" w:rsidRDefault="006C4607" w:rsidP="007D099D">
            <w:pPr>
              <w:pStyle w:val="naisf"/>
              <w:spacing w:before="0" w:after="0"/>
              <w:ind w:left="57" w:right="57" w:firstLine="0"/>
              <w:jc w:val="left"/>
              <w:rPr>
                <w:sz w:val="28"/>
                <w:szCs w:val="28"/>
              </w:rPr>
            </w:pPr>
            <w:r w:rsidRPr="001069FC">
              <w:rPr>
                <w:sz w:val="28"/>
                <w:szCs w:val="28"/>
              </w:rPr>
              <w:t>Esošu institūciju likvidācija</w:t>
            </w:r>
          </w:p>
        </w:tc>
        <w:tc>
          <w:tcPr>
            <w:tcW w:w="4418" w:type="dxa"/>
          </w:tcPr>
          <w:p w:rsidR="0023436E" w:rsidRPr="001069FC" w:rsidRDefault="00B2437D" w:rsidP="00B2437D">
            <w:pPr>
              <w:pStyle w:val="naisnod"/>
              <w:spacing w:before="0" w:after="0"/>
              <w:ind w:right="57"/>
              <w:jc w:val="left"/>
              <w:rPr>
                <w:b w:val="0"/>
                <w:sz w:val="28"/>
                <w:szCs w:val="28"/>
              </w:rPr>
            </w:pPr>
            <w:r w:rsidRPr="001069FC">
              <w:rPr>
                <w:b w:val="0"/>
                <w:sz w:val="28"/>
                <w:szCs w:val="28"/>
              </w:rPr>
              <w:t>Projekts šo jomu neskar.</w:t>
            </w:r>
          </w:p>
        </w:tc>
      </w:tr>
      <w:tr w:rsidR="0023436E" w:rsidRPr="001069FC" w:rsidTr="001069FC">
        <w:trPr>
          <w:trHeight w:val="703"/>
        </w:trPr>
        <w:tc>
          <w:tcPr>
            <w:tcW w:w="456" w:type="dxa"/>
          </w:tcPr>
          <w:p w:rsidR="0023436E" w:rsidRPr="001069FC" w:rsidRDefault="0023436E" w:rsidP="007D099D">
            <w:pPr>
              <w:pStyle w:val="naisnod"/>
              <w:spacing w:before="0" w:after="0"/>
              <w:ind w:left="57" w:right="57"/>
              <w:jc w:val="left"/>
              <w:rPr>
                <w:b w:val="0"/>
                <w:sz w:val="28"/>
                <w:szCs w:val="28"/>
              </w:rPr>
            </w:pPr>
            <w:r w:rsidRPr="001069FC">
              <w:rPr>
                <w:b w:val="0"/>
                <w:sz w:val="28"/>
                <w:szCs w:val="28"/>
              </w:rPr>
              <w:t>5.</w:t>
            </w:r>
          </w:p>
        </w:tc>
        <w:tc>
          <w:tcPr>
            <w:tcW w:w="4198" w:type="dxa"/>
          </w:tcPr>
          <w:p w:rsidR="0023436E" w:rsidRPr="001069FC" w:rsidRDefault="001A4066" w:rsidP="007D099D">
            <w:pPr>
              <w:pStyle w:val="naisf"/>
              <w:spacing w:before="0" w:after="0"/>
              <w:ind w:left="57" w:right="57" w:firstLine="0"/>
              <w:jc w:val="left"/>
              <w:rPr>
                <w:sz w:val="28"/>
                <w:szCs w:val="28"/>
              </w:rPr>
            </w:pPr>
            <w:r w:rsidRPr="001069FC">
              <w:rPr>
                <w:sz w:val="28"/>
                <w:szCs w:val="28"/>
              </w:rPr>
              <w:t>Projekta i</w:t>
            </w:r>
            <w:r w:rsidR="0023436E" w:rsidRPr="001069FC">
              <w:rPr>
                <w:sz w:val="28"/>
                <w:szCs w:val="28"/>
              </w:rPr>
              <w:t>zpildes ietekme uz pārvaldes institucionālo struktūru.</w:t>
            </w:r>
          </w:p>
          <w:p w:rsidR="0023436E" w:rsidRPr="001069FC" w:rsidRDefault="0023436E" w:rsidP="007D099D">
            <w:pPr>
              <w:pStyle w:val="naisf"/>
              <w:spacing w:before="0" w:after="0"/>
              <w:ind w:left="57" w:right="57" w:firstLine="0"/>
              <w:jc w:val="left"/>
              <w:rPr>
                <w:sz w:val="28"/>
                <w:szCs w:val="28"/>
              </w:rPr>
            </w:pPr>
            <w:r w:rsidRPr="001069FC">
              <w:rPr>
                <w:sz w:val="28"/>
                <w:szCs w:val="28"/>
              </w:rPr>
              <w:t>Esošu institūciju reorganizācija</w:t>
            </w:r>
          </w:p>
        </w:tc>
        <w:tc>
          <w:tcPr>
            <w:tcW w:w="4418" w:type="dxa"/>
          </w:tcPr>
          <w:p w:rsidR="0023436E" w:rsidRPr="001069FC" w:rsidRDefault="00B2437D" w:rsidP="00B2437D">
            <w:pPr>
              <w:pStyle w:val="naisnod"/>
              <w:spacing w:before="0" w:after="0"/>
              <w:ind w:right="57"/>
              <w:jc w:val="left"/>
              <w:rPr>
                <w:b w:val="0"/>
                <w:sz w:val="28"/>
                <w:szCs w:val="28"/>
              </w:rPr>
            </w:pPr>
            <w:r w:rsidRPr="001069FC">
              <w:rPr>
                <w:b w:val="0"/>
                <w:sz w:val="28"/>
                <w:szCs w:val="28"/>
              </w:rPr>
              <w:t>Projekts šo jomu neskar.</w:t>
            </w:r>
          </w:p>
        </w:tc>
      </w:tr>
      <w:tr w:rsidR="0023436E" w:rsidRPr="001069FC" w:rsidTr="001069FC">
        <w:trPr>
          <w:trHeight w:val="476"/>
        </w:trPr>
        <w:tc>
          <w:tcPr>
            <w:tcW w:w="456" w:type="dxa"/>
          </w:tcPr>
          <w:p w:rsidR="0023436E" w:rsidRPr="001069FC" w:rsidRDefault="00F63DAC" w:rsidP="007D099D">
            <w:pPr>
              <w:pStyle w:val="naiskr"/>
              <w:spacing w:before="0" w:after="0"/>
              <w:ind w:left="57" w:right="57"/>
              <w:rPr>
                <w:sz w:val="28"/>
                <w:szCs w:val="28"/>
              </w:rPr>
            </w:pPr>
            <w:r w:rsidRPr="001069FC">
              <w:rPr>
                <w:sz w:val="28"/>
                <w:szCs w:val="28"/>
              </w:rPr>
              <w:t>6</w:t>
            </w:r>
            <w:r w:rsidR="0023436E" w:rsidRPr="001069FC">
              <w:rPr>
                <w:sz w:val="28"/>
                <w:szCs w:val="28"/>
              </w:rPr>
              <w:t>.</w:t>
            </w:r>
          </w:p>
        </w:tc>
        <w:tc>
          <w:tcPr>
            <w:tcW w:w="4198" w:type="dxa"/>
          </w:tcPr>
          <w:p w:rsidR="0023436E" w:rsidRPr="001069FC" w:rsidRDefault="006C4607" w:rsidP="007D099D">
            <w:pPr>
              <w:pStyle w:val="naiskr"/>
              <w:spacing w:before="0" w:after="0"/>
              <w:ind w:left="57" w:right="57"/>
              <w:rPr>
                <w:sz w:val="28"/>
                <w:szCs w:val="28"/>
              </w:rPr>
            </w:pPr>
            <w:r w:rsidRPr="001069FC">
              <w:rPr>
                <w:sz w:val="28"/>
                <w:szCs w:val="28"/>
              </w:rPr>
              <w:t>Cita informācija</w:t>
            </w:r>
          </w:p>
        </w:tc>
        <w:tc>
          <w:tcPr>
            <w:tcW w:w="4418" w:type="dxa"/>
          </w:tcPr>
          <w:p w:rsidR="0023436E" w:rsidRPr="001069FC" w:rsidRDefault="0023436E" w:rsidP="007D099D">
            <w:pPr>
              <w:pStyle w:val="naiskr"/>
              <w:spacing w:before="0" w:after="0"/>
              <w:ind w:left="57" w:right="57"/>
              <w:rPr>
                <w:sz w:val="28"/>
                <w:szCs w:val="28"/>
              </w:rPr>
            </w:pPr>
            <w:r w:rsidRPr="001069FC">
              <w:rPr>
                <w:sz w:val="28"/>
                <w:szCs w:val="28"/>
              </w:rPr>
              <w:t>Nav</w:t>
            </w:r>
            <w:r w:rsidR="00B2437D" w:rsidRPr="001069FC">
              <w:rPr>
                <w:sz w:val="28"/>
                <w:szCs w:val="28"/>
              </w:rPr>
              <w:t>.</w:t>
            </w:r>
          </w:p>
        </w:tc>
      </w:tr>
    </w:tbl>
    <w:p w:rsidR="009D36EC" w:rsidRPr="001069FC" w:rsidRDefault="009D36EC" w:rsidP="009D36EC">
      <w:pPr>
        <w:pStyle w:val="naisf"/>
        <w:tabs>
          <w:tab w:val="left" w:pos="6804"/>
        </w:tabs>
        <w:spacing w:before="0" w:after="0"/>
        <w:ind w:firstLine="0"/>
        <w:rPr>
          <w:sz w:val="28"/>
          <w:szCs w:val="28"/>
        </w:rPr>
      </w:pPr>
    </w:p>
    <w:p w:rsidR="009D36EC" w:rsidRPr="001069FC" w:rsidRDefault="009D36EC" w:rsidP="009D36EC">
      <w:pPr>
        <w:pStyle w:val="naisf"/>
        <w:tabs>
          <w:tab w:val="left" w:pos="6804"/>
        </w:tabs>
        <w:spacing w:before="0" w:after="0"/>
        <w:ind w:firstLine="0"/>
        <w:rPr>
          <w:sz w:val="28"/>
          <w:szCs w:val="28"/>
        </w:rPr>
      </w:pPr>
    </w:p>
    <w:p w:rsidR="00FB39FB" w:rsidRDefault="00FB39FB" w:rsidP="009D36EC">
      <w:pPr>
        <w:pStyle w:val="naisf"/>
        <w:tabs>
          <w:tab w:val="left" w:pos="6804"/>
        </w:tabs>
        <w:spacing w:before="0" w:after="0"/>
        <w:ind w:firstLine="0"/>
        <w:rPr>
          <w:sz w:val="28"/>
          <w:szCs w:val="28"/>
        </w:rPr>
      </w:pPr>
    </w:p>
    <w:p w:rsidR="00BF40ED" w:rsidRPr="001069FC" w:rsidRDefault="001E3045" w:rsidP="009D36EC">
      <w:pPr>
        <w:pStyle w:val="naisf"/>
        <w:tabs>
          <w:tab w:val="left" w:pos="6804"/>
        </w:tabs>
        <w:spacing w:before="0" w:after="0"/>
        <w:ind w:firstLine="0"/>
        <w:rPr>
          <w:sz w:val="28"/>
          <w:szCs w:val="28"/>
        </w:rPr>
      </w:pPr>
      <w:r w:rsidRPr="001069FC">
        <w:rPr>
          <w:sz w:val="28"/>
          <w:szCs w:val="28"/>
        </w:rPr>
        <w:t>Veselības ministre</w:t>
      </w:r>
      <w:r w:rsidR="009D36EC" w:rsidRPr="001069FC">
        <w:rPr>
          <w:sz w:val="28"/>
          <w:szCs w:val="28"/>
        </w:rPr>
        <w:tab/>
      </w:r>
      <w:r w:rsidR="001069FC">
        <w:rPr>
          <w:sz w:val="28"/>
          <w:szCs w:val="28"/>
        </w:rPr>
        <w:tab/>
      </w:r>
      <w:r w:rsidR="001069FC">
        <w:rPr>
          <w:sz w:val="28"/>
          <w:szCs w:val="28"/>
        </w:rPr>
        <w:tab/>
      </w:r>
      <w:r w:rsidR="009D36EC" w:rsidRPr="001069FC">
        <w:rPr>
          <w:sz w:val="28"/>
          <w:szCs w:val="28"/>
        </w:rPr>
        <w:t>I.Circene</w:t>
      </w:r>
    </w:p>
    <w:p w:rsidR="001E3045" w:rsidRPr="001069FC" w:rsidRDefault="001E3045" w:rsidP="009D36EC">
      <w:pPr>
        <w:pStyle w:val="naisf"/>
        <w:tabs>
          <w:tab w:val="left" w:pos="6804"/>
        </w:tabs>
        <w:spacing w:before="0" w:after="0"/>
        <w:ind w:firstLine="0"/>
        <w:rPr>
          <w:sz w:val="28"/>
          <w:szCs w:val="28"/>
        </w:rPr>
      </w:pPr>
    </w:p>
    <w:p w:rsidR="001E3045" w:rsidRPr="001069FC" w:rsidRDefault="001E3045" w:rsidP="001E3045">
      <w:pPr>
        <w:rPr>
          <w:sz w:val="28"/>
          <w:szCs w:val="28"/>
        </w:rPr>
      </w:pPr>
    </w:p>
    <w:p w:rsidR="001E3045" w:rsidRPr="001069FC" w:rsidRDefault="001E3045" w:rsidP="001E3045">
      <w:pPr>
        <w:rPr>
          <w:sz w:val="28"/>
          <w:szCs w:val="28"/>
        </w:rPr>
      </w:pPr>
    </w:p>
    <w:p w:rsidR="001E3045" w:rsidRPr="001069FC" w:rsidRDefault="001E3045"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8"/>
          <w:szCs w:val="28"/>
        </w:rPr>
      </w:pPr>
    </w:p>
    <w:p w:rsidR="001069FC" w:rsidRDefault="001069FC" w:rsidP="001E3045">
      <w:pPr>
        <w:rPr>
          <w:sz w:val="20"/>
          <w:szCs w:val="20"/>
        </w:rPr>
      </w:pPr>
    </w:p>
    <w:p w:rsidR="001069FC" w:rsidRDefault="001069FC" w:rsidP="001E3045">
      <w:pPr>
        <w:rPr>
          <w:sz w:val="20"/>
          <w:szCs w:val="20"/>
        </w:rPr>
      </w:pPr>
    </w:p>
    <w:p w:rsidR="001069FC" w:rsidRDefault="001069FC" w:rsidP="001E3045">
      <w:pPr>
        <w:rPr>
          <w:sz w:val="20"/>
          <w:szCs w:val="20"/>
        </w:rPr>
      </w:pPr>
    </w:p>
    <w:p w:rsidR="001069FC" w:rsidRDefault="001069FC" w:rsidP="001E3045">
      <w:pPr>
        <w:rPr>
          <w:sz w:val="20"/>
          <w:szCs w:val="20"/>
        </w:rPr>
      </w:pPr>
    </w:p>
    <w:p w:rsidR="001E3045" w:rsidRPr="001069FC" w:rsidRDefault="006E420F" w:rsidP="001E3045">
      <w:pPr>
        <w:rPr>
          <w:sz w:val="20"/>
          <w:szCs w:val="20"/>
        </w:rPr>
      </w:pPr>
      <w:r>
        <w:rPr>
          <w:sz w:val="20"/>
          <w:szCs w:val="20"/>
        </w:rPr>
        <w:t>21</w:t>
      </w:r>
      <w:r w:rsidR="00D63818">
        <w:rPr>
          <w:sz w:val="20"/>
          <w:szCs w:val="20"/>
        </w:rPr>
        <w:t>.02</w:t>
      </w:r>
      <w:r w:rsidR="00774CF7">
        <w:rPr>
          <w:sz w:val="20"/>
          <w:szCs w:val="20"/>
        </w:rPr>
        <w:t xml:space="preserve">.2014. </w:t>
      </w:r>
      <w:r>
        <w:rPr>
          <w:sz w:val="20"/>
          <w:szCs w:val="20"/>
        </w:rPr>
        <w:t>14.05</w:t>
      </w:r>
    </w:p>
    <w:p w:rsidR="001E3045" w:rsidRPr="001069FC" w:rsidRDefault="00AA2859" w:rsidP="001E3045">
      <w:pPr>
        <w:rPr>
          <w:sz w:val="20"/>
          <w:szCs w:val="20"/>
        </w:rPr>
      </w:pPr>
      <w:bookmarkStart w:id="3" w:name="_GoBack"/>
      <w:bookmarkEnd w:id="3"/>
      <w:r w:rsidRPr="001069FC">
        <w:rPr>
          <w:bCs/>
          <w:sz w:val="20"/>
          <w:szCs w:val="20"/>
        </w:rPr>
        <w:t>3</w:t>
      </w:r>
      <w:r w:rsidR="00405105">
        <w:rPr>
          <w:bCs/>
          <w:sz w:val="20"/>
          <w:szCs w:val="20"/>
        </w:rPr>
        <w:t>804</w:t>
      </w:r>
    </w:p>
    <w:p w:rsidR="00871F97" w:rsidRDefault="001E3045" w:rsidP="001E3045">
      <w:pPr>
        <w:jc w:val="both"/>
        <w:rPr>
          <w:sz w:val="20"/>
          <w:szCs w:val="20"/>
        </w:rPr>
      </w:pPr>
      <w:r w:rsidRPr="001069FC">
        <w:rPr>
          <w:sz w:val="20"/>
          <w:szCs w:val="20"/>
        </w:rPr>
        <w:t>A</w:t>
      </w:r>
      <w:r w:rsidR="00871F97">
        <w:rPr>
          <w:sz w:val="20"/>
          <w:szCs w:val="20"/>
        </w:rPr>
        <w:t>.</w:t>
      </w:r>
      <w:r w:rsidRPr="001069FC">
        <w:rPr>
          <w:sz w:val="20"/>
          <w:szCs w:val="20"/>
        </w:rPr>
        <w:t>Krūmiņa</w:t>
      </w:r>
      <w:r w:rsidR="00871F97">
        <w:rPr>
          <w:sz w:val="20"/>
          <w:szCs w:val="20"/>
        </w:rPr>
        <w:t xml:space="preserve">, </w:t>
      </w:r>
      <w:r w:rsidRPr="001069FC">
        <w:rPr>
          <w:sz w:val="20"/>
          <w:szCs w:val="20"/>
        </w:rPr>
        <w:t>67876077</w:t>
      </w:r>
    </w:p>
    <w:p w:rsidR="009D36EC" w:rsidRPr="001069FC" w:rsidRDefault="001E3045" w:rsidP="001E3045">
      <w:pPr>
        <w:jc w:val="both"/>
        <w:rPr>
          <w:sz w:val="20"/>
          <w:szCs w:val="20"/>
        </w:rPr>
      </w:pPr>
      <w:r w:rsidRPr="001069FC">
        <w:rPr>
          <w:color w:val="0000FF"/>
          <w:sz w:val="20"/>
          <w:szCs w:val="20"/>
          <w:u w:val="single"/>
        </w:rPr>
        <w:t>alise.krumina@vm.gov.lv</w:t>
      </w:r>
    </w:p>
    <w:sectPr w:rsidR="009D36EC" w:rsidRPr="001069FC" w:rsidSect="001069F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46" w:rsidRDefault="00437246">
      <w:r>
        <w:separator/>
      </w:r>
    </w:p>
  </w:endnote>
  <w:endnote w:type="continuationSeparator" w:id="0">
    <w:p w:rsidR="00437246" w:rsidRDefault="00437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6" w:rsidRPr="001E3045" w:rsidRDefault="00437246" w:rsidP="001E3045">
    <w:pPr>
      <w:pStyle w:val="naislab"/>
      <w:spacing w:before="0" w:after="0"/>
      <w:jc w:val="both"/>
      <w:outlineLvl w:val="0"/>
      <w:rPr>
        <w:sz w:val="20"/>
        <w:szCs w:val="20"/>
      </w:rPr>
    </w:pPr>
    <w:r>
      <w:rPr>
        <w:sz w:val="20"/>
        <w:szCs w:val="20"/>
      </w:rPr>
      <w:t>VMA</w:t>
    </w:r>
    <w:r w:rsidRPr="001E3045">
      <w:rPr>
        <w:sz w:val="20"/>
        <w:szCs w:val="20"/>
      </w:rPr>
      <w:t>not_</w:t>
    </w:r>
    <w:r w:rsidR="006E420F">
      <w:rPr>
        <w:sz w:val="20"/>
        <w:szCs w:val="20"/>
      </w:rPr>
      <w:t>21</w:t>
    </w:r>
    <w:r w:rsidR="00F67F79">
      <w:rPr>
        <w:sz w:val="20"/>
        <w:szCs w:val="20"/>
      </w:rPr>
      <w:t>02</w:t>
    </w:r>
    <w:r>
      <w:rPr>
        <w:sz w:val="20"/>
        <w:szCs w:val="20"/>
      </w:rPr>
      <w:t>14</w:t>
    </w:r>
    <w:r w:rsidRPr="001E3045">
      <w:rPr>
        <w:sz w:val="20"/>
        <w:szCs w:val="20"/>
      </w:rPr>
      <w:t>_elcig</w:t>
    </w:r>
    <w:r w:rsidR="006E420F">
      <w:rPr>
        <w:sz w:val="20"/>
        <w:szCs w:val="20"/>
      </w:rPr>
      <w:t>;</w:t>
    </w:r>
    <w:r w:rsidRPr="001E3045">
      <w:rPr>
        <w:sz w:val="20"/>
        <w:szCs w:val="20"/>
      </w:rPr>
      <w:t xml:space="preserve"> Likumprojekta „Grozījumi likumā „Par tabakas izstrādājumu realizācijas, reklāmas un lietošanas ierobežošanu”” sākotnējās ietekmes novērtējuma </w:t>
    </w:r>
    <w:smartTag w:uri="schemas-tilde-lv/tildestengine" w:element="veidnes">
      <w:smartTagPr>
        <w:attr w:name="id" w:val="-1"/>
        <w:attr w:name="baseform" w:val="ziņojums"/>
        <w:attr w:name="text" w:val="ziņojums"/>
      </w:smartTagPr>
      <w:r w:rsidRPr="001E3045">
        <w:rPr>
          <w:sz w:val="20"/>
          <w:szCs w:val="20"/>
        </w:rPr>
        <w:t>ziņojums</w:t>
      </w:r>
    </w:smartTag>
    <w:r w:rsidRPr="001E3045">
      <w:rPr>
        <w:sz w:val="20"/>
        <w:szCs w:val="20"/>
      </w:rPr>
      <w:t xml:space="preserve"> (anotācija)</w:t>
    </w:r>
  </w:p>
  <w:p w:rsidR="00437246" w:rsidRPr="001E3045" w:rsidRDefault="00437246" w:rsidP="001E304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6" w:rsidRPr="001E3045" w:rsidRDefault="00437246" w:rsidP="001E3045">
    <w:pPr>
      <w:pStyle w:val="naislab"/>
      <w:spacing w:before="0" w:after="0"/>
      <w:jc w:val="both"/>
      <w:outlineLvl w:val="0"/>
      <w:rPr>
        <w:sz w:val="20"/>
        <w:szCs w:val="20"/>
      </w:rPr>
    </w:pPr>
    <w:r w:rsidRPr="001E3045">
      <w:rPr>
        <w:sz w:val="20"/>
        <w:szCs w:val="20"/>
      </w:rPr>
      <w:t>V</w:t>
    </w:r>
    <w:r>
      <w:rPr>
        <w:sz w:val="20"/>
        <w:szCs w:val="20"/>
      </w:rPr>
      <w:t>MA</w:t>
    </w:r>
    <w:r w:rsidRPr="001E3045">
      <w:rPr>
        <w:sz w:val="20"/>
        <w:szCs w:val="20"/>
      </w:rPr>
      <w:t>not_</w:t>
    </w:r>
    <w:r w:rsidR="006E420F">
      <w:rPr>
        <w:sz w:val="20"/>
        <w:szCs w:val="20"/>
      </w:rPr>
      <w:t>21</w:t>
    </w:r>
    <w:r w:rsidR="00F67F79">
      <w:rPr>
        <w:sz w:val="20"/>
        <w:szCs w:val="20"/>
      </w:rPr>
      <w:t>02</w:t>
    </w:r>
    <w:r>
      <w:rPr>
        <w:sz w:val="20"/>
        <w:szCs w:val="20"/>
      </w:rPr>
      <w:t>14</w:t>
    </w:r>
    <w:r w:rsidRPr="001E3045">
      <w:rPr>
        <w:sz w:val="20"/>
        <w:szCs w:val="20"/>
      </w:rPr>
      <w:t>_elcig</w:t>
    </w:r>
    <w:r w:rsidR="006E420F">
      <w:rPr>
        <w:sz w:val="20"/>
        <w:szCs w:val="20"/>
      </w:rPr>
      <w:t>;</w:t>
    </w:r>
    <w:r w:rsidRPr="001E3045">
      <w:rPr>
        <w:sz w:val="20"/>
        <w:szCs w:val="20"/>
      </w:rPr>
      <w:t xml:space="preserve"> Likumprojekta „Grozījumi likumā „Par tabakas izstrādājumu realizācijas, reklāmas un lietošanas ierobežošanu”” sākotnējās ietekmes novērtējuma </w:t>
    </w:r>
    <w:smartTag w:uri="schemas-tilde-lv/tildestengine" w:element="veidnes">
      <w:smartTagPr>
        <w:attr w:name="id" w:val="-1"/>
        <w:attr w:name="baseform" w:val="ziņojums"/>
        <w:attr w:name="text" w:val="ziņojums"/>
      </w:smartTagPr>
      <w:r w:rsidRPr="001E3045">
        <w:rPr>
          <w:sz w:val="20"/>
          <w:szCs w:val="20"/>
        </w:rPr>
        <w:t>ziņojums</w:t>
      </w:r>
    </w:smartTag>
    <w:r w:rsidRPr="001E3045">
      <w:rPr>
        <w:sz w:val="20"/>
        <w:szCs w:val="20"/>
      </w:rPr>
      <w:t xml:space="preserve"> (anotācija)</w:t>
    </w:r>
  </w:p>
  <w:p w:rsidR="00437246" w:rsidRPr="00001588" w:rsidRDefault="00437246" w:rsidP="002778FB">
    <w:pPr>
      <w:pStyle w:val="Footer"/>
      <w:rPr>
        <w:sz w:val="20"/>
        <w:szCs w:val="20"/>
      </w:rPr>
    </w:pPr>
  </w:p>
  <w:p w:rsidR="00437246" w:rsidRPr="002778FB" w:rsidRDefault="00437246" w:rsidP="002778F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46" w:rsidRDefault="00437246">
      <w:r>
        <w:separator/>
      </w:r>
    </w:p>
  </w:footnote>
  <w:footnote w:type="continuationSeparator" w:id="0">
    <w:p w:rsidR="00437246" w:rsidRDefault="00437246">
      <w:r>
        <w:continuationSeparator/>
      </w:r>
    </w:p>
  </w:footnote>
  <w:footnote w:id="1">
    <w:p w:rsidR="00437246" w:rsidRDefault="00437246" w:rsidP="00EE2DD9">
      <w:pPr>
        <w:pStyle w:val="FootnoteText"/>
      </w:pPr>
      <w:r>
        <w:rPr>
          <w:rStyle w:val="FootnoteReference"/>
        </w:rPr>
        <w:footnoteRef/>
      </w:r>
      <w:r>
        <w:t xml:space="preserve"> </w:t>
      </w:r>
      <w:hyperlink r:id="rId1" w:history="1">
        <w:r w:rsidRPr="0077763C">
          <w:rPr>
            <w:rStyle w:val="Hyperlink"/>
          </w:rPr>
          <w:t>http://www.vm.gov.lv/images/userfiles/vmrik_95_.pdf</w:t>
        </w:r>
      </w:hyperlink>
      <w:r>
        <w:t xml:space="preserve"> </w:t>
      </w:r>
    </w:p>
  </w:footnote>
  <w:footnote w:id="2">
    <w:p w:rsidR="00437246" w:rsidRDefault="00437246" w:rsidP="008835C7">
      <w:pPr>
        <w:pStyle w:val="FootnoteText"/>
      </w:pPr>
      <w:r>
        <w:rPr>
          <w:rStyle w:val="FootnoteReference"/>
        </w:rPr>
        <w:footnoteRef/>
      </w:r>
      <w:hyperlink r:id="rId2" w:history="1">
        <w:r w:rsidRPr="003C63BA">
          <w:rPr>
            <w:rStyle w:val="Hyperlink"/>
          </w:rPr>
          <w:t>http://www.vm.gov.lv/lv/ministrija/darba_grupas/darba_grupa_elektronisko_nikotina_ievades_sistemu_tiesiska_r/</w:t>
        </w:r>
      </w:hyperlink>
      <w:r>
        <w:t xml:space="preserve">   </w:t>
      </w:r>
    </w:p>
  </w:footnote>
  <w:footnote w:id="3">
    <w:p w:rsidR="00437246" w:rsidRDefault="00437246">
      <w:pPr>
        <w:pStyle w:val="FootnoteText"/>
      </w:pPr>
      <w:r>
        <w:rPr>
          <w:rStyle w:val="FootnoteReference"/>
        </w:rPr>
        <w:footnoteRef/>
      </w:r>
      <w:r>
        <w:t xml:space="preserve"> </w:t>
      </w:r>
      <w:hyperlink r:id="rId3" w:history="1">
        <w:r w:rsidRPr="006B77AB">
          <w:rPr>
            <w:rStyle w:val="Hyperlink"/>
          </w:rPr>
          <w:t>http://www.vm.gov.lv/images/userfiles/elcig_aizliegums.pdf</w:t>
        </w:r>
      </w:hyperlink>
      <w:r>
        <w:t xml:space="preserve"> </w:t>
      </w:r>
    </w:p>
  </w:footnote>
  <w:footnote w:id="4">
    <w:p w:rsidR="00437246" w:rsidRPr="001D0A55" w:rsidRDefault="00437246" w:rsidP="00E042D8">
      <w:pPr>
        <w:pStyle w:val="FootnoteText"/>
      </w:pPr>
      <w:r>
        <w:rPr>
          <w:rStyle w:val="FootnoteReference"/>
        </w:rPr>
        <w:footnoteRef/>
      </w:r>
      <w:r w:rsidRPr="001D0A55">
        <w:t xml:space="preserve"> </w:t>
      </w:r>
      <w:r w:rsidRPr="0002667A">
        <w:t>http://www.whoinventedit.net/who-invented-the-electronic-cigarette.html</w:t>
      </w:r>
    </w:p>
  </w:footnote>
  <w:footnote w:id="5">
    <w:p w:rsidR="00437246" w:rsidRPr="0002667A" w:rsidRDefault="00437246" w:rsidP="00E042D8">
      <w:pPr>
        <w:pStyle w:val="FootnoteText"/>
      </w:pPr>
      <w:r>
        <w:rPr>
          <w:rStyle w:val="FootnoteReference"/>
        </w:rPr>
        <w:footnoteRef/>
      </w:r>
      <w:r w:rsidRPr="0002667A">
        <w:t xml:space="preserve"> http://www.whoinventedit.net/who-invented-the-electronic-cigarette.html</w:t>
      </w:r>
    </w:p>
  </w:footnote>
  <w:footnote w:id="6">
    <w:p w:rsidR="00437246" w:rsidRDefault="00437246" w:rsidP="006239E5">
      <w:pPr>
        <w:pStyle w:val="FootnoteText"/>
      </w:pPr>
      <w:r>
        <w:rPr>
          <w:rStyle w:val="FootnoteReference"/>
        </w:rPr>
        <w:footnoteRef/>
      </w:r>
      <w:r>
        <w:t xml:space="preserve"> </w:t>
      </w:r>
      <w:hyperlink r:id="rId4" w:history="1">
        <w:r w:rsidRPr="0077763C">
          <w:rPr>
            <w:rStyle w:val="Hyperlink"/>
          </w:rPr>
          <w:t>http://www.spkc.gov.lv/veselibu-ietekmejoso-paradumu-petijumi/</w:t>
        </w:r>
      </w:hyperlink>
      <w:r>
        <w:t xml:space="preserve"> </w:t>
      </w:r>
    </w:p>
  </w:footnote>
  <w:footnote w:id="7">
    <w:p w:rsidR="00437246" w:rsidRDefault="00437246" w:rsidP="006239E5">
      <w:pPr>
        <w:pStyle w:val="FootnoteText"/>
      </w:pPr>
      <w:r>
        <w:rPr>
          <w:rStyle w:val="FootnoteReference"/>
        </w:rPr>
        <w:footnoteRef/>
      </w:r>
      <w:r>
        <w:t xml:space="preserve"> turpat</w:t>
      </w:r>
    </w:p>
  </w:footnote>
  <w:footnote w:id="8">
    <w:p w:rsidR="00437246" w:rsidRDefault="00437246" w:rsidP="00303922">
      <w:pPr>
        <w:pStyle w:val="FootnoteText"/>
      </w:pPr>
      <w:r>
        <w:rPr>
          <w:rStyle w:val="FootnoteReference"/>
        </w:rPr>
        <w:footnoteRef/>
      </w:r>
      <w:r>
        <w:t xml:space="preserve"> DKFZ 2013. Electronic cigarettes- an overview. German Cancer Research Center.</w:t>
      </w:r>
    </w:p>
  </w:footnote>
  <w:footnote w:id="9">
    <w:p w:rsidR="00437246" w:rsidRPr="00A059DE" w:rsidRDefault="00437246" w:rsidP="00303922">
      <w:pPr>
        <w:jc w:val="both"/>
        <w:rPr>
          <w:bCs/>
          <w:sz w:val="20"/>
          <w:szCs w:val="20"/>
          <w:lang w:val="en-US"/>
        </w:rPr>
      </w:pPr>
      <w:r>
        <w:rPr>
          <w:rStyle w:val="FootnoteReference"/>
        </w:rPr>
        <w:footnoteRef/>
      </w:r>
      <w:r>
        <w:t xml:space="preserve"> </w:t>
      </w:r>
      <w:r w:rsidRPr="00C759B9">
        <w:rPr>
          <w:bCs/>
          <w:sz w:val="20"/>
          <w:szCs w:val="20"/>
          <w:lang w:val="en-US"/>
        </w:rPr>
        <w:t>Etter JF, Bullen C. Electronic cigarete: users profile, utilization, satisfaction and perceived efficacy. Addiction 2011; 106: 2017-2028</w:t>
      </w:r>
      <w:r>
        <w:rPr>
          <w:bCs/>
          <w:sz w:val="20"/>
          <w:szCs w:val="20"/>
          <w:lang w:val="en-US"/>
        </w:rPr>
        <w:t xml:space="preserve">; </w:t>
      </w:r>
      <w:r w:rsidRPr="00C759B9">
        <w:rPr>
          <w:bCs/>
          <w:sz w:val="20"/>
          <w:szCs w:val="20"/>
          <w:lang w:val="en-US"/>
        </w:rPr>
        <w:t>Etter JF. Electronic cigaretes: a survey of users. BMC Public Health 2010; 10:231.</w:t>
      </w:r>
      <w:r w:rsidRPr="00C759B9">
        <w:rPr>
          <w:sz w:val="20"/>
          <w:szCs w:val="20"/>
        </w:rPr>
        <w:t xml:space="preserve"> </w:t>
      </w:r>
      <w:hyperlink r:id="rId5" w:history="1">
        <w:r w:rsidRPr="00C759B9">
          <w:rPr>
            <w:rStyle w:val="Hyperlink"/>
            <w:bCs/>
            <w:sz w:val="20"/>
            <w:szCs w:val="20"/>
            <w:lang w:val="en-US"/>
          </w:rPr>
          <w:t>http://www.fda.gov/downloads/Drugs/ScienceResearch/UCM173250.pdf</w:t>
        </w:r>
      </w:hyperlink>
      <w:r>
        <w:t xml:space="preserve">; </w:t>
      </w:r>
      <w:r w:rsidRPr="00C759B9">
        <w:rPr>
          <w:bCs/>
          <w:sz w:val="20"/>
          <w:szCs w:val="20"/>
          <w:lang w:val="en-US"/>
        </w:rPr>
        <w:t>Siegel MB, Tanwar KL, Wood KS. Electronic cigaretes as a smoking-cesaation tool-results from an online survey. Am</w:t>
      </w:r>
      <w:r>
        <w:rPr>
          <w:bCs/>
          <w:sz w:val="20"/>
          <w:szCs w:val="20"/>
          <w:lang w:val="en-US"/>
        </w:rPr>
        <w:t xml:space="preserve"> J Prev Med. 2011; 40: 472-475.</w:t>
      </w:r>
    </w:p>
  </w:footnote>
  <w:footnote w:id="10">
    <w:p w:rsidR="00437246" w:rsidRPr="005B24CC" w:rsidRDefault="00437246" w:rsidP="00303922">
      <w:pPr>
        <w:jc w:val="both"/>
        <w:rPr>
          <w:bCs/>
          <w:sz w:val="20"/>
          <w:szCs w:val="20"/>
          <w:lang w:val="en-US"/>
        </w:rPr>
      </w:pPr>
      <w:r>
        <w:rPr>
          <w:rStyle w:val="FootnoteReference"/>
        </w:rPr>
        <w:footnoteRef/>
      </w:r>
      <w:r>
        <w:t xml:space="preserve"> </w:t>
      </w:r>
      <w:r w:rsidRPr="00C759B9">
        <w:rPr>
          <w:bCs/>
          <w:sz w:val="20"/>
          <w:szCs w:val="20"/>
          <w:lang w:val="en-US"/>
        </w:rPr>
        <w:t>Siegel MB, Tanwar KL, Wood KS. Electronic cigaretes as a smoking-cesaation tool-results from an online survey. Am</w:t>
      </w:r>
      <w:r>
        <w:rPr>
          <w:bCs/>
          <w:sz w:val="20"/>
          <w:szCs w:val="20"/>
          <w:lang w:val="en-US"/>
        </w:rPr>
        <w:t xml:space="preserve"> J Prev Med. 2011; 40: 472-475.</w:t>
      </w:r>
    </w:p>
  </w:footnote>
  <w:footnote w:id="11">
    <w:p w:rsidR="00437246" w:rsidRDefault="00437246" w:rsidP="00303922">
      <w:pPr>
        <w:pStyle w:val="FootnoteText"/>
      </w:pPr>
      <w:r>
        <w:rPr>
          <w:rStyle w:val="FootnoteReference"/>
        </w:rPr>
        <w:footnoteRef/>
      </w:r>
      <w:r>
        <w:t xml:space="preserve"> DKFZ 2013. Electronic cigarettes- an overview. German Cancer Research Center. </w:t>
      </w:r>
    </w:p>
  </w:footnote>
  <w:footnote w:id="12">
    <w:p w:rsidR="00437246" w:rsidRDefault="00437246" w:rsidP="00303922">
      <w:pPr>
        <w:pStyle w:val="FootnoteText"/>
      </w:pPr>
      <w:r>
        <w:rPr>
          <w:rStyle w:val="FootnoteReference"/>
        </w:rPr>
        <w:footnoteRef/>
      </w:r>
      <w:r>
        <w:t xml:space="preserve"> DKFZ 2013. Electronic cigarettes- an overview. German Cancer Research Center. </w:t>
      </w:r>
    </w:p>
  </w:footnote>
  <w:footnote w:id="13">
    <w:p w:rsidR="00437246" w:rsidRPr="009C372B" w:rsidRDefault="00437246" w:rsidP="004F163A">
      <w:pPr>
        <w:pStyle w:val="FootnoteText"/>
      </w:pPr>
      <w:r w:rsidRPr="009C372B">
        <w:rPr>
          <w:rStyle w:val="FootnoteReference"/>
        </w:rPr>
        <w:footnoteRef/>
      </w:r>
      <w:r w:rsidRPr="009C372B">
        <w:t xml:space="preserve"> DKFZ 2013. Electronic cigarettes- an overview. German Cancer Research Center. </w:t>
      </w:r>
    </w:p>
  </w:footnote>
  <w:footnote w:id="14">
    <w:p w:rsidR="00437246" w:rsidRDefault="00437246" w:rsidP="00303922">
      <w:pPr>
        <w:pStyle w:val="FootnoteText"/>
      </w:pPr>
      <w:r w:rsidRPr="009C372B">
        <w:rPr>
          <w:rStyle w:val="FootnoteReference"/>
        </w:rPr>
        <w:footnoteRef/>
      </w:r>
      <w:r w:rsidRPr="009C372B">
        <w:t xml:space="preserve"> McCauley, L, Markin C &amp; Hsomer D (2012) An unexpected consequence of electronic cigarette use. Chest 141: 1110-1113</w:t>
      </w:r>
    </w:p>
  </w:footnote>
  <w:footnote w:id="15">
    <w:p w:rsidR="00437246" w:rsidRDefault="00437246" w:rsidP="00303922">
      <w:pPr>
        <w:pStyle w:val="FootnoteText"/>
      </w:pPr>
      <w:r>
        <w:rPr>
          <w:rStyle w:val="FootnoteReference"/>
        </w:rPr>
        <w:footnoteRef/>
      </w:r>
      <w:r>
        <w:t xml:space="preserve"> DKFZ 2013. Electronic cigarettes- an overview. German Cancer Research Center.</w:t>
      </w:r>
    </w:p>
  </w:footnote>
  <w:footnote w:id="16">
    <w:p w:rsidR="00437246" w:rsidRDefault="00437246" w:rsidP="00303922">
      <w:pPr>
        <w:pStyle w:val="FootnoteText"/>
      </w:pPr>
      <w:r>
        <w:rPr>
          <w:rStyle w:val="FootnoteReference"/>
        </w:rPr>
        <w:footnoteRef/>
      </w:r>
      <w:r>
        <w:t xml:space="preserve"> DKFZ 2013. Electronic cigarettes- an overview. German Cancer Research Center.</w:t>
      </w:r>
    </w:p>
  </w:footnote>
  <w:footnote w:id="17">
    <w:p w:rsidR="00437246" w:rsidRDefault="00437246" w:rsidP="004E5006">
      <w:pPr>
        <w:pStyle w:val="FootnoteText"/>
      </w:pPr>
      <w:r>
        <w:rPr>
          <w:rStyle w:val="FootnoteReference"/>
        </w:rPr>
        <w:footnoteRef/>
      </w:r>
      <w:r>
        <w:t xml:space="preserve"> MHRA (2013) The Regulation of Nicotine Containing Products.</w:t>
      </w:r>
    </w:p>
  </w:footnote>
  <w:footnote w:id="18">
    <w:p w:rsidR="00437246" w:rsidRPr="00640EDE" w:rsidRDefault="00437246" w:rsidP="004E5006">
      <w:pPr>
        <w:jc w:val="both"/>
        <w:rPr>
          <w:bCs/>
          <w:sz w:val="20"/>
          <w:szCs w:val="20"/>
          <w:lang w:val="en-US"/>
        </w:rPr>
      </w:pPr>
      <w:r w:rsidRPr="00640EDE">
        <w:rPr>
          <w:rStyle w:val="FootnoteReference"/>
          <w:sz w:val="20"/>
          <w:szCs w:val="20"/>
        </w:rPr>
        <w:footnoteRef/>
      </w:r>
      <w:r w:rsidRPr="00640EDE">
        <w:rPr>
          <w:sz w:val="20"/>
          <w:szCs w:val="20"/>
        </w:rPr>
        <w:t xml:space="preserve"> </w:t>
      </w:r>
      <w:r>
        <w:rPr>
          <w:sz w:val="20"/>
          <w:szCs w:val="20"/>
        </w:rPr>
        <w:t xml:space="preserve">U.S. </w:t>
      </w:r>
      <w:r w:rsidRPr="00640EDE">
        <w:rPr>
          <w:bCs/>
          <w:sz w:val="20"/>
          <w:szCs w:val="20"/>
          <w:lang w:val="en-US"/>
        </w:rPr>
        <w:t xml:space="preserve">Food and Drug Administration (FDA). 2009. Evaluation of e-cigarettes. DPARFY-09-23, 4 May. </w:t>
      </w:r>
    </w:p>
  </w:footnote>
  <w:footnote w:id="19">
    <w:p w:rsidR="00437246" w:rsidRPr="00640EDE" w:rsidRDefault="00437246" w:rsidP="00303922">
      <w:pPr>
        <w:shd w:val="clear" w:color="auto" w:fill="FFFFFF"/>
        <w:jc w:val="both"/>
        <w:rPr>
          <w:sz w:val="20"/>
          <w:szCs w:val="20"/>
        </w:rPr>
      </w:pPr>
      <w:r w:rsidRPr="00640EDE">
        <w:rPr>
          <w:rStyle w:val="FootnoteReference"/>
          <w:sz w:val="20"/>
          <w:szCs w:val="20"/>
        </w:rPr>
        <w:footnoteRef/>
      </w:r>
      <w:r w:rsidRPr="00640EDE">
        <w:rPr>
          <w:sz w:val="20"/>
          <w:szCs w:val="20"/>
        </w:rPr>
        <w:t xml:space="preserve"> Hadwiger ME, Trehy ML, Ye W, Moore T, Allgire J, Westenberger B.Identification of amino-tadalafil and rimonabant in electronic cigarette products using high pressure liquid chromatography with diode array and tandem mass spectrometric detection.</w:t>
      </w:r>
      <w:r>
        <w:rPr>
          <w:sz w:val="20"/>
          <w:szCs w:val="20"/>
        </w:rPr>
        <w:t xml:space="preserve"> </w:t>
      </w:r>
      <w:r w:rsidRPr="00640EDE">
        <w:rPr>
          <w:sz w:val="20"/>
          <w:szCs w:val="20"/>
        </w:rPr>
        <w:t>Journal of Chromatography 2010 Nov 26;1217(48):7547-55.</w:t>
      </w:r>
    </w:p>
  </w:footnote>
  <w:footnote w:id="20">
    <w:p w:rsidR="00437246" w:rsidRDefault="00437246" w:rsidP="003D24E3">
      <w:pPr>
        <w:pStyle w:val="FootnoteText"/>
      </w:pPr>
      <w:r>
        <w:rPr>
          <w:rStyle w:val="FootnoteReference"/>
        </w:rPr>
        <w:footnoteRef/>
      </w:r>
      <w:r>
        <w:t xml:space="preserve"> WHO (2013) Questions and answers on electronic cigarettes or electronic nicotine delivery systems (ENDS)  </w:t>
      </w:r>
      <w:r w:rsidRPr="00E43FA0">
        <w:t>http://www.who.int/tobacco/communications/statements/eletronic_cigarettes/en/index.html</w:t>
      </w:r>
    </w:p>
  </w:footnote>
  <w:footnote w:id="21">
    <w:p w:rsidR="00437246" w:rsidRPr="009C372B" w:rsidRDefault="00437246" w:rsidP="00422139">
      <w:pPr>
        <w:pStyle w:val="FootnoteText"/>
      </w:pPr>
      <w:r w:rsidRPr="009C372B">
        <w:rPr>
          <w:rStyle w:val="FootnoteReference"/>
        </w:rPr>
        <w:footnoteRef/>
      </w:r>
      <w:r w:rsidRPr="009C372B">
        <w:t xml:space="preserve"> http://www.timesofisrael.com/police-investigating-toddler-death-from-nicotine-overdose/</w:t>
      </w:r>
    </w:p>
  </w:footnote>
  <w:footnote w:id="22">
    <w:p w:rsidR="00437246" w:rsidRPr="000B5124" w:rsidRDefault="00437246" w:rsidP="00303922">
      <w:pPr>
        <w:jc w:val="both"/>
        <w:rPr>
          <w:bCs/>
          <w:sz w:val="20"/>
          <w:szCs w:val="20"/>
          <w:lang w:val="en-US"/>
        </w:rPr>
      </w:pPr>
      <w:r w:rsidRPr="00640EDE">
        <w:rPr>
          <w:rStyle w:val="FootnoteReference"/>
          <w:sz w:val="20"/>
          <w:szCs w:val="20"/>
        </w:rPr>
        <w:footnoteRef/>
      </w:r>
      <w:r w:rsidRPr="00640EDE">
        <w:rPr>
          <w:sz w:val="20"/>
          <w:szCs w:val="20"/>
        </w:rPr>
        <w:t xml:space="preserve"> </w:t>
      </w:r>
      <w:r w:rsidRPr="00640EDE">
        <w:rPr>
          <w:bCs/>
          <w:sz w:val="20"/>
          <w:szCs w:val="20"/>
          <w:lang w:val="en-US"/>
        </w:rPr>
        <w:t>Goniewicz ML, Kuma T, Gawron M, Knysak J, Kosmider L. Nicotine Levels in Electronic Cigarettes. Nicot</w:t>
      </w:r>
      <w:r>
        <w:rPr>
          <w:bCs/>
          <w:sz w:val="20"/>
          <w:szCs w:val="20"/>
          <w:lang w:val="en-US"/>
        </w:rPr>
        <w:t>ine Tob Res. 2012; Epub Apr 22.</w:t>
      </w:r>
    </w:p>
  </w:footnote>
  <w:footnote w:id="23">
    <w:p w:rsidR="00437246" w:rsidRDefault="00437246" w:rsidP="00303922">
      <w:pPr>
        <w:pStyle w:val="FootnoteText"/>
      </w:pPr>
      <w:r>
        <w:rPr>
          <w:rStyle w:val="FootnoteReference"/>
        </w:rPr>
        <w:footnoteRef/>
      </w:r>
      <w:r>
        <w:t xml:space="preserve"> MHRA (2013) The Regulation of Nicotine Containing Products.</w:t>
      </w:r>
    </w:p>
  </w:footnote>
  <w:footnote w:id="24">
    <w:p w:rsidR="00437246" w:rsidRDefault="00437246" w:rsidP="00303922">
      <w:pPr>
        <w:pStyle w:val="FootnoteText"/>
      </w:pPr>
      <w:r>
        <w:t xml:space="preserve"> </w:t>
      </w:r>
      <w:r>
        <w:rPr>
          <w:rStyle w:val="FootnoteReference"/>
        </w:rPr>
        <w:footnoteRef/>
      </w:r>
      <w:r>
        <w:t xml:space="preserve"> Vill AF, sdAVUC p, Gazin V, Garnier R. El;ectronic cigarettes: Risk assessment. Clinical Toxicology 2012; 50. </w:t>
      </w:r>
    </w:p>
  </w:footnote>
  <w:footnote w:id="25">
    <w:p w:rsidR="00437246" w:rsidRDefault="00437246" w:rsidP="00303922">
      <w:pPr>
        <w:pStyle w:val="FootnoteText"/>
      </w:pPr>
      <w:r>
        <w:rPr>
          <w:rStyle w:val="FootnoteReference"/>
        </w:rPr>
        <w:footnoteRef/>
      </w:r>
      <w:r>
        <w:t xml:space="preserve"> MHRA (2013) The Regulation of Nicotine Containing Products.</w:t>
      </w:r>
    </w:p>
  </w:footnote>
  <w:footnote w:id="26">
    <w:p w:rsidR="00437246" w:rsidRPr="003416BB" w:rsidRDefault="00437246" w:rsidP="00303922">
      <w:pPr>
        <w:jc w:val="both"/>
        <w:rPr>
          <w:bCs/>
          <w:sz w:val="20"/>
          <w:szCs w:val="20"/>
          <w:lang w:val="en-US"/>
        </w:rPr>
      </w:pPr>
      <w:r>
        <w:rPr>
          <w:rStyle w:val="FootnoteReference"/>
        </w:rPr>
        <w:footnoteRef/>
      </w:r>
      <w:r>
        <w:t xml:space="preserve"> </w:t>
      </w:r>
      <w:r w:rsidRPr="00C759B9">
        <w:rPr>
          <w:bCs/>
          <w:sz w:val="20"/>
          <w:szCs w:val="20"/>
          <w:lang w:val="en-US"/>
        </w:rPr>
        <w:t>Williams M, Talbot P. Variability among electronic cigaret</w:t>
      </w:r>
      <w:r>
        <w:rPr>
          <w:bCs/>
          <w:sz w:val="20"/>
          <w:szCs w:val="20"/>
          <w:lang w:val="en-US"/>
        </w:rPr>
        <w:t>t</w:t>
      </w:r>
      <w:r w:rsidRPr="00C759B9">
        <w:rPr>
          <w:bCs/>
          <w:sz w:val="20"/>
          <w:szCs w:val="20"/>
          <w:lang w:val="en-US"/>
        </w:rPr>
        <w:t>es in the pressure drop, airflow rate, and aerosol production. Nicotine Tob Res. 2011; 13: 1276</w:t>
      </w:r>
      <w:r>
        <w:rPr>
          <w:bCs/>
          <w:sz w:val="20"/>
          <w:szCs w:val="20"/>
          <w:lang w:val="en-US"/>
        </w:rPr>
        <w:t>-83.</w:t>
      </w:r>
    </w:p>
  </w:footnote>
  <w:footnote w:id="27">
    <w:p w:rsidR="00437246" w:rsidRPr="006A6C71" w:rsidRDefault="00437246" w:rsidP="00C25F67">
      <w:pPr>
        <w:pStyle w:val="FootnoteText"/>
      </w:pPr>
      <w:r>
        <w:rPr>
          <w:rStyle w:val="FootnoteReference"/>
        </w:rPr>
        <w:footnoteRef/>
      </w:r>
      <w:r>
        <w:t xml:space="preserve"> WHO (2013) Questions and answers on electronic cigarettes or electronic nicotine delivery systems (ENDS)  </w:t>
      </w:r>
      <w:r w:rsidRPr="00E43FA0">
        <w:t>http://www.who.int/tobacco/communications/statements/eletronic_cigarettes/en/index.html</w:t>
      </w:r>
    </w:p>
  </w:footnote>
  <w:footnote w:id="28">
    <w:p w:rsidR="00437246" w:rsidRDefault="00437246" w:rsidP="00C25F67">
      <w:pPr>
        <w:pStyle w:val="FootnoteText"/>
      </w:pPr>
      <w:r>
        <w:rPr>
          <w:rStyle w:val="FootnoteReference"/>
        </w:rPr>
        <w:footnoteRef/>
      </w:r>
      <w:r>
        <w:t xml:space="preserve"> turpat</w:t>
      </w:r>
    </w:p>
  </w:footnote>
  <w:footnote w:id="29">
    <w:p w:rsidR="00437246" w:rsidRDefault="00437246">
      <w:pPr>
        <w:pStyle w:val="FootnoteText"/>
      </w:pPr>
      <w:r>
        <w:rPr>
          <w:rStyle w:val="FootnoteReference"/>
        </w:rPr>
        <w:footnoteRef/>
      </w:r>
      <w:r>
        <w:t xml:space="preserve"> </w:t>
      </w:r>
      <w:hyperlink r:id="rId6" w:history="1">
        <w:r w:rsidRPr="003C63BA">
          <w:rPr>
            <w:rStyle w:val="Hyperlink"/>
          </w:rPr>
          <w:t>http://eur-lex.europa.eu/LexUriServ/LexUriServ.do?uri=celex:32001l0037:lv:html</w:t>
        </w:r>
      </w:hyperlink>
      <w:r>
        <w:t xml:space="preserve"> </w:t>
      </w:r>
    </w:p>
  </w:footnote>
  <w:footnote w:id="30">
    <w:p w:rsidR="00437246" w:rsidRPr="006A15A6" w:rsidRDefault="00437246" w:rsidP="00265BC8">
      <w:pPr>
        <w:pStyle w:val="FootnoteText"/>
      </w:pPr>
      <w:r w:rsidRPr="006A15A6">
        <w:rPr>
          <w:rStyle w:val="FootnoteReference"/>
        </w:rPr>
        <w:footnoteRef/>
      </w:r>
      <w:r w:rsidRPr="006A15A6">
        <w:t xml:space="preserve"> </w:t>
      </w:r>
      <w:hyperlink r:id="rId7" w:history="1">
        <w:r w:rsidRPr="006A15A6">
          <w:rPr>
            <w:rStyle w:val="Hyperlink"/>
          </w:rPr>
          <w:t>http://www3.lrs.lt/pls/inter3/dokpaieska.showdoc_l?p_id=433767&amp;p_query=&amp;p_tr2=2</w:t>
        </w:r>
      </w:hyperlink>
    </w:p>
  </w:footnote>
  <w:footnote w:id="31">
    <w:p w:rsidR="00437246" w:rsidRDefault="00437246" w:rsidP="00696EAF">
      <w:pPr>
        <w:pStyle w:val="FootnoteText"/>
      </w:pPr>
      <w:r>
        <w:rPr>
          <w:rStyle w:val="FootnoteReference"/>
        </w:rPr>
        <w:footnoteRef/>
      </w:r>
      <w:r>
        <w:t xml:space="preserve"> </w:t>
      </w:r>
      <w:r w:rsidRPr="00603FC5">
        <w:t>http://www.csb.gov.lv/category/tagi/iedzivotaju-skaits</w:t>
      </w:r>
    </w:p>
  </w:footnote>
  <w:footnote w:id="32">
    <w:p w:rsidR="00437246" w:rsidRDefault="00437246" w:rsidP="00696EAF">
      <w:pPr>
        <w:pStyle w:val="FootnoteText"/>
      </w:pPr>
      <w:r>
        <w:rPr>
          <w:rStyle w:val="FootnoteReference"/>
        </w:rPr>
        <w:footnoteRef/>
      </w:r>
      <w:r>
        <w:t xml:space="preserve"> CSP dati</w:t>
      </w:r>
    </w:p>
  </w:footnote>
  <w:footnote w:id="33">
    <w:p w:rsidR="00437246" w:rsidRDefault="00437246" w:rsidP="00696EAF">
      <w:pPr>
        <w:pStyle w:val="FootnoteText"/>
      </w:pPr>
      <w:r>
        <w:rPr>
          <w:rStyle w:val="FootnoteReference"/>
        </w:rPr>
        <w:footnoteRef/>
      </w:r>
      <w:r>
        <w:t xml:space="preserve"> CSP dati</w:t>
      </w:r>
    </w:p>
  </w:footnote>
  <w:footnote w:id="34">
    <w:p w:rsidR="00437246" w:rsidRDefault="00437246">
      <w:pPr>
        <w:pStyle w:val="FootnoteText"/>
      </w:pPr>
      <w:r>
        <w:rPr>
          <w:rStyle w:val="FootnoteReference"/>
        </w:rPr>
        <w:footnoteRef/>
      </w:r>
      <w:r>
        <w:t xml:space="preserve"> </w:t>
      </w:r>
      <w:hyperlink r:id="rId8" w:history="1">
        <w:r w:rsidRPr="00EB7813">
          <w:rPr>
            <w:rStyle w:val="Hyperlink"/>
          </w:rPr>
          <w:t>http://www.vm.gov.lv/lv/aktualitates/publiska_apspriesana/grozijumi_likuma_par_tabakas_izstradajumu_realizacijas_rekla/</w:t>
        </w:r>
      </w:hyperlink>
      <w:r>
        <w:t xml:space="preserve"> </w:t>
      </w:r>
    </w:p>
  </w:footnote>
  <w:footnote w:id="35">
    <w:p w:rsidR="00437246" w:rsidRDefault="00437246">
      <w:pPr>
        <w:pStyle w:val="FootnoteText"/>
      </w:pPr>
      <w:r>
        <w:rPr>
          <w:rStyle w:val="FootnoteReference"/>
        </w:rPr>
        <w:footnoteRef/>
      </w:r>
      <w:r>
        <w:t xml:space="preserve"> </w:t>
      </w:r>
      <w:hyperlink r:id="rId9" w:history="1">
        <w:r w:rsidRPr="00EB7813">
          <w:rPr>
            <w:rStyle w:val="Hyperlink"/>
          </w:rPr>
          <w:t>http://www.vm.gov.lv/images/userfiles/vmsabvied_09102013_elcig.pdf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6" w:rsidRDefault="00AF2A0E" w:rsidP="003C449B">
    <w:pPr>
      <w:pStyle w:val="Header"/>
      <w:framePr w:wrap="around" w:vAnchor="text" w:hAnchor="margin" w:xAlign="center" w:y="1"/>
      <w:rPr>
        <w:rStyle w:val="PageNumber"/>
      </w:rPr>
    </w:pPr>
    <w:r>
      <w:rPr>
        <w:rStyle w:val="PageNumber"/>
      </w:rPr>
      <w:fldChar w:fldCharType="begin"/>
    </w:r>
    <w:r w:rsidR="00437246">
      <w:rPr>
        <w:rStyle w:val="PageNumber"/>
      </w:rPr>
      <w:instrText xml:space="preserve">PAGE  </w:instrText>
    </w:r>
    <w:r>
      <w:rPr>
        <w:rStyle w:val="PageNumber"/>
      </w:rPr>
      <w:fldChar w:fldCharType="end"/>
    </w:r>
  </w:p>
  <w:p w:rsidR="00437246" w:rsidRDefault="00437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6" w:rsidRDefault="00AF2A0E" w:rsidP="003C449B">
    <w:pPr>
      <w:pStyle w:val="Header"/>
      <w:framePr w:wrap="around" w:vAnchor="text" w:hAnchor="margin" w:xAlign="center" w:y="1"/>
      <w:rPr>
        <w:rStyle w:val="PageNumber"/>
      </w:rPr>
    </w:pPr>
    <w:r>
      <w:rPr>
        <w:rStyle w:val="PageNumber"/>
      </w:rPr>
      <w:fldChar w:fldCharType="begin"/>
    </w:r>
    <w:r w:rsidR="00437246">
      <w:rPr>
        <w:rStyle w:val="PageNumber"/>
      </w:rPr>
      <w:instrText xml:space="preserve">PAGE  </w:instrText>
    </w:r>
    <w:r>
      <w:rPr>
        <w:rStyle w:val="PageNumber"/>
      </w:rPr>
      <w:fldChar w:fldCharType="separate"/>
    </w:r>
    <w:r w:rsidR="006E420F">
      <w:rPr>
        <w:rStyle w:val="PageNumber"/>
        <w:noProof/>
      </w:rPr>
      <w:t>20</w:t>
    </w:r>
    <w:r>
      <w:rPr>
        <w:rStyle w:val="PageNumber"/>
      </w:rPr>
      <w:fldChar w:fldCharType="end"/>
    </w:r>
  </w:p>
  <w:p w:rsidR="00437246" w:rsidRDefault="00437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5F1156FA"/>
    <w:multiLevelType w:val="hybridMultilevel"/>
    <w:tmpl w:val="055E5A80"/>
    <w:lvl w:ilvl="0" w:tplc="7688A77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588"/>
    <w:rsid w:val="00006F24"/>
    <w:rsid w:val="0000779A"/>
    <w:rsid w:val="000110C2"/>
    <w:rsid w:val="00011D24"/>
    <w:rsid w:val="00013FF4"/>
    <w:rsid w:val="00020FE1"/>
    <w:rsid w:val="00022E13"/>
    <w:rsid w:val="00032388"/>
    <w:rsid w:val="000349F8"/>
    <w:rsid w:val="00035CE2"/>
    <w:rsid w:val="00046A6D"/>
    <w:rsid w:val="00053896"/>
    <w:rsid w:val="0005553B"/>
    <w:rsid w:val="000604D2"/>
    <w:rsid w:val="0007271C"/>
    <w:rsid w:val="0009005E"/>
    <w:rsid w:val="000941C5"/>
    <w:rsid w:val="000A6451"/>
    <w:rsid w:val="000B064E"/>
    <w:rsid w:val="000B3B97"/>
    <w:rsid w:val="000B5D06"/>
    <w:rsid w:val="000B642F"/>
    <w:rsid w:val="000B69CF"/>
    <w:rsid w:val="000C0173"/>
    <w:rsid w:val="000C790C"/>
    <w:rsid w:val="000F061D"/>
    <w:rsid w:val="000F4794"/>
    <w:rsid w:val="001069FC"/>
    <w:rsid w:val="00107A19"/>
    <w:rsid w:val="001231FE"/>
    <w:rsid w:val="00124F12"/>
    <w:rsid w:val="0012506F"/>
    <w:rsid w:val="001415AE"/>
    <w:rsid w:val="00144E3A"/>
    <w:rsid w:val="00145D33"/>
    <w:rsid w:val="0015060C"/>
    <w:rsid w:val="0015115E"/>
    <w:rsid w:val="00156935"/>
    <w:rsid w:val="0016018A"/>
    <w:rsid w:val="00161F0E"/>
    <w:rsid w:val="00170E2A"/>
    <w:rsid w:val="00177394"/>
    <w:rsid w:val="00182C18"/>
    <w:rsid w:val="00183CC2"/>
    <w:rsid w:val="001845E1"/>
    <w:rsid w:val="001900E4"/>
    <w:rsid w:val="00190F88"/>
    <w:rsid w:val="00197DEF"/>
    <w:rsid w:val="001A4066"/>
    <w:rsid w:val="001A6AE4"/>
    <w:rsid w:val="001B01FD"/>
    <w:rsid w:val="001B2A84"/>
    <w:rsid w:val="001B4348"/>
    <w:rsid w:val="001B4A71"/>
    <w:rsid w:val="001D5B54"/>
    <w:rsid w:val="001D7CA2"/>
    <w:rsid w:val="001E1DBF"/>
    <w:rsid w:val="001E250A"/>
    <w:rsid w:val="001E3045"/>
    <w:rsid w:val="001E4639"/>
    <w:rsid w:val="001E4A7D"/>
    <w:rsid w:val="001F00B4"/>
    <w:rsid w:val="001F18A1"/>
    <w:rsid w:val="001F4209"/>
    <w:rsid w:val="001F43A8"/>
    <w:rsid w:val="001F569C"/>
    <w:rsid w:val="001F5CD6"/>
    <w:rsid w:val="00201104"/>
    <w:rsid w:val="0021263D"/>
    <w:rsid w:val="00213F0C"/>
    <w:rsid w:val="00214094"/>
    <w:rsid w:val="0021592D"/>
    <w:rsid w:val="002221D7"/>
    <w:rsid w:val="00222D76"/>
    <w:rsid w:val="00223EB1"/>
    <w:rsid w:val="00231344"/>
    <w:rsid w:val="002326D5"/>
    <w:rsid w:val="0023436E"/>
    <w:rsid w:val="002347C0"/>
    <w:rsid w:val="00241A6C"/>
    <w:rsid w:val="00242D2B"/>
    <w:rsid w:val="002542A4"/>
    <w:rsid w:val="00262E2B"/>
    <w:rsid w:val="00265BC8"/>
    <w:rsid w:val="00267C28"/>
    <w:rsid w:val="00270429"/>
    <w:rsid w:val="002723E9"/>
    <w:rsid w:val="002778FB"/>
    <w:rsid w:val="00277929"/>
    <w:rsid w:val="002836BD"/>
    <w:rsid w:val="00283B82"/>
    <w:rsid w:val="002846E9"/>
    <w:rsid w:val="00284C34"/>
    <w:rsid w:val="0029066C"/>
    <w:rsid w:val="002915A0"/>
    <w:rsid w:val="002B1B1C"/>
    <w:rsid w:val="002B50DB"/>
    <w:rsid w:val="002B5355"/>
    <w:rsid w:val="002B7667"/>
    <w:rsid w:val="002C12AB"/>
    <w:rsid w:val="002C7CAC"/>
    <w:rsid w:val="002D3306"/>
    <w:rsid w:val="002D48AA"/>
    <w:rsid w:val="002D7BAA"/>
    <w:rsid w:val="002D7F54"/>
    <w:rsid w:val="002E3FF4"/>
    <w:rsid w:val="002F5A03"/>
    <w:rsid w:val="002F78C8"/>
    <w:rsid w:val="00301CF3"/>
    <w:rsid w:val="00303922"/>
    <w:rsid w:val="00320AF3"/>
    <w:rsid w:val="00325908"/>
    <w:rsid w:val="0032715C"/>
    <w:rsid w:val="00331DC7"/>
    <w:rsid w:val="003331A2"/>
    <w:rsid w:val="00337CA5"/>
    <w:rsid w:val="00337E51"/>
    <w:rsid w:val="00362478"/>
    <w:rsid w:val="003633E3"/>
    <w:rsid w:val="00366874"/>
    <w:rsid w:val="00375B25"/>
    <w:rsid w:val="0038132C"/>
    <w:rsid w:val="00387360"/>
    <w:rsid w:val="00394516"/>
    <w:rsid w:val="00396542"/>
    <w:rsid w:val="0039685B"/>
    <w:rsid w:val="003A31A6"/>
    <w:rsid w:val="003A7F0C"/>
    <w:rsid w:val="003A7F79"/>
    <w:rsid w:val="003B6404"/>
    <w:rsid w:val="003C449B"/>
    <w:rsid w:val="003D21FF"/>
    <w:rsid w:val="003D24E3"/>
    <w:rsid w:val="003F0112"/>
    <w:rsid w:val="003F071A"/>
    <w:rsid w:val="003F160B"/>
    <w:rsid w:val="00400032"/>
    <w:rsid w:val="0040037A"/>
    <w:rsid w:val="00400B5B"/>
    <w:rsid w:val="00402C9B"/>
    <w:rsid w:val="00402D48"/>
    <w:rsid w:val="00405105"/>
    <w:rsid w:val="00405A00"/>
    <w:rsid w:val="00415B73"/>
    <w:rsid w:val="00420870"/>
    <w:rsid w:val="00422139"/>
    <w:rsid w:val="00431494"/>
    <w:rsid w:val="00432D0C"/>
    <w:rsid w:val="00437246"/>
    <w:rsid w:val="0043791B"/>
    <w:rsid w:val="0043794B"/>
    <w:rsid w:val="00441483"/>
    <w:rsid w:val="00441BCB"/>
    <w:rsid w:val="0044204E"/>
    <w:rsid w:val="00442EDB"/>
    <w:rsid w:val="0045176A"/>
    <w:rsid w:val="00456332"/>
    <w:rsid w:val="00457CEC"/>
    <w:rsid w:val="00461826"/>
    <w:rsid w:val="00464D34"/>
    <w:rsid w:val="004701B9"/>
    <w:rsid w:val="004800F9"/>
    <w:rsid w:val="0049107D"/>
    <w:rsid w:val="0049134A"/>
    <w:rsid w:val="00496DDD"/>
    <w:rsid w:val="004A58CB"/>
    <w:rsid w:val="004A6592"/>
    <w:rsid w:val="004B1795"/>
    <w:rsid w:val="004B56DD"/>
    <w:rsid w:val="004B61D2"/>
    <w:rsid w:val="004C020F"/>
    <w:rsid w:val="004C1AFD"/>
    <w:rsid w:val="004C558B"/>
    <w:rsid w:val="004C65F1"/>
    <w:rsid w:val="004E5006"/>
    <w:rsid w:val="004F163A"/>
    <w:rsid w:val="004F1F88"/>
    <w:rsid w:val="004F5F1B"/>
    <w:rsid w:val="004F6726"/>
    <w:rsid w:val="00501337"/>
    <w:rsid w:val="00502374"/>
    <w:rsid w:val="005060A1"/>
    <w:rsid w:val="00516072"/>
    <w:rsid w:val="005237C9"/>
    <w:rsid w:val="005332EC"/>
    <w:rsid w:val="00534418"/>
    <w:rsid w:val="005353AB"/>
    <w:rsid w:val="00537229"/>
    <w:rsid w:val="005560BC"/>
    <w:rsid w:val="005573BE"/>
    <w:rsid w:val="0056361D"/>
    <w:rsid w:val="00572700"/>
    <w:rsid w:val="00580468"/>
    <w:rsid w:val="00582231"/>
    <w:rsid w:val="0058465F"/>
    <w:rsid w:val="0058603B"/>
    <w:rsid w:val="0058697B"/>
    <w:rsid w:val="00591943"/>
    <w:rsid w:val="00593450"/>
    <w:rsid w:val="0059431B"/>
    <w:rsid w:val="005A11B1"/>
    <w:rsid w:val="005A39CC"/>
    <w:rsid w:val="005B4730"/>
    <w:rsid w:val="005C2678"/>
    <w:rsid w:val="005C300A"/>
    <w:rsid w:val="005C3BA4"/>
    <w:rsid w:val="005D289A"/>
    <w:rsid w:val="005D2B6E"/>
    <w:rsid w:val="005E05D7"/>
    <w:rsid w:val="005E41E7"/>
    <w:rsid w:val="005E450F"/>
    <w:rsid w:val="005E6944"/>
    <w:rsid w:val="005F72E8"/>
    <w:rsid w:val="00604CA4"/>
    <w:rsid w:val="00604DDD"/>
    <w:rsid w:val="0062298A"/>
    <w:rsid w:val="006239E5"/>
    <w:rsid w:val="00626514"/>
    <w:rsid w:val="00626589"/>
    <w:rsid w:val="006339A0"/>
    <w:rsid w:val="0063453C"/>
    <w:rsid w:val="00634A1C"/>
    <w:rsid w:val="0064101B"/>
    <w:rsid w:val="006413A8"/>
    <w:rsid w:val="00642E56"/>
    <w:rsid w:val="006478D2"/>
    <w:rsid w:val="00651E00"/>
    <w:rsid w:val="006636BD"/>
    <w:rsid w:val="006641B1"/>
    <w:rsid w:val="00674572"/>
    <w:rsid w:val="00687763"/>
    <w:rsid w:val="00692B0D"/>
    <w:rsid w:val="00693E0E"/>
    <w:rsid w:val="0069670D"/>
    <w:rsid w:val="00696EAF"/>
    <w:rsid w:val="006A15A6"/>
    <w:rsid w:val="006A1AE3"/>
    <w:rsid w:val="006B1491"/>
    <w:rsid w:val="006C30E1"/>
    <w:rsid w:val="006C4607"/>
    <w:rsid w:val="006D48F1"/>
    <w:rsid w:val="006E2DBB"/>
    <w:rsid w:val="006E3EF3"/>
    <w:rsid w:val="006E420F"/>
    <w:rsid w:val="006F45BE"/>
    <w:rsid w:val="006F78A3"/>
    <w:rsid w:val="007004FC"/>
    <w:rsid w:val="007025AB"/>
    <w:rsid w:val="00702A3C"/>
    <w:rsid w:val="00706670"/>
    <w:rsid w:val="00711F59"/>
    <w:rsid w:val="0072417C"/>
    <w:rsid w:val="00734450"/>
    <w:rsid w:val="00745F67"/>
    <w:rsid w:val="0075039E"/>
    <w:rsid w:val="00752D83"/>
    <w:rsid w:val="00752D9D"/>
    <w:rsid w:val="00754784"/>
    <w:rsid w:val="00757C6E"/>
    <w:rsid w:val="00762BDA"/>
    <w:rsid w:val="007672ED"/>
    <w:rsid w:val="00774CF7"/>
    <w:rsid w:val="007805FD"/>
    <w:rsid w:val="00784422"/>
    <w:rsid w:val="00786C06"/>
    <w:rsid w:val="00790235"/>
    <w:rsid w:val="00792407"/>
    <w:rsid w:val="007A255E"/>
    <w:rsid w:val="007B3B54"/>
    <w:rsid w:val="007B3FA0"/>
    <w:rsid w:val="007C0F2C"/>
    <w:rsid w:val="007C2BCC"/>
    <w:rsid w:val="007C4EF0"/>
    <w:rsid w:val="007D099D"/>
    <w:rsid w:val="007E2664"/>
    <w:rsid w:val="007E3ABF"/>
    <w:rsid w:val="007E5BFA"/>
    <w:rsid w:val="007E6689"/>
    <w:rsid w:val="007E731C"/>
    <w:rsid w:val="007F08BC"/>
    <w:rsid w:val="007F0A03"/>
    <w:rsid w:val="007F6A54"/>
    <w:rsid w:val="00803E95"/>
    <w:rsid w:val="00810040"/>
    <w:rsid w:val="00811124"/>
    <w:rsid w:val="00811E02"/>
    <w:rsid w:val="00816778"/>
    <w:rsid w:val="00817170"/>
    <w:rsid w:val="0082023A"/>
    <w:rsid w:val="00821A7A"/>
    <w:rsid w:val="00822CB3"/>
    <w:rsid w:val="00824B04"/>
    <w:rsid w:val="008253F8"/>
    <w:rsid w:val="0083113F"/>
    <w:rsid w:val="008325E4"/>
    <w:rsid w:val="00832A2B"/>
    <w:rsid w:val="00834CB2"/>
    <w:rsid w:val="00845811"/>
    <w:rsid w:val="00846994"/>
    <w:rsid w:val="00850451"/>
    <w:rsid w:val="00852042"/>
    <w:rsid w:val="008534C9"/>
    <w:rsid w:val="0085599D"/>
    <w:rsid w:val="00862483"/>
    <w:rsid w:val="00865939"/>
    <w:rsid w:val="00871F97"/>
    <w:rsid w:val="0087510C"/>
    <w:rsid w:val="0087677B"/>
    <w:rsid w:val="008835C7"/>
    <w:rsid w:val="00896175"/>
    <w:rsid w:val="008968D2"/>
    <w:rsid w:val="0089738E"/>
    <w:rsid w:val="008A02C1"/>
    <w:rsid w:val="008A6808"/>
    <w:rsid w:val="008B5FDB"/>
    <w:rsid w:val="008C48C8"/>
    <w:rsid w:val="008C50F4"/>
    <w:rsid w:val="008C544B"/>
    <w:rsid w:val="008C5649"/>
    <w:rsid w:val="008D7143"/>
    <w:rsid w:val="008D756B"/>
    <w:rsid w:val="008E44A2"/>
    <w:rsid w:val="008E697D"/>
    <w:rsid w:val="00903263"/>
    <w:rsid w:val="00906A21"/>
    <w:rsid w:val="009079C3"/>
    <w:rsid w:val="00907A82"/>
    <w:rsid w:val="00910462"/>
    <w:rsid w:val="00915AB1"/>
    <w:rsid w:val="00917532"/>
    <w:rsid w:val="009235BA"/>
    <w:rsid w:val="00924023"/>
    <w:rsid w:val="00924CE2"/>
    <w:rsid w:val="00925B9F"/>
    <w:rsid w:val="00930399"/>
    <w:rsid w:val="00931AED"/>
    <w:rsid w:val="0093436D"/>
    <w:rsid w:val="009476A3"/>
    <w:rsid w:val="0095334F"/>
    <w:rsid w:val="00965897"/>
    <w:rsid w:val="0096765C"/>
    <w:rsid w:val="009727E4"/>
    <w:rsid w:val="00977DFB"/>
    <w:rsid w:val="009934C5"/>
    <w:rsid w:val="00994C0F"/>
    <w:rsid w:val="009A07BF"/>
    <w:rsid w:val="009A3654"/>
    <w:rsid w:val="009B22D7"/>
    <w:rsid w:val="009B72ED"/>
    <w:rsid w:val="009C372B"/>
    <w:rsid w:val="009C3A4C"/>
    <w:rsid w:val="009C6DEB"/>
    <w:rsid w:val="009D36EC"/>
    <w:rsid w:val="009D6504"/>
    <w:rsid w:val="009E12D7"/>
    <w:rsid w:val="009E661A"/>
    <w:rsid w:val="00A06781"/>
    <w:rsid w:val="00A074C3"/>
    <w:rsid w:val="00A1509C"/>
    <w:rsid w:val="00A151C7"/>
    <w:rsid w:val="00A249B9"/>
    <w:rsid w:val="00A336DF"/>
    <w:rsid w:val="00A34260"/>
    <w:rsid w:val="00A374EB"/>
    <w:rsid w:val="00A42D36"/>
    <w:rsid w:val="00A566DC"/>
    <w:rsid w:val="00A62CCC"/>
    <w:rsid w:val="00A70CFD"/>
    <w:rsid w:val="00A718ED"/>
    <w:rsid w:val="00A72A0B"/>
    <w:rsid w:val="00A76D0E"/>
    <w:rsid w:val="00A81E42"/>
    <w:rsid w:val="00A864FE"/>
    <w:rsid w:val="00A86F41"/>
    <w:rsid w:val="00A87D04"/>
    <w:rsid w:val="00A950C5"/>
    <w:rsid w:val="00AA1D25"/>
    <w:rsid w:val="00AA2859"/>
    <w:rsid w:val="00AB2B1A"/>
    <w:rsid w:val="00AB397F"/>
    <w:rsid w:val="00AB5832"/>
    <w:rsid w:val="00AC51F2"/>
    <w:rsid w:val="00AD11A1"/>
    <w:rsid w:val="00AD3269"/>
    <w:rsid w:val="00AD49B8"/>
    <w:rsid w:val="00AE5066"/>
    <w:rsid w:val="00AE5E24"/>
    <w:rsid w:val="00AE61B7"/>
    <w:rsid w:val="00AE62AC"/>
    <w:rsid w:val="00AE6CBA"/>
    <w:rsid w:val="00AE79AD"/>
    <w:rsid w:val="00AF2A0E"/>
    <w:rsid w:val="00AF35E4"/>
    <w:rsid w:val="00AF5CDE"/>
    <w:rsid w:val="00B11A57"/>
    <w:rsid w:val="00B12C62"/>
    <w:rsid w:val="00B140C3"/>
    <w:rsid w:val="00B211C3"/>
    <w:rsid w:val="00B2437D"/>
    <w:rsid w:val="00B25597"/>
    <w:rsid w:val="00B267B9"/>
    <w:rsid w:val="00B3217A"/>
    <w:rsid w:val="00B33E09"/>
    <w:rsid w:val="00B50708"/>
    <w:rsid w:val="00B50C68"/>
    <w:rsid w:val="00B51293"/>
    <w:rsid w:val="00B52B1E"/>
    <w:rsid w:val="00B55481"/>
    <w:rsid w:val="00B56C32"/>
    <w:rsid w:val="00B57ACF"/>
    <w:rsid w:val="00B61C3F"/>
    <w:rsid w:val="00B64BB1"/>
    <w:rsid w:val="00B73166"/>
    <w:rsid w:val="00B8426C"/>
    <w:rsid w:val="00B91B8D"/>
    <w:rsid w:val="00B94E90"/>
    <w:rsid w:val="00B94FB4"/>
    <w:rsid w:val="00BA52D8"/>
    <w:rsid w:val="00BB0A82"/>
    <w:rsid w:val="00BB399E"/>
    <w:rsid w:val="00BB7C94"/>
    <w:rsid w:val="00BC0A9D"/>
    <w:rsid w:val="00BC3065"/>
    <w:rsid w:val="00BD22C9"/>
    <w:rsid w:val="00BF40ED"/>
    <w:rsid w:val="00BF5BC2"/>
    <w:rsid w:val="00C02BB4"/>
    <w:rsid w:val="00C03DD8"/>
    <w:rsid w:val="00C10B84"/>
    <w:rsid w:val="00C1133D"/>
    <w:rsid w:val="00C151B0"/>
    <w:rsid w:val="00C25F67"/>
    <w:rsid w:val="00C27A08"/>
    <w:rsid w:val="00C31312"/>
    <w:rsid w:val="00C31E36"/>
    <w:rsid w:val="00C326C6"/>
    <w:rsid w:val="00C35295"/>
    <w:rsid w:val="00C36383"/>
    <w:rsid w:val="00C36ADD"/>
    <w:rsid w:val="00C36E74"/>
    <w:rsid w:val="00C40595"/>
    <w:rsid w:val="00C41621"/>
    <w:rsid w:val="00C449FA"/>
    <w:rsid w:val="00C45F02"/>
    <w:rsid w:val="00C5384F"/>
    <w:rsid w:val="00C5390A"/>
    <w:rsid w:val="00C56964"/>
    <w:rsid w:val="00C62EC8"/>
    <w:rsid w:val="00C656D5"/>
    <w:rsid w:val="00C67103"/>
    <w:rsid w:val="00C7109A"/>
    <w:rsid w:val="00C71BB9"/>
    <w:rsid w:val="00C7233C"/>
    <w:rsid w:val="00C7350F"/>
    <w:rsid w:val="00C86E5E"/>
    <w:rsid w:val="00C903E2"/>
    <w:rsid w:val="00C94C28"/>
    <w:rsid w:val="00CB0247"/>
    <w:rsid w:val="00CB203E"/>
    <w:rsid w:val="00CB3440"/>
    <w:rsid w:val="00CB54E1"/>
    <w:rsid w:val="00CC1692"/>
    <w:rsid w:val="00CC305D"/>
    <w:rsid w:val="00CC355F"/>
    <w:rsid w:val="00CC411C"/>
    <w:rsid w:val="00CD0544"/>
    <w:rsid w:val="00CD138B"/>
    <w:rsid w:val="00CD21FD"/>
    <w:rsid w:val="00CD236C"/>
    <w:rsid w:val="00CD3E31"/>
    <w:rsid w:val="00CD6F2E"/>
    <w:rsid w:val="00CD7081"/>
    <w:rsid w:val="00CD74A3"/>
    <w:rsid w:val="00CE0527"/>
    <w:rsid w:val="00CE5B23"/>
    <w:rsid w:val="00CF23FD"/>
    <w:rsid w:val="00CF70AD"/>
    <w:rsid w:val="00CF7729"/>
    <w:rsid w:val="00D00059"/>
    <w:rsid w:val="00D051B5"/>
    <w:rsid w:val="00D07CE0"/>
    <w:rsid w:val="00D107FA"/>
    <w:rsid w:val="00D12275"/>
    <w:rsid w:val="00D12766"/>
    <w:rsid w:val="00D15BA3"/>
    <w:rsid w:val="00D20FF4"/>
    <w:rsid w:val="00D24D2C"/>
    <w:rsid w:val="00D35881"/>
    <w:rsid w:val="00D4556F"/>
    <w:rsid w:val="00D63818"/>
    <w:rsid w:val="00D85F3C"/>
    <w:rsid w:val="00D90F51"/>
    <w:rsid w:val="00D946CC"/>
    <w:rsid w:val="00DA0D80"/>
    <w:rsid w:val="00DA1F0C"/>
    <w:rsid w:val="00DA2A47"/>
    <w:rsid w:val="00DA7DA5"/>
    <w:rsid w:val="00DB073B"/>
    <w:rsid w:val="00DB6995"/>
    <w:rsid w:val="00DB78F0"/>
    <w:rsid w:val="00DC0CEA"/>
    <w:rsid w:val="00DC2E43"/>
    <w:rsid w:val="00DD095C"/>
    <w:rsid w:val="00DD1020"/>
    <w:rsid w:val="00DD1330"/>
    <w:rsid w:val="00DD2485"/>
    <w:rsid w:val="00DD4CA5"/>
    <w:rsid w:val="00DE0B83"/>
    <w:rsid w:val="00DE1A81"/>
    <w:rsid w:val="00DE1C13"/>
    <w:rsid w:val="00DE31F5"/>
    <w:rsid w:val="00DE4E10"/>
    <w:rsid w:val="00DE5CE3"/>
    <w:rsid w:val="00DF410D"/>
    <w:rsid w:val="00E02ABF"/>
    <w:rsid w:val="00E042D8"/>
    <w:rsid w:val="00E14995"/>
    <w:rsid w:val="00E179CD"/>
    <w:rsid w:val="00E23E8D"/>
    <w:rsid w:val="00E37F98"/>
    <w:rsid w:val="00E46559"/>
    <w:rsid w:val="00E60D93"/>
    <w:rsid w:val="00E6658C"/>
    <w:rsid w:val="00E6670C"/>
    <w:rsid w:val="00E73462"/>
    <w:rsid w:val="00E776E8"/>
    <w:rsid w:val="00E9180B"/>
    <w:rsid w:val="00E92C1F"/>
    <w:rsid w:val="00E94A4B"/>
    <w:rsid w:val="00E95D4B"/>
    <w:rsid w:val="00EA516E"/>
    <w:rsid w:val="00EB199F"/>
    <w:rsid w:val="00EC23F7"/>
    <w:rsid w:val="00EC275F"/>
    <w:rsid w:val="00EC4BD8"/>
    <w:rsid w:val="00EC63EB"/>
    <w:rsid w:val="00EC7CCB"/>
    <w:rsid w:val="00ED412F"/>
    <w:rsid w:val="00EE2DD9"/>
    <w:rsid w:val="00EE5607"/>
    <w:rsid w:val="00EE6347"/>
    <w:rsid w:val="00EF36B2"/>
    <w:rsid w:val="00F00A57"/>
    <w:rsid w:val="00F1246B"/>
    <w:rsid w:val="00F142B2"/>
    <w:rsid w:val="00F201EC"/>
    <w:rsid w:val="00F208A9"/>
    <w:rsid w:val="00F41D75"/>
    <w:rsid w:val="00F446F7"/>
    <w:rsid w:val="00F5139D"/>
    <w:rsid w:val="00F52BF3"/>
    <w:rsid w:val="00F5790E"/>
    <w:rsid w:val="00F63DAC"/>
    <w:rsid w:val="00F67F79"/>
    <w:rsid w:val="00F7393D"/>
    <w:rsid w:val="00F7454F"/>
    <w:rsid w:val="00F77988"/>
    <w:rsid w:val="00F77F48"/>
    <w:rsid w:val="00F83BD3"/>
    <w:rsid w:val="00F85E07"/>
    <w:rsid w:val="00FA142C"/>
    <w:rsid w:val="00FB30F1"/>
    <w:rsid w:val="00FB39FB"/>
    <w:rsid w:val="00FB53E7"/>
    <w:rsid w:val="00FD2A8A"/>
    <w:rsid w:val="00FD71EB"/>
    <w:rsid w:val="00FE3846"/>
    <w:rsid w:val="00FF0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8C5649"/>
    <w:rPr>
      <w:sz w:val="20"/>
      <w:szCs w:val="20"/>
    </w:rPr>
  </w:style>
  <w:style w:type="character" w:styleId="FootnoteReference">
    <w:name w:val="footnote reference"/>
    <w:aliases w:val="Footnote Reference Number,Footnote symbol,ftref"/>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2836BD"/>
    <w:pPr>
      <w:autoSpaceDE w:val="0"/>
      <w:autoSpaceDN w:val="0"/>
      <w:adjustRightInd w:val="0"/>
    </w:pPr>
    <w:rPr>
      <w:color w:val="000000"/>
      <w:sz w:val="24"/>
      <w:szCs w:val="24"/>
      <w:lang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link w:val="FootnoteText"/>
    <w:rsid w:val="00303922"/>
  </w:style>
  <w:style w:type="paragraph" w:styleId="NormalWeb">
    <w:name w:val="Normal (Web)"/>
    <w:basedOn w:val="Normal"/>
    <w:uiPriority w:val="99"/>
    <w:unhideWhenUsed/>
    <w:rsid w:val="00303922"/>
    <w:pPr>
      <w:spacing w:before="100" w:beforeAutospacing="1" w:after="100" w:afterAutospacing="1"/>
    </w:pPr>
  </w:style>
  <w:style w:type="paragraph" w:customStyle="1" w:styleId="tv2131">
    <w:name w:val="tv2131"/>
    <w:basedOn w:val="Normal"/>
    <w:rsid w:val="006239E5"/>
    <w:pPr>
      <w:spacing w:line="360" w:lineRule="auto"/>
      <w:ind w:firstLine="300"/>
    </w:pPr>
    <w:rPr>
      <w:color w:val="414142"/>
      <w:sz w:val="20"/>
      <w:szCs w:val="20"/>
    </w:rPr>
  </w:style>
  <w:style w:type="paragraph" w:styleId="BodyTextIndent">
    <w:name w:val="Body Text Indent"/>
    <w:basedOn w:val="Normal"/>
    <w:link w:val="BodyTextIndentChar"/>
    <w:uiPriority w:val="99"/>
    <w:rsid w:val="009D36EC"/>
    <w:pPr>
      <w:ind w:firstLine="700"/>
      <w:jc w:val="both"/>
    </w:pPr>
    <w:rPr>
      <w:sz w:val="28"/>
      <w:lang w:eastAsia="en-US"/>
    </w:rPr>
  </w:style>
  <w:style w:type="character" w:customStyle="1" w:styleId="BodyTextIndentChar">
    <w:name w:val="Body Text Indent Char"/>
    <w:basedOn w:val="DefaultParagraphFont"/>
    <w:link w:val="BodyTextIndent"/>
    <w:uiPriority w:val="99"/>
    <w:rsid w:val="009D36EC"/>
    <w:rPr>
      <w:sz w:val="28"/>
      <w:szCs w:val="24"/>
      <w:lang w:eastAsia="en-US"/>
    </w:rPr>
  </w:style>
  <w:style w:type="paragraph" w:styleId="ListParagraph">
    <w:name w:val="List Paragraph"/>
    <w:basedOn w:val="Normal"/>
    <w:uiPriority w:val="34"/>
    <w:qFormat/>
    <w:rsid w:val="0012506F"/>
    <w:pPr>
      <w:ind w:left="720"/>
      <w:contextualSpacing/>
    </w:pPr>
  </w:style>
  <w:style w:type="paragraph" w:styleId="BodyText">
    <w:name w:val="Body Text"/>
    <w:basedOn w:val="Normal"/>
    <w:link w:val="BodyTextChar"/>
    <w:rsid w:val="00C7350F"/>
    <w:pPr>
      <w:spacing w:after="120"/>
    </w:pPr>
  </w:style>
  <w:style w:type="character" w:customStyle="1" w:styleId="BodyTextChar">
    <w:name w:val="Body Text Char"/>
    <w:basedOn w:val="DefaultParagraphFont"/>
    <w:link w:val="BodyText"/>
    <w:rsid w:val="00C7350F"/>
    <w:rPr>
      <w:sz w:val="24"/>
      <w:szCs w:val="24"/>
      <w:lang w:val="lv-LV" w:eastAsia="lv-LV"/>
    </w:rPr>
  </w:style>
  <w:style w:type="character" w:customStyle="1" w:styleId="HeaderChar">
    <w:name w:val="Header Char"/>
    <w:basedOn w:val="DefaultParagraphFont"/>
    <w:link w:val="Header"/>
    <w:rsid w:val="00C7350F"/>
    <w:rPr>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vm.gov.lv/lv/aktualitates/publiska_apspriesana/grozijumi_likuma_par_tabakas_izstradajumu_realizacijas_rekla/" TargetMode="External"/><Relationship Id="rId3" Type="http://schemas.openxmlformats.org/officeDocument/2006/relationships/hyperlink" Target="http://www.vm.gov.lv/images/userfiles/elcig_aizliegums.pdf" TargetMode="External"/><Relationship Id="rId7" Type="http://schemas.openxmlformats.org/officeDocument/2006/relationships/hyperlink" Target="http://www3.lrs.lt/pls/inter3/dokpaieska.showdoc_l?p_id=433767&amp;p_query=&amp;p_tr2=2" TargetMode="External"/><Relationship Id="rId2" Type="http://schemas.openxmlformats.org/officeDocument/2006/relationships/hyperlink" Target="http://www.vm.gov.lv/lv/ministrija/darba_grupas/darba_grupa_elektronisko_nikotina_ievades_sistemu_tiesiska_r/" TargetMode="External"/><Relationship Id="rId1" Type="http://schemas.openxmlformats.org/officeDocument/2006/relationships/hyperlink" Target="http://www.vm.gov.lv/images/userfiles/vmrik_95_.pdf" TargetMode="External"/><Relationship Id="rId6" Type="http://schemas.openxmlformats.org/officeDocument/2006/relationships/hyperlink" Target="http://eur-lex.europa.eu/LexUriServ/LexUriServ.do?uri=celex:32001l0037:lv:html" TargetMode="External"/><Relationship Id="rId5" Type="http://schemas.openxmlformats.org/officeDocument/2006/relationships/hyperlink" Target="http://www.fda.gov/downloads/Drugs/ScienceResearch/UCM173250.pdf" TargetMode="External"/><Relationship Id="rId4" Type="http://schemas.openxmlformats.org/officeDocument/2006/relationships/hyperlink" Target="http://www.spkc.gov.lv/veselibu-ietekmejoso-paradumu-petijumi/" TargetMode="External"/><Relationship Id="rId9" Type="http://schemas.openxmlformats.org/officeDocument/2006/relationships/hyperlink" Target="http://www.vm.gov.lv/images/userfiles/vmsabvied_09102013_elci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8299-0E8F-4770-B26D-D5DD76C1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19701</Words>
  <Characters>11230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Likumprojekta „Grozījumi likumā „Par tabakas izstrādājumu realizācijas, reklāmas un lietošanas ierobežošanu”” sākotnējās ietekmes novērtējuma ziņojums (anotācija)</vt:lpstr>
    </vt:vector>
  </TitlesOfParts>
  <Company>Veselības ministrija</Company>
  <LinksUpToDate>false</LinksUpToDate>
  <CharactersWithSpaces>30870</CharactersWithSpaces>
  <SharedDoc>false</SharedDoc>
  <HLinks>
    <vt:vector size="54" baseType="variant">
      <vt:variant>
        <vt:i4>1638407</vt:i4>
      </vt:variant>
      <vt:variant>
        <vt:i4>24</vt:i4>
      </vt:variant>
      <vt:variant>
        <vt:i4>0</vt:i4>
      </vt:variant>
      <vt:variant>
        <vt:i4>5</vt:i4>
      </vt:variant>
      <vt:variant>
        <vt:lpwstr>http://www.vm.gov.lv/images/userfiles/vmsabvied_09102013_elcig.pdf</vt:lpwstr>
      </vt:variant>
      <vt:variant>
        <vt:lpwstr/>
      </vt:variant>
      <vt:variant>
        <vt:i4>1441826</vt:i4>
      </vt:variant>
      <vt:variant>
        <vt:i4>21</vt:i4>
      </vt:variant>
      <vt:variant>
        <vt:i4>0</vt:i4>
      </vt:variant>
      <vt:variant>
        <vt:i4>5</vt:i4>
      </vt:variant>
      <vt:variant>
        <vt:lpwstr>http://www.vm.gov.lv/lv/aktualitates/publiska_apspriesana/grozijumi_likuma_par_tabakas_izstradajumu_realizacijas_rekla/</vt:lpwstr>
      </vt:variant>
      <vt:variant>
        <vt:lpwstr/>
      </vt:variant>
      <vt:variant>
        <vt:i4>4259915</vt:i4>
      </vt:variant>
      <vt:variant>
        <vt:i4>18</vt:i4>
      </vt:variant>
      <vt:variant>
        <vt:i4>0</vt:i4>
      </vt:variant>
      <vt:variant>
        <vt:i4>5</vt:i4>
      </vt:variant>
      <vt:variant>
        <vt:lpwstr>http://www3.lrs.lt/pls/inter3/dokpaieska.showdoc_l?p_id=433767&amp;p_query=&amp;p_tr2=2</vt:lpwstr>
      </vt:variant>
      <vt:variant>
        <vt:lpwstr/>
      </vt:variant>
      <vt:variant>
        <vt:i4>4128884</vt:i4>
      </vt:variant>
      <vt:variant>
        <vt:i4>15</vt:i4>
      </vt:variant>
      <vt:variant>
        <vt:i4>0</vt:i4>
      </vt:variant>
      <vt:variant>
        <vt:i4>5</vt:i4>
      </vt:variant>
      <vt:variant>
        <vt:lpwstr>http://eur-lex.europa.eu/LexUriServ/LexUriServ.do?uri=celex:32001l0037:lv:html</vt:lpwstr>
      </vt:variant>
      <vt:variant>
        <vt:lpwstr/>
      </vt:variant>
      <vt:variant>
        <vt:i4>131090</vt:i4>
      </vt:variant>
      <vt:variant>
        <vt:i4>12</vt:i4>
      </vt:variant>
      <vt:variant>
        <vt:i4>0</vt:i4>
      </vt:variant>
      <vt:variant>
        <vt:i4>5</vt:i4>
      </vt:variant>
      <vt:variant>
        <vt:lpwstr>http://www.fda.gov/downloads/Drugs/ScienceResearch/UCM173250.pdf</vt:lpwstr>
      </vt:variant>
      <vt:variant>
        <vt:lpwstr/>
      </vt:variant>
      <vt:variant>
        <vt:i4>7929896</vt:i4>
      </vt:variant>
      <vt:variant>
        <vt:i4>9</vt:i4>
      </vt:variant>
      <vt:variant>
        <vt:i4>0</vt:i4>
      </vt:variant>
      <vt:variant>
        <vt:i4>5</vt:i4>
      </vt:variant>
      <vt:variant>
        <vt:lpwstr>http://www.spkc.gov.lv/veselibu-ietekmejoso-paradumu-petijumi/</vt:lpwstr>
      </vt:variant>
      <vt:variant>
        <vt:lpwstr/>
      </vt:variant>
      <vt:variant>
        <vt:i4>917548</vt:i4>
      </vt:variant>
      <vt:variant>
        <vt:i4>6</vt:i4>
      </vt:variant>
      <vt:variant>
        <vt:i4>0</vt:i4>
      </vt:variant>
      <vt:variant>
        <vt:i4>5</vt:i4>
      </vt:variant>
      <vt:variant>
        <vt:lpwstr>http://www.vm.gov.lv/images/userfiles/elcig_aizliegums.pdf</vt:lpwstr>
      </vt:variant>
      <vt:variant>
        <vt:lpwstr/>
      </vt:variant>
      <vt:variant>
        <vt:i4>8192107</vt:i4>
      </vt:variant>
      <vt:variant>
        <vt:i4>3</vt:i4>
      </vt:variant>
      <vt:variant>
        <vt:i4>0</vt:i4>
      </vt:variant>
      <vt:variant>
        <vt:i4>5</vt:i4>
      </vt:variant>
      <vt:variant>
        <vt:lpwstr>http://www.vm.gov.lv/lv/ministrija/darba_grupas/darba_grupa_elektronisko_nikotina_ievades_sistemu_tiesiska_r/</vt:lpwstr>
      </vt:variant>
      <vt:variant>
        <vt:lpwstr/>
      </vt:variant>
      <vt:variant>
        <vt:i4>6</vt:i4>
      </vt:variant>
      <vt:variant>
        <vt:i4>0</vt:i4>
      </vt:variant>
      <vt:variant>
        <vt:i4>0</vt:i4>
      </vt:variant>
      <vt:variant>
        <vt:i4>5</vt:i4>
      </vt:variant>
      <vt:variant>
        <vt:lpwstr>http://www.vm.gov.lv/images/userfiles/vmrik_95_.pdf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tabakas izstrādājumu realizācijas, reklāmas un lietošanas ierobežošanu”” sākotnējās ietekmes novērtējuma ziņojums (anotācija)</dc:title>
  <dc:subject>Likumprojekta anotācija</dc:subject>
  <dc:creator>Alise Krūmiņa</dc:creator>
  <dc:description>67876077
alise.krumina@vm.gov.lv</dc:description>
  <cp:lastModifiedBy>akrumina</cp:lastModifiedBy>
  <cp:revision>9</cp:revision>
  <cp:lastPrinted>2014-01-07T12:52:00Z</cp:lastPrinted>
  <dcterms:created xsi:type="dcterms:W3CDTF">2014-01-24T14:50:00Z</dcterms:created>
  <dcterms:modified xsi:type="dcterms:W3CDTF">2014-02-21T12:05:00Z</dcterms:modified>
</cp:coreProperties>
</file>