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67" w:rsidRPr="003A6967" w:rsidRDefault="003A6967" w:rsidP="003A6967">
      <w:pPr>
        <w:spacing w:after="0"/>
        <w:ind w:left="4111"/>
        <w:jc w:val="right"/>
        <w:rPr>
          <w:sz w:val="24"/>
        </w:rPr>
      </w:pPr>
      <w:r w:rsidRPr="003A6967">
        <w:rPr>
          <w:sz w:val="24"/>
        </w:rPr>
        <w:t xml:space="preserve">2.pielikums </w:t>
      </w:r>
    </w:p>
    <w:p w:rsidR="003A6967" w:rsidRPr="003A6967" w:rsidRDefault="003A6967" w:rsidP="003A6967">
      <w:pPr>
        <w:spacing w:after="0"/>
        <w:jc w:val="right"/>
        <w:rPr>
          <w:sz w:val="24"/>
        </w:rPr>
      </w:pPr>
      <w:r w:rsidRPr="003A6967">
        <w:rPr>
          <w:sz w:val="24"/>
        </w:rPr>
        <w:t xml:space="preserve">Informatīvajam ziņojumam par Eiropas Savienības </w:t>
      </w:r>
    </w:p>
    <w:p w:rsidR="003A6967" w:rsidRPr="003A6967" w:rsidRDefault="003A6967" w:rsidP="003A6967">
      <w:pPr>
        <w:spacing w:after="0"/>
        <w:jc w:val="right"/>
        <w:rPr>
          <w:sz w:val="24"/>
        </w:rPr>
      </w:pPr>
      <w:r w:rsidRPr="003A6967">
        <w:rPr>
          <w:sz w:val="24"/>
        </w:rPr>
        <w:t xml:space="preserve">fondu darbības programmas „Izaugsme un nodarbinātība” </w:t>
      </w:r>
    </w:p>
    <w:p w:rsidR="003A6967" w:rsidRPr="003A6967" w:rsidRDefault="003A6967" w:rsidP="003A6967">
      <w:pPr>
        <w:spacing w:after="0"/>
        <w:jc w:val="right"/>
        <w:rPr>
          <w:sz w:val="24"/>
        </w:rPr>
      </w:pPr>
      <w:r w:rsidRPr="003A6967">
        <w:rPr>
          <w:sz w:val="24"/>
        </w:rPr>
        <w:t xml:space="preserve">6.1.3. specifiskā atbalsta mērķa „Nodrošināt nepieciešamo </w:t>
      </w:r>
    </w:p>
    <w:p w:rsidR="003A6967" w:rsidRPr="003A6967" w:rsidRDefault="003A6967" w:rsidP="003A6967">
      <w:pPr>
        <w:spacing w:after="0"/>
        <w:jc w:val="right"/>
        <w:rPr>
          <w:sz w:val="24"/>
        </w:rPr>
      </w:pPr>
      <w:r w:rsidRPr="003A6967">
        <w:rPr>
          <w:sz w:val="24"/>
        </w:rPr>
        <w:t xml:space="preserve">infrastruktūru uz Rīgas maģistrālajiem pārvadiem un novērst </w:t>
      </w:r>
    </w:p>
    <w:p w:rsidR="006C32F9" w:rsidRDefault="003A6967" w:rsidP="003A6967">
      <w:pPr>
        <w:spacing w:after="0"/>
        <w:jc w:val="right"/>
        <w:rPr>
          <w:sz w:val="24"/>
        </w:rPr>
      </w:pPr>
      <w:r w:rsidRPr="003A6967">
        <w:rPr>
          <w:sz w:val="24"/>
        </w:rPr>
        <w:t xml:space="preserve">maģistrālo ielu fragmentāro raksturu” </w:t>
      </w:r>
      <w:r w:rsidR="006C32F9" w:rsidRPr="006C32F9">
        <w:rPr>
          <w:sz w:val="24"/>
        </w:rPr>
        <w:t xml:space="preserve">1.kārtas projekta </w:t>
      </w:r>
    </w:p>
    <w:p w:rsidR="003A6967" w:rsidRDefault="006C32F9" w:rsidP="003A6967">
      <w:pPr>
        <w:spacing w:after="0"/>
        <w:jc w:val="right"/>
        <w:rPr>
          <w:sz w:val="24"/>
        </w:rPr>
      </w:pPr>
      <w:bookmarkStart w:id="0" w:name="_GoBack"/>
      <w:bookmarkEnd w:id="0"/>
      <w:r w:rsidRPr="006C32F9">
        <w:rPr>
          <w:sz w:val="24"/>
        </w:rPr>
        <w:t>„Salu tilta kompleksa</w:t>
      </w:r>
      <w:r w:rsidRPr="006C32F9">
        <w:t xml:space="preserve"> </w:t>
      </w:r>
      <w:r w:rsidRPr="006C32F9">
        <w:rPr>
          <w:sz w:val="24"/>
        </w:rPr>
        <w:t xml:space="preserve">rekonstrukcija” </w:t>
      </w:r>
    </w:p>
    <w:p w:rsidR="006C32F9" w:rsidRDefault="006C32F9" w:rsidP="003A6967">
      <w:pPr>
        <w:spacing w:after="0"/>
        <w:jc w:val="right"/>
        <w:rPr>
          <w:sz w:val="24"/>
        </w:rPr>
      </w:pPr>
    </w:p>
    <w:p w:rsidR="003A6967" w:rsidRDefault="003A6967" w:rsidP="00A22B82">
      <w:pPr>
        <w:spacing w:after="0"/>
        <w:jc w:val="center"/>
        <w:rPr>
          <w:b/>
        </w:rPr>
      </w:pPr>
      <w:r w:rsidRPr="003A6967">
        <w:rPr>
          <w:b/>
        </w:rPr>
        <w:t>Potenciāl</w:t>
      </w:r>
      <w:r>
        <w:rPr>
          <w:b/>
        </w:rPr>
        <w:t>ais</w:t>
      </w:r>
      <w:r w:rsidRPr="003A6967">
        <w:rPr>
          <w:b/>
        </w:rPr>
        <w:t xml:space="preserve"> ātrāk uzsākamā 6.1.3. specifiskā atbalsta mērķa „Nodrošināt nepieciešamo infrastruktūru uz Rīgas maģistrālajiem pārvadiem un novērst</w:t>
      </w:r>
      <w:r>
        <w:rPr>
          <w:b/>
        </w:rPr>
        <w:t xml:space="preserve"> </w:t>
      </w:r>
      <w:r w:rsidRPr="003A6967">
        <w:rPr>
          <w:b/>
        </w:rPr>
        <w:t>maģistrālo ielu fragmentāro raksturu” 1.atlases kārtas projekt</w:t>
      </w:r>
      <w:r>
        <w:rPr>
          <w:b/>
        </w:rPr>
        <w:t>s</w:t>
      </w:r>
    </w:p>
    <w:p w:rsidR="003A6967" w:rsidRDefault="003A6967" w:rsidP="003A6967">
      <w:pPr>
        <w:spacing w:after="0"/>
        <w:jc w:val="center"/>
        <w:rPr>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6"/>
        <w:gridCol w:w="1842"/>
        <w:gridCol w:w="1843"/>
        <w:gridCol w:w="1418"/>
        <w:gridCol w:w="1417"/>
        <w:gridCol w:w="1276"/>
      </w:tblGrid>
      <w:tr w:rsidR="00A22B82" w:rsidRPr="00A22B82" w:rsidTr="00A22B82">
        <w:trPr>
          <w:trHeight w:val="515"/>
        </w:trPr>
        <w:tc>
          <w:tcPr>
            <w:tcW w:w="1560" w:type="dxa"/>
            <w:vMerge w:val="restart"/>
          </w:tcPr>
          <w:p w:rsidR="00A22B82" w:rsidRPr="00A22B82" w:rsidRDefault="00A22B82" w:rsidP="00A22B82">
            <w:pPr>
              <w:spacing w:after="0"/>
              <w:jc w:val="center"/>
              <w:rPr>
                <w:rFonts w:eastAsia="Calibri" w:cs="Times New Roman"/>
                <w:bCs/>
                <w:sz w:val="24"/>
                <w:szCs w:val="24"/>
              </w:rPr>
            </w:pPr>
            <w:r w:rsidRPr="00A22B82">
              <w:rPr>
                <w:rFonts w:eastAsia="Calibri" w:cs="Times New Roman"/>
                <w:bCs/>
                <w:sz w:val="24"/>
                <w:szCs w:val="24"/>
              </w:rPr>
              <w:t>Projekts</w:t>
            </w:r>
          </w:p>
        </w:tc>
        <w:tc>
          <w:tcPr>
            <w:tcW w:w="426" w:type="dxa"/>
            <w:vMerge w:val="restart"/>
          </w:tcPr>
          <w:p w:rsidR="00A22B82" w:rsidRPr="00A22B82" w:rsidRDefault="00A22B82" w:rsidP="00A22B82">
            <w:pPr>
              <w:spacing w:after="0"/>
              <w:jc w:val="center"/>
              <w:rPr>
                <w:rFonts w:eastAsia="Calibri" w:cs="Times New Roman"/>
                <w:bCs/>
                <w:sz w:val="24"/>
                <w:szCs w:val="24"/>
              </w:rPr>
            </w:pPr>
          </w:p>
        </w:tc>
        <w:tc>
          <w:tcPr>
            <w:tcW w:w="1842" w:type="dxa"/>
            <w:vMerge w:val="restart"/>
            <w:vAlign w:val="center"/>
          </w:tcPr>
          <w:p w:rsidR="00A22B82" w:rsidRPr="00A22B82" w:rsidRDefault="00A22B82" w:rsidP="00A22B82">
            <w:pPr>
              <w:spacing w:after="0"/>
              <w:jc w:val="center"/>
              <w:rPr>
                <w:rFonts w:eastAsia="Calibri" w:cs="Times New Roman"/>
                <w:bCs/>
                <w:sz w:val="24"/>
                <w:szCs w:val="24"/>
              </w:rPr>
            </w:pPr>
            <w:r w:rsidRPr="00A22B82">
              <w:rPr>
                <w:rFonts w:eastAsia="Calibri" w:cs="Times New Roman"/>
                <w:bCs/>
                <w:sz w:val="24"/>
                <w:szCs w:val="24"/>
              </w:rPr>
              <w:t>Projekta posms</w:t>
            </w:r>
          </w:p>
        </w:tc>
        <w:tc>
          <w:tcPr>
            <w:tcW w:w="1843" w:type="dxa"/>
            <w:vMerge w:val="restart"/>
            <w:vAlign w:val="center"/>
          </w:tcPr>
          <w:p w:rsidR="00A22B82" w:rsidRPr="00A22B82" w:rsidRDefault="00A22B82" w:rsidP="00A22B82">
            <w:pPr>
              <w:spacing w:after="0"/>
              <w:jc w:val="center"/>
              <w:rPr>
                <w:rFonts w:eastAsia="Calibri" w:cs="Times New Roman"/>
                <w:bCs/>
                <w:sz w:val="24"/>
                <w:szCs w:val="24"/>
              </w:rPr>
            </w:pPr>
            <w:r w:rsidRPr="00A22B82">
              <w:rPr>
                <w:rFonts w:eastAsia="Calibri" w:cs="Times New Roman"/>
                <w:bCs/>
                <w:sz w:val="24"/>
                <w:szCs w:val="24"/>
              </w:rPr>
              <w:t>Atbalstāmās darbības</w:t>
            </w:r>
          </w:p>
        </w:tc>
        <w:tc>
          <w:tcPr>
            <w:tcW w:w="4111" w:type="dxa"/>
            <w:gridSpan w:val="3"/>
            <w:vAlign w:val="center"/>
          </w:tcPr>
          <w:p w:rsidR="00A22B82" w:rsidRPr="00A22B82" w:rsidRDefault="00A22B82" w:rsidP="00A22B82">
            <w:pPr>
              <w:spacing w:after="0"/>
              <w:jc w:val="center"/>
              <w:rPr>
                <w:rFonts w:eastAsia="Calibri" w:cs="Times New Roman"/>
                <w:bCs/>
                <w:sz w:val="24"/>
                <w:szCs w:val="24"/>
              </w:rPr>
            </w:pPr>
            <w:r w:rsidRPr="00A22B82">
              <w:rPr>
                <w:rFonts w:eastAsia="Calibri" w:cs="Times New Roman"/>
                <w:bCs/>
                <w:sz w:val="24"/>
                <w:szCs w:val="24"/>
              </w:rPr>
              <w:t>Plānotais īstenošanas laika grafiks un indikatīvās izmaksas EUR</w:t>
            </w:r>
          </w:p>
        </w:tc>
      </w:tr>
      <w:tr w:rsidR="00A22B82" w:rsidRPr="00A22B82" w:rsidTr="00A22B82">
        <w:trPr>
          <w:trHeight w:val="391"/>
        </w:trPr>
        <w:tc>
          <w:tcPr>
            <w:tcW w:w="1560" w:type="dxa"/>
            <w:vMerge/>
          </w:tcPr>
          <w:p w:rsidR="00A22B82" w:rsidRPr="00A22B82" w:rsidRDefault="00A22B82" w:rsidP="00A22B82">
            <w:pPr>
              <w:spacing w:after="0"/>
              <w:jc w:val="center"/>
              <w:rPr>
                <w:rFonts w:eastAsia="Calibri" w:cs="Times New Roman"/>
                <w:bCs/>
                <w:sz w:val="24"/>
                <w:szCs w:val="24"/>
              </w:rPr>
            </w:pPr>
          </w:p>
        </w:tc>
        <w:tc>
          <w:tcPr>
            <w:tcW w:w="426" w:type="dxa"/>
            <w:vMerge/>
          </w:tcPr>
          <w:p w:rsidR="00A22B82" w:rsidRPr="00A22B82" w:rsidRDefault="00A22B82" w:rsidP="00A22B82">
            <w:pPr>
              <w:spacing w:after="0"/>
              <w:jc w:val="center"/>
              <w:rPr>
                <w:rFonts w:eastAsia="Calibri" w:cs="Times New Roman"/>
                <w:bCs/>
                <w:sz w:val="24"/>
                <w:szCs w:val="24"/>
              </w:rPr>
            </w:pPr>
          </w:p>
        </w:tc>
        <w:tc>
          <w:tcPr>
            <w:tcW w:w="1842" w:type="dxa"/>
            <w:vMerge/>
          </w:tcPr>
          <w:p w:rsidR="00A22B82" w:rsidRPr="00A22B82" w:rsidRDefault="00A22B82" w:rsidP="00A22B82">
            <w:pPr>
              <w:spacing w:after="0"/>
              <w:jc w:val="center"/>
              <w:rPr>
                <w:rFonts w:eastAsia="Calibri" w:cs="Times New Roman"/>
                <w:bCs/>
                <w:sz w:val="24"/>
                <w:szCs w:val="24"/>
              </w:rPr>
            </w:pPr>
          </w:p>
        </w:tc>
        <w:tc>
          <w:tcPr>
            <w:tcW w:w="1843" w:type="dxa"/>
            <w:vMerge/>
          </w:tcPr>
          <w:p w:rsidR="00A22B82" w:rsidRPr="00A22B82" w:rsidRDefault="00A22B82" w:rsidP="00A22B82">
            <w:pPr>
              <w:spacing w:after="0"/>
              <w:jc w:val="center"/>
              <w:rPr>
                <w:rFonts w:eastAsia="Calibri" w:cs="Times New Roman"/>
                <w:bCs/>
                <w:sz w:val="24"/>
                <w:szCs w:val="24"/>
              </w:rPr>
            </w:pPr>
          </w:p>
        </w:tc>
        <w:tc>
          <w:tcPr>
            <w:tcW w:w="1418" w:type="dxa"/>
            <w:vAlign w:val="center"/>
          </w:tcPr>
          <w:p w:rsidR="00A22B82" w:rsidRPr="00A22B82" w:rsidRDefault="00A22B82" w:rsidP="00A22B82">
            <w:pPr>
              <w:spacing w:after="0"/>
              <w:jc w:val="center"/>
              <w:rPr>
                <w:rFonts w:eastAsia="Calibri" w:cs="Times New Roman"/>
                <w:bCs/>
                <w:sz w:val="24"/>
                <w:szCs w:val="24"/>
              </w:rPr>
            </w:pPr>
            <w:r w:rsidRPr="00A22B82">
              <w:rPr>
                <w:rFonts w:eastAsia="Calibri" w:cs="Times New Roman"/>
                <w:sz w:val="24"/>
                <w:szCs w:val="24"/>
              </w:rPr>
              <w:t>2014. gadā</w:t>
            </w:r>
          </w:p>
        </w:tc>
        <w:tc>
          <w:tcPr>
            <w:tcW w:w="1417" w:type="dxa"/>
            <w:vAlign w:val="center"/>
          </w:tcPr>
          <w:p w:rsidR="00A22B82" w:rsidRPr="00A22B82" w:rsidRDefault="00A22B82" w:rsidP="00A22B82">
            <w:pPr>
              <w:spacing w:after="0"/>
              <w:jc w:val="center"/>
              <w:rPr>
                <w:rFonts w:eastAsia="Calibri" w:cs="Times New Roman"/>
                <w:sz w:val="24"/>
                <w:szCs w:val="24"/>
              </w:rPr>
            </w:pPr>
            <w:r w:rsidRPr="00A22B82">
              <w:rPr>
                <w:rFonts w:eastAsia="Calibri" w:cs="Times New Roman"/>
                <w:sz w:val="24"/>
                <w:szCs w:val="24"/>
              </w:rPr>
              <w:t>2015. gadā</w:t>
            </w:r>
          </w:p>
        </w:tc>
        <w:tc>
          <w:tcPr>
            <w:tcW w:w="1276" w:type="dxa"/>
            <w:vAlign w:val="center"/>
          </w:tcPr>
          <w:p w:rsidR="00A22B82" w:rsidRPr="00A22B82" w:rsidRDefault="00A22B82" w:rsidP="00A22B82">
            <w:pPr>
              <w:spacing w:after="0"/>
              <w:jc w:val="center"/>
              <w:rPr>
                <w:rFonts w:eastAsia="Calibri" w:cs="Times New Roman"/>
                <w:sz w:val="24"/>
                <w:szCs w:val="24"/>
              </w:rPr>
            </w:pPr>
            <w:r w:rsidRPr="00A22B82">
              <w:rPr>
                <w:rFonts w:eastAsia="Calibri" w:cs="Times New Roman"/>
                <w:sz w:val="24"/>
                <w:szCs w:val="24"/>
              </w:rPr>
              <w:t>2016. gadā</w:t>
            </w:r>
          </w:p>
        </w:tc>
      </w:tr>
      <w:tr w:rsidR="00A22B82" w:rsidRPr="00A22B82" w:rsidTr="00A22B82">
        <w:trPr>
          <w:trHeight w:val="363"/>
        </w:trPr>
        <w:tc>
          <w:tcPr>
            <w:tcW w:w="1560" w:type="dxa"/>
            <w:vMerge w:val="restart"/>
          </w:tcPr>
          <w:p w:rsidR="00A22B82" w:rsidRPr="00A22B82" w:rsidRDefault="00A22B82" w:rsidP="00A22B82">
            <w:pPr>
              <w:spacing w:after="0"/>
              <w:ind w:left="-114" w:right="-111"/>
              <w:jc w:val="center"/>
              <w:rPr>
                <w:rFonts w:eastAsia="Calibri" w:cs="Times New Roman"/>
                <w:sz w:val="24"/>
                <w:szCs w:val="24"/>
              </w:rPr>
            </w:pPr>
            <w:r w:rsidRPr="00A22B82">
              <w:rPr>
                <w:rFonts w:eastAsia="Calibri" w:cs="Times New Roman"/>
                <w:sz w:val="24"/>
                <w:szCs w:val="24"/>
              </w:rPr>
              <w:t>Salu tilta kompleksa rekonstrukcija</w:t>
            </w:r>
          </w:p>
        </w:tc>
        <w:tc>
          <w:tcPr>
            <w:tcW w:w="426" w:type="dxa"/>
            <w:vMerge w:val="restart"/>
            <w:textDirection w:val="btLr"/>
          </w:tcPr>
          <w:p w:rsidR="00A22B82" w:rsidRPr="00A22B82" w:rsidRDefault="00A22B82" w:rsidP="00A22B82">
            <w:pPr>
              <w:spacing w:after="0"/>
              <w:ind w:left="113" w:right="113"/>
              <w:jc w:val="right"/>
              <w:rPr>
                <w:rFonts w:eastAsia="Calibri" w:cs="Times New Roman"/>
                <w:sz w:val="24"/>
                <w:szCs w:val="24"/>
              </w:rPr>
            </w:pPr>
            <w:r w:rsidRPr="00A22B82">
              <w:rPr>
                <w:rFonts w:eastAsia="Calibri" w:cs="Times New Roman"/>
                <w:sz w:val="24"/>
                <w:szCs w:val="24"/>
              </w:rPr>
              <w:t>1.kārta</w:t>
            </w:r>
          </w:p>
        </w:tc>
        <w:tc>
          <w:tcPr>
            <w:tcW w:w="1842" w:type="dxa"/>
            <w:vAlign w:val="center"/>
          </w:tcPr>
          <w:p w:rsidR="00A22B82" w:rsidRPr="00A22B82" w:rsidRDefault="00A22B82" w:rsidP="00A22B82">
            <w:pPr>
              <w:spacing w:after="0"/>
              <w:rPr>
                <w:rFonts w:eastAsia="Calibri" w:cs="Times New Roman"/>
                <w:sz w:val="24"/>
                <w:szCs w:val="24"/>
              </w:rPr>
            </w:pPr>
            <w:r w:rsidRPr="00A22B82">
              <w:rPr>
                <w:rFonts w:eastAsia="Calibri" w:cs="Times New Roman"/>
                <w:sz w:val="24"/>
                <w:szCs w:val="24"/>
              </w:rPr>
              <w:t>Salu tilts pār Daugavu </w:t>
            </w:r>
          </w:p>
        </w:tc>
        <w:tc>
          <w:tcPr>
            <w:tcW w:w="1843" w:type="dxa"/>
            <w:vMerge w:val="restart"/>
          </w:tcPr>
          <w:p w:rsidR="00A22B82" w:rsidRPr="00A22B82" w:rsidRDefault="00A22B82" w:rsidP="00A22B82">
            <w:pPr>
              <w:spacing w:after="0"/>
              <w:jc w:val="center"/>
              <w:rPr>
                <w:rFonts w:eastAsia="Calibri" w:cs="Times New Roman"/>
                <w:sz w:val="24"/>
                <w:szCs w:val="24"/>
              </w:rPr>
            </w:pPr>
            <w:r w:rsidRPr="00A22B82">
              <w:rPr>
                <w:rFonts w:eastAsia="Calibri" w:cs="Times New Roman"/>
                <w:sz w:val="24"/>
                <w:szCs w:val="24"/>
              </w:rPr>
              <w:t>Būvniecība, autoruzraudzība</w:t>
            </w:r>
          </w:p>
        </w:tc>
        <w:tc>
          <w:tcPr>
            <w:tcW w:w="1418" w:type="dxa"/>
            <w:vMerge w:val="restart"/>
            <w:noWrap/>
          </w:tcPr>
          <w:p w:rsidR="00A22B82" w:rsidRPr="00A22B82" w:rsidRDefault="00A22B82" w:rsidP="00A22B82">
            <w:pPr>
              <w:jc w:val="center"/>
              <w:rPr>
                <w:rFonts w:eastAsia="Calibri" w:cs="Times New Roman"/>
                <w:b/>
                <w:bCs/>
                <w:sz w:val="24"/>
                <w:szCs w:val="24"/>
              </w:rPr>
            </w:pPr>
            <w:r w:rsidRPr="00A22B82">
              <w:rPr>
                <w:rFonts w:eastAsia="Calibri" w:cs="Times New Roman"/>
                <w:b/>
                <w:bCs/>
                <w:sz w:val="24"/>
                <w:szCs w:val="24"/>
              </w:rPr>
              <w:t xml:space="preserve">   4 416 785   </w:t>
            </w:r>
          </w:p>
          <w:p w:rsidR="00A22B82" w:rsidRPr="00A22B82" w:rsidRDefault="00A22B82" w:rsidP="00A22B82">
            <w:pPr>
              <w:jc w:val="center"/>
              <w:rPr>
                <w:rFonts w:eastAsia="Calibri" w:cs="Times New Roman"/>
                <w:b/>
                <w:sz w:val="24"/>
                <w:szCs w:val="24"/>
              </w:rPr>
            </w:pPr>
          </w:p>
          <w:p w:rsidR="00A22B82" w:rsidRPr="00A22B82" w:rsidRDefault="00A22B82" w:rsidP="00A22B82">
            <w:pPr>
              <w:spacing w:after="0"/>
              <w:jc w:val="center"/>
              <w:rPr>
                <w:rFonts w:eastAsia="Calibri" w:cs="Times New Roman"/>
                <w:b/>
                <w:sz w:val="24"/>
                <w:szCs w:val="24"/>
              </w:rPr>
            </w:pPr>
          </w:p>
        </w:tc>
        <w:tc>
          <w:tcPr>
            <w:tcW w:w="1417" w:type="dxa"/>
            <w:vMerge w:val="restart"/>
            <w:noWrap/>
          </w:tcPr>
          <w:p w:rsidR="00A22B82" w:rsidRPr="00A22B82" w:rsidRDefault="00A22B82" w:rsidP="00A22B82">
            <w:pPr>
              <w:jc w:val="center"/>
              <w:rPr>
                <w:rFonts w:eastAsia="Calibri" w:cs="Times New Roman"/>
                <w:b/>
                <w:bCs/>
                <w:sz w:val="24"/>
                <w:szCs w:val="24"/>
              </w:rPr>
            </w:pPr>
            <w:r w:rsidRPr="00A22B82">
              <w:rPr>
                <w:rFonts w:eastAsia="Calibri" w:cs="Times New Roman"/>
                <w:b/>
                <w:bCs/>
                <w:sz w:val="24"/>
                <w:szCs w:val="24"/>
              </w:rPr>
              <w:t xml:space="preserve">   5 672 243    </w:t>
            </w:r>
          </w:p>
          <w:p w:rsidR="00A22B82" w:rsidRPr="00A22B82" w:rsidRDefault="00A22B82" w:rsidP="00A22B82">
            <w:pPr>
              <w:spacing w:after="0"/>
              <w:jc w:val="center"/>
              <w:rPr>
                <w:rFonts w:eastAsia="Calibri" w:cs="Times New Roman"/>
                <w:b/>
                <w:sz w:val="24"/>
                <w:szCs w:val="24"/>
              </w:rPr>
            </w:pPr>
          </w:p>
        </w:tc>
        <w:tc>
          <w:tcPr>
            <w:tcW w:w="1276" w:type="dxa"/>
            <w:vMerge w:val="restart"/>
            <w:noWrap/>
          </w:tcPr>
          <w:p w:rsidR="00A22B82" w:rsidRPr="00A22B82" w:rsidRDefault="00A22B82" w:rsidP="00A22B82">
            <w:pPr>
              <w:jc w:val="center"/>
              <w:rPr>
                <w:rFonts w:eastAsia="Calibri" w:cs="Times New Roman"/>
                <w:b/>
                <w:bCs/>
                <w:sz w:val="24"/>
                <w:szCs w:val="24"/>
              </w:rPr>
            </w:pPr>
            <w:r w:rsidRPr="00A22B82">
              <w:rPr>
                <w:rFonts w:eastAsia="Calibri" w:cs="Times New Roman"/>
                <w:b/>
                <w:bCs/>
                <w:sz w:val="24"/>
                <w:szCs w:val="24"/>
              </w:rPr>
              <w:t xml:space="preserve">   649 266 </w:t>
            </w:r>
          </w:p>
          <w:p w:rsidR="00A22B82" w:rsidRPr="00A22B82" w:rsidRDefault="00A22B82" w:rsidP="00A22B82">
            <w:pPr>
              <w:spacing w:after="0"/>
              <w:jc w:val="center"/>
              <w:rPr>
                <w:rFonts w:eastAsia="Calibri" w:cs="Times New Roman"/>
                <w:b/>
                <w:sz w:val="24"/>
                <w:szCs w:val="24"/>
              </w:rPr>
            </w:pPr>
          </w:p>
        </w:tc>
      </w:tr>
      <w:tr w:rsidR="00A22B82" w:rsidRPr="00A22B82" w:rsidTr="00A22B82">
        <w:trPr>
          <w:trHeight w:val="401"/>
        </w:trPr>
        <w:tc>
          <w:tcPr>
            <w:tcW w:w="1560" w:type="dxa"/>
            <w:vMerge/>
          </w:tcPr>
          <w:p w:rsidR="00A22B82" w:rsidRPr="00A22B82" w:rsidRDefault="00A22B82" w:rsidP="00A22B82">
            <w:pPr>
              <w:spacing w:after="0"/>
              <w:jc w:val="center"/>
              <w:rPr>
                <w:rFonts w:eastAsia="Calibri" w:cs="Times New Roman"/>
                <w:sz w:val="24"/>
                <w:szCs w:val="24"/>
              </w:rPr>
            </w:pPr>
          </w:p>
        </w:tc>
        <w:tc>
          <w:tcPr>
            <w:tcW w:w="426" w:type="dxa"/>
            <w:vMerge/>
          </w:tcPr>
          <w:p w:rsidR="00A22B82" w:rsidRPr="00A22B82" w:rsidRDefault="00A22B82" w:rsidP="00A22B82">
            <w:pPr>
              <w:spacing w:after="0"/>
              <w:jc w:val="center"/>
              <w:rPr>
                <w:rFonts w:eastAsia="Calibri" w:cs="Times New Roman"/>
                <w:sz w:val="24"/>
                <w:szCs w:val="24"/>
              </w:rPr>
            </w:pPr>
          </w:p>
        </w:tc>
        <w:tc>
          <w:tcPr>
            <w:tcW w:w="1842" w:type="dxa"/>
            <w:vAlign w:val="center"/>
          </w:tcPr>
          <w:p w:rsidR="00A22B82" w:rsidRPr="00A22B82" w:rsidRDefault="00A22B82" w:rsidP="00A22B82">
            <w:pPr>
              <w:spacing w:after="0"/>
              <w:rPr>
                <w:rFonts w:eastAsia="Calibri" w:cs="Times New Roman"/>
                <w:sz w:val="24"/>
                <w:szCs w:val="24"/>
              </w:rPr>
            </w:pPr>
            <w:r w:rsidRPr="00A22B82">
              <w:rPr>
                <w:rFonts w:eastAsia="Calibri" w:cs="Times New Roman"/>
                <w:sz w:val="24"/>
                <w:szCs w:val="24"/>
              </w:rPr>
              <w:t>Salu tilts pār Mazo Daugavu</w:t>
            </w:r>
          </w:p>
        </w:tc>
        <w:tc>
          <w:tcPr>
            <w:tcW w:w="1843" w:type="dxa"/>
            <w:vMerge/>
          </w:tcPr>
          <w:p w:rsidR="00A22B82" w:rsidRPr="00A22B82" w:rsidRDefault="00A22B82" w:rsidP="00A22B82">
            <w:pPr>
              <w:spacing w:after="0"/>
              <w:rPr>
                <w:rFonts w:eastAsia="Calibri" w:cs="Times New Roman"/>
                <w:sz w:val="24"/>
                <w:szCs w:val="24"/>
              </w:rPr>
            </w:pPr>
          </w:p>
        </w:tc>
        <w:tc>
          <w:tcPr>
            <w:tcW w:w="1418" w:type="dxa"/>
            <w:vMerge/>
            <w:noWrap/>
            <w:vAlign w:val="center"/>
          </w:tcPr>
          <w:p w:rsidR="00A22B82" w:rsidRPr="00A22B82" w:rsidRDefault="00A22B82" w:rsidP="00A22B82">
            <w:pPr>
              <w:spacing w:after="0"/>
              <w:rPr>
                <w:rFonts w:eastAsia="Calibri" w:cs="Times New Roman"/>
                <w:sz w:val="24"/>
                <w:szCs w:val="24"/>
              </w:rPr>
            </w:pPr>
          </w:p>
        </w:tc>
        <w:tc>
          <w:tcPr>
            <w:tcW w:w="1417" w:type="dxa"/>
            <w:vMerge/>
            <w:noWrap/>
          </w:tcPr>
          <w:p w:rsidR="00A22B82" w:rsidRPr="00A22B82" w:rsidRDefault="00A22B82" w:rsidP="00A22B82">
            <w:pPr>
              <w:spacing w:after="0"/>
              <w:jc w:val="center"/>
              <w:rPr>
                <w:rFonts w:eastAsia="Calibri" w:cs="Times New Roman"/>
                <w:sz w:val="24"/>
                <w:szCs w:val="24"/>
              </w:rPr>
            </w:pPr>
          </w:p>
        </w:tc>
        <w:tc>
          <w:tcPr>
            <w:tcW w:w="1276" w:type="dxa"/>
            <w:vMerge/>
            <w:noWrap/>
          </w:tcPr>
          <w:p w:rsidR="00A22B82" w:rsidRPr="00A22B82" w:rsidRDefault="00A22B82" w:rsidP="00A22B82">
            <w:pPr>
              <w:spacing w:after="0"/>
              <w:jc w:val="center"/>
              <w:rPr>
                <w:rFonts w:eastAsia="Calibri" w:cs="Times New Roman"/>
                <w:sz w:val="24"/>
                <w:szCs w:val="24"/>
              </w:rPr>
            </w:pPr>
          </w:p>
        </w:tc>
      </w:tr>
      <w:tr w:rsidR="00A22B82" w:rsidRPr="00A22B82" w:rsidTr="00A22B82">
        <w:trPr>
          <w:trHeight w:val="346"/>
        </w:trPr>
        <w:tc>
          <w:tcPr>
            <w:tcW w:w="1560" w:type="dxa"/>
            <w:vMerge/>
          </w:tcPr>
          <w:p w:rsidR="00A22B82" w:rsidRPr="00A22B82" w:rsidRDefault="00A22B82" w:rsidP="00A22B82">
            <w:pPr>
              <w:spacing w:after="0"/>
              <w:jc w:val="center"/>
              <w:rPr>
                <w:rFonts w:eastAsia="Calibri" w:cs="Times New Roman"/>
                <w:sz w:val="24"/>
                <w:szCs w:val="24"/>
              </w:rPr>
            </w:pPr>
          </w:p>
        </w:tc>
        <w:tc>
          <w:tcPr>
            <w:tcW w:w="426" w:type="dxa"/>
            <w:vMerge/>
          </w:tcPr>
          <w:p w:rsidR="00A22B82" w:rsidRPr="00A22B82" w:rsidRDefault="00A22B82" w:rsidP="00A22B82">
            <w:pPr>
              <w:spacing w:after="0"/>
              <w:jc w:val="center"/>
              <w:rPr>
                <w:rFonts w:eastAsia="Calibri" w:cs="Times New Roman"/>
                <w:sz w:val="24"/>
                <w:szCs w:val="24"/>
              </w:rPr>
            </w:pPr>
          </w:p>
        </w:tc>
        <w:tc>
          <w:tcPr>
            <w:tcW w:w="1842" w:type="dxa"/>
            <w:vAlign w:val="center"/>
          </w:tcPr>
          <w:p w:rsidR="00A22B82" w:rsidRPr="00A22B82" w:rsidRDefault="00A22B82" w:rsidP="00A22B82">
            <w:pPr>
              <w:spacing w:after="0"/>
              <w:rPr>
                <w:rFonts w:eastAsia="Calibri" w:cs="Times New Roman"/>
                <w:sz w:val="24"/>
                <w:szCs w:val="24"/>
              </w:rPr>
            </w:pPr>
            <w:r w:rsidRPr="00A22B82">
              <w:rPr>
                <w:rFonts w:eastAsia="Calibri" w:cs="Times New Roman"/>
                <w:sz w:val="24"/>
                <w:szCs w:val="24"/>
              </w:rPr>
              <w:t>Zaķusalas uzbērums</w:t>
            </w:r>
          </w:p>
        </w:tc>
        <w:tc>
          <w:tcPr>
            <w:tcW w:w="1843" w:type="dxa"/>
            <w:vMerge/>
          </w:tcPr>
          <w:p w:rsidR="00A22B82" w:rsidRPr="00A22B82" w:rsidRDefault="00A22B82" w:rsidP="00A22B82">
            <w:pPr>
              <w:spacing w:after="0"/>
              <w:rPr>
                <w:rFonts w:eastAsia="Calibri" w:cs="Times New Roman"/>
                <w:sz w:val="24"/>
                <w:szCs w:val="24"/>
              </w:rPr>
            </w:pPr>
          </w:p>
        </w:tc>
        <w:tc>
          <w:tcPr>
            <w:tcW w:w="1418" w:type="dxa"/>
            <w:vMerge/>
            <w:noWrap/>
            <w:vAlign w:val="center"/>
          </w:tcPr>
          <w:p w:rsidR="00A22B82" w:rsidRPr="00A22B82" w:rsidRDefault="00A22B82" w:rsidP="00A22B82">
            <w:pPr>
              <w:spacing w:after="0"/>
              <w:rPr>
                <w:rFonts w:eastAsia="Calibri" w:cs="Times New Roman"/>
                <w:sz w:val="24"/>
                <w:szCs w:val="24"/>
              </w:rPr>
            </w:pPr>
          </w:p>
        </w:tc>
        <w:tc>
          <w:tcPr>
            <w:tcW w:w="1417" w:type="dxa"/>
            <w:vMerge/>
            <w:noWrap/>
          </w:tcPr>
          <w:p w:rsidR="00A22B82" w:rsidRPr="00A22B82" w:rsidRDefault="00A22B82" w:rsidP="00A22B82">
            <w:pPr>
              <w:spacing w:after="0"/>
              <w:jc w:val="center"/>
              <w:rPr>
                <w:rFonts w:eastAsia="Calibri" w:cs="Times New Roman"/>
                <w:sz w:val="24"/>
                <w:szCs w:val="24"/>
              </w:rPr>
            </w:pPr>
          </w:p>
        </w:tc>
        <w:tc>
          <w:tcPr>
            <w:tcW w:w="1276" w:type="dxa"/>
            <w:vMerge/>
            <w:noWrap/>
          </w:tcPr>
          <w:p w:rsidR="00A22B82" w:rsidRPr="00A22B82" w:rsidRDefault="00A22B82" w:rsidP="00A22B82">
            <w:pPr>
              <w:spacing w:after="0"/>
              <w:jc w:val="center"/>
              <w:rPr>
                <w:rFonts w:eastAsia="Calibri" w:cs="Times New Roman"/>
                <w:sz w:val="24"/>
                <w:szCs w:val="24"/>
              </w:rPr>
            </w:pPr>
          </w:p>
        </w:tc>
      </w:tr>
      <w:tr w:rsidR="00D17C73" w:rsidRPr="00A22B82" w:rsidTr="00D17C73">
        <w:trPr>
          <w:cantSplit/>
          <w:trHeight w:val="586"/>
        </w:trPr>
        <w:tc>
          <w:tcPr>
            <w:tcW w:w="1560" w:type="dxa"/>
            <w:vMerge/>
            <w:textDirection w:val="btLr"/>
          </w:tcPr>
          <w:p w:rsidR="00D17C73" w:rsidRPr="00A22B82" w:rsidRDefault="00D17C73" w:rsidP="00A22B82">
            <w:pPr>
              <w:spacing w:after="0"/>
              <w:ind w:left="113" w:right="113"/>
              <w:jc w:val="right"/>
              <w:rPr>
                <w:rFonts w:eastAsia="Calibri" w:cs="Times New Roman"/>
                <w:sz w:val="24"/>
                <w:szCs w:val="24"/>
              </w:rPr>
            </w:pPr>
          </w:p>
        </w:tc>
        <w:tc>
          <w:tcPr>
            <w:tcW w:w="426" w:type="dxa"/>
            <w:vMerge w:val="restart"/>
            <w:textDirection w:val="btLr"/>
          </w:tcPr>
          <w:p w:rsidR="00D17C73" w:rsidRPr="00A22B82" w:rsidRDefault="00D17C73" w:rsidP="00A22B82">
            <w:pPr>
              <w:spacing w:after="0"/>
              <w:ind w:left="113" w:right="113"/>
              <w:jc w:val="right"/>
              <w:rPr>
                <w:rFonts w:eastAsia="Calibri" w:cs="Times New Roman"/>
                <w:sz w:val="24"/>
                <w:szCs w:val="24"/>
              </w:rPr>
            </w:pPr>
            <w:r w:rsidRPr="00A22B82">
              <w:rPr>
                <w:rFonts w:eastAsia="Calibri" w:cs="Times New Roman"/>
                <w:sz w:val="24"/>
                <w:szCs w:val="24"/>
              </w:rPr>
              <w:t>2.kārta</w:t>
            </w:r>
          </w:p>
        </w:tc>
        <w:tc>
          <w:tcPr>
            <w:tcW w:w="1842" w:type="dxa"/>
            <w:vAlign w:val="center"/>
          </w:tcPr>
          <w:p w:rsidR="00D17C73" w:rsidRPr="00A22B82" w:rsidRDefault="00D17C73" w:rsidP="00A22B82">
            <w:pPr>
              <w:spacing w:after="0"/>
              <w:rPr>
                <w:rFonts w:eastAsia="Calibri" w:cs="Times New Roman"/>
                <w:color w:val="000000"/>
                <w:sz w:val="24"/>
                <w:szCs w:val="24"/>
              </w:rPr>
            </w:pPr>
            <w:r w:rsidRPr="00A22B82">
              <w:rPr>
                <w:rFonts w:eastAsia="Calibri" w:cs="Times New Roman"/>
                <w:color w:val="000000"/>
                <w:sz w:val="24"/>
                <w:szCs w:val="24"/>
              </w:rPr>
              <w:t>Satiksmes pārvads pār Krasta ielu</w:t>
            </w:r>
          </w:p>
        </w:tc>
        <w:tc>
          <w:tcPr>
            <w:tcW w:w="1843" w:type="dxa"/>
            <w:vMerge w:val="restart"/>
          </w:tcPr>
          <w:p w:rsidR="00D17C73" w:rsidRPr="00A22B82" w:rsidRDefault="00D17C73" w:rsidP="00A22B82">
            <w:pPr>
              <w:spacing w:after="0"/>
              <w:jc w:val="center"/>
              <w:rPr>
                <w:rFonts w:eastAsia="Calibri" w:cs="Times New Roman"/>
                <w:sz w:val="24"/>
                <w:szCs w:val="24"/>
              </w:rPr>
            </w:pPr>
            <w:r w:rsidRPr="00A22B82">
              <w:rPr>
                <w:rFonts w:eastAsia="Calibri" w:cs="Times New Roman"/>
                <w:sz w:val="24"/>
                <w:szCs w:val="24"/>
              </w:rPr>
              <w:t>Projektēšana</w:t>
            </w:r>
          </w:p>
        </w:tc>
        <w:tc>
          <w:tcPr>
            <w:tcW w:w="1418" w:type="dxa"/>
            <w:vMerge w:val="restart"/>
            <w:noWrap/>
          </w:tcPr>
          <w:p w:rsidR="00D17C73" w:rsidRPr="00D17C73" w:rsidRDefault="00D17C73" w:rsidP="00D17C73">
            <w:pPr>
              <w:spacing w:after="0"/>
              <w:jc w:val="center"/>
              <w:rPr>
                <w:rFonts w:eastAsia="Calibri" w:cs="Times New Roman"/>
                <w:b/>
                <w:sz w:val="24"/>
                <w:szCs w:val="24"/>
              </w:rPr>
            </w:pPr>
            <w:r w:rsidRPr="00D17C73">
              <w:rPr>
                <w:rFonts w:eastAsia="Calibri" w:cs="Times New Roman"/>
                <w:b/>
                <w:sz w:val="24"/>
                <w:szCs w:val="24"/>
              </w:rPr>
              <w:t>0</w:t>
            </w:r>
          </w:p>
        </w:tc>
        <w:tc>
          <w:tcPr>
            <w:tcW w:w="1417" w:type="dxa"/>
            <w:vMerge w:val="restart"/>
            <w:noWrap/>
          </w:tcPr>
          <w:p w:rsidR="00D17C73" w:rsidRPr="00A22B82" w:rsidRDefault="00D17C73" w:rsidP="00A22B82">
            <w:pPr>
              <w:spacing w:after="0"/>
              <w:jc w:val="center"/>
              <w:rPr>
                <w:rFonts w:eastAsia="Calibri" w:cs="Times New Roman"/>
                <w:b/>
                <w:sz w:val="24"/>
                <w:szCs w:val="24"/>
              </w:rPr>
            </w:pPr>
            <w:r w:rsidRPr="00A22B82">
              <w:rPr>
                <w:rFonts w:eastAsia="Calibri" w:cs="Times New Roman"/>
                <w:b/>
                <w:sz w:val="24"/>
                <w:szCs w:val="24"/>
              </w:rPr>
              <w:t>115 762</w:t>
            </w:r>
          </w:p>
        </w:tc>
        <w:tc>
          <w:tcPr>
            <w:tcW w:w="1276" w:type="dxa"/>
            <w:vMerge w:val="restart"/>
            <w:noWrap/>
          </w:tcPr>
          <w:p w:rsidR="00D17C73" w:rsidRPr="00A22B82" w:rsidRDefault="00D17C73" w:rsidP="00A22B82">
            <w:pPr>
              <w:spacing w:after="0"/>
              <w:jc w:val="center"/>
              <w:rPr>
                <w:rFonts w:eastAsia="Calibri" w:cs="Times New Roman"/>
                <w:b/>
                <w:sz w:val="24"/>
                <w:szCs w:val="24"/>
              </w:rPr>
            </w:pPr>
            <w:r w:rsidRPr="00A22B82">
              <w:rPr>
                <w:rFonts w:eastAsia="Calibri" w:cs="Times New Roman"/>
                <w:b/>
                <w:sz w:val="24"/>
                <w:szCs w:val="24"/>
              </w:rPr>
              <w:t>463 048</w:t>
            </w:r>
          </w:p>
        </w:tc>
      </w:tr>
      <w:tr w:rsidR="00D17C73" w:rsidRPr="00A22B82" w:rsidTr="00D17C73">
        <w:trPr>
          <w:cantSplit/>
          <w:trHeight w:val="576"/>
        </w:trPr>
        <w:tc>
          <w:tcPr>
            <w:tcW w:w="1560" w:type="dxa"/>
            <w:vMerge/>
            <w:textDirection w:val="btLr"/>
          </w:tcPr>
          <w:p w:rsidR="00D17C73" w:rsidRPr="00A22B82" w:rsidRDefault="00D17C73" w:rsidP="00A22B82">
            <w:pPr>
              <w:spacing w:after="0"/>
              <w:ind w:left="113" w:right="113"/>
              <w:rPr>
                <w:rFonts w:eastAsia="Calibri" w:cs="Times New Roman"/>
                <w:sz w:val="24"/>
                <w:szCs w:val="24"/>
              </w:rPr>
            </w:pPr>
          </w:p>
        </w:tc>
        <w:tc>
          <w:tcPr>
            <w:tcW w:w="426" w:type="dxa"/>
            <w:vMerge/>
            <w:textDirection w:val="btLr"/>
          </w:tcPr>
          <w:p w:rsidR="00D17C73" w:rsidRPr="00A22B82" w:rsidRDefault="00D17C73" w:rsidP="00A22B82">
            <w:pPr>
              <w:spacing w:after="0"/>
              <w:ind w:left="113" w:right="113"/>
              <w:rPr>
                <w:rFonts w:eastAsia="Calibri" w:cs="Times New Roman"/>
                <w:sz w:val="24"/>
                <w:szCs w:val="24"/>
              </w:rPr>
            </w:pPr>
          </w:p>
        </w:tc>
        <w:tc>
          <w:tcPr>
            <w:tcW w:w="1842" w:type="dxa"/>
            <w:vAlign w:val="center"/>
          </w:tcPr>
          <w:p w:rsidR="00D17C73" w:rsidRPr="00A22B82" w:rsidRDefault="00D17C73" w:rsidP="00A22B82">
            <w:pPr>
              <w:spacing w:after="0"/>
              <w:rPr>
                <w:rFonts w:eastAsia="Calibri" w:cs="Times New Roman"/>
                <w:color w:val="000000"/>
                <w:sz w:val="24"/>
                <w:szCs w:val="24"/>
              </w:rPr>
            </w:pPr>
            <w:r w:rsidRPr="00A22B82">
              <w:rPr>
                <w:rFonts w:eastAsia="Calibri" w:cs="Times New Roman"/>
                <w:color w:val="000000"/>
                <w:sz w:val="24"/>
                <w:szCs w:val="24"/>
              </w:rPr>
              <w:t xml:space="preserve">Satiksmes pārvads </w:t>
            </w:r>
            <w:proofErr w:type="spellStart"/>
            <w:r w:rsidRPr="00A22B82">
              <w:rPr>
                <w:rFonts w:eastAsia="Calibri" w:cs="Times New Roman"/>
                <w:color w:val="000000"/>
                <w:sz w:val="24"/>
                <w:szCs w:val="24"/>
              </w:rPr>
              <w:t>Lucavsalā</w:t>
            </w:r>
            <w:proofErr w:type="spellEnd"/>
          </w:p>
        </w:tc>
        <w:tc>
          <w:tcPr>
            <w:tcW w:w="1843" w:type="dxa"/>
            <w:vMerge/>
          </w:tcPr>
          <w:p w:rsidR="00D17C73" w:rsidRPr="00A22B82" w:rsidRDefault="00D17C73" w:rsidP="00A22B82">
            <w:pPr>
              <w:spacing w:after="0"/>
              <w:rPr>
                <w:rFonts w:eastAsia="Calibri" w:cs="Times New Roman"/>
                <w:sz w:val="24"/>
                <w:szCs w:val="24"/>
              </w:rPr>
            </w:pPr>
          </w:p>
        </w:tc>
        <w:tc>
          <w:tcPr>
            <w:tcW w:w="1418" w:type="dxa"/>
            <w:vMerge/>
            <w:noWrap/>
            <w:vAlign w:val="center"/>
          </w:tcPr>
          <w:p w:rsidR="00D17C73" w:rsidRPr="00A22B82" w:rsidRDefault="00D17C73" w:rsidP="00A22B82">
            <w:pPr>
              <w:spacing w:after="0"/>
              <w:rPr>
                <w:rFonts w:eastAsia="Calibri" w:cs="Times New Roman"/>
                <w:sz w:val="24"/>
                <w:szCs w:val="24"/>
              </w:rPr>
            </w:pPr>
          </w:p>
        </w:tc>
        <w:tc>
          <w:tcPr>
            <w:tcW w:w="1417" w:type="dxa"/>
            <w:vMerge/>
            <w:noWrap/>
          </w:tcPr>
          <w:p w:rsidR="00D17C73" w:rsidRPr="00A22B82" w:rsidRDefault="00D17C73" w:rsidP="00A22B82">
            <w:pPr>
              <w:spacing w:after="0"/>
              <w:jc w:val="center"/>
              <w:rPr>
                <w:rFonts w:eastAsia="Calibri" w:cs="Times New Roman"/>
                <w:sz w:val="24"/>
                <w:szCs w:val="24"/>
              </w:rPr>
            </w:pPr>
          </w:p>
        </w:tc>
        <w:tc>
          <w:tcPr>
            <w:tcW w:w="1276" w:type="dxa"/>
            <w:vMerge/>
            <w:noWrap/>
          </w:tcPr>
          <w:p w:rsidR="00D17C73" w:rsidRPr="00A22B82" w:rsidRDefault="00D17C73" w:rsidP="00A22B82">
            <w:pPr>
              <w:spacing w:after="0"/>
              <w:jc w:val="center"/>
              <w:rPr>
                <w:rFonts w:eastAsia="Calibri" w:cs="Times New Roman"/>
                <w:sz w:val="24"/>
                <w:szCs w:val="24"/>
              </w:rPr>
            </w:pPr>
          </w:p>
        </w:tc>
      </w:tr>
      <w:tr w:rsidR="00D17C73" w:rsidRPr="00A22B82" w:rsidTr="00D17C73">
        <w:trPr>
          <w:cantSplit/>
          <w:trHeight w:val="567"/>
        </w:trPr>
        <w:tc>
          <w:tcPr>
            <w:tcW w:w="1560" w:type="dxa"/>
            <w:vMerge/>
            <w:textDirection w:val="btLr"/>
          </w:tcPr>
          <w:p w:rsidR="00D17C73" w:rsidRPr="00A22B82" w:rsidRDefault="00D17C73" w:rsidP="00A22B82">
            <w:pPr>
              <w:spacing w:after="0"/>
              <w:ind w:left="113" w:right="113"/>
              <w:rPr>
                <w:rFonts w:eastAsia="Calibri" w:cs="Times New Roman"/>
                <w:sz w:val="24"/>
                <w:szCs w:val="24"/>
              </w:rPr>
            </w:pPr>
          </w:p>
        </w:tc>
        <w:tc>
          <w:tcPr>
            <w:tcW w:w="426" w:type="dxa"/>
            <w:vMerge/>
            <w:textDirection w:val="btLr"/>
          </w:tcPr>
          <w:p w:rsidR="00D17C73" w:rsidRPr="00A22B82" w:rsidRDefault="00D17C73" w:rsidP="00A22B82">
            <w:pPr>
              <w:spacing w:after="0"/>
              <w:ind w:left="113" w:right="113"/>
              <w:rPr>
                <w:rFonts w:eastAsia="Calibri" w:cs="Times New Roman"/>
                <w:sz w:val="24"/>
                <w:szCs w:val="24"/>
              </w:rPr>
            </w:pPr>
          </w:p>
        </w:tc>
        <w:tc>
          <w:tcPr>
            <w:tcW w:w="1842" w:type="dxa"/>
            <w:vAlign w:val="center"/>
          </w:tcPr>
          <w:p w:rsidR="00D17C73" w:rsidRPr="00A22B82" w:rsidRDefault="00D17C73" w:rsidP="00A22B82">
            <w:pPr>
              <w:spacing w:after="0"/>
              <w:rPr>
                <w:rFonts w:eastAsia="Calibri" w:cs="Times New Roman"/>
                <w:color w:val="000000"/>
                <w:sz w:val="24"/>
                <w:szCs w:val="24"/>
              </w:rPr>
            </w:pPr>
            <w:r w:rsidRPr="00A22B82">
              <w:rPr>
                <w:rFonts w:eastAsia="Calibri" w:cs="Times New Roman"/>
                <w:color w:val="000000"/>
                <w:sz w:val="24"/>
                <w:szCs w:val="24"/>
              </w:rPr>
              <w:t xml:space="preserve">Tilti pār </w:t>
            </w:r>
            <w:proofErr w:type="spellStart"/>
            <w:r w:rsidRPr="00A22B82">
              <w:rPr>
                <w:rFonts w:eastAsia="Calibri" w:cs="Times New Roman"/>
                <w:color w:val="000000"/>
                <w:sz w:val="24"/>
                <w:szCs w:val="24"/>
              </w:rPr>
              <w:t>Bieķēngrāvi</w:t>
            </w:r>
            <w:proofErr w:type="spellEnd"/>
            <w:r w:rsidRPr="00A22B82">
              <w:rPr>
                <w:rFonts w:eastAsia="Calibri" w:cs="Times New Roman"/>
                <w:color w:val="000000"/>
                <w:sz w:val="24"/>
                <w:szCs w:val="24"/>
              </w:rPr>
              <w:t xml:space="preserve"> (lejteces un augšteces pusē)</w:t>
            </w:r>
          </w:p>
        </w:tc>
        <w:tc>
          <w:tcPr>
            <w:tcW w:w="1843" w:type="dxa"/>
            <w:vMerge/>
          </w:tcPr>
          <w:p w:rsidR="00D17C73" w:rsidRPr="00A22B82" w:rsidRDefault="00D17C73" w:rsidP="00A22B82">
            <w:pPr>
              <w:spacing w:after="0"/>
              <w:rPr>
                <w:rFonts w:eastAsia="Calibri" w:cs="Times New Roman"/>
                <w:sz w:val="24"/>
                <w:szCs w:val="24"/>
              </w:rPr>
            </w:pPr>
          </w:p>
        </w:tc>
        <w:tc>
          <w:tcPr>
            <w:tcW w:w="1418" w:type="dxa"/>
            <w:vMerge/>
            <w:noWrap/>
            <w:vAlign w:val="center"/>
          </w:tcPr>
          <w:p w:rsidR="00D17C73" w:rsidRPr="00A22B82" w:rsidRDefault="00D17C73" w:rsidP="00A22B82">
            <w:pPr>
              <w:spacing w:after="0"/>
              <w:rPr>
                <w:rFonts w:eastAsia="Calibri" w:cs="Times New Roman"/>
                <w:sz w:val="24"/>
                <w:szCs w:val="24"/>
              </w:rPr>
            </w:pPr>
          </w:p>
        </w:tc>
        <w:tc>
          <w:tcPr>
            <w:tcW w:w="1417" w:type="dxa"/>
            <w:vMerge/>
            <w:noWrap/>
          </w:tcPr>
          <w:p w:rsidR="00D17C73" w:rsidRPr="00A22B82" w:rsidRDefault="00D17C73" w:rsidP="00A22B82">
            <w:pPr>
              <w:spacing w:after="0"/>
              <w:jc w:val="center"/>
              <w:rPr>
                <w:rFonts w:eastAsia="Calibri" w:cs="Times New Roman"/>
                <w:sz w:val="24"/>
                <w:szCs w:val="24"/>
              </w:rPr>
            </w:pPr>
          </w:p>
        </w:tc>
        <w:tc>
          <w:tcPr>
            <w:tcW w:w="1276" w:type="dxa"/>
            <w:vMerge/>
            <w:noWrap/>
          </w:tcPr>
          <w:p w:rsidR="00D17C73" w:rsidRPr="00A22B82" w:rsidRDefault="00D17C73" w:rsidP="00A22B82">
            <w:pPr>
              <w:spacing w:after="0"/>
              <w:jc w:val="center"/>
              <w:rPr>
                <w:rFonts w:eastAsia="Calibri" w:cs="Times New Roman"/>
                <w:sz w:val="24"/>
                <w:szCs w:val="24"/>
              </w:rPr>
            </w:pPr>
          </w:p>
        </w:tc>
      </w:tr>
      <w:tr w:rsidR="00D17C73" w:rsidRPr="00A22B82" w:rsidTr="00D17C73">
        <w:trPr>
          <w:cantSplit/>
          <w:trHeight w:val="826"/>
        </w:trPr>
        <w:tc>
          <w:tcPr>
            <w:tcW w:w="1560" w:type="dxa"/>
            <w:vMerge/>
            <w:textDirection w:val="btLr"/>
          </w:tcPr>
          <w:p w:rsidR="00D17C73" w:rsidRPr="00A22B82" w:rsidRDefault="00D17C73" w:rsidP="00A22B82">
            <w:pPr>
              <w:spacing w:after="0"/>
              <w:ind w:left="113" w:right="113"/>
              <w:rPr>
                <w:rFonts w:eastAsia="Calibri" w:cs="Times New Roman"/>
                <w:sz w:val="24"/>
                <w:szCs w:val="24"/>
              </w:rPr>
            </w:pPr>
          </w:p>
        </w:tc>
        <w:tc>
          <w:tcPr>
            <w:tcW w:w="426" w:type="dxa"/>
            <w:vMerge/>
            <w:textDirection w:val="btLr"/>
          </w:tcPr>
          <w:p w:rsidR="00D17C73" w:rsidRPr="00A22B82" w:rsidRDefault="00D17C73" w:rsidP="00A22B82">
            <w:pPr>
              <w:spacing w:after="0"/>
              <w:ind w:left="113" w:right="113"/>
              <w:rPr>
                <w:rFonts w:eastAsia="Calibri" w:cs="Times New Roman"/>
                <w:sz w:val="24"/>
                <w:szCs w:val="24"/>
              </w:rPr>
            </w:pPr>
          </w:p>
        </w:tc>
        <w:tc>
          <w:tcPr>
            <w:tcW w:w="1842" w:type="dxa"/>
          </w:tcPr>
          <w:p w:rsidR="00D17C73" w:rsidRPr="00A22B82" w:rsidRDefault="00D17C73" w:rsidP="00A22B82">
            <w:pPr>
              <w:spacing w:after="0"/>
              <w:rPr>
                <w:rFonts w:eastAsia="Calibri" w:cs="Times New Roman"/>
                <w:color w:val="000000"/>
                <w:sz w:val="24"/>
                <w:szCs w:val="24"/>
              </w:rPr>
            </w:pPr>
            <w:r w:rsidRPr="00A22B82">
              <w:rPr>
                <w:rFonts w:eastAsia="Calibri" w:cs="Times New Roman"/>
                <w:color w:val="000000"/>
                <w:sz w:val="24"/>
                <w:szCs w:val="24"/>
              </w:rPr>
              <w:t xml:space="preserve">Estakāde pār </w:t>
            </w:r>
            <w:proofErr w:type="spellStart"/>
            <w:r w:rsidRPr="00A22B82">
              <w:rPr>
                <w:rFonts w:eastAsia="Calibri" w:cs="Times New Roman"/>
                <w:color w:val="000000"/>
                <w:sz w:val="24"/>
                <w:szCs w:val="24"/>
              </w:rPr>
              <w:t>Bieķēngrāvi</w:t>
            </w:r>
            <w:proofErr w:type="spellEnd"/>
            <w:r w:rsidRPr="00A22B82">
              <w:rPr>
                <w:rFonts w:eastAsia="Calibri" w:cs="Times New Roman"/>
                <w:color w:val="000000"/>
                <w:sz w:val="24"/>
                <w:szCs w:val="24"/>
              </w:rPr>
              <w:t xml:space="preserve"> K.Ulmaņa gatvē</w:t>
            </w:r>
          </w:p>
        </w:tc>
        <w:tc>
          <w:tcPr>
            <w:tcW w:w="1843" w:type="dxa"/>
            <w:vMerge/>
          </w:tcPr>
          <w:p w:rsidR="00D17C73" w:rsidRPr="00A22B82" w:rsidRDefault="00D17C73" w:rsidP="00A22B82">
            <w:pPr>
              <w:spacing w:after="0"/>
              <w:rPr>
                <w:rFonts w:eastAsia="Calibri" w:cs="Times New Roman"/>
                <w:sz w:val="24"/>
                <w:szCs w:val="24"/>
              </w:rPr>
            </w:pPr>
          </w:p>
        </w:tc>
        <w:tc>
          <w:tcPr>
            <w:tcW w:w="1418" w:type="dxa"/>
            <w:vMerge/>
            <w:noWrap/>
            <w:vAlign w:val="center"/>
          </w:tcPr>
          <w:p w:rsidR="00D17C73" w:rsidRPr="00A22B82" w:rsidRDefault="00D17C73" w:rsidP="00A22B82">
            <w:pPr>
              <w:spacing w:after="0"/>
              <w:rPr>
                <w:rFonts w:eastAsia="Calibri" w:cs="Times New Roman"/>
                <w:sz w:val="24"/>
                <w:szCs w:val="24"/>
              </w:rPr>
            </w:pPr>
          </w:p>
        </w:tc>
        <w:tc>
          <w:tcPr>
            <w:tcW w:w="1417" w:type="dxa"/>
            <w:vMerge/>
            <w:noWrap/>
          </w:tcPr>
          <w:p w:rsidR="00D17C73" w:rsidRPr="00A22B82" w:rsidRDefault="00D17C73" w:rsidP="00A22B82">
            <w:pPr>
              <w:spacing w:after="0"/>
              <w:jc w:val="center"/>
              <w:rPr>
                <w:rFonts w:eastAsia="Calibri" w:cs="Times New Roman"/>
                <w:sz w:val="24"/>
                <w:szCs w:val="24"/>
              </w:rPr>
            </w:pPr>
          </w:p>
        </w:tc>
        <w:tc>
          <w:tcPr>
            <w:tcW w:w="1276" w:type="dxa"/>
            <w:vMerge/>
            <w:noWrap/>
          </w:tcPr>
          <w:p w:rsidR="00D17C73" w:rsidRPr="00A22B82" w:rsidRDefault="00D17C73" w:rsidP="00A22B82">
            <w:pPr>
              <w:spacing w:after="0"/>
              <w:jc w:val="center"/>
              <w:rPr>
                <w:rFonts w:eastAsia="Calibri" w:cs="Times New Roman"/>
                <w:sz w:val="24"/>
                <w:szCs w:val="24"/>
              </w:rPr>
            </w:pPr>
          </w:p>
        </w:tc>
      </w:tr>
    </w:tbl>
    <w:p w:rsidR="002871C8" w:rsidRPr="00A22B82" w:rsidRDefault="002871C8" w:rsidP="002871C8">
      <w:pPr>
        <w:spacing w:after="0"/>
        <w:rPr>
          <w:rFonts w:cs="Times New Roman"/>
          <w:sz w:val="24"/>
          <w:szCs w:val="24"/>
        </w:rPr>
      </w:pPr>
    </w:p>
    <w:p w:rsidR="002871C8" w:rsidRDefault="002871C8" w:rsidP="002871C8">
      <w:pPr>
        <w:spacing w:after="0"/>
      </w:pPr>
    </w:p>
    <w:p w:rsidR="002871C8" w:rsidRDefault="002871C8" w:rsidP="002871C8">
      <w:pPr>
        <w:spacing w:after="0"/>
      </w:pPr>
      <w:r>
        <w:t>Satiksmes ministrs</w:t>
      </w:r>
      <w:r>
        <w:tab/>
      </w:r>
      <w:r>
        <w:tab/>
      </w:r>
      <w:r>
        <w:tab/>
      </w:r>
      <w:r>
        <w:tab/>
      </w:r>
      <w:r>
        <w:tab/>
      </w:r>
      <w:r>
        <w:tab/>
      </w:r>
      <w:r>
        <w:tab/>
      </w:r>
      <w:r>
        <w:tab/>
        <w:t>A.Matīss</w:t>
      </w:r>
    </w:p>
    <w:p w:rsidR="002871C8" w:rsidRDefault="002871C8" w:rsidP="002871C8">
      <w:pPr>
        <w:spacing w:after="0"/>
      </w:pPr>
    </w:p>
    <w:p w:rsidR="002871C8" w:rsidRDefault="002871C8" w:rsidP="002871C8">
      <w:pPr>
        <w:spacing w:after="0"/>
        <w:jc w:val="center"/>
      </w:pPr>
    </w:p>
    <w:p w:rsidR="002871C8" w:rsidRDefault="002871C8" w:rsidP="002871C8">
      <w:pPr>
        <w:spacing w:after="0"/>
      </w:pPr>
      <w:r>
        <w:t>Valsts sekretārs</w:t>
      </w:r>
      <w:r>
        <w:tab/>
      </w:r>
      <w:r>
        <w:tab/>
      </w:r>
      <w:r>
        <w:tab/>
      </w:r>
      <w:r>
        <w:tab/>
      </w:r>
      <w:r>
        <w:tab/>
      </w:r>
      <w:r>
        <w:tab/>
      </w:r>
      <w:r>
        <w:tab/>
      </w:r>
      <w:r>
        <w:tab/>
        <w:t>K.Ozoliņš</w:t>
      </w:r>
    </w:p>
    <w:p w:rsidR="002871C8" w:rsidRDefault="002871C8" w:rsidP="002871C8">
      <w:pPr>
        <w:spacing w:after="0"/>
      </w:pPr>
    </w:p>
    <w:p w:rsidR="002871C8" w:rsidRDefault="00A22B82" w:rsidP="002871C8">
      <w:pPr>
        <w:spacing w:after="0"/>
        <w:rPr>
          <w:sz w:val="20"/>
        </w:rPr>
      </w:pPr>
      <w:r>
        <w:rPr>
          <w:sz w:val="20"/>
        </w:rPr>
        <w:t>05.06</w:t>
      </w:r>
      <w:r w:rsidR="002871C8" w:rsidRPr="002871C8">
        <w:rPr>
          <w:sz w:val="20"/>
        </w:rPr>
        <w:t>.2014. 15:16</w:t>
      </w:r>
    </w:p>
    <w:p w:rsidR="002871C8" w:rsidRDefault="002871C8" w:rsidP="002871C8">
      <w:pPr>
        <w:spacing w:after="0"/>
        <w:rPr>
          <w:sz w:val="20"/>
        </w:rPr>
      </w:pPr>
      <w:r>
        <w:rPr>
          <w:sz w:val="20"/>
        </w:rPr>
        <w:fldChar w:fldCharType="begin"/>
      </w:r>
      <w:r>
        <w:rPr>
          <w:sz w:val="20"/>
        </w:rPr>
        <w:instrText xml:space="preserve"> NUMWORDS   \* MERGEFORMAT </w:instrText>
      </w:r>
      <w:r>
        <w:rPr>
          <w:sz w:val="20"/>
        </w:rPr>
        <w:fldChar w:fldCharType="separate"/>
      </w:r>
      <w:r w:rsidR="00D17C73">
        <w:rPr>
          <w:noProof/>
          <w:sz w:val="20"/>
        </w:rPr>
        <w:t>145</w:t>
      </w:r>
      <w:r>
        <w:rPr>
          <w:sz w:val="20"/>
        </w:rPr>
        <w:fldChar w:fldCharType="end"/>
      </w:r>
    </w:p>
    <w:p w:rsidR="002871C8" w:rsidRDefault="002871C8" w:rsidP="002871C8">
      <w:pPr>
        <w:spacing w:after="0"/>
        <w:rPr>
          <w:sz w:val="20"/>
        </w:rPr>
      </w:pPr>
    </w:p>
    <w:p w:rsidR="002871C8" w:rsidRPr="002871C8" w:rsidRDefault="002871C8" w:rsidP="002871C8">
      <w:pPr>
        <w:spacing w:after="0"/>
        <w:rPr>
          <w:sz w:val="20"/>
        </w:rPr>
      </w:pPr>
      <w:r w:rsidRPr="002871C8">
        <w:rPr>
          <w:sz w:val="20"/>
        </w:rPr>
        <w:t>O.Stoļarova</w:t>
      </w:r>
    </w:p>
    <w:p w:rsidR="002871C8" w:rsidRPr="002871C8" w:rsidRDefault="002871C8" w:rsidP="002871C8">
      <w:pPr>
        <w:spacing w:after="0"/>
        <w:rPr>
          <w:sz w:val="20"/>
        </w:rPr>
      </w:pPr>
      <w:r w:rsidRPr="002871C8">
        <w:rPr>
          <w:sz w:val="20"/>
        </w:rPr>
        <w:t>67028241, Olga.Stolarova@sam.gov.lv</w:t>
      </w:r>
    </w:p>
    <w:p w:rsidR="002871C8" w:rsidRPr="002871C8" w:rsidRDefault="002871C8" w:rsidP="002871C8">
      <w:pPr>
        <w:spacing w:after="0"/>
        <w:rPr>
          <w:sz w:val="20"/>
        </w:rPr>
      </w:pPr>
      <w:r w:rsidRPr="002871C8">
        <w:rPr>
          <w:sz w:val="20"/>
        </w:rPr>
        <w:t>A.Strods</w:t>
      </w:r>
    </w:p>
    <w:p w:rsidR="003A6967" w:rsidRPr="002871C8" w:rsidRDefault="002871C8" w:rsidP="002871C8">
      <w:pPr>
        <w:spacing w:after="0"/>
        <w:rPr>
          <w:sz w:val="20"/>
        </w:rPr>
      </w:pPr>
      <w:r w:rsidRPr="002871C8">
        <w:rPr>
          <w:sz w:val="20"/>
        </w:rPr>
        <w:t>67028038, Andis.Strods@sam.gov.lv</w:t>
      </w:r>
      <w:r w:rsidRPr="002871C8">
        <w:rPr>
          <w:sz w:val="20"/>
        </w:rPr>
        <w:tab/>
      </w:r>
    </w:p>
    <w:sectPr w:rsidR="003A6967" w:rsidRPr="002871C8" w:rsidSect="002871C8">
      <w:footerReference w:type="default" r:id="rId8"/>
      <w:pgSz w:w="11906" w:h="16838"/>
      <w:pgMar w:top="1440" w:right="1274"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82" w:rsidRDefault="00A22B82" w:rsidP="00A22B82">
      <w:pPr>
        <w:spacing w:after="0"/>
      </w:pPr>
      <w:r>
        <w:separator/>
      </w:r>
    </w:p>
  </w:endnote>
  <w:endnote w:type="continuationSeparator" w:id="0">
    <w:p w:rsidR="00A22B82" w:rsidRDefault="00A22B82" w:rsidP="00A22B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82" w:rsidRPr="00A22B82" w:rsidRDefault="00A22B82" w:rsidP="00A22B82">
    <w:pPr>
      <w:pStyle w:val="Footer"/>
      <w:jc w:val="both"/>
      <w:rPr>
        <w:sz w:val="20"/>
      </w:rPr>
    </w:pPr>
    <w:r w:rsidRPr="00A22B82">
      <w:rPr>
        <w:sz w:val="20"/>
      </w:rPr>
      <w:t>SAMZinop2_050614_ Riga_613; 1.pielikums Informatīvais ziņojums par Eiropas Savienības fondu darbības programmas „Izaugsme un nodarbinātība” 6.1.3. specifiskā atbalsta mērķa „Nodrošināt nepieciešamo infrastruktūru uz Rīgas maģistrālajiem pārvadiem un novērst maģistrālo ielu fragmentāro raksturu” 1.kārtas projekta „Salu tilta</w:t>
    </w:r>
    <w:r w:rsidR="000C5228">
      <w:rPr>
        <w:sz w:val="20"/>
      </w:rPr>
      <w:t xml:space="preserve"> kompleksa rekonstrukcija</w:t>
    </w:r>
    <w:r w:rsidRPr="00A22B82">
      <w:rPr>
        <w:sz w:val="20"/>
      </w:rPr>
      <w:t>” ieviešanu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82" w:rsidRDefault="00A22B82" w:rsidP="00A22B82">
      <w:pPr>
        <w:spacing w:after="0"/>
      </w:pPr>
      <w:r>
        <w:separator/>
      </w:r>
    </w:p>
  </w:footnote>
  <w:footnote w:type="continuationSeparator" w:id="0">
    <w:p w:rsidR="00A22B82" w:rsidRDefault="00A22B82" w:rsidP="00A22B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67"/>
    <w:rsid w:val="000C5228"/>
    <w:rsid w:val="00177649"/>
    <w:rsid w:val="002871C8"/>
    <w:rsid w:val="003A6967"/>
    <w:rsid w:val="006B4782"/>
    <w:rsid w:val="006C32F9"/>
    <w:rsid w:val="007C5F28"/>
    <w:rsid w:val="00946269"/>
    <w:rsid w:val="00A22B82"/>
    <w:rsid w:val="00D17C73"/>
    <w:rsid w:val="00FE6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9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B82"/>
    <w:pPr>
      <w:tabs>
        <w:tab w:val="center" w:pos="4153"/>
        <w:tab w:val="right" w:pos="8306"/>
      </w:tabs>
      <w:spacing w:after="0"/>
    </w:pPr>
  </w:style>
  <w:style w:type="character" w:customStyle="1" w:styleId="HeaderChar">
    <w:name w:val="Header Char"/>
    <w:basedOn w:val="DefaultParagraphFont"/>
    <w:link w:val="Header"/>
    <w:uiPriority w:val="99"/>
    <w:rsid w:val="00A22B82"/>
  </w:style>
  <w:style w:type="paragraph" w:styleId="Footer">
    <w:name w:val="footer"/>
    <w:basedOn w:val="Normal"/>
    <w:link w:val="FooterChar"/>
    <w:uiPriority w:val="99"/>
    <w:unhideWhenUsed/>
    <w:rsid w:val="00A22B82"/>
    <w:pPr>
      <w:tabs>
        <w:tab w:val="center" w:pos="4153"/>
        <w:tab w:val="right" w:pos="8306"/>
      </w:tabs>
      <w:spacing w:after="0"/>
    </w:pPr>
  </w:style>
  <w:style w:type="character" w:customStyle="1" w:styleId="FooterChar">
    <w:name w:val="Footer Char"/>
    <w:basedOn w:val="DefaultParagraphFont"/>
    <w:link w:val="Footer"/>
    <w:uiPriority w:val="99"/>
    <w:rsid w:val="00A22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9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B82"/>
    <w:pPr>
      <w:tabs>
        <w:tab w:val="center" w:pos="4153"/>
        <w:tab w:val="right" w:pos="8306"/>
      </w:tabs>
      <w:spacing w:after="0"/>
    </w:pPr>
  </w:style>
  <w:style w:type="character" w:customStyle="1" w:styleId="HeaderChar">
    <w:name w:val="Header Char"/>
    <w:basedOn w:val="DefaultParagraphFont"/>
    <w:link w:val="Header"/>
    <w:uiPriority w:val="99"/>
    <w:rsid w:val="00A22B82"/>
  </w:style>
  <w:style w:type="paragraph" w:styleId="Footer">
    <w:name w:val="footer"/>
    <w:basedOn w:val="Normal"/>
    <w:link w:val="FooterChar"/>
    <w:uiPriority w:val="99"/>
    <w:unhideWhenUsed/>
    <w:rsid w:val="00A22B82"/>
    <w:pPr>
      <w:tabs>
        <w:tab w:val="center" w:pos="4153"/>
        <w:tab w:val="right" w:pos="8306"/>
      </w:tabs>
      <w:spacing w:after="0"/>
    </w:pPr>
  </w:style>
  <w:style w:type="character" w:customStyle="1" w:styleId="FooterChar">
    <w:name w:val="Footer Char"/>
    <w:basedOn w:val="DefaultParagraphFont"/>
    <w:link w:val="Footer"/>
    <w:uiPriority w:val="99"/>
    <w:rsid w:val="00A2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1EB6-732E-4E92-9834-40836AB2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160</Words>
  <Characters>1175</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Informatīvajam ziņojumam par Eiropas Savienības fondu darbības programmas „Izaugsme un nodarbinātība” 6.1.3. specifiskā atbalsta mērķa „Nodrošināt nepieciešamo infrastruktūru uz Rīgas maģistrālajiem pārvadiem un novērst maģistrālo ielu fragmentāro raksturu” ieviešanu</dc:title>
  <dc:creator>Andis Strods</dc:creator>
  <cp:lastModifiedBy>Andis Strods</cp:lastModifiedBy>
  <cp:revision>8</cp:revision>
  <dcterms:created xsi:type="dcterms:W3CDTF">2014-04-29T11:44:00Z</dcterms:created>
  <dcterms:modified xsi:type="dcterms:W3CDTF">2014-06-06T11:24:00Z</dcterms:modified>
</cp:coreProperties>
</file>