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87D" w:rsidRPr="00FB36FE" w:rsidRDefault="002E487D" w:rsidP="009426E4">
      <w:pPr>
        <w:jc w:val="center"/>
        <w:rPr>
          <w:rFonts w:cs="Times New Roman"/>
          <w:b/>
          <w:szCs w:val="28"/>
        </w:rPr>
      </w:pPr>
      <w:r w:rsidRPr="00FB36FE">
        <w:rPr>
          <w:rFonts w:cs="Times New Roman"/>
          <w:b/>
          <w:szCs w:val="28"/>
        </w:rPr>
        <w:br/>
      </w:r>
    </w:p>
    <w:p w:rsidR="002E487D" w:rsidRPr="00FB36FE" w:rsidRDefault="002E487D" w:rsidP="002E487D">
      <w:pPr>
        <w:jc w:val="center"/>
        <w:rPr>
          <w:rFonts w:cs="Times New Roman"/>
          <w:b/>
          <w:szCs w:val="28"/>
        </w:rPr>
      </w:pPr>
    </w:p>
    <w:p w:rsidR="002E487D" w:rsidRPr="00FB36FE" w:rsidRDefault="002E487D" w:rsidP="002E487D">
      <w:pPr>
        <w:jc w:val="center"/>
        <w:rPr>
          <w:rFonts w:cs="Times New Roman"/>
          <w:b/>
          <w:szCs w:val="28"/>
        </w:rPr>
      </w:pPr>
    </w:p>
    <w:p w:rsidR="002E487D" w:rsidRPr="00FB36FE" w:rsidRDefault="002E487D" w:rsidP="002E487D">
      <w:pPr>
        <w:jc w:val="center"/>
        <w:rPr>
          <w:rFonts w:cs="Times New Roman"/>
          <w:b/>
          <w:szCs w:val="28"/>
        </w:rPr>
      </w:pPr>
    </w:p>
    <w:p w:rsidR="00F61E6A" w:rsidRPr="00FB36FE" w:rsidRDefault="00F61E6A" w:rsidP="002E487D">
      <w:pPr>
        <w:jc w:val="center"/>
        <w:rPr>
          <w:rFonts w:cs="Times New Roman"/>
          <w:b/>
          <w:szCs w:val="28"/>
        </w:rPr>
      </w:pPr>
    </w:p>
    <w:p w:rsidR="00F61E6A" w:rsidRPr="00FB36FE" w:rsidRDefault="00F61E6A" w:rsidP="002E487D">
      <w:pPr>
        <w:jc w:val="center"/>
        <w:rPr>
          <w:rFonts w:cs="Times New Roman"/>
          <w:b/>
          <w:szCs w:val="28"/>
        </w:rPr>
      </w:pPr>
    </w:p>
    <w:p w:rsidR="00F61E6A" w:rsidRPr="00FB36FE" w:rsidRDefault="00F61E6A" w:rsidP="002E487D">
      <w:pPr>
        <w:jc w:val="center"/>
        <w:rPr>
          <w:rFonts w:cs="Times New Roman"/>
          <w:b/>
          <w:szCs w:val="28"/>
        </w:rPr>
      </w:pPr>
    </w:p>
    <w:p w:rsidR="00F61E6A" w:rsidRPr="00FB36FE" w:rsidRDefault="00F61E6A" w:rsidP="002E487D">
      <w:pPr>
        <w:jc w:val="center"/>
        <w:rPr>
          <w:rFonts w:cs="Times New Roman"/>
          <w:b/>
          <w:szCs w:val="28"/>
        </w:rPr>
      </w:pPr>
    </w:p>
    <w:p w:rsidR="00F61E6A" w:rsidRPr="00FB36FE" w:rsidRDefault="00F61E6A" w:rsidP="002E487D">
      <w:pPr>
        <w:jc w:val="center"/>
        <w:rPr>
          <w:rFonts w:cs="Times New Roman"/>
          <w:b/>
          <w:szCs w:val="28"/>
        </w:rPr>
      </w:pPr>
    </w:p>
    <w:p w:rsidR="00F61E6A" w:rsidRPr="00FB36FE" w:rsidRDefault="00F61E6A" w:rsidP="002E487D">
      <w:pPr>
        <w:jc w:val="center"/>
        <w:rPr>
          <w:rFonts w:cs="Times New Roman"/>
          <w:b/>
          <w:szCs w:val="28"/>
        </w:rPr>
      </w:pPr>
    </w:p>
    <w:p w:rsidR="00F61E6A" w:rsidRPr="00FB36FE" w:rsidRDefault="00F61E6A" w:rsidP="002E487D">
      <w:pPr>
        <w:jc w:val="center"/>
        <w:rPr>
          <w:rFonts w:cs="Times New Roman"/>
          <w:b/>
          <w:szCs w:val="28"/>
        </w:rPr>
      </w:pPr>
    </w:p>
    <w:p w:rsidR="00F61E6A" w:rsidRPr="00FB36FE" w:rsidRDefault="00F61E6A" w:rsidP="002E487D">
      <w:pPr>
        <w:jc w:val="center"/>
        <w:rPr>
          <w:rFonts w:cs="Times New Roman"/>
          <w:b/>
          <w:szCs w:val="28"/>
        </w:rPr>
      </w:pPr>
    </w:p>
    <w:p w:rsidR="00F61E6A" w:rsidRPr="00FB36FE" w:rsidRDefault="00F61E6A" w:rsidP="002E487D">
      <w:pPr>
        <w:jc w:val="center"/>
        <w:rPr>
          <w:rFonts w:cs="Times New Roman"/>
          <w:b/>
          <w:szCs w:val="28"/>
        </w:rPr>
      </w:pPr>
    </w:p>
    <w:p w:rsidR="00F61E6A" w:rsidRPr="00FB36FE" w:rsidRDefault="00F61E6A" w:rsidP="002E487D">
      <w:pPr>
        <w:jc w:val="center"/>
        <w:rPr>
          <w:rFonts w:cs="Times New Roman"/>
          <w:b/>
          <w:szCs w:val="28"/>
        </w:rPr>
      </w:pPr>
    </w:p>
    <w:p w:rsidR="00F61E6A" w:rsidRPr="00FB36FE" w:rsidRDefault="00F61E6A" w:rsidP="002E487D">
      <w:pPr>
        <w:jc w:val="center"/>
        <w:rPr>
          <w:rFonts w:cs="Times New Roman"/>
          <w:b/>
          <w:szCs w:val="28"/>
        </w:rPr>
      </w:pPr>
    </w:p>
    <w:p w:rsidR="002E487D" w:rsidRPr="00FB36FE" w:rsidRDefault="002E487D" w:rsidP="002E487D">
      <w:pPr>
        <w:jc w:val="center"/>
        <w:rPr>
          <w:rFonts w:cs="Times New Roman"/>
          <w:b/>
          <w:szCs w:val="28"/>
        </w:rPr>
      </w:pPr>
    </w:p>
    <w:p w:rsidR="002E487D" w:rsidRPr="00FB36FE" w:rsidRDefault="002E487D" w:rsidP="002E487D">
      <w:pPr>
        <w:jc w:val="center"/>
        <w:rPr>
          <w:rFonts w:cs="Times New Roman"/>
          <w:sz w:val="32"/>
          <w:szCs w:val="32"/>
        </w:rPr>
      </w:pPr>
      <w:r w:rsidRPr="00FB36FE">
        <w:rPr>
          <w:rFonts w:cs="Times New Roman"/>
          <w:b/>
          <w:sz w:val="32"/>
          <w:szCs w:val="32"/>
        </w:rPr>
        <w:t>Informatīvais ziņojums</w:t>
      </w:r>
    </w:p>
    <w:p w:rsidR="002E487D" w:rsidRPr="00FB36FE" w:rsidRDefault="007C1893" w:rsidP="002E487D">
      <w:pPr>
        <w:jc w:val="center"/>
        <w:rPr>
          <w:rFonts w:cs="Times New Roman"/>
          <w:b/>
          <w:sz w:val="32"/>
          <w:szCs w:val="32"/>
        </w:rPr>
      </w:pPr>
      <w:r w:rsidRPr="00FB36FE">
        <w:rPr>
          <w:rFonts w:cs="Times New Roman"/>
          <w:b/>
          <w:sz w:val="32"/>
          <w:szCs w:val="32"/>
        </w:rPr>
        <w:t xml:space="preserve">par </w:t>
      </w:r>
      <w:r w:rsidR="00AF79F1" w:rsidRPr="00FB36FE">
        <w:rPr>
          <w:rFonts w:cs="Times New Roman"/>
          <w:b/>
          <w:sz w:val="32"/>
          <w:szCs w:val="32"/>
        </w:rPr>
        <w:t xml:space="preserve">paveikto Krievijas ekonomisko sankciju negatīvo seku mazināšanai un veicamajām </w:t>
      </w:r>
      <w:r w:rsidR="00095BE1" w:rsidRPr="00FB36FE">
        <w:rPr>
          <w:rFonts w:cs="Times New Roman"/>
          <w:b/>
          <w:sz w:val="32"/>
          <w:szCs w:val="32"/>
        </w:rPr>
        <w:t>eksporta veicināšanas aktivitātēm</w:t>
      </w:r>
    </w:p>
    <w:p w:rsidR="002E487D" w:rsidRPr="00FB36FE" w:rsidRDefault="002E487D" w:rsidP="002E487D">
      <w:pPr>
        <w:jc w:val="center"/>
        <w:rPr>
          <w:rFonts w:cs="Times New Roman"/>
          <w:szCs w:val="28"/>
        </w:rPr>
      </w:pPr>
    </w:p>
    <w:p w:rsidR="002E487D" w:rsidRPr="00FB36FE" w:rsidRDefault="002E487D" w:rsidP="002E487D">
      <w:pPr>
        <w:jc w:val="center"/>
        <w:rPr>
          <w:rFonts w:cs="Times New Roman"/>
          <w:szCs w:val="28"/>
        </w:rPr>
      </w:pPr>
    </w:p>
    <w:p w:rsidR="007C1893" w:rsidRPr="00FB36FE" w:rsidRDefault="007C1893" w:rsidP="002E487D">
      <w:pPr>
        <w:jc w:val="center"/>
        <w:rPr>
          <w:rFonts w:cs="Times New Roman"/>
          <w:szCs w:val="28"/>
        </w:rPr>
      </w:pPr>
    </w:p>
    <w:p w:rsidR="002E487D" w:rsidRPr="00FB36FE" w:rsidRDefault="002E487D" w:rsidP="002E487D">
      <w:pPr>
        <w:jc w:val="center"/>
        <w:rPr>
          <w:rFonts w:cs="Times New Roman"/>
          <w:szCs w:val="28"/>
        </w:rPr>
      </w:pPr>
    </w:p>
    <w:p w:rsidR="002E487D" w:rsidRPr="00FB36FE" w:rsidRDefault="002E487D" w:rsidP="002E487D">
      <w:pPr>
        <w:jc w:val="center"/>
        <w:rPr>
          <w:rFonts w:cs="Times New Roman"/>
          <w:szCs w:val="28"/>
        </w:rPr>
      </w:pPr>
    </w:p>
    <w:p w:rsidR="002E487D" w:rsidRPr="00FB36FE" w:rsidRDefault="002E487D" w:rsidP="002E487D">
      <w:pPr>
        <w:jc w:val="center"/>
        <w:rPr>
          <w:rFonts w:cs="Times New Roman"/>
          <w:szCs w:val="28"/>
        </w:rPr>
      </w:pPr>
    </w:p>
    <w:p w:rsidR="002E487D" w:rsidRPr="00FB36FE" w:rsidRDefault="002E487D" w:rsidP="002E487D">
      <w:pPr>
        <w:jc w:val="center"/>
        <w:rPr>
          <w:rFonts w:cs="Times New Roman"/>
          <w:szCs w:val="28"/>
        </w:rPr>
      </w:pPr>
    </w:p>
    <w:p w:rsidR="002E487D" w:rsidRPr="00FB36FE" w:rsidRDefault="002E487D" w:rsidP="002E487D">
      <w:pPr>
        <w:jc w:val="center"/>
        <w:rPr>
          <w:rFonts w:cs="Times New Roman"/>
          <w:szCs w:val="28"/>
        </w:rPr>
      </w:pPr>
    </w:p>
    <w:p w:rsidR="002E487D" w:rsidRPr="00FB36FE" w:rsidRDefault="002E487D" w:rsidP="002E487D">
      <w:pPr>
        <w:jc w:val="center"/>
        <w:rPr>
          <w:rFonts w:cs="Times New Roman"/>
          <w:szCs w:val="28"/>
        </w:rPr>
      </w:pPr>
    </w:p>
    <w:p w:rsidR="002E487D" w:rsidRPr="00FB36FE" w:rsidRDefault="002E487D" w:rsidP="002E487D">
      <w:pPr>
        <w:jc w:val="center"/>
        <w:rPr>
          <w:rFonts w:cs="Times New Roman"/>
          <w:szCs w:val="28"/>
        </w:rPr>
      </w:pPr>
    </w:p>
    <w:p w:rsidR="00F61E6A" w:rsidRPr="00FB36FE" w:rsidRDefault="00F61E6A" w:rsidP="002E487D">
      <w:pPr>
        <w:jc w:val="center"/>
        <w:rPr>
          <w:rFonts w:cs="Times New Roman"/>
          <w:szCs w:val="28"/>
        </w:rPr>
      </w:pPr>
    </w:p>
    <w:p w:rsidR="00F61E6A" w:rsidRPr="00FB36FE" w:rsidRDefault="00F61E6A" w:rsidP="002E487D">
      <w:pPr>
        <w:jc w:val="center"/>
        <w:rPr>
          <w:rFonts w:cs="Times New Roman"/>
          <w:szCs w:val="28"/>
        </w:rPr>
      </w:pPr>
    </w:p>
    <w:p w:rsidR="00F61E6A" w:rsidRPr="00FB36FE" w:rsidRDefault="00F61E6A" w:rsidP="002E487D">
      <w:pPr>
        <w:jc w:val="center"/>
        <w:rPr>
          <w:rFonts w:cs="Times New Roman"/>
          <w:szCs w:val="28"/>
        </w:rPr>
      </w:pPr>
    </w:p>
    <w:p w:rsidR="00F61E6A" w:rsidRPr="00FB36FE" w:rsidRDefault="00F61E6A" w:rsidP="002E487D">
      <w:pPr>
        <w:jc w:val="center"/>
        <w:rPr>
          <w:rFonts w:cs="Times New Roman"/>
          <w:szCs w:val="28"/>
        </w:rPr>
      </w:pPr>
    </w:p>
    <w:p w:rsidR="00D361FF" w:rsidRPr="00FB36FE" w:rsidRDefault="00D361FF" w:rsidP="002E487D">
      <w:pPr>
        <w:jc w:val="center"/>
        <w:rPr>
          <w:rFonts w:cs="Times New Roman"/>
          <w:szCs w:val="28"/>
        </w:rPr>
      </w:pPr>
    </w:p>
    <w:p w:rsidR="00D361FF" w:rsidRPr="00FB36FE" w:rsidRDefault="00D361FF" w:rsidP="002E487D">
      <w:pPr>
        <w:jc w:val="center"/>
        <w:rPr>
          <w:rFonts w:cs="Times New Roman"/>
          <w:szCs w:val="28"/>
        </w:rPr>
      </w:pPr>
    </w:p>
    <w:p w:rsidR="00D361FF" w:rsidRPr="00FB36FE" w:rsidRDefault="00D361FF" w:rsidP="002E487D">
      <w:pPr>
        <w:jc w:val="center"/>
        <w:rPr>
          <w:rFonts w:cs="Times New Roman"/>
          <w:szCs w:val="28"/>
        </w:rPr>
      </w:pPr>
    </w:p>
    <w:p w:rsidR="00F61E6A" w:rsidRPr="00FB36FE" w:rsidRDefault="00F61E6A" w:rsidP="002E487D">
      <w:pPr>
        <w:jc w:val="center"/>
        <w:rPr>
          <w:rFonts w:cs="Times New Roman"/>
          <w:szCs w:val="28"/>
        </w:rPr>
      </w:pPr>
    </w:p>
    <w:p w:rsidR="00F61E6A" w:rsidRPr="00FB36FE" w:rsidRDefault="00F61E6A" w:rsidP="002E487D">
      <w:pPr>
        <w:jc w:val="center"/>
        <w:rPr>
          <w:rFonts w:cs="Times New Roman"/>
          <w:szCs w:val="28"/>
        </w:rPr>
      </w:pPr>
    </w:p>
    <w:p w:rsidR="002E487D" w:rsidRPr="00FB36FE" w:rsidRDefault="002E487D" w:rsidP="002E487D">
      <w:pPr>
        <w:jc w:val="center"/>
        <w:rPr>
          <w:rFonts w:cs="Times New Roman"/>
          <w:szCs w:val="28"/>
        </w:rPr>
      </w:pPr>
    </w:p>
    <w:p w:rsidR="002E487D" w:rsidRPr="00FB36FE" w:rsidRDefault="00031E81" w:rsidP="00031E81">
      <w:pPr>
        <w:tabs>
          <w:tab w:val="left" w:pos="3480"/>
          <w:tab w:val="center" w:pos="4535"/>
        </w:tabs>
        <w:rPr>
          <w:rFonts w:cs="Times New Roman"/>
          <w:szCs w:val="28"/>
        </w:rPr>
      </w:pPr>
      <w:r w:rsidRPr="00FB36FE">
        <w:rPr>
          <w:rFonts w:cs="Times New Roman"/>
          <w:szCs w:val="28"/>
        </w:rPr>
        <w:tab/>
      </w:r>
      <w:r w:rsidRPr="00FB36FE">
        <w:rPr>
          <w:rFonts w:cs="Times New Roman"/>
          <w:szCs w:val="28"/>
        </w:rPr>
        <w:tab/>
      </w:r>
      <w:r w:rsidR="002E487D" w:rsidRPr="00FB36FE">
        <w:rPr>
          <w:rFonts w:cs="Times New Roman"/>
          <w:szCs w:val="28"/>
        </w:rPr>
        <w:t>RĪGA</w:t>
      </w:r>
    </w:p>
    <w:p w:rsidR="002E487D" w:rsidRPr="00FB36FE" w:rsidRDefault="002E487D" w:rsidP="002E487D">
      <w:pPr>
        <w:jc w:val="center"/>
        <w:rPr>
          <w:rFonts w:cs="Times New Roman"/>
          <w:szCs w:val="28"/>
        </w:rPr>
      </w:pPr>
      <w:r w:rsidRPr="00FB36FE">
        <w:rPr>
          <w:rFonts w:cs="Times New Roman"/>
          <w:szCs w:val="28"/>
        </w:rPr>
        <w:t>2014.gada augusts</w:t>
      </w:r>
    </w:p>
    <w:p w:rsidR="002E487D" w:rsidRPr="00FB36FE" w:rsidRDefault="002E487D" w:rsidP="002E487D">
      <w:pPr>
        <w:jc w:val="center"/>
        <w:rPr>
          <w:rFonts w:cs="Times New Roman"/>
          <w:szCs w:val="28"/>
        </w:rPr>
      </w:pPr>
    </w:p>
    <w:p w:rsidR="002E487D" w:rsidRPr="00FB36FE" w:rsidRDefault="002E487D" w:rsidP="002E487D">
      <w:pPr>
        <w:jc w:val="center"/>
        <w:rPr>
          <w:rFonts w:cs="Times New Roman"/>
          <w:bCs/>
          <w:szCs w:val="28"/>
        </w:rPr>
      </w:pPr>
    </w:p>
    <w:sdt>
      <w:sdtPr>
        <w:rPr>
          <w:rFonts w:cs="Times New Roman"/>
        </w:rPr>
        <w:id w:val="119960828"/>
        <w:docPartObj>
          <w:docPartGallery w:val="Table of Contents"/>
          <w:docPartUnique/>
        </w:docPartObj>
      </w:sdtPr>
      <w:sdtEndPr>
        <w:rPr>
          <w:b/>
          <w:bCs/>
          <w:noProof/>
        </w:rPr>
      </w:sdtEndPr>
      <w:sdtContent>
        <w:p w:rsidR="00D361FF" w:rsidRPr="00FB36FE" w:rsidRDefault="00BD3C3F" w:rsidP="00BD3C3F">
          <w:pPr>
            <w:spacing w:after="360"/>
            <w:jc w:val="center"/>
            <w:rPr>
              <w:rFonts w:cs="Times New Roman"/>
              <w:b/>
              <w:sz w:val="32"/>
              <w:szCs w:val="32"/>
            </w:rPr>
          </w:pPr>
          <w:r w:rsidRPr="00FB36FE">
            <w:rPr>
              <w:rFonts w:cs="Times New Roman"/>
              <w:b/>
              <w:sz w:val="32"/>
              <w:szCs w:val="32"/>
            </w:rPr>
            <w:t>Saturs</w:t>
          </w:r>
        </w:p>
        <w:p w:rsidR="006C3E5B" w:rsidRPr="006C3E5B" w:rsidRDefault="00D361FF">
          <w:pPr>
            <w:pStyle w:val="TOC1"/>
            <w:rPr>
              <w:rFonts w:asciiTheme="minorHAnsi" w:eastAsiaTheme="minorEastAsia" w:hAnsiTheme="minorHAnsi" w:cstheme="minorBidi"/>
              <w:b w:val="0"/>
              <w:sz w:val="26"/>
              <w:szCs w:val="26"/>
              <w:lang w:eastAsia="lv-LV"/>
            </w:rPr>
          </w:pPr>
          <w:r w:rsidRPr="00FB36FE">
            <w:rPr>
              <w:sz w:val="24"/>
              <w:szCs w:val="24"/>
            </w:rPr>
            <w:fldChar w:fldCharType="begin"/>
          </w:r>
          <w:r w:rsidRPr="00FB36FE">
            <w:rPr>
              <w:sz w:val="24"/>
              <w:szCs w:val="24"/>
            </w:rPr>
            <w:instrText xml:space="preserve"> TOC \o "1-3" \h \z \u </w:instrText>
          </w:r>
          <w:r w:rsidRPr="00FB36FE">
            <w:rPr>
              <w:sz w:val="24"/>
              <w:szCs w:val="24"/>
            </w:rPr>
            <w:fldChar w:fldCharType="separate"/>
          </w:r>
          <w:hyperlink w:anchor="_Toc396775608" w:history="1">
            <w:r w:rsidR="006C3E5B" w:rsidRPr="006C3E5B">
              <w:rPr>
                <w:rStyle w:val="Hyperlink"/>
                <w:sz w:val="26"/>
                <w:szCs w:val="26"/>
              </w:rPr>
              <w:t>1.</w:t>
            </w:r>
            <w:r w:rsidR="006C3E5B" w:rsidRPr="006C3E5B">
              <w:rPr>
                <w:rFonts w:asciiTheme="minorHAnsi" w:eastAsiaTheme="minorEastAsia" w:hAnsiTheme="minorHAnsi" w:cstheme="minorBidi"/>
                <w:b w:val="0"/>
                <w:sz w:val="26"/>
                <w:szCs w:val="26"/>
                <w:lang w:eastAsia="lv-LV"/>
              </w:rPr>
              <w:tab/>
            </w:r>
            <w:r w:rsidR="006C3E5B" w:rsidRPr="006C3E5B">
              <w:rPr>
                <w:rStyle w:val="Hyperlink"/>
                <w:sz w:val="26"/>
                <w:szCs w:val="26"/>
              </w:rPr>
              <w:t>Ministru kabineta 2014.gada 12.augusta sēdes uzdevumu izpilde</w:t>
            </w:r>
            <w:r w:rsidR="006C3E5B" w:rsidRPr="006C3E5B">
              <w:rPr>
                <w:webHidden/>
                <w:sz w:val="26"/>
                <w:szCs w:val="26"/>
              </w:rPr>
              <w:tab/>
            </w:r>
            <w:r w:rsidR="006C3E5B" w:rsidRPr="006C3E5B">
              <w:rPr>
                <w:webHidden/>
                <w:sz w:val="26"/>
                <w:szCs w:val="26"/>
              </w:rPr>
              <w:fldChar w:fldCharType="begin"/>
            </w:r>
            <w:r w:rsidR="006C3E5B" w:rsidRPr="006C3E5B">
              <w:rPr>
                <w:webHidden/>
                <w:sz w:val="26"/>
                <w:szCs w:val="26"/>
              </w:rPr>
              <w:instrText xml:space="preserve"> PAGEREF _Toc396775608 \h </w:instrText>
            </w:r>
            <w:r w:rsidR="006C3E5B" w:rsidRPr="006C3E5B">
              <w:rPr>
                <w:webHidden/>
                <w:sz w:val="26"/>
                <w:szCs w:val="26"/>
              </w:rPr>
            </w:r>
            <w:r w:rsidR="006C3E5B" w:rsidRPr="006C3E5B">
              <w:rPr>
                <w:webHidden/>
                <w:sz w:val="26"/>
                <w:szCs w:val="26"/>
              </w:rPr>
              <w:fldChar w:fldCharType="separate"/>
            </w:r>
            <w:r w:rsidR="003061B4">
              <w:rPr>
                <w:webHidden/>
                <w:sz w:val="26"/>
                <w:szCs w:val="26"/>
              </w:rPr>
              <w:t>3</w:t>
            </w:r>
            <w:r w:rsidR="006C3E5B" w:rsidRPr="006C3E5B">
              <w:rPr>
                <w:webHidden/>
                <w:sz w:val="26"/>
                <w:szCs w:val="26"/>
              </w:rPr>
              <w:fldChar w:fldCharType="end"/>
            </w:r>
          </w:hyperlink>
        </w:p>
        <w:p w:rsidR="006C3E5B" w:rsidRPr="006C3E5B" w:rsidRDefault="004B4759">
          <w:pPr>
            <w:pStyle w:val="TOC1"/>
            <w:rPr>
              <w:rFonts w:asciiTheme="minorHAnsi" w:eastAsiaTheme="minorEastAsia" w:hAnsiTheme="minorHAnsi" w:cstheme="minorBidi"/>
              <w:b w:val="0"/>
              <w:sz w:val="26"/>
              <w:szCs w:val="26"/>
              <w:lang w:eastAsia="lv-LV"/>
            </w:rPr>
          </w:pPr>
          <w:hyperlink w:anchor="_Toc396775609" w:history="1">
            <w:r w:rsidR="006C3E5B" w:rsidRPr="006C3E5B">
              <w:rPr>
                <w:rStyle w:val="Hyperlink"/>
                <w:sz w:val="26"/>
                <w:szCs w:val="26"/>
              </w:rPr>
              <w:t>2.</w:t>
            </w:r>
            <w:r w:rsidR="006C3E5B" w:rsidRPr="006C3E5B">
              <w:rPr>
                <w:rFonts w:asciiTheme="minorHAnsi" w:eastAsiaTheme="minorEastAsia" w:hAnsiTheme="minorHAnsi" w:cstheme="minorBidi"/>
                <w:b w:val="0"/>
                <w:sz w:val="26"/>
                <w:szCs w:val="26"/>
                <w:lang w:eastAsia="lv-LV"/>
              </w:rPr>
              <w:tab/>
            </w:r>
            <w:r w:rsidR="006C3E5B" w:rsidRPr="006C3E5B">
              <w:rPr>
                <w:rStyle w:val="Hyperlink"/>
                <w:sz w:val="26"/>
                <w:szCs w:val="26"/>
              </w:rPr>
              <w:t>Aktivitātes eksporta tirgu pārorientācijai</w:t>
            </w:r>
            <w:r w:rsidR="006C3E5B" w:rsidRPr="006C3E5B">
              <w:rPr>
                <w:webHidden/>
                <w:sz w:val="26"/>
                <w:szCs w:val="26"/>
              </w:rPr>
              <w:tab/>
            </w:r>
            <w:r w:rsidR="006C3E5B" w:rsidRPr="006C3E5B">
              <w:rPr>
                <w:webHidden/>
                <w:sz w:val="26"/>
                <w:szCs w:val="26"/>
              </w:rPr>
              <w:fldChar w:fldCharType="begin"/>
            </w:r>
            <w:r w:rsidR="006C3E5B" w:rsidRPr="006C3E5B">
              <w:rPr>
                <w:webHidden/>
                <w:sz w:val="26"/>
                <w:szCs w:val="26"/>
              </w:rPr>
              <w:instrText xml:space="preserve"> PAGEREF _Toc396775609 \h </w:instrText>
            </w:r>
            <w:r w:rsidR="006C3E5B" w:rsidRPr="006C3E5B">
              <w:rPr>
                <w:webHidden/>
                <w:sz w:val="26"/>
                <w:szCs w:val="26"/>
              </w:rPr>
            </w:r>
            <w:r w:rsidR="006C3E5B" w:rsidRPr="006C3E5B">
              <w:rPr>
                <w:webHidden/>
                <w:sz w:val="26"/>
                <w:szCs w:val="26"/>
              </w:rPr>
              <w:fldChar w:fldCharType="separate"/>
            </w:r>
            <w:r w:rsidR="003061B4">
              <w:rPr>
                <w:webHidden/>
                <w:sz w:val="26"/>
                <w:szCs w:val="26"/>
              </w:rPr>
              <w:t>6</w:t>
            </w:r>
            <w:r w:rsidR="006C3E5B" w:rsidRPr="006C3E5B">
              <w:rPr>
                <w:webHidden/>
                <w:sz w:val="26"/>
                <w:szCs w:val="26"/>
              </w:rPr>
              <w:fldChar w:fldCharType="end"/>
            </w:r>
          </w:hyperlink>
        </w:p>
        <w:p w:rsidR="006C3E5B" w:rsidRPr="006C3E5B" w:rsidRDefault="004B4759">
          <w:pPr>
            <w:pStyle w:val="TOC2"/>
            <w:rPr>
              <w:rFonts w:asciiTheme="minorHAnsi" w:eastAsiaTheme="minorEastAsia" w:hAnsiTheme="minorHAnsi"/>
              <w:noProof/>
              <w:sz w:val="20"/>
              <w:lang w:eastAsia="lv-LV"/>
            </w:rPr>
          </w:pPr>
          <w:hyperlink w:anchor="_Toc396775610" w:history="1">
            <w:r w:rsidR="006C3E5B" w:rsidRPr="006C3E5B">
              <w:rPr>
                <w:rStyle w:val="Hyperlink"/>
                <w:noProof/>
                <w:sz w:val="24"/>
              </w:rPr>
              <w:t>1)</w:t>
            </w:r>
            <w:r w:rsidR="006C3E5B" w:rsidRPr="006C3E5B">
              <w:rPr>
                <w:rFonts w:asciiTheme="minorHAnsi" w:eastAsiaTheme="minorEastAsia" w:hAnsiTheme="minorHAnsi"/>
                <w:noProof/>
                <w:sz w:val="20"/>
                <w:lang w:eastAsia="lv-LV"/>
              </w:rPr>
              <w:tab/>
            </w:r>
            <w:r w:rsidR="006C3E5B" w:rsidRPr="006C3E5B">
              <w:rPr>
                <w:rStyle w:val="Hyperlink"/>
                <w:noProof/>
                <w:sz w:val="24"/>
              </w:rPr>
              <w:t>Nozaru asociāciju pārstāvju klātbūtne mērķa tirgos un aģentu piesaiste</w:t>
            </w:r>
            <w:r w:rsidR="006C3E5B" w:rsidRPr="006C3E5B">
              <w:rPr>
                <w:noProof/>
                <w:webHidden/>
                <w:sz w:val="24"/>
              </w:rPr>
              <w:tab/>
            </w:r>
            <w:r w:rsidR="006C3E5B" w:rsidRPr="006C3E5B">
              <w:rPr>
                <w:noProof/>
                <w:webHidden/>
                <w:sz w:val="24"/>
              </w:rPr>
              <w:fldChar w:fldCharType="begin"/>
            </w:r>
            <w:r w:rsidR="006C3E5B" w:rsidRPr="006C3E5B">
              <w:rPr>
                <w:noProof/>
                <w:webHidden/>
                <w:sz w:val="24"/>
              </w:rPr>
              <w:instrText xml:space="preserve"> PAGEREF _Toc396775610 \h </w:instrText>
            </w:r>
            <w:r w:rsidR="006C3E5B" w:rsidRPr="006C3E5B">
              <w:rPr>
                <w:noProof/>
                <w:webHidden/>
                <w:sz w:val="24"/>
              </w:rPr>
            </w:r>
            <w:r w:rsidR="006C3E5B" w:rsidRPr="006C3E5B">
              <w:rPr>
                <w:noProof/>
                <w:webHidden/>
                <w:sz w:val="24"/>
              </w:rPr>
              <w:fldChar w:fldCharType="separate"/>
            </w:r>
            <w:r w:rsidR="003061B4">
              <w:rPr>
                <w:noProof/>
                <w:webHidden/>
                <w:sz w:val="24"/>
              </w:rPr>
              <w:t>7</w:t>
            </w:r>
            <w:r w:rsidR="006C3E5B" w:rsidRPr="006C3E5B">
              <w:rPr>
                <w:noProof/>
                <w:webHidden/>
                <w:sz w:val="24"/>
              </w:rPr>
              <w:fldChar w:fldCharType="end"/>
            </w:r>
          </w:hyperlink>
        </w:p>
        <w:p w:rsidR="006C3E5B" w:rsidRPr="006C3E5B" w:rsidRDefault="004B4759">
          <w:pPr>
            <w:pStyle w:val="TOC2"/>
            <w:rPr>
              <w:rFonts w:asciiTheme="minorHAnsi" w:eastAsiaTheme="minorEastAsia" w:hAnsiTheme="minorHAnsi"/>
              <w:noProof/>
              <w:sz w:val="20"/>
              <w:lang w:eastAsia="lv-LV"/>
            </w:rPr>
          </w:pPr>
          <w:hyperlink w:anchor="_Toc396775611" w:history="1">
            <w:r w:rsidR="006C3E5B" w:rsidRPr="006C3E5B">
              <w:rPr>
                <w:rStyle w:val="Hyperlink"/>
                <w:noProof/>
                <w:sz w:val="24"/>
              </w:rPr>
              <w:t>2)</w:t>
            </w:r>
            <w:r w:rsidR="006C3E5B" w:rsidRPr="006C3E5B">
              <w:rPr>
                <w:rFonts w:asciiTheme="minorHAnsi" w:eastAsiaTheme="minorEastAsia" w:hAnsiTheme="minorHAnsi"/>
                <w:noProof/>
                <w:sz w:val="20"/>
                <w:lang w:eastAsia="lv-LV"/>
              </w:rPr>
              <w:tab/>
            </w:r>
            <w:r w:rsidR="006C3E5B" w:rsidRPr="006C3E5B">
              <w:rPr>
                <w:rStyle w:val="Hyperlink"/>
                <w:noProof/>
                <w:sz w:val="24"/>
              </w:rPr>
              <w:t>Tirgus padziļināti pētījumi</w:t>
            </w:r>
            <w:r w:rsidR="006C3E5B" w:rsidRPr="006C3E5B">
              <w:rPr>
                <w:noProof/>
                <w:webHidden/>
                <w:sz w:val="24"/>
              </w:rPr>
              <w:tab/>
            </w:r>
            <w:r w:rsidR="006C3E5B" w:rsidRPr="006C3E5B">
              <w:rPr>
                <w:noProof/>
                <w:webHidden/>
                <w:sz w:val="24"/>
              </w:rPr>
              <w:fldChar w:fldCharType="begin"/>
            </w:r>
            <w:r w:rsidR="006C3E5B" w:rsidRPr="006C3E5B">
              <w:rPr>
                <w:noProof/>
                <w:webHidden/>
                <w:sz w:val="24"/>
              </w:rPr>
              <w:instrText xml:space="preserve"> PAGEREF _Toc396775611 \h </w:instrText>
            </w:r>
            <w:r w:rsidR="006C3E5B" w:rsidRPr="006C3E5B">
              <w:rPr>
                <w:noProof/>
                <w:webHidden/>
                <w:sz w:val="24"/>
              </w:rPr>
            </w:r>
            <w:r w:rsidR="006C3E5B" w:rsidRPr="006C3E5B">
              <w:rPr>
                <w:noProof/>
                <w:webHidden/>
                <w:sz w:val="24"/>
              </w:rPr>
              <w:fldChar w:fldCharType="separate"/>
            </w:r>
            <w:r w:rsidR="003061B4">
              <w:rPr>
                <w:noProof/>
                <w:webHidden/>
                <w:sz w:val="24"/>
              </w:rPr>
              <w:t>8</w:t>
            </w:r>
            <w:r w:rsidR="006C3E5B" w:rsidRPr="006C3E5B">
              <w:rPr>
                <w:noProof/>
                <w:webHidden/>
                <w:sz w:val="24"/>
              </w:rPr>
              <w:fldChar w:fldCharType="end"/>
            </w:r>
          </w:hyperlink>
        </w:p>
        <w:p w:rsidR="006C3E5B" w:rsidRPr="006C3E5B" w:rsidRDefault="004B4759">
          <w:pPr>
            <w:pStyle w:val="TOC2"/>
            <w:rPr>
              <w:rFonts w:asciiTheme="minorHAnsi" w:eastAsiaTheme="minorEastAsia" w:hAnsiTheme="minorHAnsi"/>
              <w:noProof/>
              <w:sz w:val="20"/>
              <w:lang w:eastAsia="lv-LV"/>
            </w:rPr>
          </w:pPr>
          <w:hyperlink w:anchor="_Toc396775612" w:history="1">
            <w:r w:rsidR="006C3E5B" w:rsidRPr="006C3E5B">
              <w:rPr>
                <w:rStyle w:val="Hyperlink"/>
                <w:noProof/>
                <w:sz w:val="24"/>
              </w:rPr>
              <w:t>3)</w:t>
            </w:r>
            <w:r w:rsidR="006C3E5B" w:rsidRPr="006C3E5B">
              <w:rPr>
                <w:rFonts w:asciiTheme="minorHAnsi" w:eastAsiaTheme="minorEastAsia" w:hAnsiTheme="minorHAnsi"/>
                <w:noProof/>
                <w:sz w:val="20"/>
                <w:lang w:eastAsia="lv-LV"/>
              </w:rPr>
              <w:tab/>
            </w:r>
            <w:r w:rsidR="006C3E5B" w:rsidRPr="006C3E5B">
              <w:rPr>
                <w:rStyle w:val="Hyperlink"/>
                <w:noProof/>
                <w:sz w:val="24"/>
              </w:rPr>
              <w:t>Tirdzniecības misijas</w:t>
            </w:r>
            <w:r w:rsidR="006C3E5B" w:rsidRPr="006C3E5B">
              <w:rPr>
                <w:noProof/>
                <w:webHidden/>
                <w:sz w:val="24"/>
              </w:rPr>
              <w:tab/>
            </w:r>
            <w:r w:rsidR="006C3E5B" w:rsidRPr="006C3E5B">
              <w:rPr>
                <w:noProof/>
                <w:webHidden/>
                <w:sz w:val="24"/>
              </w:rPr>
              <w:fldChar w:fldCharType="begin"/>
            </w:r>
            <w:r w:rsidR="006C3E5B" w:rsidRPr="006C3E5B">
              <w:rPr>
                <w:noProof/>
                <w:webHidden/>
                <w:sz w:val="24"/>
              </w:rPr>
              <w:instrText xml:space="preserve"> PAGEREF _Toc396775612 \h </w:instrText>
            </w:r>
            <w:r w:rsidR="006C3E5B" w:rsidRPr="006C3E5B">
              <w:rPr>
                <w:noProof/>
                <w:webHidden/>
                <w:sz w:val="24"/>
              </w:rPr>
            </w:r>
            <w:r w:rsidR="006C3E5B" w:rsidRPr="006C3E5B">
              <w:rPr>
                <w:noProof/>
                <w:webHidden/>
                <w:sz w:val="24"/>
              </w:rPr>
              <w:fldChar w:fldCharType="separate"/>
            </w:r>
            <w:r w:rsidR="003061B4">
              <w:rPr>
                <w:noProof/>
                <w:webHidden/>
                <w:sz w:val="24"/>
              </w:rPr>
              <w:t>8</w:t>
            </w:r>
            <w:r w:rsidR="006C3E5B" w:rsidRPr="006C3E5B">
              <w:rPr>
                <w:noProof/>
                <w:webHidden/>
                <w:sz w:val="24"/>
              </w:rPr>
              <w:fldChar w:fldCharType="end"/>
            </w:r>
          </w:hyperlink>
        </w:p>
        <w:p w:rsidR="006C3E5B" w:rsidRPr="006C3E5B" w:rsidRDefault="004B4759">
          <w:pPr>
            <w:pStyle w:val="TOC2"/>
            <w:rPr>
              <w:rFonts w:asciiTheme="minorHAnsi" w:eastAsiaTheme="minorEastAsia" w:hAnsiTheme="minorHAnsi"/>
              <w:noProof/>
              <w:sz w:val="20"/>
              <w:lang w:eastAsia="lv-LV"/>
            </w:rPr>
          </w:pPr>
          <w:hyperlink w:anchor="_Toc396775613" w:history="1">
            <w:r w:rsidR="006C3E5B" w:rsidRPr="006C3E5B">
              <w:rPr>
                <w:rStyle w:val="Hyperlink"/>
                <w:noProof/>
                <w:sz w:val="24"/>
              </w:rPr>
              <w:t>4)</w:t>
            </w:r>
            <w:r w:rsidR="006C3E5B" w:rsidRPr="006C3E5B">
              <w:rPr>
                <w:rFonts w:asciiTheme="minorHAnsi" w:eastAsiaTheme="minorEastAsia" w:hAnsiTheme="minorHAnsi"/>
                <w:noProof/>
                <w:sz w:val="20"/>
                <w:lang w:eastAsia="lv-LV"/>
              </w:rPr>
              <w:tab/>
            </w:r>
            <w:r w:rsidR="006C3E5B" w:rsidRPr="006C3E5B">
              <w:rPr>
                <w:rStyle w:val="Hyperlink"/>
                <w:noProof/>
                <w:sz w:val="24"/>
              </w:rPr>
              <w:t>Nacionālie un nozaru stendi</w:t>
            </w:r>
            <w:r w:rsidR="006C3E5B" w:rsidRPr="006C3E5B">
              <w:rPr>
                <w:noProof/>
                <w:webHidden/>
                <w:sz w:val="24"/>
              </w:rPr>
              <w:tab/>
            </w:r>
            <w:r w:rsidR="006C3E5B" w:rsidRPr="006C3E5B">
              <w:rPr>
                <w:noProof/>
                <w:webHidden/>
                <w:sz w:val="24"/>
              </w:rPr>
              <w:fldChar w:fldCharType="begin"/>
            </w:r>
            <w:r w:rsidR="006C3E5B" w:rsidRPr="006C3E5B">
              <w:rPr>
                <w:noProof/>
                <w:webHidden/>
                <w:sz w:val="24"/>
              </w:rPr>
              <w:instrText xml:space="preserve"> PAGEREF _Toc396775613 \h </w:instrText>
            </w:r>
            <w:r w:rsidR="006C3E5B" w:rsidRPr="006C3E5B">
              <w:rPr>
                <w:noProof/>
                <w:webHidden/>
                <w:sz w:val="24"/>
              </w:rPr>
            </w:r>
            <w:r w:rsidR="006C3E5B" w:rsidRPr="006C3E5B">
              <w:rPr>
                <w:noProof/>
                <w:webHidden/>
                <w:sz w:val="24"/>
              </w:rPr>
              <w:fldChar w:fldCharType="separate"/>
            </w:r>
            <w:r w:rsidR="003061B4">
              <w:rPr>
                <w:noProof/>
                <w:webHidden/>
                <w:sz w:val="24"/>
              </w:rPr>
              <w:t>9</w:t>
            </w:r>
            <w:r w:rsidR="006C3E5B" w:rsidRPr="006C3E5B">
              <w:rPr>
                <w:noProof/>
                <w:webHidden/>
                <w:sz w:val="24"/>
              </w:rPr>
              <w:fldChar w:fldCharType="end"/>
            </w:r>
          </w:hyperlink>
        </w:p>
        <w:p w:rsidR="006C3E5B" w:rsidRPr="006C3E5B" w:rsidRDefault="004B4759">
          <w:pPr>
            <w:pStyle w:val="TOC2"/>
            <w:rPr>
              <w:rFonts w:asciiTheme="minorHAnsi" w:eastAsiaTheme="minorEastAsia" w:hAnsiTheme="minorHAnsi"/>
              <w:noProof/>
              <w:sz w:val="20"/>
              <w:lang w:eastAsia="lv-LV"/>
            </w:rPr>
          </w:pPr>
          <w:hyperlink w:anchor="_Toc396775614" w:history="1">
            <w:r w:rsidR="006C3E5B" w:rsidRPr="006C3E5B">
              <w:rPr>
                <w:rStyle w:val="Hyperlink"/>
                <w:noProof/>
                <w:sz w:val="24"/>
              </w:rPr>
              <w:t>6)</w:t>
            </w:r>
            <w:r w:rsidR="006C3E5B" w:rsidRPr="006C3E5B">
              <w:rPr>
                <w:rFonts w:asciiTheme="minorHAnsi" w:eastAsiaTheme="minorEastAsia" w:hAnsiTheme="minorHAnsi"/>
                <w:noProof/>
                <w:sz w:val="20"/>
                <w:lang w:eastAsia="lv-LV"/>
              </w:rPr>
              <w:tab/>
            </w:r>
            <w:r w:rsidR="006C3E5B" w:rsidRPr="006C3E5B">
              <w:rPr>
                <w:rStyle w:val="Hyperlink"/>
                <w:noProof/>
                <w:sz w:val="24"/>
              </w:rPr>
              <w:t>Iepircēju vizīšu organizēšana</w:t>
            </w:r>
            <w:r w:rsidR="006C3E5B" w:rsidRPr="006C3E5B">
              <w:rPr>
                <w:noProof/>
                <w:webHidden/>
                <w:sz w:val="24"/>
              </w:rPr>
              <w:tab/>
            </w:r>
            <w:r w:rsidR="006C3E5B" w:rsidRPr="006C3E5B">
              <w:rPr>
                <w:noProof/>
                <w:webHidden/>
                <w:sz w:val="24"/>
              </w:rPr>
              <w:fldChar w:fldCharType="begin"/>
            </w:r>
            <w:r w:rsidR="006C3E5B" w:rsidRPr="006C3E5B">
              <w:rPr>
                <w:noProof/>
                <w:webHidden/>
                <w:sz w:val="24"/>
              </w:rPr>
              <w:instrText xml:space="preserve"> PAGEREF _Toc396775614 \h </w:instrText>
            </w:r>
            <w:r w:rsidR="006C3E5B" w:rsidRPr="006C3E5B">
              <w:rPr>
                <w:noProof/>
                <w:webHidden/>
                <w:sz w:val="24"/>
              </w:rPr>
            </w:r>
            <w:r w:rsidR="006C3E5B" w:rsidRPr="006C3E5B">
              <w:rPr>
                <w:noProof/>
                <w:webHidden/>
                <w:sz w:val="24"/>
              </w:rPr>
              <w:fldChar w:fldCharType="separate"/>
            </w:r>
            <w:r w:rsidR="003061B4">
              <w:rPr>
                <w:noProof/>
                <w:webHidden/>
                <w:sz w:val="24"/>
              </w:rPr>
              <w:t>10</w:t>
            </w:r>
            <w:r w:rsidR="006C3E5B" w:rsidRPr="006C3E5B">
              <w:rPr>
                <w:noProof/>
                <w:webHidden/>
                <w:sz w:val="24"/>
              </w:rPr>
              <w:fldChar w:fldCharType="end"/>
            </w:r>
          </w:hyperlink>
        </w:p>
        <w:p w:rsidR="006C3E5B" w:rsidRPr="006C3E5B" w:rsidRDefault="004B4759">
          <w:pPr>
            <w:pStyle w:val="TOC2"/>
            <w:rPr>
              <w:rFonts w:asciiTheme="minorHAnsi" w:eastAsiaTheme="minorEastAsia" w:hAnsiTheme="minorHAnsi"/>
              <w:noProof/>
              <w:sz w:val="20"/>
              <w:lang w:eastAsia="lv-LV"/>
            </w:rPr>
          </w:pPr>
          <w:hyperlink w:anchor="_Toc396775615" w:history="1">
            <w:r w:rsidR="006C3E5B" w:rsidRPr="006C3E5B">
              <w:rPr>
                <w:rStyle w:val="Hyperlink"/>
                <w:noProof/>
                <w:sz w:val="24"/>
              </w:rPr>
              <w:t>7)</w:t>
            </w:r>
            <w:r w:rsidR="006C3E5B" w:rsidRPr="006C3E5B">
              <w:rPr>
                <w:rFonts w:asciiTheme="minorHAnsi" w:eastAsiaTheme="minorEastAsia" w:hAnsiTheme="minorHAnsi"/>
                <w:noProof/>
                <w:sz w:val="20"/>
                <w:lang w:eastAsia="lv-LV"/>
              </w:rPr>
              <w:tab/>
            </w:r>
            <w:r w:rsidR="006C3E5B" w:rsidRPr="006C3E5B">
              <w:rPr>
                <w:rStyle w:val="Hyperlink"/>
                <w:noProof/>
                <w:sz w:val="24"/>
              </w:rPr>
              <w:t>Produktu reģistrēšana un sertificēšana</w:t>
            </w:r>
            <w:r w:rsidR="006C3E5B" w:rsidRPr="006C3E5B">
              <w:rPr>
                <w:noProof/>
                <w:webHidden/>
                <w:sz w:val="24"/>
              </w:rPr>
              <w:tab/>
            </w:r>
            <w:r w:rsidR="006C3E5B" w:rsidRPr="006C3E5B">
              <w:rPr>
                <w:noProof/>
                <w:webHidden/>
                <w:sz w:val="24"/>
              </w:rPr>
              <w:fldChar w:fldCharType="begin"/>
            </w:r>
            <w:r w:rsidR="006C3E5B" w:rsidRPr="006C3E5B">
              <w:rPr>
                <w:noProof/>
                <w:webHidden/>
                <w:sz w:val="24"/>
              </w:rPr>
              <w:instrText xml:space="preserve"> PAGEREF _Toc396775615 \h </w:instrText>
            </w:r>
            <w:r w:rsidR="006C3E5B" w:rsidRPr="006C3E5B">
              <w:rPr>
                <w:noProof/>
                <w:webHidden/>
                <w:sz w:val="24"/>
              </w:rPr>
            </w:r>
            <w:r w:rsidR="006C3E5B" w:rsidRPr="006C3E5B">
              <w:rPr>
                <w:noProof/>
                <w:webHidden/>
                <w:sz w:val="24"/>
              </w:rPr>
              <w:fldChar w:fldCharType="separate"/>
            </w:r>
            <w:r w:rsidR="003061B4">
              <w:rPr>
                <w:noProof/>
                <w:webHidden/>
                <w:sz w:val="24"/>
              </w:rPr>
              <w:t>10</w:t>
            </w:r>
            <w:r w:rsidR="006C3E5B" w:rsidRPr="006C3E5B">
              <w:rPr>
                <w:noProof/>
                <w:webHidden/>
                <w:sz w:val="24"/>
              </w:rPr>
              <w:fldChar w:fldCharType="end"/>
            </w:r>
          </w:hyperlink>
        </w:p>
        <w:p w:rsidR="006C3E5B" w:rsidRDefault="004B4759">
          <w:pPr>
            <w:pStyle w:val="TOC1"/>
            <w:rPr>
              <w:rFonts w:asciiTheme="minorHAnsi" w:eastAsiaTheme="minorEastAsia" w:hAnsiTheme="minorHAnsi" w:cstheme="minorBidi"/>
              <w:b w:val="0"/>
              <w:sz w:val="22"/>
              <w:szCs w:val="22"/>
              <w:lang w:eastAsia="lv-LV"/>
            </w:rPr>
          </w:pPr>
          <w:hyperlink w:anchor="_Toc396775616" w:history="1">
            <w:r w:rsidR="006C3E5B" w:rsidRPr="006C3E5B">
              <w:rPr>
                <w:rStyle w:val="Hyperlink"/>
                <w:sz w:val="26"/>
                <w:szCs w:val="26"/>
                <w:u w:val="none"/>
              </w:rPr>
              <w:t>3.</w:t>
            </w:r>
            <w:r w:rsidR="006C3E5B" w:rsidRPr="006C3E5B">
              <w:rPr>
                <w:rFonts w:asciiTheme="minorHAnsi" w:eastAsiaTheme="minorEastAsia" w:hAnsiTheme="minorHAnsi" w:cstheme="minorBidi"/>
                <w:b w:val="0"/>
                <w:sz w:val="26"/>
                <w:szCs w:val="26"/>
                <w:lang w:eastAsia="lv-LV"/>
              </w:rPr>
              <w:tab/>
            </w:r>
            <w:r w:rsidR="006C3E5B" w:rsidRPr="006C3E5B">
              <w:rPr>
                <w:rStyle w:val="Hyperlink"/>
                <w:sz w:val="26"/>
                <w:szCs w:val="26"/>
                <w:u w:val="none"/>
              </w:rPr>
              <w:t>Pielikums: Satiksmes ministrijas informācija par pasākumi Krievijas ekonomisko sankciju negatīvās ietekmes mazināšanai attiecībā uz transporta un loģistikas sektora komersantiem.</w:t>
            </w:r>
            <w:r w:rsidR="006C3E5B">
              <w:rPr>
                <w:webHidden/>
              </w:rPr>
              <w:tab/>
            </w:r>
            <w:r w:rsidR="006C3E5B">
              <w:rPr>
                <w:webHidden/>
              </w:rPr>
              <w:fldChar w:fldCharType="begin"/>
            </w:r>
            <w:r w:rsidR="006C3E5B">
              <w:rPr>
                <w:webHidden/>
              </w:rPr>
              <w:instrText xml:space="preserve"> PAGEREF _Toc396775616 \h </w:instrText>
            </w:r>
            <w:r w:rsidR="006C3E5B">
              <w:rPr>
                <w:webHidden/>
              </w:rPr>
            </w:r>
            <w:r w:rsidR="006C3E5B">
              <w:rPr>
                <w:webHidden/>
              </w:rPr>
              <w:fldChar w:fldCharType="separate"/>
            </w:r>
            <w:r w:rsidR="003061B4">
              <w:rPr>
                <w:webHidden/>
              </w:rPr>
              <w:t>12</w:t>
            </w:r>
            <w:r w:rsidR="006C3E5B">
              <w:rPr>
                <w:webHidden/>
              </w:rPr>
              <w:fldChar w:fldCharType="end"/>
            </w:r>
          </w:hyperlink>
        </w:p>
        <w:p w:rsidR="00D361FF" w:rsidRPr="00FB36FE" w:rsidRDefault="00D361FF">
          <w:pPr>
            <w:rPr>
              <w:rFonts w:cs="Times New Roman"/>
            </w:rPr>
          </w:pPr>
          <w:r w:rsidRPr="00FB36FE">
            <w:rPr>
              <w:rFonts w:cs="Times New Roman"/>
              <w:b/>
              <w:bCs/>
              <w:noProof/>
              <w:sz w:val="24"/>
              <w:szCs w:val="24"/>
            </w:rPr>
            <w:fldChar w:fldCharType="end"/>
          </w:r>
        </w:p>
      </w:sdtContent>
    </w:sdt>
    <w:p w:rsidR="00D361FF" w:rsidRPr="00FB36FE" w:rsidRDefault="00D361FF">
      <w:pPr>
        <w:rPr>
          <w:rFonts w:cs="Times New Roman"/>
          <w:b/>
          <w:sz w:val="32"/>
          <w:szCs w:val="32"/>
        </w:rPr>
      </w:pPr>
      <w:r w:rsidRPr="00FB36FE">
        <w:rPr>
          <w:rFonts w:cs="Times New Roman"/>
          <w:b/>
          <w:sz w:val="32"/>
          <w:szCs w:val="32"/>
        </w:rPr>
        <w:br w:type="page"/>
      </w:r>
    </w:p>
    <w:p w:rsidR="000958C1" w:rsidRPr="00ED2AE7" w:rsidRDefault="00A36042" w:rsidP="00D361FF">
      <w:pPr>
        <w:pStyle w:val="Heading1"/>
        <w:numPr>
          <w:ilvl w:val="0"/>
          <w:numId w:val="23"/>
        </w:numPr>
        <w:jc w:val="center"/>
        <w:rPr>
          <w:rStyle w:val="spelle"/>
          <w:rFonts w:ascii="Times New Roman" w:hAnsi="Times New Roman" w:cs="Times New Roman"/>
          <w:color w:val="auto"/>
          <w:sz w:val="24"/>
        </w:rPr>
      </w:pPr>
      <w:bookmarkStart w:id="0" w:name="_Toc396775608"/>
      <w:bookmarkStart w:id="1" w:name="_Toc395544845"/>
      <w:bookmarkStart w:id="2" w:name="_Toc395544888"/>
      <w:bookmarkStart w:id="3" w:name="_Toc395604446"/>
      <w:r w:rsidRPr="00ED2AE7">
        <w:rPr>
          <w:rStyle w:val="spelle"/>
          <w:rFonts w:ascii="Times New Roman" w:hAnsi="Times New Roman" w:cs="Times New Roman"/>
          <w:color w:val="auto"/>
        </w:rPr>
        <w:lastRenderedPageBreak/>
        <w:t>Ministru kabineta 2014.gada 12.augusta sēdes uzdevumu izpilde</w:t>
      </w:r>
      <w:bookmarkEnd w:id="0"/>
      <w:r w:rsidRPr="00ED2AE7">
        <w:rPr>
          <w:rStyle w:val="spelle"/>
          <w:rFonts w:ascii="Times New Roman" w:hAnsi="Times New Roman" w:cs="Times New Roman"/>
          <w:color w:val="auto"/>
        </w:rPr>
        <w:t xml:space="preserve"> </w:t>
      </w:r>
    </w:p>
    <w:p w:rsidR="00B1458C" w:rsidRPr="00ED2AE7" w:rsidRDefault="00B1458C" w:rsidP="00B1458C">
      <w:pPr>
        <w:rPr>
          <w:rFonts w:cs="Times New Roman"/>
          <w:sz w:val="26"/>
          <w:szCs w:val="26"/>
        </w:rPr>
      </w:pPr>
    </w:p>
    <w:p w:rsidR="000958C1" w:rsidRPr="00ED2AE7" w:rsidRDefault="003F387E" w:rsidP="003F387E">
      <w:pPr>
        <w:ind w:firstLine="709"/>
        <w:jc w:val="both"/>
        <w:rPr>
          <w:rFonts w:cs="Times New Roman"/>
          <w:sz w:val="26"/>
          <w:szCs w:val="26"/>
        </w:rPr>
      </w:pPr>
      <w:r w:rsidRPr="00ED2AE7">
        <w:rPr>
          <w:rFonts w:cs="Times New Roman"/>
          <w:sz w:val="26"/>
          <w:szCs w:val="26"/>
        </w:rPr>
        <w:t xml:space="preserve">Saskaņā ar </w:t>
      </w:r>
      <w:r w:rsidR="00B1458C" w:rsidRPr="00ED2AE7">
        <w:rPr>
          <w:rFonts w:cs="Times New Roman"/>
          <w:sz w:val="26"/>
          <w:szCs w:val="26"/>
        </w:rPr>
        <w:t>2014.gada 1</w:t>
      </w:r>
      <w:r w:rsidRPr="00ED2AE7">
        <w:rPr>
          <w:rFonts w:cs="Times New Roman"/>
          <w:sz w:val="26"/>
          <w:szCs w:val="26"/>
        </w:rPr>
        <w:t>2.augusta Ministru kabineta sēdes protokolu Nr.43 59</w:t>
      </w:r>
      <w:r w:rsidR="00D64654" w:rsidRPr="00ED2AE7">
        <w:rPr>
          <w:rFonts w:cs="Times New Roman"/>
          <w:sz w:val="26"/>
          <w:szCs w:val="26"/>
        </w:rPr>
        <w:t>.</w:t>
      </w:r>
      <w:r w:rsidRPr="00ED2AE7">
        <w:rPr>
          <w:rFonts w:cs="Times New Roman"/>
          <w:sz w:val="26"/>
          <w:szCs w:val="26"/>
        </w:rPr>
        <w:t>§</w:t>
      </w:r>
      <w:r w:rsidR="00B1458C" w:rsidRPr="00ED2AE7">
        <w:rPr>
          <w:rFonts w:cs="Times New Roman"/>
          <w:sz w:val="26"/>
          <w:szCs w:val="26"/>
        </w:rPr>
        <w:t xml:space="preserve"> Ekonomikas ministrijai, Finanšu ministrijai, Satiksmes ministrijai un Zemkopības ministrijai doto uzdevumu Krievijas ekonomisko s</w:t>
      </w:r>
      <w:r w:rsidRPr="00ED2AE7">
        <w:rPr>
          <w:rFonts w:cs="Times New Roman"/>
          <w:sz w:val="26"/>
          <w:szCs w:val="26"/>
        </w:rPr>
        <w:t>ankciju negatīvo seku mazināšanai</w:t>
      </w:r>
      <w:r w:rsidR="00B1458C" w:rsidRPr="00ED2AE7">
        <w:rPr>
          <w:rFonts w:cs="Times New Roman"/>
          <w:sz w:val="26"/>
          <w:szCs w:val="26"/>
        </w:rPr>
        <w:t xml:space="preserve"> progress.</w:t>
      </w:r>
    </w:p>
    <w:p w:rsidR="00B1458C" w:rsidRPr="00ED2AE7" w:rsidRDefault="00B1458C" w:rsidP="00B1458C">
      <w:pPr>
        <w:jc w:val="both"/>
        <w:rPr>
          <w:rFonts w:cs="Times New Roman"/>
          <w:sz w:val="26"/>
          <w:szCs w:val="26"/>
        </w:rPr>
      </w:pPr>
    </w:p>
    <w:p w:rsidR="00C32612" w:rsidRPr="00ED2AE7" w:rsidRDefault="00B1458C" w:rsidP="00BD3C3F">
      <w:pPr>
        <w:pStyle w:val="ListParagraph"/>
        <w:numPr>
          <w:ilvl w:val="1"/>
          <w:numId w:val="23"/>
        </w:numPr>
        <w:ind w:left="709"/>
        <w:jc w:val="both"/>
        <w:rPr>
          <w:rFonts w:cs="Times New Roman"/>
          <w:b/>
          <w:sz w:val="26"/>
          <w:szCs w:val="26"/>
        </w:rPr>
      </w:pPr>
      <w:r w:rsidRPr="00ED2AE7">
        <w:rPr>
          <w:rFonts w:cs="Times New Roman"/>
          <w:b/>
          <w:sz w:val="26"/>
          <w:szCs w:val="26"/>
        </w:rPr>
        <w:t>Ekonomikas ministrija</w:t>
      </w:r>
    </w:p>
    <w:p w:rsidR="00C32612" w:rsidRPr="00ED2AE7" w:rsidRDefault="00C32612" w:rsidP="00BD3C3F">
      <w:pPr>
        <w:pStyle w:val="ListParagraph"/>
        <w:numPr>
          <w:ilvl w:val="2"/>
          <w:numId w:val="23"/>
        </w:numPr>
        <w:ind w:left="993"/>
        <w:jc w:val="both"/>
        <w:rPr>
          <w:rStyle w:val="spelle"/>
          <w:rFonts w:cs="Times New Roman"/>
          <w:b/>
          <w:sz w:val="26"/>
          <w:szCs w:val="26"/>
        </w:rPr>
      </w:pPr>
      <w:r w:rsidRPr="00ED2AE7">
        <w:rPr>
          <w:rFonts w:cs="Times New Roman"/>
          <w:sz w:val="26"/>
          <w:szCs w:val="26"/>
        </w:rPr>
        <w:t xml:space="preserve">Ekonomikas ministrija ir sagatavojusi </w:t>
      </w:r>
      <w:r w:rsidRPr="00ED2AE7">
        <w:rPr>
          <w:rStyle w:val="spelle"/>
          <w:rFonts w:cs="Times New Roman"/>
          <w:sz w:val="26"/>
          <w:szCs w:val="26"/>
        </w:rPr>
        <w:t xml:space="preserve">Ministru kabineta 2010.gada 26.oktobra noteikumu Nr.997 „Noteikumi par garantijām komersantu un atbilstošu lauksaimniecības pakalpojumu kooperatīvo sabiedrību konkurētspējas uzlabošanai” grozījumu projektu, paredzot komersantiem un lauksaimniecības pakalpojumu kooperatīvajām sabiedrībām (komercdarbību un lauksaimniecības pakalpojumu kooperatīvo sabiedrību darbību regulējošo normatīvo aktu izpratnē) </w:t>
      </w:r>
      <w:proofErr w:type="spellStart"/>
      <w:r w:rsidRPr="00ED2AE7">
        <w:rPr>
          <w:rStyle w:val="spelle"/>
          <w:rFonts w:cs="Times New Roman"/>
          <w:sz w:val="26"/>
          <w:szCs w:val="26"/>
        </w:rPr>
        <w:t>kredītbrīvdienu</w:t>
      </w:r>
      <w:proofErr w:type="spellEnd"/>
      <w:r w:rsidRPr="00ED2AE7">
        <w:rPr>
          <w:rStyle w:val="spelle"/>
          <w:rFonts w:cs="Times New Roman"/>
          <w:sz w:val="26"/>
          <w:szCs w:val="26"/>
        </w:rPr>
        <w:t xml:space="preserve"> garantiju piešķiršanu līdz vienam gadam, un </w:t>
      </w:r>
      <w:r w:rsidR="00075FB8" w:rsidRPr="00ED2AE7">
        <w:rPr>
          <w:rStyle w:val="spelle"/>
          <w:rFonts w:cs="Times New Roman"/>
          <w:sz w:val="26"/>
          <w:szCs w:val="26"/>
        </w:rPr>
        <w:t xml:space="preserve">22.08 </w:t>
      </w:r>
      <w:r w:rsidRPr="00ED2AE7">
        <w:rPr>
          <w:rStyle w:val="spelle"/>
          <w:rFonts w:cs="Times New Roman"/>
          <w:sz w:val="26"/>
          <w:szCs w:val="26"/>
        </w:rPr>
        <w:t xml:space="preserve"> </w:t>
      </w:r>
      <w:r w:rsidR="00A36042" w:rsidRPr="00ED2AE7">
        <w:rPr>
          <w:rStyle w:val="spelle"/>
          <w:rFonts w:cs="Times New Roman"/>
          <w:sz w:val="26"/>
          <w:szCs w:val="26"/>
        </w:rPr>
        <w:t>Ministru kabineta noteikumu</w:t>
      </w:r>
      <w:r w:rsidRPr="00ED2AE7">
        <w:rPr>
          <w:rStyle w:val="spelle"/>
          <w:rFonts w:cs="Times New Roman"/>
          <w:sz w:val="26"/>
          <w:szCs w:val="26"/>
        </w:rPr>
        <w:t xml:space="preserve"> projekt</w:t>
      </w:r>
      <w:r w:rsidR="00075FB8" w:rsidRPr="00ED2AE7">
        <w:rPr>
          <w:rStyle w:val="spelle"/>
          <w:rFonts w:cs="Times New Roman"/>
          <w:sz w:val="26"/>
          <w:szCs w:val="26"/>
        </w:rPr>
        <w:t>s</w:t>
      </w:r>
      <w:r w:rsidRPr="00ED2AE7">
        <w:rPr>
          <w:rStyle w:val="spelle"/>
          <w:rFonts w:cs="Times New Roman"/>
          <w:sz w:val="26"/>
          <w:szCs w:val="26"/>
        </w:rPr>
        <w:t xml:space="preserve"> </w:t>
      </w:r>
      <w:r w:rsidR="00075FB8" w:rsidRPr="00ED2AE7">
        <w:rPr>
          <w:rStyle w:val="spelle"/>
          <w:rFonts w:cs="Times New Roman"/>
          <w:sz w:val="26"/>
          <w:szCs w:val="26"/>
        </w:rPr>
        <w:t xml:space="preserve">nosūtīts </w:t>
      </w:r>
      <w:r w:rsidRPr="00ED2AE7">
        <w:rPr>
          <w:rStyle w:val="spelle"/>
          <w:rFonts w:cs="Times New Roman"/>
          <w:sz w:val="26"/>
          <w:szCs w:val="26"/>
        </w:rPr>
        <w:t>saskaņošana</w:t>
      </w:r>
      <w:r w:rsidR="00D64654" w:rsidRPr="00ED2AE7">
        <w:rPr>
          <w:rStyle w:val="spelle"/>
          <w:rFonts w:cs="Times New Roman"/>
          <w:sz w:val="26"/>
          <w:szCs w:val="26"/>
        </w:rPr>
        <w:t>i</w:t>
      </w:r>
      <w:r w:rsidRPr="00ED2AE7">
        <w:rPr>
          <w:rStyle w:val="spelle"/>
          <w:rFonts w:cs="Times New Roman"/>
          <w:sz w:val="26"/>
          <w:szCs w:val="26"/>
        </w:rPr>
        <w:t xml:space="preserve"> ar Finanšu </w:t>
      </w:r>
      <w:r w:rsidR="00A36042" w:rsidRPr="00ED2AE7">
        <w:rPr>
          <w:rStyle w:val="spelle"/>
          <w:rFonts w:cs="Times New Roman"/>
          <w:sz w:val="26"/>
          <w:szCs w:val="26"/>
        </w:rPr>
        <w:t>un Tieslietu ministriju</w:t>
      </w:r>
      <w:r w:rsidRPr="00ED2AE7">
        <w:rPr>
          <w:rStyle w:val="spelle"/>
          <w:rFonts w:cs="Times New Roman"/>
          <w:sz w:val="26"/>
          <w:szCs w:val="26"/>
        </w:rPr>
        <w:t>;</w:t>
      </w:r>
    </w:p>
    <w:p w:rsidR="00C32612" w:rsidRPr="00ED2AE7" w:rsidRDefault="00075FB8" w:rsidP="00BD3C3F">
      <w:pPr>
        <w:pStyle w:val="ListParagraph"/>
        <w:numPr>
          <w:ilvl w:val="2"/>
          <w:numId w:val="23"/>
        </w:numPr>
        <w:ind w:left="993"/>
        <w:jc w:val="both"/>
        <w:rPr>
          <w:rStyle w:val="spelle"/>
          <w:rFonts w:cs="Times New Roman"/>
          <w:b/>
          <w:sz w:val="26"/>
          <w:szCs w:val="26"/>
        </w:rPr>
      </w:pPr>
      <w:r w:rsidRPr="00ED2AE7">
        <w:rPr>
          <w:rStyle w:val="spelle"/>
          <w:rFonts w:cs="Times New Roman"/>
          <w:sz w:val="26"/>
          <w:szCs w:val="26"/>
        </w:rPr>
        <w:t xml:space="preserve">Grozījumi </w:t>
      </w:r>
      <w:r w:rsidR="004A3D86" w:rsidRPr="00ED2AE7">
        <w:rPr>
          <w:rStyle w:val="spelle"/>
          <w:rFonts w:cs="Times New Roman"/>
          <w:sz w:val="26"/>
          <w:szCs w:val="26"/>
        </w:rPr>
        <w:t>Ministru kabineta 2009.gada 17.jūnija noteikum</w:t>
      </w:r>
      <w:r w:rsidRPr="00ED2AE7">
        <w:rPr>
          <w:rStyle w:val="spelle"/>
          <w:rFonts w:cs="Times New Roman"/>
          <w:sz w:val="26"/>
          <w:szCs w:val="26"/>
        </w:rPr>
        <w:t>os</w:t>
      </w:r>
      <w:r w:rsidR="004A3D86" w:rsidRPr="00ED2AE7">
        <w:rPr>
          <w:rStyle w:val="spelle"/>
          <w:rFonts w:cs="Times New Roman"/>
          <w:sz w:val="26"/>
          <w:szCs w:val="26"/>
        </w:rPr>
        <w:t xml:space="preserve"> Nr.582 „Noteikumi par darbības programmas “Uzņēmējdarbība un inovācijas” papildinājuma 2.3.1.1.1.apakšaktivitātes “Ārējo tirgu apgūšana – ārējais mārketings” sesto un turpmākajām kārtām” un Ministru kabineta 2010.gada 21.septembra noteikumos Nr.887 „Noteikumi par darbības programmas „Uzņēmējdarbība un inovācijas” papildinājuma 2.3.1.1.aktivitātes „Ārējo tirgu apgūšana” 2.3.1.1.2.apakšaktivitāti „Ārējo tirgu apgūšana – nozaru starptautiskās konkurētspējas stiprināšana””</w:t>
      </w:r>
      <w:r w:rsidRPr="00ED2AE7">
        <w:rPr>
          <w:rStyle w:val="spelle"/>
          <w:rFonts w:cs="Times New Roman"/>
          <w:sz w:val="26"/>
          <w:szCs w:val="26"/>
        </w:rPr>
        <w:t xml:space="preserve"> ar mērķi paplašināt atbalstāmo izmaksu sarakstu </w:t>
      </w:r>
      <w:r w:rsidRPr="00ED2AE7">
        <w:rPr>
          <w:rFonts w:cs="Times New Roman"/>
          <w:sz w:val="26"/>
          <w:szCs w:val="26"/>
        </w:rPr>
        <w:t>tiek saskaņoti ar darba devēju organizācijām.</w:t>
      </w:r>
    </w:p>
    <w:p w:rsidR="004A3D86" w:rsidRPr="00ED2AE7" w:rsidRDefault="004A3D86" w:rsidP="004A3D86">
      <w:pPr>
        <w:pStyle w:val="ListParagraph"/>
        <w:ind w:left="1800"/>
        <w:jc w:val="both"/>
        <w:rPr>
          <w:rStyle w:val="spelle"/>
          <w:rFonts w:cs="Times New Roman"/>
          <w:b/>
          <w:sz w:val="26"/>
          <w:szCs w:val="26"/>
        </w:rPr>
      </w:pPr>
    </w:p>
    <w:p w:rsidR="004A3D86" w:rsidRPr="00ED2AE7" w:rsidRDefault="004A3D86" w:rsidP="00BD3C3F">
      <w:pPr>
        <w:pStyle w:val="ListParagraph"/>
        <w:numPr>
          <w:ilvl w:val="1"/>
          <w:numId w:val="23"/>
        </w:numPr>
        <w:ind w:left="709"/>
        <w:jc w:val="both"/>
        <w:rPr>
          <w:rStyle w:val="spelle"/>
          <w:rFonts w:cs="Times New Roman"/>
          <w:b/>
          <w:sz w:val="26"/>
          <w:szCs w:val="26"/>
        </w:rPr>
      </w:pPr>
      <w:r w:rsidRPr="00ED2AE7">
        <w:rPr>
          <w:rStyle w:val="spelle"/>
          <w:rFonts w:cs="Times New Roman"/>
          <w:b/>
          <w:sz w:val="26"/>
          <w:szCs w:val="26"/>
        </w:rPr>
        <w:t>Finanšu ministrija</w:t>
      </w:r>
    </w:p>
    <w:p w:rsidR="00F95565" w:rsidRPr="00ED2AE7" w:rsidRDefault="00F95565" w:rsidP="00F95565">
      <w:pPr>
        <w:pStyle w:val="ListParagraph"/>
        <w:numPr>
          <w:ilvl w:val="2"/>
          <w:numId w:val="23"/>
        </w:numPr>
        <w:ind w:left="993" w:hanging="709"/>
        <w:jc w:val="both"/>
        <w:rPr>
          <w:rStyle w:val="spelle"/>
          <w:rFonts w:cs="Times New Roman"/>
          <w:sz w:val="26"/>
          <w:szCs w:val="26"/>
        </w:rPr>
      </w:pPr>
      <w:r w:rsidRPr="00ED2AE7">
        <w:rPr>
          <w:rStyle w:val="spelle"/>
          <w:rFonts w:cs="Times New Roman"/>
          <w:sz w:val="26"/>
          <w:szCs w:val="26"/>
        </w:rPr>
        <w:t>Finanšu ministrija ir izstrādājusi un iesniegusi MK likumprojektu “Grozījumi likumā “Par nodokļiem un nodevām”” (Likumprojekts) un ar to saistīto likumprojektu “Grozījumi likumā “Par Valsts ieņēmumu dienestu””. Likumprojekts paredz atbalstīt tos nodokļu maksātājus, kas nonāca finansiālajās grūtībās saistībā ar Krievijas Federācijas noteiktajiem ierobežojumiem preču ievešanai tās teritorijā, paredzot iespēju sadalīt termiņos vai atlikt uz laiku līdz pieciem gadiem nokavēto nodokļu maksājumu samaksu. Likumprojekts paredz grozīt arī citas tiesību normas par nodokļu samaksas termiņa pagarināšanu, tādējādi dodot iespēju finansiālajās grūtībās nonākušajiem komersantiem stabilizēt savu maksātspēju, kā arī veicinot labprātīgu nodokļu nomaksu.</w:t>
      </w:r>
    </w:p>
    <w:p w:rsidR="00F95565" w:rsidRPr="00ED2AE7" w:rsidRDefault="00F95565" w:rsidP="00F95565">
      <w:pPr>
        <w:pStyle w:val="ListParagraph"/>
        <w:numPr>
          <w:ilvl w:val="2"/>
          <w:numId w:val="23"/>
        </w:numPr>
        <w:ind w:left="993" w:hanging="709"/>
        <w:jc w:val="both"/>
        <w:rPr>
          <w:rStyle w:val="spelle"/>
          <w:rFonts w:cs="Times New Roman"/>
          <w:sz w:val="26"/>
          <w:szCs w:val="26"/>
        </w:rPr>
      </w:pPr>
      <w:r w:rsidRPr="00ED2AE7">
        <w:rPr>
          <w:rStyle w:val="spelle"/>
          <w:rFonts w:cs="Times New Roman"/>
          <w:sz w:val="26"/>
          <w:szCs w:val="26"/>
        </w:rPr>
        <w:lastRenderedPageBreak/>
        <w:t>Ņemot vērā Satiksmes ministrijas (SM) sagatavotajā informatīvajā ziņojumā “Par iespējamo Krievijas noteikto sankciju ietekmi uz Latvijas transporta nozari” piedāvātos pasākumus negatīvo seku mazināšanai tranzīta un loģistika</w:t>
      </w:r>
      <w:r w:rsidR="00A50DBC" w:rsidRPr="00ED2AE7">
        <w:rPr>
          <w:rStyle w:val="spelle"/>
          <w:rFonts w:cs="Times New Roman"/>
          <w:sz w:val="26"/>
          <w:szCs w:val="26"/>
        </w:rPr>
        <w:t xml:space="preserve">s jomā, FM organizēja sanāksmi </w:t>
      </w:r>
      <w:r w:rsidRPr="00ED2AE7">
        <w:rPr>
          <w:rStyle w:val="spelle"/>
          <w:rFonts w:cs="Times New Roman"/>
          <w:sz w:val="26"/>
          <w:szCs w:val="26"/>
        </w:rPr>
        <w:t>2014.</w:t>
      </w:r>
      <w:r w:rsidR="00A50DBC" w:rsidRPr="00ED2AE7">
        <w:rPr>
          <w:rStyle w:val="spelle"/>
          <w:rFonts w:cs="Times New Roman"/>
          <w:sz w:val="26"/>
          <w:szCs w:val="26"/>
        </w:rPr>
        <w:t>gada 18.augustā</w:t>
      </w:r>
      <w:r w:rsidRPr="00ED2AE7">
        <w:rPr>
          <w:rStyle w:val="spelle"/>
          <w:rFonts w:cs="Times New Roman"/>
          <w:sz w:val="26"/>
          <w:szCs w:val="26"/>
        </w:rPr>
        <w:t xml:space="preserve"> ar SM, VID un nevalstiskā sektora pārstāvjiem, lai uzklausītu viedokļus un diskutētu par piedāvātajiem pasākumiem.  FM viedoklis SM tika sagatavots, ņemot vērā pašreizējo situāciju attiecībā uz informatīvajā ziņojumā piedāvātajiem pasākumiem negatīvo seku mazināšanai un sanāksmē pārrunāto, informējot par esošo tiesisko regulējumu un plānoto veicamo pasākumu kopumu. </w:t>
      </w:r>
    </w:p>
    <w:p w:rsidR="00F95565" w:rsidRPr="00ED2AE7" w:rsidRDefault="00F95565" w:rsidP="00F95565">
      <w:pPr>
        <w:pStyle w:val="ListParagraph"/>
        <w:numPr>
          <w:ilvl w:val="2"/>
          <w:numId w:val="23"/>
        </w:numPr>
        <w:ind w:left="993" w:hanging="709"/>
        <w:jc w:val="both"/>
        <w:rPr>
          <w:rStyle w:val="spelle"/>
          <w:rFonts w:cs="Times New Roman"/>
          <w:sz w:val="26"/>
          <w:szCs w:val="26"/>
        </w:rPr>
      </w:pPr>
      <w:r w:rsidRPr="00ED2AE7">
        <w:rPr>
          <w:rStyle w:val="spelle"/>
          <w:rFonts w:cs="Times New Roman"/>
          <w:sz w:val="26"/>
          <w:szCs w:val="26"/>
        </w:rPr>
        <w:t>VID sniedz īpašu atbalstu tiem nodokļu maksātājiem, kuru darbību ir ietekmējušas noteiktās sankcijas un normatīvo aktu ietvaros:</w:t>
      </w:r>
    </w:p>
    <w:p w:rsidR="00F95565" w:rsidRPr="00ED2AE7" w:rsidRDefault="00F95565" w:rsidP="00F95565">
      <w:pPr>
        <w:pStyle w:val="ListParagraph"/>
        <w:numPr>
          <w:ilvl w:val="0"/>
          <w:numId w:val="39"/>
        </w:numPr>
        <w:ind w:left="1276" w:hanging="283"/>
        <w:jc w:val="both"/>
        <w:rPr>
          <w:rStyle w:val="spelle"/>
          <w:rFonts w:cs="Times New Roman"/>
          <w:sz w:val="26"/>
          <w:szCs w:val="26"/>
        </w:rPr>
      </w:pPr>
      <w:r w:rsidRPr="00ED2AE7">
        <w:rPr>
          <w:rStyle w:val="spelle"/>
          <w:rFonts w:cs="Times New Roman"/>
          <w:sz w:val="26"/>
          <w:szCs w:val="26"/>
        </w:rPr>
        <w:t>nodrošina prioritāru PVN un UIN izveidojušos pārmaksu izvērtēšanu un atmaksu;</w:t>
      </w:r>
    </w:p>
    <w:p w:rsidR="00F95565" w:rsidRPr="00ED2AE7" w:rsidRDefault="00F95565" w:rsidP="00F95565">
      <w:pPr>
        <w:pStyle w:val="ListParagraph"/>
        <w:numPr>
          <w:ilvl w:val="0"/>
          <w:numId w:val="39"/>
        </w:numPr>
        <w:ind w:left="1276" w:hanging="283"/>
        <w:jc w:val="both"/>
        <w:rPr>
          <w:rStyle w:val="spelle"/>
          <w:rFonts w:cs="Times New Roman"/>
          <w:sz w:val="26"/>
          <w:szCs w:val="26"/>
        </w:rPr>
      </w:pPr>
      <w:r w:rsidRPr="00ED2AE7">
        <w:rPr>
          <w:rStyle w:val="spelle"/>
          <w:rFonts w:cs="Times New Roman"/>
          <w:sz w:val="26"/>
          <w:szCs w:val="26"/>
        </w:rPr>
        <w:t>paātrinātā kārtībā izskata iesniegumus par nodokļu samaksas termiņa pagarinājumu piešķiršanu; iesniegumus par UIN avansa apmēra koriģēšanu; iesniegumus par labprātīgu parāda nomaksu</w:t>
      </w:r>
      <w:r w:rsidR="00D64654" w:rsidRPr="00ED2AE7">
        <w:rPr>
          <w:rStyle w:val="spelle"/>
          <w:rFonts w:cs="Times New Roman"/>
          <w:sz w:val="26"/>
          <w:szCs w:val="26"/>
        </w:rPr>
        <w:t>.</w:t>
      </w:r>
    </w:p>
    <w:p w:rsidR="00A6749F" w:rsidRPr="00ED2AE7" w:rsidRDefault="00A6749F" w:rsidP="00A6749F">
      <w:pPr>
        <w:pStyle w:val="ListParagraph"/>
        <w:ind w:left="1276"/>
        <w:jc w:val="both"/>
        <w:rPr>
          <w:rStyle w:val="spelle"/>
          <w:rFonts w:cs="Times New Roman"/>
          <w:sz w:val="26"/>
          <w:szCs w:val="26"/>
        </w:rPr>
      </w:pPr>
    </w:p>
    <w:p w:rsidR="00075FB8" w:rsidRPr="00ED2AE7" w:rsidRDefault="00075FB8" w:rsidP="00075FB8">
      <w:pPr>
        <w:jc w:val="both"/>
        <w:rPr>
          <w:rFonts w:eastAsia="MS Mincho" w:cs="Times New Roman"/>
          <w:sz w:val="26"/>
          <w:szCs w:val="26"/>
          <w:u w:val="single"/>
        </w:rPr>
      </w:pPr>
      <w:r w:rsidRPr="00ED2AE7">
        <w:rPr>
          <w:rFonts w:cs="Times New Roman"/>
          <w:b/>
          <w:sz w:val="26"/>
          <w:szCs w:val="26"/>
        </w:rPr>
        <w:t xml:space="preserve">Satiksmes ministrijas lūdza informāciju </w:t>
      </w:r>
      <w:r w:rsidRPr="00ED2AE7">
        <w:rPr>
          <w:rFonts w:cs="Times New Roman"/>
          <w:sz w:val="26"/>
          <w:szCs w:val="26"/>
        </w:rPr>
        <w:t>par p</w:t>
      </w:r>
      <w:r w:rsidRPr="00ED2AE7">
        <w:rPr>
          <w:rFonts w:eastAsia="MS Mincho" w:cs="Times New Roman"/>
          <w:sz w:val="26"/>
          <w:szCs w:val="26"/>
        </w:rPr>
        <w:t xml:space="preserve">asākumiem Krievijas ekonomisko sankciju negatīvās ietekmes mazināšanai attiecībā uz transporta un loģistikas sektora komersantiem </w:t>
      </w:r>
      <w:proofErr w:type="spellStart"/>
      <w:r w:rsidR="00A6749F" w:rsidRPr="00ED2AE7">
        <w:rPr>
          <w:rFonts w:eastAsia="MS Mincho" w:cs="Times New Roman"/>
          <w:sz w:val="26"/>
          <w:szCs w:val="26"/>
        </w:rPr>
        <w:t>t.sk</w:t>
      </w:r>
      <w:proofErr w:type="spellEnd"/>
      <w:r w:rsidR="00A6749F" w:rsidRPr="00ED2AE7">
        <w:rPr>
          <w:rFonts w:eastAsia="MS Mincho" w:cs="Times New Roman"/>
          <w:sz w:val="26"/>
          <w:szCs w:val="26"/>
        </w:rPr>
        <w:t xml:space="preserve">., </w:t>
      </w:r>
      <w:r w:rsidRPr="00ED2AE7">
        <w:rPr>
          <w:rFonts w:eastAsia="MS Mincho" w:cs="Times New Roman"/>
          <w:sz w:val="26"/>
          <w:szCs w:val="26"/>
        </w:rPr>
        <w:t>Finanšu ministrijas atbildes iekļaut zi</w:t>
      </w:r>
      <w:r w:rsidR="00A6749F" w:rsidRPr="00ED2AE7">
        <w:rPr>
          <w:rFonts w:eastAsia="MS Mincho" w:cs="Times New Roman"/>
          <w:sz w:val="26"/>
          <w:szCs w:val="26"/>
        </w:rPr>
        <w:t xml:space="preserve">ņojumā. Vienlaikus, ņemot vērā SM iesniegtās informācijas apjomu, tā iekļauta </w:t>
      </w:r>
      <w:r w:rsidRPr="00ED2AE7">
        <w:rPr>
          <w:rFonts w:eastAsia="MS Mincho" w:cs="Times New Roman"/>
          <w:sz w:val="26"/>
          <w:szCs w:val="26"/>
        </w:rPr>
        <w:t>pielikumā.</w:t>
      </w:r>
    </w:p>
    <w:p w:rsidR="00DF6570" w:rsidRPr="00ED2AE7" w:rsidRDefault="00DF6570" w:rsidP="00DF6570">
      <w:pPr>
        <w:pStyle w:val="ListParagraph"/>
        <w:ind w:left="1800"/>
        <w:jc w:val="both"/>
        <w:rPr>
          <w:rFonts w:cs="Times New Roman"/>
          <w:b/>
          <w:sz w:val="26"/>
          <w:szCs w:val="26"/>
        </w:rPr>
      </w:pPr>
    </w:p>
    <w:p w:rsidR="00DF6570" w:rsidRPr="00FB36FE" w:rsidRDefault="00DF6570" w:rsidP="00BD3C3F">
      <w:pPr>
        <w:pStyle w:val="ListParagraph"/>
        <w:numPr>
          <w:ilvl w:val="1"/>
          <w:numId w:val="23"/>
        </w:numPr>
        <w:ind w:left="709"/>
        <w:jc w:val="both"/>
        <w:rPr>
          <w:rFonts w:cs="Times New Roman"/>
          <w:b/>
          <w:szCs w:val="28"/>
        </w:rPr>
      </w:pPr>
      <w:r w:rsidRPr="00ED2AE7">
        <w:rPr>
          <w:rFonts w:cs="Times New Roman"/>
          <w:b/>
          <w:sz w:val="26"/>
          <w:szCs w:val="26"/>
        </w:rPr>
        <w:t>Zemkopības ministrija</w:t>
      </w:r>
    </w:p>
    <w:p w:rsidR="00A02DD5" w:rsidRPr="00ED2AE7" w:rsidRDefault="00A02DD5" w:rsidP="00A02DD5">
      <w:pPr>
        <w:pStyle w:val="ListParagraph"/>
        <w:numPr>
          <w:ilvl w:val="2"/>
          <w:numId w:val="23"/>
        </w:numPr>
        <w:ind w:left="993"/>
        <w:jc w:val="both"/>
        <w:rPr>
          <w:rFonts w:cs="Times New Roman"/>
          <w:sz w:val="26"/>
          <w:szCs w:val="26"/>
        </w:rPr>
      </w:pPr>
      <w:r w:rsidRPr="00ED2AE7">
        <w:rPr>
          <w:rFonts w:cs="Times New Roman"/>
          <w:sz w:val="26"/>
          <w:szCs w:val="26"/>
        </w:rPr>
        <w:t>Ministru kabineta 2014.gada 19.augustā tika atbalstīts Zemkopības ministrijas izstrādātais Ministru kabineta noteikumu projekts „Grozījumi Ministru kabineta 2014.gada 13.maija noteikumos Nr.243 „Noteikumi par valsts un Eiropas Savienības atbalsta piešķiršanu investīciju veicināšanai lauksaimniecībā”, kas paredz šādas izmaiņas daļējas kredītprocentu dzēšanas programmā:</w:t>
      </w:r>
    </w:p>
    <w:p w:rsidR="00A02DD5" w:rsidRPr="00ED2AE7" w:rsidRDefault="00A02DD5" w:rsidP="00A02DD5">
      <w:pPr>
        <w:pStyle w:val="ListParagraph"/>
        <w:numPr>
          <w:ilvl w:val="0"/>
          <w:numId w:val="22"/>
        </w:numPr>
        <w:ind w:left="1418" w:hanging="425"/>
        <w:jc w:val="both"/>
        <w:rPr>
          <w:rFonts w:cs="Times New Roman"/>
          <w:sz w:val="26"/>
          <w:szCs w:val="26"/>
        </w:rPr>
      </w:pPr>
      <w:r w:rsidRPr="00ED2AE7">
        <w:rPr>
          <w:rFonts w:cs="Times New Roman"/>
          <w:sz w:val="26"/>
          <w:szCs w:val="26"/>
        </w:rPr>
        <w:t xml:space="preserve">papildināts atbalsta saņēmēju loks ar zvejas un akvakultūras produktu apstrādes uzņēmumiem; </w:t>
      </w:r>
    </w:p>
    <w:p w:rsidR="00A02DD5" w:rsidRPr="00ED2AE7" w:rsidRDefault="00A02DD5" w:rsidP="00A02DD5">
      <w:pPr>
        <w:pStyle w:val="ListParagraph"/>
        <w:numPr>
          <w:ilvl w:val="0"/>
          <w:numId w:val="22"/>
        </w:numPr>
        <w:ind w:left="1418" w:hanging="425"/>
        <w:jc w:val="both"/>
        <w:rPr>
          <w:rFonts w:cs="Times New Roman"/>
          <w:sz w:val="26"/>
          <w:szCs w:val="26"/>
        </w:rPr>
      </w:pPr>
      <w:r w:rsidRPr="00ED2AE7">
        <w:rPr>
          <w:rFonts w:cs="Times New Roman"/>
          <w:sz w:val="26"/>
          <w:szCs w:val="26"/>
        </w:rPr>
        <w:t xml:space="preserve">kā arī piena, gaļas pārstrādes un zivju apstrādes uzņēmumiem paredzēta daļēja kredītprocentu kompensācija apgrozāmo līdzekļu kredītiem; </w:t>
      </w:r>
    </w:p>
    <w:p w:rsidR="00A02DD5" w:rsidRPr="00ED2AE7" w:rsidRDefault="00A02DD5" w:rsidP="00A02DD5">
      <w:pPr>
        <w:pStyle w:val="ListParagraph"/>
        <w:numPr>
          <w:ilvl w:val="0"/>
          <w:numId w:val="22"/>
        </w:numPr>
        <w:ind w:left="1418" w:hanging="425"/>
        <w:jc w:val="both"/>
        <w:rPr>
          <w:rFonts w:cs="Times New Roman"/>
          <w:sz w:val="26"/>
          <w:szCs w:val="26"/>
        </w:rPr>
      </w:pPr>
      <w:r w:rsidRPr="00ED2AE7">
        <w:rPr>
          <w:rFonts w:cs="Times New Roman"/>
          <w:sz w:val="26"/>
          <w:szCs w:val="26"/>
        </w:rPr>
        <w:t>kredītprocentu daļēju kompensāciju varēs saņemt arī lielie piena, gaļas pārstrādes un zivju apstrādes uzņēmumiem, kuri eksportē produkciju, kas iekļauta Krievijas Federācijas ekonomisko sankciju pret Latvijas Republiku importa aizlieguma sarakstā.</w:t>
      </w:r>
    </w:p>
    <w:p w:rsidR="00A02DD5" w:rsidRPr="00ED2AE7" w:rsidRDefault="00A02DD5" w:rsidP="00A02DD5">
      <w:pPr>
        <w:pStyle w:val="ListParagraph"/>
        <w:numPr>
          <w:ilvl w:val="2"/>
          <w:numId w:val="23"/>
        </w:numPr>
        <w:ind w:left="993" w:hanging="709"/>
        <w:jc w:val="both"/>
        <w:rPr>
          <w:rFonts w:cs="Times New Roman"/>
          <w:sz w:val="26"/>
          <w:szCs w:val="26"/>
        </w:rPr>
      </w:pPr>
      <w:r w:rsidRPr="00ED2AE7">
        <w:rPr>
          <w:rFonts w:cs="Times New Roman"/>
          <w:sz w:val="26"/>
          <w:szCs w:val="26"/>
        </w:rPr>
        <w:t xml:space="preserve">Zemkopības ministrs  rakstiski vērsās pie EK Lauksaimniecības komisāra </w:t>
      </w:r>
      <w:proofErr w:type="spellStart"/>
      <w:r w:rsidRPr="00ED2AE7">
        <w:rPr>
          <w:rFonts w:cs="Times New Roman"/>
          <w:sz w:val="26"/>
          <w:szCs w:val="26"/>
        </w:rPr>
        <w:t>D.Čološa</w:t>
      </w:r>
      <w:proofErr w:type="spellEnd"/>
      <w:r w:rsidRPr="00ED2AE7">
        <w:rPr>
          <w:rFonts w:cs="Times New Roman"/>
          <w:sz w:val="26"/>
          <w:szCs w:val="26"/>
        </w:rPr>
        <w:t xml:space="preserve">, izklāstot sekas un iespējamos finansiālos zaudējumus,  ko cietīs </w:t>
      </w:r>
      <w:r w:rsidRPr="00ED2AE7">
        <w:rPr>
          <w:rFonts w:cs="Times New Roman"/>
          <w:sz w:val="26"/>
          <w:szCs w:val="26"/>
        </w:rPr>
        <w:lastRenderedPageBreak/>
        <w:t xml:space="preserve">Latvijas piena nozare, kā arī vairākas citas nozares, ja steidzami netiks īstenoti pasākumi Eiropas Savienības līmenī.   Ministrs aicināja Eiropas Komisiju nekavējoties lemt par zaudējumu kompensēšanu ražotājiem un par vairāku pasākumu tūlītēju īstenošanu ar mērķi mazināt tirgus piedāvājuma spiedienu un tā izraisīto cenu lejupslīdi. Šie pasākumi būtu – eksporta kompensāciju pagaidu atjaunošana, valsts intervences iepirkuma cenu un maksimālo produktu daudzumu palielināšana, privātās uzglabāšanas atbalsta shēmas atvēršana ar atvieglotiem nosacījumiem atbalsta saņemšanai, Eiropas Savienības atbalsta palielināšana Skolas piena programmai,  kā arī soda naudas nepiemērošana par pārsniegto valsts piena kvotu pēdējā, 2014./2015.kvotas gadā. </w:t>
      </w:r>
    </w:p>
    <w:p w:rsidR="00A02DD5" w:rsidRPr="00ED2AE7" w:rsidRDefault="00545931" w:rsidP="00A02DD5">
      <w:pPr>
        <w:pStyle w:val="ListParagraph"/>
        <w:numPr>
          <w:ilvl w:val="2"/>
          <w:numId w:val="23"/>
        </w:numPr>
        <w:ind w:left="993" w:hanging="709"/>
        <w:jc w:val="both"/>
        <w:rPr>
          <w:rFonts w:cs="Times New Roman"/>
          <w:sz w:val="26"/>
          <w:szCs w:val="26"/>
        </w:rPr>
      </w:pPr>
      <w:r w:rsidRPr="00ED2AE7">
        <w:rPr>
          <w:rFonts w:cs="Times New Roman"/>
          <w:sz w:val="26"/>
          <w:szCs w:val="26"/>
        </w:rPr>
        <w:t>V</w:t>
      </w:r>
      <w:r w:rsidR="00A02DD5" w:rsidRPr="00ED2AE7">
        <w:rPr>
          <w:rFonts w:cs="Times New Roman"/>
          <w:sz w:val="26"/>
          <w:szCs w:val="26"/>
        </w:rPr>
        <w:t xml:space="preserve">isas 1.3.2. punktā minētās prasības tikušas sniegtas Eiropas Komisijai arī mutiski tās rīkoto lauksaimniecības tirgu ekspertu sanāksmēs  </w:t>
      </w:r>
      <w:proofErr w:type="spellStart"/>
      <w:r w:rsidR="00A02DD5" w:rsidRPr="00ED2AE7">
        <w:rPr>
          <w:rFonts w:cs="Times New Roman"/>
          <w:sz w:val="26"/>
          <w:szCs w:val="26"/>
        </w:rPr>
        <w:t>š.g</w:t>
      </w:r>
      <w:proofErr w:type="spellEnd"/>
      <w:r w:rsidR="00A02DD5" w:rsidRPr="00ED2AE7">
        <w:rPr>
          <w:rFonts w:cs="Times New Roman"/>
          <w:sz w:val="26"/>
          <w:szCs w:val="26"/>
        </w:rPr>
        <w:t xml:space="preserve">. 14.augustā un 22.augustā. </w:t>
      </w:r>
    </w:p>
    <w:p w:rsidR="00A02DD5" w:rsidRPr="00ED2AE7" w:rsidRDefault="00A02DD5" w:rsidP="00A02DD5">
      <w:pPr>
        <w:pStyle w:val="ListParagraph"/>
        <w:numPr>
          <w:ilvl w:val="2"/>
          <w:numId w:val="23"/>
        </w:numPr>
        <w:ind w:left="993" w:hanging="709"/>
        <w:jc w:val="both"/>
        <w:rPr>
          <w:rFonts w:cs="Times New Roman"/>
          <w:sz w:val="26"/>
          <w:szCs w:val="26"/>
        </w:rPr>
      </w:pPr>
      <w:r w:rsidRPr="00ED2AE7">
        <w:rPr>
          <w:rFonts w:cs="Times New Roman"/>
          <w:sz w:val="26"/>
          <w:szCs w:val="26"/>
        </w:rPr>
        <w:t xml:space="preserve">Pēc zemkopības ministra Jāņa </w:t>
      </w:r>
      <w:proofErr w:type="spellStart"/>
      <w:r w:rsidRPr="00ED2AE7">
        <w:rPr>
          <w:rFonts w:cs="Times New Roman"/>
          <w:sz w:val="26"/>
          <w:szCs w:val="26"/>
        </w:rPr>
        <w:t>Dūklava</w:t>
      </w:r>
      <w:proofErr w:type="spellEnd"/>
      <w:r w:rsidRPr="00ED2AE7">
        <w:rPr>
          <w:rFonts w:cs="Times New Roman"/>
          <w:sz w:val="26"/>
          <w:szCs w:val="26"/>
        </w:rPr>
        <w:t xml:space="preserve"> un vairāku citu ES dalībvalstu lauksaimniecības ministru ierosinājuma 5. septembrī tiks sasaukta ES Lauksaimniecības un zivsaimniecības ministru padomes (LZMP) ārkārtas sēde saistībā ar Krievijas Federācijas noteikto aizliegumu importēt ES ražotās lauksaimniecības preces un pārtikas produktus.</w:t>
      </w:r>
    </w:p>
    <w:p w:rsidR="00A02DD5" w:rsidRPr="00ED2AE7" w:rsidRDefault="00A02DD5" w:rsidP="00CD63AE">
      <w:pPr>
        <w:pStyle w:val="ListParagraph"/>
        <w:numPr>
          <w:ilvl w:val="2"/>
          <w:numId w:val="23"/>
        </w:numPr>
        <w:ind w:left="993" w:hanging="709"/>
        <w:jc w:val="both"/>
        <w:rPr>
          <w:rFonts w:cs="Times New Roman"/>
          <w:sz w:val="26"/>
          <w:szCs w:val="26"/>
        </w:rPr>
      </w:pPr>
      <w:r w:rsidRPr="00ED2AE7">
        <w:rPr>
          <w:rFonts w:cs="Times New Roman"/>
          <w:sz w:val="26"/>
          <w:szCs w:val="26"/>
        </w:rPr>
        <w:t xml:space="preserve">Zemkopības ministrija ir iesniegusi izskatīšanai 2014.gada 26.augusta Ministru kabineta sēdē  Noteikumu projektu „Valsts atbalsta piešķiršanas kārtība piena šķirņu slaucamo govju produktivitātes datu izvērtēšanai” un Ministru kabineta rīkojuma projektu „Par apropriācijas pārdali”, paredzot pārdalīt finansējumu no Finanšu ministrijas budžeta apakšprogrammas 31.02.00 "Valsts parāda vadība" finansējumu 6 000 000 </w:t>
      </w:r>
      <w:proofErr w:type="spellStart"/>
      <w:r w:rsidRPr="00ED2AE7">
        <w:rPr>
          <w:rFonts w:cs="Times New Roman"/>
          <w:sz w:val="26"/>
          <w:szCs w:val="26"/>
        </w:rPr>
        <w:t>euro</w:t>
      </w:r>
      <w:proofErr w:type="spellEnd"/>
      <w:r w:rsidRPr="00ED2AE7">
        <w:rPr>
          <w:rFonts w:cs="Times New Roman"/>
          <w:sz w:val="26"/>
          <w:szCs w:val="26"/>
        </w:rPr>
        <w:t xml:space="preserve"> apmērā uz Zemkopības ministrijas budžeta apakšprogrammu 21.01.00 „Valsts atbalsts lauksaimniecībai un lauku attīstībai”, lai nodrošinātu atbalstu piena ražotājiem, kuri cietuši no Krievijas Federācijas ekonomiskajām sankcijām pret Latvijas Republiku. Zemkopības ministrija ir nosūtījusi starpministriju saskaņošanai Ministru kabineta noteikumu projektu „Grozījumi Ministru kabineta 2009.gada 7.jūlija noteikumos Nr.746 „Lauksaimniecības un lauku attīstības kredītu garantēšanas kārtība”” kā arī ir veikusi visas nepieciešamās darbības programmas izmaiņu saskaņošanā ar Eiropas Komisiju, ievietojot kopsavilkuma informāciju par atbalsta programmu Eiropas Komisijas </w:t>
      </w:r>
      <w:proofErr w:type="spellStart"/>
      <w:r w:rsidRPr="00ED2AE7">
        <w:rPr>
          <w:rFonts w:cs="Times New Roman"/>
          <w:sz w:val="26"/>
          <w:szCs w:val="26"/>
        </w:rPr>
        <w:t>pārziņā</w:t>
      </w:r>
      <w:proofErr w:type="spellEnd"/>
      <w:r w:rsidRPr="00ED2AE7">
        <w:rPr>
          <w:rFonts w:cs="Times New Roman"/>
          <w:sz w:val="26"/>
          <w:szCs w:val="26"/>
        </w:rPr>
        <w:t xml:space="preserve"> esošajā atbalsta paziņojumu elektroniskajā sistēmā „</w:t>
      </w:r>
      <w:proofErr w:type="spellStart"/>
      <w:r w:rsidRPr="00ED2AE7">
        <w:rPr>
          <w:rFonts w:cs="Times New Roman"/>
          <w:sz w:val="26"/>
          <w:szCs w:val="26"/>
        </w:rPr>
        <w:t>State</w:t>
      </w:r>
      <w:proofErr w:type="spellEnd"/>
      <w:r w:rsidRPr="00ED2AE7">
        <w:rPr>
          <w:rFonts w:cs="Times New Roman"/>
          <w:sz w:val="26"/>
          <w:szCs w:val="26"/>
        </w:rPr>
        <w:t xml:space="preserve"> </w:t>
      </w:r>
      <w:proofErr w:type="spellStart"/>
      <w:r w:rsidRPr="00ED2AE7">
        <w:rPr>
          <w:rFonts w:cs="Times New Roman"/>
          <w:sz w:val="26"/>
          <w:szCs w:val="26"/>
        </w:rPr>
        <w:t>Aid</w:t>
      </w:r>
      <w:proofErr w:type="spellEnd"/>
      <w:r w:rsidRPr="00ED2AE7">
        <w:rPr>
          <w:rFonts w:cs="Times New Roman"/>
          <w:sz w:val="26"/>
          <w:szCs w:val="26"/>
        </w:rPr>
        <w:t xml:space="preserve"> </w:t>
      </w:r>
      <w:proofErr w:type="spellStart"/>
      <w:r w:rsidRPr="00ED2AE7">
        <w:rPr>
          <w:rFonts w:cs="Times New Roman"/>
          <w:sz w:val="26"/>
          <w:szCs w:val="26"/>
        </w:rPr>
        <w:t>Notification</w:t>
      </w:r>
      <w:proofErr w:type="spellEnd"/>
      <w:r w:rsidRPr="00ED2AE7">
        <w:rPr>
          <w:rFonts w:cs="Times New Roman"/>
          <w:sz w:val="26"/>
          <w:szCs w:val="26"/>
        </w:rPr>
        <w:t xml:space="preserve"> </w:t>
      </w:r>
      <w:proofErr w:type="spellStart"/>
      <w:r w:rsidRPr="00ED2AE7">
        <w:rPr>
          <w:rFonts w:cs="Times New Roman"/>
          <w:sz w:val="26"/>
          <w:szCs w:val="26"/>
        </w:rPr>
        <w:t>Interactive</w:t>
      </w:r>
      <w:proofErr w:type="spellEnd"/>
      <w:r w:rsidRPr="00ED2AE7">
        <w:rPr>
          <w:rFonts w:cs="Times New Roman"/>
          <w:sz w:val="26"/>
          <w:szCs w:val="26"/>
        </w:rPr>
        <w:t xml:space="preserve">” </w:t>
      </w:r>
      <w:proofErr w:type="spellStart"/>
      <w:r w:rsidRPr="00ED2AE7">
        <w:rPr>
          <w:rFonts w:cs="Times New Roman"/>
          <w:sz w:val="26"/>
          <w:szCs w:val="26"/>
        </w:rPr>
        <w:t>š.g</w:t>
      </w:r>
      <w:proofErr w:type="spellEnd"/>
      <w:r w:rsidRPr="00ED2AE7">
        <w:rPr>
          <w:rFonts w:cs="Times New Roman"/>
          <w:sz w:val="26"/>
          <w:szCs w:val="26"/>
        </w:rPr>
        <w:t>. 24.augustā, kas reģistrēta</w:t>
      </w:r>
      <w:r w:rsidRPr="00ED2AE7">
        <w:rPr>
          <w:sz w:val="26"/>
          <w:szCs w:val="26"/>
        </w:rPr>
        <w:t xml:space="preserve"> </w:t>
      </w:r>
      <w:r w:rsidRPr="00ED2AE7">
        <w:rPr>
          <w:rFonts w:cs="Times New Roman"/>
          <w:sz w:val="26"/>
          <w:szCs w:val="26"/>
        </w:rPr>
        <w:t xml:space="preserve">SANI sistēmā ar </w:t>
      </w:r>
      <w:proofErr w:type="spellStart"/>
      <w:r w:rsidRPr="00ED2AE7">
        <w:rPr>
          <w:rFonts w:cs="Times New Roman"/>
          <w:sz w:val="26"/>
          <w:szCs w:val="26"/>
        </w:rPr>
        <w:t>Nr.</w:t>
      </w:r>
      <w:r w:rsidRPr="00ED2AE7">
        <w:rPr>
          <w:rFonts w:cs="Times New Roman"/>
          <w:i/>
          <w:sz w:val="26"/>
          <w:szCs w:val="26"/>
        </w:rPr>
        <w:t>SA</w:t>
      </w:r>
      <w:proofErr w:type="spellEnd"/>
      <w:r w:rsidRPr="00ED2AE7">
        <w:rPr>
          <w:rFonts w:cs="Times New Roman"/>
          <w:i/>
          <w:sz w:val="26"/>
          <w:szCs w:val="26"/>
        </w:rPr>
        <w:t xml:space="preserve"> 39408</w:t>
      </w:r>
      <w:r w:rsidRPr="00ED2AE7">
        <w:rPr>
          <w:rFonts w:cs="Times New Roman"/>
          <w:sz w:val="26"/>
          <w:szCs w:val="26"/>
        </w:rPr>
        <w:t>.</w:t>
      </w:r>
    </w:p>
    <w:p w:rsidR="00A02DD5" w:rsidRPr="00ED2AE7" w:rsidRDefault="00A02DD5" w:rsidP="00CD63AE">
      <w:pPr>
        <w:pStyle w:val="ListParagraph"/>
        <w:numPr>
          <w:ilvl w:val="2"/>
          <w:numId w:val="23"/>
        </w:numPr>
        <w:tabs>
          <w:tab w:val="left" w:pos="1134"/>
        </w:tabs>
        <w:ind w:left="993" w:hanging="709"/>
        <w:jc w:val="both"/>
        <w:rPr>
          <w:sz w:val="26"/>
          <w:szCs w:val="26"/>
        </w:rPr>
      </w:pPr>
      <w:r w:rsidRPr="00ED2AE7">
        <w:rPr>
          <w:sz w:val="26"/>
          <w:szCs w:val="26"/>
        </w:rPr>
        <w:t xml:space="preserve">Lai veicinātu vietējās izcelsmes produktu plašāku pārstāvību publiskajos iepirkumos, Zemkopības ministrija sadarbībā ar Finanšu ministriju un </w:t>
      </w:r>
      <w:r w:rsidRPr="00ED2AE7">
        <w:rPr>
          <w:sz w:val="26"/>
          <w:szCs w:val="26"/>
        </w:rPr>
        <w:lastRenderedPageBreak/>
        <w:t xml:space="preserve">Iepirkumu uzraudzības biroju gatavo izskatīšanai Ministru kabinetā  Ministru kabineta instrukcijas projektu. </w:t>
      </w:r>
    </w:p>
    <w:p w:rsidR="00FF6B0D" w:rsidRPr="00FB36FE" w:rsidRDefault="00997E3E" w:rsidP="00486FF6">
      <w:pPr>
        <w:pStyle w:val="Heading1"/>
        <w:numPr>
          <w:ilvl w:val="0"/>
          <w:numId w:val="25"/>
        </w:numPr>
        <w:jc w:val="center"/>
        <w:rPr>
          <w:rFonts w:ascii="Times New Roman" w:hAnsi="Times New Roman" w:cs="Times New Roman"/>
          <w:color w:val="auto"/>
          <w:sz w:val="32"/>
          <w:szCs w:val="32"/>
        </w:rPr>
      </w:pPr>
      <w:bookmarkStart w:id="4" w:name="_Toc396122871"/>
      <w:bookmarkStart w:id="5" w:name="_Toc396775609"/>
      <w:r w:rsidRPr="00ED2AE7">
        <w:rPr>
          <w:rFonts w:ascii="Times New Roman" w:hAnsi="Times New Roman" w:cs="Times New Roman"/>
          <w:color w:val="auto"/>
          <w:szCs w:val="32"/>
        </w:rPr>
        <w:t>A</w:t>
      </w:r>
      <w:r w:rsidR="00FF6B0D" w:rsidRPr="00ED2AE7">
        <w:rPr>
          <w:rFonts w:ascii="Times New Roman" w:hAnsi="Times New Roman" w:cs="Times New Roman"/>
          <w:color w:val="auto"/>
          <w:szCs w:val="32"/>
        </w:rPr>
        <w:t>ktivitātes</w:t>
      </w:r>
      <w:r w:rsidR="000412F0" w:rsidRPr="00ED2AE7">
        <w:rPr>
          <w:rFonts w:ascii="Times New Roman" w:hAnsi="Times New Roman" w:cs="Times New Roman"/>
          <w:color w:val="auto"/>
          <w:szCs w:val="32"/>
        </w:rPr>
        <w:t xml:space="preserve"> eksporta tirgu pārorientācijai</w:t>
      </w:r>
      <w:bookmarkEnd w:id="4"/>
      <w:bookmarkEnd w:id="5"/>
    </w:p>
    <w:bookmarkEnd w:id="1"/>
    <w:bookmarkEnd w:id="2"/>
    <w:bookmarkEnd w:id="3"/>
    <w:p w:rsidR="00FD0838" w:rsidRPr="003730C5" w:rsidRDefault="00FD0838" w:rsidP="00FD0838">
      <w:pPr>
        <w:jc w:val="both"/>
        <w:rPr>
          <w:rFonts w:cs="Times New Roman"/>
          <w:sz w:val="26"/>
          <w:szCs w:val="26"/>
        </w:rPr>
      </w:pPr>
    </w:p>
    <w:p w:rsidR="00CD519F" w:rsidRPr="003730C5" w:rsidRDefault="00CD519F" w:rsidP="003E76E3">
      <w:pPr>
        <w:ind w:firstLine="709"/>
        <w:jc w:val="both"/>
        <w:rPr>
          <w:rFonts w:cs="Times New Roman"/>
          <w:sz w:val="26"/>
          <w:szCs w:val="26"/>
        </w:rPr>
      </w:pPr>
      <w:r w:rsidRPr="003730C5">
        <w:rPr>
          <w:rFonts w:cs="Times New Roman"/>
          <w:sz w:val="26"/>
          <w:szCs w:val="26"/>
        </w:rPr>
        <w:t xml:space="preserve">Prioritāri atbalsts eksporta tirgu pārorientācijai sniedzams: </w:t>
      </w:r>
    </w:p>
    <w:p w:rsidR="00A73323" w:rsidRPr="003730C5" w:rsidRDefault="00A73323" w:rsidP="003E76E3">
      <w:pPr>
        <w:ind w:firstLine="709"/>
        <w:jc w:val="both"/>
        <w:rPr>
          <w:rFonts w:cs="Times New Roman"/>
          <w:sz w:val="26"/>
          <w:szCs w:val="26"/>
        </w:rPr>
      </w:pPr>
    </w:p>
    <w:p w:rsidR="005E2771" w:rsidRPr="003730C5" w:rsidRDefault="003A61B2" w:rsidP="00CD519F">
      <w:pPr>
        <w:numPr>
          <w:ilvl w:val="0"/>
          <w:numId w:val="26"/>
        </w:numPr>
        <w:jc w:val="both"/>
        <w:rPr>
          <w:rFonts w:cs="Times New Roman"/>
          <w:sz w:val="26"/>
          <w:szCs w:val="26"/>
        </w:rPr>
      </w:pPr>
      <w:r w:rsidRPr="003730C5">
        <w:rPr>
          <w:rFonts w:cs="Times New Roman"/>
          <w:sz w:val="26"/>
          <w:szCs w:val="26"/>
        </w:rPr>
        <w:t xml:space="preserve">Krievijas importa embargo sarakstā iekļauto preču ražotājiem  un to nozaru </w:t>
      </w:r>
      <w:r w:rsidR="00A73323" w:rsidRPr="003730C5">
        <w:rPr>
          <w:rFonts w:cs="Times New Roman"/>
          <w:sz w:val="26"/>
          <w:szCs w:val="26"/>
        </w:rPr>
        <w:t>komersantiem</w:t>
      </w:r>
      <w:r w:rsidRPr="003730C5">
        <w:rPr>
          <w:rFonts w:cs="Times New Roman"/>
          <w:sz w:val="26"/>
          <w:szCs w:val="26"/>
        </w:rPr>
        <w:t>, kuru darbība ir saistīta ar sankcijām pakļauto preču eksportu</w:t>
      </w:r>
      <w:r w:rsidR="00FB0F57" w:rsidRPr="003730C5">
        <w:rPr>
          <w:rFonts w:cs="Times New Roman"/>
          <w:sz w:val="26"/>
          <w:szCs w:val="26"/>
        </w:rPr>
        <w:t>.</w:t>
      </w:r>
      <w:r w:rsidR="002B6095" w:rsidRPr="003730C5">
        <w:rPr>
          <w:rFonts w:cs="Times New Roman"/>
          <w:sz w:val="26"/>
          <w:szCs w:val="26"/>
        </w:rPr>
        <w:t xml:space="preserve"> </w:t>
      </w:r>
      <w:r w:rsidR="00FB0F57" w:rsidRPr="003730C5">
        <w:rPr>
          <w:rFonts w:cs="Times New Roman"/>
          <w:sz w:val="26"/>
          <w:szCs w:val="26"/>
        </w:rPr>
        <w:t>A</w:t>
      </w:r>
      <w:r w:rsidR="002B6095" w:rsidRPr="003730C5">
        <w:rPr>
          <w:rFonts w:cs="Times New Roman"/>
          <w:sz w:val="26"/>
          <w:szCs w:val="26"/>
        </w:rPr>
        <w:t>izliegtie pārtikas produkti</w:t>
      </w:r>
      <w:r w:rsidR="00FB0F57" w:rsidRPr="003730C5">
        <w:rPr>
          <w:rFonts w:cs="Times New Roman"/>
          <w:sz w:val="26"/>
          <w:szCs w:val="26"/>
        </w:rPr>
        <w:t>:</w:t>
      </w:r>
      <w:r w:rsidR="002B6095" w:rsidRPr="003730C5">
        <w:rPr>
          <w:rFonts w:cs="Times New Roman"/>
          <w:sz w:val="26"/>
          <w:szCs w:val="26"/>
        </w:rPr>
        <w:t xml:space="preserve"> piena pārstrāde</w:t>
      </w:r>
      <w:r w:rsidR="00A73323" w:rsidRPr="003730C5">
        <w:rPr>
          <w:rFonts w:cs="Times New Roman"/>
          <w:sz w:val="26"/>
          <w:szCs w:val="26"/>
        </w:rPr>
        <w:t>s produkti</w:t>
      </w:r>
      <w:r w:rsidR="002B6095" w:rsidRPr="003730C5">
        <w:rPr>
          <w:rFonts w:cs="Times New Roman"/>
          <w:sz w:val="26"/>
          <w:szCs w:val="26"/>
        </w:rPr>
        <w:t xml:space="preserve">, </w:t>
      </w:r>
      <w:r w:rsidR="00FB0F57" w:rsidRPr="003730C5">
        <w:rPr>
          <w:rFonts w:cs="Times New Roman"/>
          <w:sz w:val="26"/>
          <w:szCs w:val="26"/>
        </w:rPr>
        <w:t>zivis un zivju produkti</w:t>
      </w:r>
      <w:r w:rsidR="002B6095" w:rsidRPr="003730C5">
        <w:rPr>
          <w:rFonts w:cs="Times New Roman"/>
          <w:sz w:val="26"/>
          <w:szCs w:val="26"/>
        </w:rPr>
        <w:t>, gaļa un gaļas produkti</w:t>
      </w:r>
      <w:r w:rsidR="00A73323" w:rsidRPr="003730C5">
        <w:rPr>
          <w:rFonts w:cs="Times New Roman"/>
          <w:sz w:val="26"/>
          <w:szCs w:val="26"/>
        </w:rPr>
        <w:t>, kā arī transporta</w:t>
      </w:r>
      <w:r w:rsidR="00FB0F57" w:rsidRPr="003730C5">
        <w:rPr>
          <w:rFonts w:cs="Times New Roman"/>
          <w:sz w:val="26"/>
          <w:szCs w:val="26"/>
        </w:rPr>
        <w:t xml:space="preserve"> un loģistika</w:t>
      </w:r>
      <w:r w:rsidR="00A73323" w:rsidRPr="003730C5">
        <w:rPr>
          <w:rFonts w:cs="Times New Roman"/>
          <w:sz w:val="26"/>
          <w:szCs w:val="26"/>
        </w:rPr>
        <w:t>s komersanti</w:t>
      </w:r>
      <w:r w:rsidR="00CD519F" w:rsidRPr="003730C5">
        <w:rPr>
          <w:rFonts w:cs="Times New Roman"/>
          <w:sz w:val="26"/>
          <w:szCs w:val="26"/>
        </w:rPr>
        <w:t>;</w:t>
      </w:r>
    </w:p>
    <w:p w:rsidR="005E2771" w:rsidRPr="003730C5" w:rsidRDefault="003A61B2" w:rsidP="00CD519F">
      <w:pPr>
        <w:numPr>
          <w:ilvl w:val="0"/>
          <w:numId w:val="26"/>
        </w:numPr>
        <w:jc w:val="both"/>
        <w:rPr>
          <w:rFonts w:cs="Times New Roman"/>
          <w:sz w:val="26"/>
          <w:szCs w:val="26"/>
        </w:rPr>
      </w:pPr>
      <w:r w:rsidRPr="003730C5">
        <w:rPr>
          <w:rFonts w:cs="Times New Roman"/>
          <w:sz w:val="26"/>
          <w:szCs w:val="26"/>
        </w:rPr>
        <w:t xml:space="preserve">Nozaru </w:t>
      </w:r>
      <w:r w:rsidR="00A73323" w:rsidRPr="003730C5">
        <w:rPr>
          <w:rFonts w:cs="Times New Roman"/>
          <w:sz w:val="26"/>
          <w:szCs w:val="26"/>
        </w:rPr>
        <w:t>komersantiem</w:t>
      </w:r>
      <w:r w:rsidRPr="003730C5">
        <w:rPr>
          <w:rFonts w:cs="Times New Roman"/>
          <w:sz w:val="26"/>
          <w:szCs w:val="26"/>
        </w:rPr>
        <w:t>, kuru produkcija var tikt iekļauta nākamajā  produkcijas embargo sarakstā</w:t>
      </w:r>
      <w:r w:rsidR="00FB0F57" w:rsidRPr="003730C5">
        <w:rPr>
          <w:rFonts w:cs="Times New Roman"/>
          <w:sz w:val="26"/>
          <w:szCs w:val="26"/>
        </w:rPr>
        <w:t xml:space="preserve">: zivju un gaļas konservi, gatavi gaļas izstrādājumi, </w:t>
      </w:r>
      <w:r w:rsidRPr="003730C5">
        <w:rPr>
          <w:rFonts w:cs="Times New Roman"/>
          <w:sz w:val="26"/>
          <w:szCs w:val="26"/>
        </w:rPr>
        <w:t>sulas, ievārījum</w:t>
      </w:r>
      <w:r w:rsidR="00FB0F57" w:rsidRPr="003730C5">
        <w:rPr>
          <w:rFonts w:cs="Times New Roman"/>
          <w:sz w:val="26"/>
          <w:szCs w:val="26"/>
        </w:rPr>
        <w:t>i</w:t>
      </w:r>
      <w:r w:rsidRPr="003730C5">
        <w:rPr>
          <w:rFonts w:cs="Times New Roman"/>
          <w:sz w:val="26"/>
          <w:szCs w:val="26"/>
        </w:rPr>
        <w:t>, augļu biezeņi</w:t>
      </w:r>
      <w:r w:rsidR="00FB0F57" w:rsidRPr="003730C5">
        <w:rPr>
          <w:rFonts w:cs="Times New Roman"/>
          <w:sz w:val="26"/>
          <w:szCs w:val="26"/>
        </w:rPr>
        <w:t>, kā arī farmācijas nozares uzņēmumi</w:t>
      </w:r>
      <w:r w:rsidR="00CD519F" w:rsidRPr="003730C5">
        <w:rPr>
          <w:rFonts w:cs="Times New Roman"/>
          <w:sz w:val="26"/>
          <w:szCs w:val="26"/>
        </w:rPr>
        <w:t>;</w:t>
      </w:r>
    </w:p>
    <w:p w:rsidR="00CD519F" w:rsidRPr="003730C5" w:rsidRDefault="00CD519F" w:rsidP="00FD0838">
      <w:pPr>
        <w:numPr>
          <w:ilvl w:val="0"/>
          <w:numId w:val="26"/>
        </w:numPr>
        <w:jc w:val="both"/>
        <w:rPr>
          <w:rFonts w:cs="Times New Roman"/>
          <w:sz w:val="26"/>
          <w:szCs w:val="26"/>
        </w:rPr>
      </w:pPr>
      <w:r w:rsidRPr="003730C5">
        <w:rPr>
          <w:rFonts w:cs="Times New Roman"/>
          <w:sz w:val="26"/>
          <w:szCs w:val="26"/>
        </w:rPr>
        <w:t xml:space="preserve">Nozaru </w:t>
      </w:r>
      <w:r w:rsidR="00A73323" w:rsidRPr="003730C5">
        <w:rPr>
          <w:rFonts w:cs="Times New Roman"/>
          <w:sz w:val="26"/>
          <w:szCs w:val="26"/>
        </w:rPr>
        <w:t>komersantiem</w:t>
      </w:r>
      <w:r w:rsidRPr="003730C5">
        <w:rPr>
          <w:rFonts w:cs="Times New Roman"/>
          <w:sz w:val="26"/>
          <w:szCs w:val="26"/>
        </w:rPr>
        <w:t>, kurie</w:t>
      </w:r>
      <w:r w:rsidR="003A61B2" w:rsidRPr="003730C5">
        <w:rPr>
          <w:rFonts w:cs="Times New Roman"/>
          <w:sz w:val="26"/>
          <w:szCs w:val="26"/>
        </w:rPr>
        <w:t>m</w:t>
      </w:r>
      <w:r w:rsidRPr="003730C5">
        <w:rPr>
          <w:rFonts w:cs="Times New Roman"/>
          <w:sz w:val="26"/>
          <w:szCs w:val="26"/>
        </w:rPr>
        <w:t xml:space="preserve"> ir</w:t>
      </w:r>
      <w:r w:rsidR="003A61B2" w:rsidRPr="003730C5">
        <w:rPr>
          <w:rFonts w:cs="Times New Roman"/>
          <w:sz w:val="26"/>
          <w:szCs w:val="26"/>
        </w:rPr>
        <w:t xml:space="preserve"> būtisks eksporta apjoms uz Krieviju</w:t>
      </w:r>
      <w:r w:rsidR="00FB0F57" w:rsidRPr="003730C5">
        <w:rPr>
          <w:rFonts w:cs="Times New Roman"/>
          <w:sz w:val="26"/>
          <w:szCs w:val="26"/>
        </w:rPr>
        <w:t>:</w:t>
      </w:r>
      <w:r w:rsidR="003A61B2" w:rsidRPr="003730C5">
        <w:rPr>
          <w:rFonts w:cs="Times New Roman"/>
          <w:sz w:val="26"/>
          <w:szCs w:val="26"/>
        </w:rPr>
        <w:t xml:space="preserve">  ķīmiskā rūpniecība, mašīnbūve</w:t>
      </w:r>
      <w:r w:rsidR="00FB0F57" w:rsidRPr="003730C5">
        <w:rPr>
          <w:rFonts w:cs="Times New Roman"/>
          <w:sz w:val="26"/>
          <w:szCs w:val="26"/>
        </w:rPr>
        <w:t>, transporta līdzekļi, vieglās rūpniecības preces</w:t>
      </w:r>
      <w:r w:rsidRPr="003730C5">
        <w:rPr>
          <w:rFonts w:cs="Times New Roman"/>
          <w:sz w:val="26"/>
          <w:szCs w:val="26"/>
        </w:rPr>
        <w:t>.</w:t>
      </w:r>
      <w:r w:rsidR="003A61B2" w:rsidRPr="003730C5">
        <w:rPr>
          <w:rFonts w:cs="Times New Roman"/>
          <w:sz w:val="26"/>
          <w:szCs w:val="26"/>
        </w:rPr>
        <w:t xml:space="preserve"> </w:t>
      </w:r>
    </w:p>
    <w:p w:rsidR="00EA47E0" w:rsidRPr="00FB36FE" w:rsidRDefault="00EA47E0" w:rsidP="00FD0838">
      <w:pPr>
        <w:jc w:val="both"/>
        <w:rPr>
          <w:rFonts w:cs="Times New Roman"/>
          <w:szCs w:val="28"/>
        </w:rPr>
      </w:pPr>
    </w:p>
    <w:p w:rsidR="00EF247E" w:rsidRPr="00FB36FE" w:rsidRDefault="00EF247E" w:rsidP="00EF247E">
      <w:pPr>
        <w:pStyle w:val="BodyText2"/>
        <w:spacing w:after="0" w:line="240" w:lineRule="auto"/>
        <w:jc w:val="center"/>
        <w:rPr>
          <w:b/>
          <w:bCs/>
          <w:color w:val="000000"/>
          <w:sz w:val="26"/>
          <w:szCs w:val="26"/>
          <w:lang w:val="lv-LV"/>
        </w:rPr>
      </w:pPr>
      <w:r w:rsidRPr="00FB36FE">
        <w:rPr>
          <w:b/>
          <w:bCs/>
          <w:color w:val="000000"/>
          <w:sz w:val="26"/>
          <w:szCs w:val="26"/>
          <w:lang w:val="lv-LV"/>
        </w:rPr>
        <w:t>Latvijas preču eksports pa galvenajām preču grupām 2013.gadā</w:t>
      </w:r>
    </w:p>
    <w:p w:rsidR="00EF247E" w:rsidRPr="00FB36FE" w:rsidRDefault="00EF247E" w:rsidP="00EF247E">
      <w:pPr>
        <w:numPr>
          <w:ilvl w:val="12"/>
          <w:numId w:val="0"/>
        </w:numPr>
        <w:spacing w:after="120"/>
        <w:jc w:val="center"/>
        <w:rPr>
          <w:rFonts w:cs="Times New Roman"/>
          <w:color w:val="000000"/>
          <w:sz w:val="22"/>
          <w:szCs w:val="26"/>
        </w:rPr>
      </w:pPr>
      <w:r w:rsidRPr="00FB36FE">
        <w:rPr>
          <w:rFonts w:cs="Times New Roman"/>
          <w:color w:val="000000"/>
          <w:sz w:val="22"/>
          <w:szCs w:val="26"/>
        </w:rPr>
        <w:t>(%, faktiskajās FOB cenās)</w:t>
      </w:r>
    </w:p>
    <w:tbl>
      <w:tblPr>
        <w:tblStyle w:val="LightShading"/>
        <w:tblW w:w="5000" w:type="pct"/>
        <w:tblLook w:val="0400" w:firstRow="0" w:lastRow="0" w:firstColumn="0" w:lastColumn="0" w:noHBand="0" w:noVBand="1"/>
      </w:tblPr>
      <w:tblGrid>
        <w:gridCol w:w="4129"/>
        <w:gridCol w:w="1308"/>
        <w:gridCol w:w="1926"/>
        <w:gridCol w:w="1924"/>
      </w:tblGrid>
      <w:tr w:rsidR="00EF247E" w:rsidRPr="00FB36FE" w:rsidTr="009D456C">
        <w:trPr>
          <w:cnfStyle w:val="000000100000" w:firstRow="0" w:lastRow="0" w:firstColumn="0" w:lastColumn="0" w:oddVBand="0" w:evenVBand="0" w:oddHBand="1" w:evenHBand="0" w:firstRowFirstColumn="0" w:firstRowLastColumn="0" w:lastRowFirstColumn="0" w:lastRowLastColumn="0"/>
        </w:trPr>
        <w:tc>
          <w:tcPr>
            <w:tcW w:w="2223" w:type="pct"/>
            <w:vAlign w:val="center"/>
          </w:tcPr>
          <w:p w:rsidR="00EF247E" w:rsidRPr="00FB36FE" w:rsidRDefault="00EF247E" w:rsidP="00EA47E0">
            <w:pPr>
              <w:numPr>
                <w:ilvl w:val="12"/>
                <w:numId w:val="0"/>
              </w:numPr>
              <w:spacing w:before="60" w:after="60"/>
              <w:jc w:val="center"/>
              <w:rPr>
                <w:rFonts w:cs="Times New Roman"/>
                <w:b/>
                <w:color w:val="000000"/>
                <w:sz w:val="20"/>
                <w:szCs w:val="20"/>
              </w:rPr>
            </w:pPr>
          </w:p>
        </w:tc>
        <w:tc>
          <w:tcPr>
            <w:tcW w:w="704" w:type="pct"/>
            <w:vAlign w:val="center"/>
          </w:tcPr>
          <w:p w:rsidR="00EF247E" w:rsidRPr="00FB36FE" w:rsidRDefault="00EF247E" w:rsidP="00EF247E">
            <w:pPr>
              <w:keepLines/>
              <w:numPr>
                <w:ilvl w:val="12"/>
                <w:numId w:val="0"/>
              </w:numPr>
              <w:spacing w:before="60" w:after="60"/>
              <w:jc w:val="center"/>
              <w:rPr>
                <w:rFonts w:cs="Times New Roman"/>
                <w:b/>
                <w:color w:val="000000"/>
                <w:sz w:val="20"/>
                <w:szCs w:val="20"/>
              </w:rPr>
            </w:pPr>
            <w:r w:rsidRPr="00FB36FE">
              <w:rPr>
                <w:rFonts w:cs="Times New Roman"/>
                <w:b/>
                <w:color w:val="000000"/>
                <w:sz w:val="20"/>
                <w:szCs w:val="20"/>
              </w:rPr>
              <w:t>Kopējā Latvijas eksporta struktūra</w:t>
            </w:r>
          </w:p>
        </w:tc>
        <w:tc>
          <w:tcPr>
            <w:tcW w:w="1037" w:type="pct"/>
            <w:vAlign w:val="center"/>
          </w:tcPr>
          <w:p w:rsidR="00EF247E" w:rsidRPr="00FB36FE" w:rsidRDefault="00EF247E" w:rsidP="00EF247E">
            <w:pPr>
              <w:keepLines/>
              <w:numPr>
                <w:ilvl w:val="12"/>
                <w:numId w:val="0"/>
              </w:numPr>
              <w:spacing w:before="60" w:after="60"/>
              <w:ind w:left="-79" w:right="-56"/>
              <w:jc w:val="center"/>
              <w:rPr>
                <w:rFonts w:cs="Times New Roman"/>
                <w:b/>
                <w:color w:val="000000"/>
                <w:sz w:val="20"/>
                <w:szCs w:val="20"/>
              </w:rPr>
            </w:pPr>
            <w:r w:rsidRPr="00FB36FE">
              <w:rPr>
                <w:rFonts w:cs="Times New Roman"/>
                <w:b/>
                <w:color w:val="000000"/>
                <w:sz w:val="20"/>
                <w:szCs w:val="20"/>
              </w:rPr>
              <w:t>Eksporta uz Krieviju struktūra</w:t>
            </w:r>
          </w:p>
        </w:tc>
        <w:tc>
          <w:tcPr>
            <w:tcW w:w="1036" w:type="pct"/>
            <w:vAlign w:val="center"/>
          </w:tcPr>
          <w:p w:rsidR="00EF247E" w:rsidRPr="00FB36FE" w:rsidRDefault="00EF247E" w:rsidP="00EF247E">
            <w:pPr>
              <w:keepLines/>
              <w:numPr>
                <w:ilvl w:val="12"/>
                <w:numId w:val="0"/>
              </w:numPr>
              <w:spacing w:before="60" w:after="60"/>
              <w:ind w:left="-79" w:right="-56"/>
              <w:jc w:val="center"/>
              <w:rPr>
                <w:rFonts w:cs="Times New Roman"/>
                <w:b/>
                <w:color w:val="000000"/>
                <w:sz w:val="20"/>
                <w:szCs w:val="20"/>
              </w:rPr>
            </w:pPr>
            <w:r w:rsidRPr="00FB36FE">
              <w:rPr>
                <w:rFonts w:cs="Times New Roman"/>
                <w:b/>
                <w:color w:val="000000"/>
                <w:sz w:val="20"/>
                <w:szCs w:val="20"/>
              </w:rPr>
              <w:t>Eksporta uz Krieviju īpatsvars kopējā grupas eksportā</w:t>
            </w:r>
          </w:p>
        </w:tc>
      </w:tr>
      <w:tr w:rsidR="00EF247E" w:rsidRPr="00FB36FE" w:rsidTr="009D456C">
        <w:tc>
          <w:tcPr>
            <w:tcW w:w="2223" w:type="pct"/>
          </w:tcPr>
          <w:p w:rsidR="00EF247E" w:rsidRPr="00FB36FE" w:rsidRDefault="00EF247E" w:rsidP="00EA47E0">
            <w:pPr>
              <w:numPr>
                <w:ilvl w:val="12"/>
                <w:numId w:val="0"/>
              </w:numPr>
              <w:spacing w:before="60" w:after="60"/>
              <w:rPr>
                <w:rFonts w:cs="Times New Roman"/>
                <w:b/>
                <w:color w:val="000000"/>
                <w:sz w:val="20"/>
                <w:szCs w:val="20"/>
              </w:rPr>
            </w:pPr>
            <w:r w:rsidRPr="00FB36FE">
              <w:rPr>
                <w:rFonts w:cs="Times New Roman"/>
                <w:b/>
                <w:color w:val="000000"/>
                <w:sz w:val="20"/>
                <w:szCs w:val="20"/>
              </w:rPr>
              <w:t>Kopā</w:t>
            </w:r>
            <w:r w:rsidRPr="00FB36FE">
              <w:rPr>
                <w:rFonts w:cs="Times New Roman"/>
                <w:b/>
                <w:color w:val="000000"/>
                <w:sz w:val="20"/>
                <w:szCs w:val="20"/>
              </w:rPr>
              <w:br/>
            </w:r>
            <w:r w:rsidRPr="00FB36FE">
              <w:rPr>
                <w:rFonts w:cs="Times New Roman"/>
                <w:color w:val="000000"/>
                <w:sz w:val="20"/>
                <w:szCs w:val="20"/>
              </w:rPr>
              <w:t xml:space="preserve"> tai skaitā:</w:t>
            </w:r>
          </w:p>
        </w:tc>
        <w:tc>
          <w:tcPr>
            <w:tcW w:w="704" w:type="pct"/>
          </w:tcPr>
          <w:p w:rsidR="00EF247E" w:rsidRPr="00FB36FE" w:rsidRDefault="00EF247E" w:rsidP="00EF247E">
            <w:pPr>
              <w:tabs>
                <w:tab w:val="decimal" w:pos="457"/>
              </w:tabs>
              <w:spacing w:before="60" w:after="60"/>
              <w:jc w:val="center"/>
              <w:rPr>
                <w:rFonts w:cs="Times New Roman"/>
                <w:b/>
                <w:color w:val="000000"/>
                <w:sz w:val="20"/>
                <w:szCs w:val="20"/>
              </w:rPr>
            </w:pPr>
            <w:r w:rsidRPr="00FB36FE">
              <w:rPr>
                <w:rFonts w:cs="Times New Roman"/>
                <w:b/>
                <w:color w:val="000000"/>
                <w:sz w:val="20"/>
                <w:szCs w:val="20"/>
              </w:rPr>
              <w:t>100</w:t>
            </w:r>
          </w:p>
        </w:tc>
        <w:tc>
          <w:tcPr>
            <w:tcW w:w="1037" w:type="pct"/>
          </w:tcPr>
          <w:p w:rsidR="00EF247E" w:rsidRPr="00FB36FE" w:rsidRDefault="00EF247E" w:rsidP="00EF247E">
            <w:pPr>
              <w:tabs>
                <w:tab w:val="decimal" w:pos="638"/>
              </w:tabs>
              <w:spacing w:before="60" w:after="60"/>
              <w:jc w:val="center"/>
              <w:rPr>
                <w:rFonts w:cs="Times New Roman"/>
                <w:b/>
                <w:color w:val="000000"/>
                <w:sz w:val="20"/>
                <w:szCs w:val="20"/>
              </w:rPr>
            </w:pPr>
            <w:r w:rsidRPr="00FB36FE">
              <w:rPr>
                <w:rFonts w:cs="Times New Roman"/>
                <w:b/>
                <w:color w:val="000000"/>
                <w:sz w:val="20"/>
                <w:szCs w:val="20"/>
              </w:rPr>
              <w:t>100</w:t>
            </w:r>
          </w:p>
        </w:tc>
        <w:tc>
          <w:tcPr>
            <w:tcW w:w="1036" w:type="pct"/>
          </w:tcPr>
          <w:p w:rsidR="00EF247E" w:rsidRPr="00FB36FE" w:rsidRDefault="00EF247E" w:rsidP="00EF247E">
            <w:pPr>
              <w:tabs>
                <w:tab w:val="decimal" w:pos="431"/>
              </w:tabs>
              <w:spacing w:before="60" w:after="60"/>
              <w:jc w:val="center"/>
              <w:rPr>
                <w:rFonts w:cs="Times New Roman"/>
                <w:b/>
                <w:color w:val="000000"/>
                <w:sz w:val="20"/>
                <w:szCs w:val="20"/>
              </w:rPr>
            </w:pPr>
            <w:r w:rsidRPr="00FB36FE">
              <w:rPr>
                <w:rFonts w:cs="Times New Roman"/>
                <w:b/>
                <w:color w:val="000000"/>
                <w:sz w:val="20"/>
                <w:szCs w:val="20"/>
              </w:rPr>
              <w:t>11,6</w:t>
            </w:r>
          </w:p>
        </w:tc>
      </w:tr>
      <w:tr w:rsidR="00EF247E" w:rsidRPr="00FB36FE" w:rsidTr="009D456C">
        <w:trPr>
          <w:cnfStyle w:val="000000100000" w:firstRow="0" w:lastRow="0" w:firstColumn="0" w:lastColumn="0" w:oddVBand="0" w:evenVBand="0" w:oddHBand="1" w:evenHBand="0" w:firstRowFirstColumn="0" w:firstRowLastColumn="0" w:lastRowFirstColumn="0" w:lastRowLastColumn="0"/>
        </w:trPr>
        <w:tc>
          <w:tcPr>
            <w:tcW w:w="2223" w:type="pct"/>
          </w:tcPr>
          <w:p w:rsidR="00EF247E" w:rsidRPr="00FB36FE" w:rsidRDefault="00EF247E" w:rsidP="00EA47E0">
            <w:pPr>
              <w:numPr>
                <w:ilvl w:val="12"/>
                <w:numId w:val="0"/>
              </w:numPr>
              <w:spacing w:before="60" w:after="60"/>
              <w:rPr>
                <w:rFonts w:cs="Times New Roman"/>
                <w:color w:val="000000"/>
                <w:sz w:val="20"/>
                <w:szCs w:val="20"/>
              </w:rPr>
            </w:pPr>
            <w:r w:rsidRPr="00FB36FE">
              <w:rPr>
                <w:rFonts w:cs="Times New Roman"/>
                <w:color w:val="000000"/>
                <w:sz w:val="20"/>
                <w:szCs w:val="20"/>
              </w:rPr>
              <w:t>lauksaimniecības un pārtikas produkti</w:t>
            </w:r>
          </w:p>
        </w:tc>
        <w:tc>
          <w:tcPr>
            <w:tcW w:w="704" w:type="pct"/>
          </w:tcPr>
          <w:p w:rsidR="00EF247E" w:rsidRPr="00FB36FE" w:rsidRDefault="00EF247E" w:rsidP="00EF247E">
            <w:pPr>
              <w:tabs>
                <w:tab w:val="decimal" w:pos="457"/>
              </w:tabs>
              <w:spacing w:before="60" w:after="60"/>
              <w:jc w:val="center"/>
              <w:rPr>
                <w:rFonts w:cs="Times New Roman"/>
                <w:color w:val="000000"/>
                <w:sz w:val="20"/>
                <w:szCs w:val="20"/>
              </w:rPr>
            </w:pPr>
            <w:r w:rsidRPr="00FB36FE">
              <w:rPr>
                <w:rFonts w:cs="Times New Roman"/>
                <w:color w:val="000000"/>
                <w:sz w:val="20"/>
                <w:szCs w:val="20"/>
              </w:rPr>
              <w:t>20,4</w:t>
            </w:r>
          </w:p>
        </w:tc>
        <w:tc>
          <w:tcPr>
            <w:tcW w:w="1037" w:type="pct"/>
          </w:tcPr>
          <w:p w:rsidR="00EF247E" w:rsidRPr="00FB36FE" w:rsidRDefault="00EF247E" w:rsidP="00EF247E">
            <w:pPr>
              <w:tabs>
                <w:tab w:val="decimal" w:pos="638"/>
              </w:tabs>
              <w:spacing w:before="60" w:after="60"/>
              <w:jc w:val="center"/>
              <w:rPr>
                <w:rFonts w:cs="Times New Roman"/>
                <w:color w:val="000000"/>
                <w:sz w:val="20"/>
                <w:szCs w:val="20"/>
              </w:rPr>
            </w:pPr>
            <w:r w:rsidRPr="00FB36FE">
              <w:rPr>
                <w:rFonts w:cs="Times New Roman"/>
                <w:color w:val="000000"/>
                <w:sz w:val="20"/>
                <w:szCs w:val="20"/>
              </w:rPr>
              <w:t>42,4</w:t>
            </w:r>
          </w:p>
        </w:tc>
        <w:tc>
          <w:tcPr>
            <w:tcW w:w="1036" w:type="pct"/>
          </w:tcPr>
          <w:p w:rsidR="00EF247E" w:rsidRPr="00FB36FE" w:rsidRDefault="00EF247E" w:rsidP="00EF247E">
            <w:pPr>
              <w:tabs>
                <w:tab w:val="decimal" w:pos="431"/>
              </w:tabs>
              <w:spacing w:before="60" w:after="60"/>
              <w:jc w:val="center"/>
              <w:rPr>
                <w:rFonts w:cs="Times New Roman"/>
                <w:color w:val="000000"/>
                <w:sz w:val="20"/>
                <w:szCs w:val="20"/>
              </w:rPr>
            </w:pPr>
            <w:r w:rsidRPr="00FB36FE">
              <w:rPr>
                <w:rFonts w:cs="Times New Roman"/>
                <w:color w:val="000000"/>
                <w:sz w:val="20"/>
                <w:szCs w:val="20"/>
              </w:rPr>
              <w:t>24,1</w:t>
            </w:r>
          </w:p>
        </w:tc>
      </w:tr>
      <w:tr w:rsidR="00EF247E" w:rsidRPr="00FB36FE" w:rsidTr="009D456C">
        <w:tc>
          <w:tcPr>
            <w:tcW w:w="2223" w:type="pct"/>
          </w:tcPr>
          <w:p w:rsidR="00EF247E" w:rsidRPr="00FB36FE" w:rsidRDefault="00EF247E" w:rsidP="00EA47E0">
            <w:pPr>
              <w:numPr>
                <w:ilvl w:val="12"/>
                <w:numId w:val="0"/>
              </w:numPr>
              <w:spacing w:before="60" w:after="60"/>
              <w:rPr>
                <w:rFonts w:cs="Times New Roman"/>
                <w:color w:val="000000"/>
                <w:sz w:val="20"/>
                <w:szCs w:val="20"/>
              </w:rPr>
            </w:pPr>
            <w:r w:rsidRPr="00FB36FE">
              <w:rPr>
                <w:rFonts w:cs="Times New Roman"/>
                <w:color w:val="000000"/>
                <w:sz w:val="20"/>
                <w:szCs w:val="20"/>
              </w:rPr>
              <w:t>minerālie produkti</w:t>
            </w:r>
          </w:p>
        </w:tc>
        <w:tc>
          <w:tcPr>
            <w:tcW w:w="704" w:type="pct"/>
          </w:tcPr>
          <w:p w:rsidR="00EF247E" w:rsidRPr="00FB36FE" w:rsidRDefault="00EF247E" w:rsidP="00EF247E">
            <w:pPr>
              <w:tabs>
                <w:tab w:val="decimal" w:pos="457"/>
              </w:tabs>
              <w:spacing w:before="60" w:after="60"/>
              <w:jc w:val="center"/>
              <w:rPr>
                <w:rFonts w:cs="Times New Roman"/>
                <w:color w:val="000000"/>
                <w:sz w:val="20"/>
                <w:szCs w:val="20"/>
              </w:rPr>
            </w:pPr>
            <w:r w:rsidRPr="00FB36FE">
              <w:rPr>
                <w:rFonts w:cs="Times New Roman"/>
                <w:color w:val="000000"/>
                <w:sz w:val="20"/>
                <w:szCs w:val="20"/>
              </w:rPr>
              <w:t>8,7</w:t>
            </w:r>
          </w:p>
        </w:tc>
        <w:tc>
          <w:tcPr>
            <w:tcW w:w="1037" w:type="pct"/>
          </w:tcPr>
          <w:p w:rsidR="00EF247E" w:rsidRPr="00FB36FE" w:rsidRDefault="00EF247E" w:rsidP="00EF247E">
            <w:pPr>
              <w:tabs>
                <w:tab w:val="decimal" w:pos="638"/>
              </w:tabs>
              <w:spacing w:before="60" w:after="60"/>
              <w:jc w:val="center"/>
              <w:rPr>
                <w:rFonts w:cs="Times New Roman"/>
                <w:color w:val="000000"/>
                <w:sz w:val="20"/>
                <w:szCs w:val="20"/>
              </w:rPr>
            </w:pPr>
            <w:r w:rsidRPr="00FB36FE">
              <w:rPr>
                <w:rFonts w:cs="Times New Roman"/>
                <w:color w:val="000000"/>
                <w:sz w:val="20"/>
                <w:szCs w:val="20"/>
              </w:rPr>
              <w:t>2,1</w:t>
            </w:r>
          </w:p>
        </w:tc>
        <w:tc>
          <w:tcPr>
            <w:tcW w:w="1036" w:type="pct"/>
          </w:tcPr>
          <w:p w:rsidR="00EF247E" w:rsidRPr="00FB36FE" w:rsidRDefault="00EF247E" w:rsidP="00EF247E">
            <w:pPr>
              <w:tabs>
                <w:tab w:val="decimal" w:pos="431"/>
              </w:tabs>
              <w:spacing w:before="60" w:after="60"/>
              <w:jc w:val="center"/>
              <w:rPr>
                <w:rFonts w:cs="Times New Roman"/>
                <w:color w:val="000000"/>
                <w:sz w:val="20"/>
                <w:szCs w:val="20"/>
              </w:rPr>
            </w:pPr>
            <w:r w:rsidRPr="00FB36FE">
              <w:rPr>
                <w:rFonts w:cs="Times New Roman"/>
                <w:color w:val="000000"/>
                <w:sz w:val="20"/>
                <w:szCs w:val="20"/>
              </w:rPr>
              <w:t>2,7</w:t>
            </w:r>
          </w:p>
        </w:tc>
      </w:tr>
      <w:tr w:rsidR="00EF247E" w:rsidRPr="00FB36FE" w:rsidTr="009D456C">
        <w:trPr>
          <w:cnfStyle w:val="000000100000" w:firstRow="0" w:lastRow="0" w:firstColumn="0" w:lastColumn="0" w:oddVBand="0" w:evenVBand="0" w:oddHBand="1" w:evenHBand="0" w:firstRowFirstColumn="0" w:firstRowLastColumn="0" w:lastRowFirstColumn="0" w:lastRowLastColumn="0"/>
        </w:trPr>
        <w:tc>
          <w:tcPr>
            <w:tcW w:w="2223" w:type="pct"/>
          </w:tcPr>
          <w:p w:rsidR="00EF247E" w:rsidRPr="00FB36FE" w:rsidRDefault="00EF247E" w:rsidP="00EA47E0">
            <w:pPr>
              <w:numPr>
                <w:ilvl w:val="12"/>
                <w:numId w:val="0"/>
              </w:numPr>
              <w:spacing w:before="60" w:after="60"/>
              <w:rPr>
                <w:rFonts w:cs="Times New Roman"/>
                <w:color w:val="000000"/>
                <w:sz w:val="20"/>
                <w:szCs w:val="20"/>
              </w:rPr>
            </w:pPr>
            <w:r w:rsidRPr="00FB36FE">
              <w:rPr>
                <w:rFonts w:cs="Times New Roman"/>
                <w:color w:val="000000"/>
                <w:sz w:val="20"/>
                <w:szCs w:val="20"/>
              </w:rPr>
              <w:t xml:space="preserve">ķīmiskās rūpniecības, tās saskarnozaru </w:t>
            </w:r>
            <w:r w:rsidRPr="00FB36FE">
              <w:rPr>
                <w:rFonts w:cs="Times New Roman"/>
                <w:color w:val="000000"/>
                <w:sz w:val="20"/>
                <w:szCs w:val="20"/>
              </w:rPr>
              <w:br/>
              <w:t>produkcija un plastmasas</w:t>
            </w:r>
          </w:p>
        </w:tc>
        <w:tc>
          <w:tcPr>
            <w:tcW w:w="704" w:type="pct"/>
          </w:tcPr>
          <w:p w:rsidR="00EF247E" w:rsidRPr="00FB36FE" w:rsidRDefault="00EF247E" w:rsidP="00EF247E">
            <w:pPr>
              <w:tabs>
                <w:tab w:val="decimal" w:pos="457"/>
              </w:tabs>
              <w:spacing w:before="60" w:after="60"/>
              <w:jc w:val="center"/>
              <w:rPr>
                <w:rFonts w:cs="Times New Roman"/>
                <w:color w:val="000000"/>
                <w:sz w:val="20"/>
                <w:szCs w:val="20"/>
              </w:rPr>
            </w:pPr>
            <w:r w:rsidRPr="00FB36FE">
              <w:rPr>
                <w:rFonts w:cs="Times New Roman"/>
                <w:color w:val="000000"/>
                <w:sz w:val="20"/>
                <w:szCs w:val="20"/>
              </w:rPr>
              <w:t>9,8</w:t>
            </w:r>
          </w:p>
        </w:tc>
        <w:tc>
          <w:tcPr>
            <w:tcW w:w="1037" w:type="pct"/>
          </w:tcPr>
          <w:p w:rsidR="00EF247E" w:rsidRPr="00FB36FE" w:rsidRDefault="00EF247E" w:rsidP="00EF247E">
            <w:pPr>
              <w:tabs>
                <w:tab w:val="decimal" w:pos="638"/>
              </w:tabs>
              <w:spacing w:before="60" w:after="60"/>
              <w:jc w:val="center"/>
              <w:rPr>
                <w:rFonts w:cs="Times New Roman"/>
                <w:color w:val="000000"/>
                <w:sz w:val="20"/>
                <w:szCs w:val="20"/>
              </w:rPr>
            </w:pPr>
            <w:r w:rsidRPr="00FB36FE">
              <w:rPr>
                <w:rFonts w:cs="Times New Roman"/>
                <w:color w:val="000000"/>
                <w:sz w:val="20"/>
                <w:szCs w:val="20"/>
              </w:rPr>
              <w:t>15,3</w:t>
            </w:r>
          </w:p>
        </w:tc>
        <w:tc>
          <w:tcPr>
            <w:tcW w:w="1036" w:type="pct"/>
          </w:tcPr>
          <w:p w:rsidR="00EF247E" w:rsidRPr="00FB36FE" w:rsidRDefault="00EF247E" w:rsidP="00EF247E">
            <w:pPr>
              <w:tabs>
                <w:tab w:val="decimal" w:pos="431"/>
              </w:tabs>
              <w:spacing w:before="60" w:after="60"/>
              <w:jc w:val="center"/>
              <w:rPr>
                <w:rFonts w:cs="Times New Roman"/>
                <w:color w:val="000000"/>
                <w:sz w:val="20"/>
                <w:szCs w:val="20"/>
              </w:rPr>
            </w:pPr>
            <w:r w:rsidRPr="00FB36FE">
              <w:rPr>
                <w:rFonts w:cs="Times New Roman"/>
                <w:color w:val="000000"/>
                <w:sz w:val="20"/>
                <w:szCs w:val="20"/>
              </w:rPr>
              <w:t>18,2</w:t>
            </w:r>
          </w:p>
        </w:tc>
      </w:tr>
      <w:tr w:rsidR="00EF247E" w:rsidRPr="00FB36FE" w:rsidTr="009D456C">
        <w:trPr>
          <w:trHeight w:val="162"/>
        </w:trPr>
        <w:tc>
          <w:tcPr>
            <w:tcW w:w="2223" w:type="pct"/>
          </w:tcPr>
          <w:p w:rsidR="00EF247E" w:rsidRPr="00FB36FE" w:rsidRDefault="00EF247E" w:rsidP="00EA47E0">
            <w:pPr>
              <w:numPr>
                <w:ilvl w:val="12"/>
                <w:numId w:val="0"/>
              </w:numPr>
              <w:spacing w:before="60" w:after="60"/>
              <w:rPr>
                <w:rFonts w:cs="Times New Roman"/>
                <w:color w:val="000000"/>
                <w:sz w:val="20"/>
                <w:szCs w:val="20"/>
              </w:rPr>
            </w:pPr>
            <w:r w:rsidRPr="00FB36FE">
              <w:rPr>
                <w:rFonts w:cs="Times New Roman"/>
                <w:color w:val="000000"/>
                <w:sz w:val="20"/>
                <w:szCs w:val="20"/>
              </w:rPr>
              <w:t>vieglās rūpniecības preces</w:t>
            </w:r>
          </w:p>
        </w:tc>
        <w:tc>
          <w:tcPr>
            <w:tcW w:w="704" w:type="pct"/>
          </w:tcPr>
          <w:p w:rsidR="00EF247E" w:rsidRPr="00FB36FE" w:rsidRDefault="00EF247E" w:rsidP="00EF247E">
            <w:pPr>
              <w:tabs>
                <w:tab w:val="decimal" w:pos="457"/>
              </w:tabs>
              <w:spacing w:before="60" w:after="60"/>
              <w:jc w:val="center"/>
              <w:rPr>
                <w:rFonts w:cs="Times New Roman"/>
                <w:color w:val="000000"/>
                <w:sz w:val="20"/>
                <w:szCs w:val="20"/>
              </w:rPr>
            </w:pPr>
            <w:r w:rsidRPr="00FB36FE">
              <w:rPr>
                <w:rFonts w:cs="Times New Roman"/>
                <w:color w:val="000000"/>
                <w:sz w:val="20"/>
                <w:szCs w:val="20"/>
              </w:rPr>
              <w:t>4,9</w:t>
            </w:r>
          </w:p>
        </w:tc>
        <w:tc>
          <w:tcPr>
            <w:tcW w:w="1037" w:type="pct"/>
          </w:tcPr>
          <w:p w:rsidR="00EF247E" w:rsidRPr="00FB36FE" w:rsidRDefault="00EF247E" w:rsidP="00EF247E">
            <w:pPr>
              <w:tabs>
                <w:tab w:val="decimal" w:pos="638"/>
              </w:tabs>
              <w:spacing w:before="60" w:after="60"/>
              <w:jc w:val="center"/>
              <w:rPr>
                <w:rFonts w:cs="Times New Roman"/>
                <w:color w:val="000000"/>
                <w:sz w:val="20"/>
                <w:szCs w:val="20"/>
              </w:rPr>
            </w:pPr>
            <w:r w:rsidRPr="00FB36FE">
              <w:rPr>
                <w:rFonts w:cs="Times New Roman"/>
                <w:color w:val="000000"/>
                <w:sz w:val="20"/>
                <w:szCs w:val="20"/>
              </w:rPr>
              <w:t>4,1</w:t>
            </w:r>
          </w:p>
        </w:tc>
        <w:tc>
          <w:tcPr>
            <w:tcW w:w="1036" w:type="pct"/>
          </w:tcPr>
          <w:p w:rsidR="00EF247E" w:rsidRPr="00FB36FE" w:rsidRDefault="00EF247E" w:rsidP="00EF247E">
            <w:pPr>
              <w:tabs>
                <w:tab w:val="decimal" w:pos="431"/>
              </w:tabs>
              <w:spacing w:before="60" w:after="60"/>
              <w:jc w:val="center"/>
              <w:rPr>
                <w:rFonts w:cs="Times New Roman"/>
                <w:color w:val="000000"/>
                <w:sz w:val="20"/>
                <w:szCs w:val="20"/>
              </w:rPr>
            </w:pPr>
            <w:r w:rsidRPr="00FB36FE">
              <w:rPr>
                <w:rFonts w:cs="Times New Roman"/>
                <w:color w:val="000000"/>
                <w:sz w:val="20"/>
                <w:szCs w:val="20"/>
              </w:rPr>
              <w:t>9,8</w:t>
            </w:r>
          </w:p>
        </w:tc>
      </w:tr>
      <w:tr w:rsidR="00EF247E" w:rsidRPr="00FB36FE" w:rsidTr="009D456C">
        <w:trPr>
          <w:cnfStyle w:val="000000100000" w:firstRow="0" w:lastRow="0" w:firstColumn="0" w:lastColumn="0" w:oddVBand="0" w:evenVBand="0" w:oddHBand="1" w:evenHBand="0" w:firstRowFirstColumn="0" w:firstRowLastColumn="0" w:lastRowFirstColumn="0" w:lastRowLastColumn="0"/>
        </w:trPr>
        <w:tc>
          <w:tcPr>
            <w:tcW w:w="2223" w:type="pct"/>
          </w:tcPr>
          <w:p w:rsidR="00EF247E" w:rsidRPr="00FB36FE" w:rsidRDefault="00EF247E" w:rsidP="00EA47E0">
            <w:pPr>
              <w:numPr>
                <w:ilvl w:val="12"/>
                <w:numId w:val="0"/>
              </w:numPr>
              <w:spacing w:before="60" w:after="60"/>
              <w:rPr>
                <w:rFonts w:cs="Times New Roman"/>
                <w:color w:val="000000"/>
                <w:sz w:val="20"/>
                <w:szCs w:val="20"/>
              </w:rPr>
            </w:pPr>
            <w:r w:rsidRPr="00FB36FE">
              <w:rPr>
                <w:rFonts w:cs="Times New Roman"/>
                <w:color w:val="000000"/>
                <w:sz w:val="20"/>
                <w:szCs w:val="20"/>
              </w:rPr>
              <w:t>koksne un tās izstrādājumi</w:t>
            </w:r>
          </w:p>
        </w:tc>
        <w:tc>
          <w:tcPr>
            <w:tcW w:w="704" w:type="pct"/>
          </w:tcPr>
          <w:p w:rsidR="00EF247E" w:rsidRPr="00FB36FE" w:rsidRDefault="00EF247E" w:rsidP="00EF247E">
            <w:pPr>
              <w:tabs>
                <w:tab w:val="decimal" w:pos="457"/>
              </w:tabs>
              <w:spacing w:before="60" w:after="60"/>
              <w:jc w:val="center"/>
              <w:rPr>
                <w:rFonts w:cs="Times New Roman"/>
                <w:color w:val="000000"/>
                <w:sz w:val="20"/>
                <w:szCs w:val="20"/>
              </w:rPr>
            </w:pPr>
            <w:r w:rsidRPr="00FB36FE">
              <w:rPr>
                <w:rFonts w:cs="Times New Roman"/>
                <w:color w:val="000000"/>
                <w:sz w:val="20"/>
                <w:szCs w:val="20"/>
              </w:rPr>
              <w:t>15,9</w:t>
            </w:r>
          </w:p>
        </w:tc>
        <w:tc>
          <w:tcPr>
            <w:tcW w:w="1037" w:type="pct"/>
          </w:tcPr>
          <w:p w:rsidR="00EF247E" w:rsidRPr="00FB36FE" w:rsidRDefault="00EF247E" w:rsidP="00EF247E">
            <w:pPr>
              <w:tabs>
                <w:tab w:val="decimal" w:pos="638"/>
              </w:tabs>
              <w:spacing w:before="60" w:after="60"/>
              <w:jc w:val="center"/>
              <w:rPr>
                <w:rFonts w:cs="Times New Roman"/>
                <w:color w:val="000000"/>
                <w:sz w:val="20"/>
                <w:szCs w:val="20"/>
              </w:rPr>
            </w:pPr>
            <w:r w:rsidRPr="00FB36FE">
              <w:rPr>
                <w:rFonts w:cs="Times New Roman"/>
                <w:color w:val="000000"/>
                <w:sz w:val="20"/>
                <w:szCs w:val="20"/>
              </w:rPr>
              <w:t>3,2</w:t>
            </w:r>
          </w:p>
        </w:tc>
        <w:tc>
          <w:tcPr>
            <w:tcW w:w="1036" w:type="pct"/>
          </w:tcPr>
          <w:p w:rsidR="00EF247E" w:rsidRPr="00FB36FE" w:rsidRDefault="00EF247E" w:rsidP="00EF247E">
            <w:pPr>
              <w:tabs>
                <w:tab w:val="decimal" w:pos="431"/>
              </w:tabs>
              <w:spacing w:before="60" w:after="60"/>
              <w:jc w:val="center"/>
              <w:rPr>
                <w:rFonts w:cs="Times New Roman"/>
                <w:color w:val="000000"/>
                <w:sz w:val="20"/>
                <w:szCs w:val="20"/>
              </w:rPr>
            </w:pPr>
            <w:r w:rsidRPr="00FB36FE">
              <w:rPr>
                <w:rFonts w:cs="Times New Roman"/>
                <w:color w:val="000000"/>
                <w:sz w:val="20"/>
                <w:szCs w:val="20"/>
              </w:rPr>
              <w:t>2,3</w:t>
            </w:r>
          </w:p>
        </w:tc>
      </w:tr>
      <w:tr w:rsidR="00EF247E" w:rsidRPr="00FB36FE" w:rsidTr="009D456C">
        <w:tc>
          <w:tcPr>
            <w:tcW w:w="2223" w:type="pct"/>
          </w:tcPr>
          <w:p w:rsidR="00EF247E" w:rsidRPr="00FB36FE" w:rsidRDefault="00EF247E" w:rsidP="00EA47E0">
            <w:pPr>
              <w:numPr>
                <w:ilvl w:val="12"/>
                <w:numId w:val="0"/>
              </w:numPr>
              <w:spacing w:before="60" w:after="60"/>
              <w:rPr>
                <w:rFonts w:cs="Times New Roman"/>
                <w:color w:val="000000"/>
                <w:sz w:val="20"/>
                <w:szCs w:val="20"/>
              </w:rPr>
            </w:pPr>
            <w:r w:rsidRPr="00FB36FE">
              <w:rPr>
                <w:rFonts w:cs="Times New Roman"/>
                <w:color w:val="000000"/>
                <w:sz w:val="20"/>
                <w:szCs w:val="20"/>
              </w:rPr>
              <w:t>metāli un to izstrādājumi</w:t>
            </w:r>
          </w:p>
        </w:tc>
        <w:tc>
          <w:tcPr>
            <w:tcW w:w="704" w:type="pct"/>
          </w:tcPr>
          <w:p w:rsidR="00EF247E" w:rsidRPr="00FB36FE" w:rsidRDefault="00EF247E" w:rsidP="00EF247E">
            <w:pPr>
              <w:tabs>
                <w:tab w:val="decimal" w:pos="457"/>
              </w:tabs>
              <w:spacing w:before="60" w:after="60"/>
              <w:jc w:val="center"/>
              <w:rPr>
                <w:rFonts w:cs="Times New Roman"/>
                <w:color w:val="000000"/>
                <w:sz w:val="20"/>
                <w:szCs w:val="20"/>
              </w:rPr>
            </w:pPr>
            <w:r w:rsidRPr="00FB36FE">
              <w:rPr>
                <w:rFonts w:cs="Times New Roman"/>
                <w:color w:val="000000"/>
                <w:sz w:val="20"/>
                <w:szCs w:val="20"/>
              </w:rPr>
              <w:t>10,5</w:t>
            </w:r>
          </w:p>
        </w:tc>
        <w:tc>
          <w:tcPr>
            <w:tcW w:w="1037" w:type="pct"/>
          </w:tcPr>
          <w:p w:rsidR="00EF247E" w:rsidRPr="00FB36FE" w:rsidRDefault="00EF247E" w:rsidP="00EF247E">
            <w:pPr>
              <w:tabs>
                <w:tab w:val="decimal" w:pos="638"/>
              </w:tabs>
              <w:spacing w:before="60" w:after="60"/>
              <w:jc w:val="center"/>
              <w:rPr>
                <w:rFonts w:cs="Times New Roman"/>
                <w:color w:val="000000"/>
                <w:sz w:val="20"/>
                <w:szCs w:val="20"/>
              </w:rPr>
            </w:pPr>
            <w:r w:rsidRPr="00FB36FE">
              <w:rPr>
                <w:rFonts w:cs="Times New Roman"/>
                <w:color w:val="000000"/>
                <w:sz w:val="20"/>
                <w:szCs w:val="20"/>
              </w:rPr>
              <w:t>2,7</w:t>
            </w:r>
          </w:p>
        </w:tc>
        <w:tc>
          <w:tcPr>
            <w:tcW w:w="1036" w:type="pct"/>
          </w:tcPr>
          <w:p w:rsidR="00EF247E" w:rsidRPr="00FB36FE" w:rsidRDefault="00EF247E" w:rsidP="00EF247E">
            <w:pPr>
              <w:tabs>
                <w:tab w:val="decimal" w:pos="431"/>
              </w:tabs>
              <w:spacing w:before="60" w:after="60"/>
              <w:jc w:val="center"/>
              <w:rPr>
                <w:rFonts w:cs="Times New Roman"/>
                <w:color w:val="000000"/>
                <w:sz w:val="20"/>
                <w:szCs w:val="20"/>
              </w:rPr>
            </w:pPr>
            <w:r w:rsidRPr="00FB36FE">
              <w:rPr>
                <w:rFonts w:cs="Times New Roman"/>
                <w:color w:val="000000"/>
                <w:sz w:val="20"/>
                <w:szCs w:val="20"/>
              </w:rPr>
              <w:t>3,0</w:t>
            </w:r>
          </w:p>
        </w:tc>
      </w:tr>
      <w:tr w:rsidR="00EF247E" w:rsidRPr="00FB36FE" w:rsidTr="009D456C">
        <w:trPr>
          <w:cnfStyle w:val="000000100000" w:firstRow="0" w:lastRow="0" w:firstColumn="0" w:lastColumn="0" w:oddVBand="0" w:evenVBand="0" w:oddHBand="1" w:evenHBand="0" w:firstRowFirstColumn="0" w:firstRowLastColumn="0" w:lastRowFirstColumn="0" w:lastRowLastColumn="0"/>
        </w:trPr>
        <w:tc>
          <w:tcPr>
            <w:tcW w:w="2223" w:type="pct"/>
          </w:tcPr>
          <w:p w:rsidR="00EF247E" w:rsidRPr="00FB36FE" w:rsidRDefault="00EF247E" w:rsidP="00EA47E0">
            <w:pPr>
              <w:numPr>
                <w:ilvl w:val="12"/>
                <w:numId w:val="0"/>
              </w:numPr>
              <w:spacing w:before="60" w:after="60"/>
              <w:rPr>
                <w:rFonts w:cs="Times New Roman"/>
                <w:color w:val="000000"/>
                <w:sz w:val="20"/>
                <w:szCs w:val="20"/>
              </w:rPr>
            </w:pPr>
            <w:r w:rsidRPr="00FB36FE">
              <w:rPr>
                <w:rFonts w:cs="Times New Roman"/>
                <w:color w:val="000000"/>
                <w:sz w:val="20"/>
                <w:szCs w:val="20"/>
              </w:rPr>
              <w:t>mašīnbūves produkcija</w:t>
            </w:r>
          </w:p>
        </w:tc>
        <w:tc>
          <w:tcPr>
            <w:tcW w:w="704" w:type="pct"/>
          </w:tcPr>
          <w:p w:rsidR="00EF247E" w:rsidRPr="00FB36FE" w:rsidRDefault="00EF247E" w:rsidP="00EF247E">
            <w:pPr>
              <w:tabs>
                <w:tab w:val="decimal" w:pos="457"/>
              </w:tabs>
              <w:spacing w:before="60" w:after="60"/>
              <w:jc w:val="center"/>
              <w:rPr>
                <w:rFonts w:cs="Times New Roman"/>
                <w:color w:val="000000"/>
                <w:sz w:val="20"/>
                <w:szCs w:val="20"/>
              </w:rPr>
            </w:pPr>
            <w:r w:rsidRPr="00FB36FE">
              <w:rPr>
                <w:rFonts w:cs="Times New Roman"/>
                <w:color w:val="000000"/>
                <w:sz w:val="20"/>
                <w:szCs w:val="20"/>
              </w:rPr>
              <w:t>15,6</w:t>
            </w:r>
          </w:p>
        </w:tc>
        <w:tc>
          <w:tcPr>
            <w:tcW w:w="1037" w:type="pct"/>
          </w:tcPr>
          <w:p w:rsidR="00EF247E" w:rsidRPr="00FB36FE" w:rsidRDefault="00EF247E" w:rsidP="00EF247E">
            <w:pPr>
              <w:tabs>
                <w:tab w:val="decimal" w:pos="638"/>
              </w:tabs>
              <w:spacing w:before="60" w:after="60"/>
              <w:jc w:val="center"/>
              <w:rPr>
                <w:rFonts w:cs="Times New Roman"/>
                <w:color w:val="000000"/>
                <w:sz w:val="20"/>
                <w:szCs w:val="20"/>
              </w:rPr>
            </w:pPr>
            <w:r w:rsidRPr="00FB36FE">
              <w:rPr>
                <w:rFonts w:cs="Times New Roman"/>
                <w:color w:val="000000"/>
                <w:sz w:val="20"/>
                <w:szCs w:val="20"/>
              </w:rPr>
              <w:t>15,7</w:t>
            </w:r>
          </w:p>
        </w:tc>
        <w:tc>
          <w:tcPr>
            <w:tcW w:w="1036" w:type="pct"/>
          </w:tcPr>
          <w:p w:rsidR="00EF247E" w:rsidRPr="00FB36FE" w:rsidRDefault="00EF247E" w:rsidP="00EF247E">
            <w:pPr>
              <w:tabs>
                <w:tab w:val="decimal" w:pos="431"/>
              </w:tabs>
              <w:spacing w:before="60" w:after="60"/>
              <w:jc w:val="center"/>
              <w:rPr>
                <w:rFonts w:cs="Times New Roman"/>
                <w:color w:val="000000"/>
                <w:sz w:val="20"/>
                <w:szCs w:val="20"/>
              </w:rPr>
            </w:pPr>
            <w:r w:rsidRPr="00FB36FE">
              <w:rPr>
                <w:rFonts w:cs="Times New Roman"/>
                <w:color w:val="000000"/>
                <w:sz w:val="20"/>
                <w:szCs w:val="20"/>
              </w:rPr>
              <w:t>11,7</w:t>
            </w:r>
          </w:p>
        </w:tc>
      </w:tr>
      <w:tr w:rsidR="00EF247E" w:rsidRPr="00FB36FE" w:rsidTr="009D456C">
        <w:tc>
          <w:tcPr>
            <w:tcW w:w="2223" w:type="pct"/>
          </w:tcPr>
          <w:p w:rsidR="00EF247E" w:rsidRPr="00FB36FE" w:rsidRDefault="00EF247E" w:rsidP="00EA47E0">
            <w:pPr>
              <w:numPr>
                <w:ilvl w:val="12"/>
                <w:numId w:val="0"/>
              </w:numPr>
              <w:spacing w:before="60" w:after="60"/>
              <w:rPr>
                <w:rFonts w:cs="Times New Roman"/>
                <w:color w:val="000000"/>
                <w:sz w:val="20"/>
                <w:szCs w:val="20"/>
              </w:rPr>
            </w:pPr>
            <w:r w:rsidRPr="00FB36FE">
              <w:rPr>
                <w:rFonts w:cs="Times New Roman"/>
                <w:color w:val="000000"/>
                <w:sz w:val="20"/>
                <w:szCs w:val="20"/>
              </w:rPr>
              <w:t>transporta līdzekļi</w:t>
            </w:r>
          </w:p>
        </w:tc>
        <w:tc>
          <w:tcPr>
            <w:tcW w:w="704" w:type="pct"/>
          </w:tcPr>
          <w:p w:rsidR="00EF247E" w:rsidRPr="00FB36FE" w:rsidRDefault="00EF247E" w:rsidP="00EF247E">
            <w:pPr>
              <w:tabs>
                <w:tab w:val="decimal" w:pos="457"/>
              </w:tabs>
              <w:spacing w:before="60" w:after="60"/>
              <w:jc w:val="center"/>
              <w:rPr>
                <w:rFonts w:cs="Times New Roman"/>
                <w:color w:val="000000"/>
                <w:sz w:val="20"/>
                <w:szCs w:val="20"/>
              </w:rPr>
            </w:pPr>
            <w:r w:rsidRPr="00FB36FE">
              <w:rPr>
                <w:rFonts w:cs="Times New Roman"/>
                <w:color w:val="000000"/>
                <w:sz w:val="20"/>
                <w:szCs w:val="20"/>
              </w:rPr>
              <w:t>4,5</w:t>
            </w:r>
          </w:p>
        </w:tc>
        <w:tc>
          <w:tcPr>
            <w:tcW w:w="1037" w:type="pct"/>
          </w:tcPr>
          <w:p w:rsidR="00EF247E" w:rsidRPr="00FB36FE" w:rsidRDefault="00EF247E" w:rsidP="00EF247E">
            <w:pPr>
              <w:tabs>
                <w:tab w:val="decimal" w:pos="638"/>
              </w:tabs>
              <w:spacing w:before="60" w:after="60"/>
              <w:jc w:val="center"/>
              <w:rPr>
                <w:rFonts w:cs="Times New Roman"/>
                <w:color w:val="000000"/>
                <w:sz w:val="20"/>
                <w:szCs w:val="20"/>
              </w:rPr>
            </w:pPr>
            <w:r w:rsidRPr="00FB36FE">
              <w:rPr>
                <w:rFonts w:cs="Times New Roman"/>
                <w:color w:val="000000"/>
                <w:sz w:val="20"/>
                <w:szCs w:val="20"/>
              </w:rPr>
              <w:t>5,5</w:t>
            </w:r>
          </w:p>
        </w:tc>
        <w:tc>
          <w:tcPr>
            <w:tcW w:w="1036" w:type="pct"/>
          </w:tcPr>
          <w:p w:rsidR="00EF247E" w:rsidRPr="00FB36FE" w:rsidRDefault="00EF247E" w:rsidP="00EF247E">
            <w:pPr>
              <w:tabs>
                <w:tab w:val="decimal" w:pos="431"/>
              </w:tabs>
              <w:spacing w:before="60" w:after="60"/>
              <w:jc w:val="center"/>
              <w:rPr>
                <w:rFonts w:cs="Times New Roman"/>
                <w:color w:val="000000"/>
                <w:sz w:val="20"/>
                <w:szCs w:val="20"/>
              </w:rPr>
            </w:pPr>
            <w:r w:rsidRPr="00FB36FE">
              <w:rPr>
                <w:rFonts w:cs="Times New Roman"/>
                <w:color w:val="000000"/>
                <w:sz w:val="20"/>
                <w:szCs w:val="20"/>
              </w:rPr>
              <w:t>14,1</w:t>
            </w:r>
          </w:p>
        </w:tc>
      </w:tr>
      <w:tr w:rsidR="00EF247E" w:rsidRPr="00FB36FE" w:rsidTr="009D456C">
        <w:trPr>
          <w:cnfStyle w:val="000000100000" w:firstRow="0" w:lastRow="0" w:firstColumn="0" w:lastColumn="0" w:oddVBand="0" w:evenVBand="0" w:oddHBand="1" w:evenHBand="0" w:firstRowFirstColumn="0" w:firstRowLastColumn="0" w:lastRowFirstColumn="0" w:lastRowLastColumn="0"/>
        </w:trPr>
        <w:tc>
          <w:tcPr>
            <w:tcW w:w="2223" w:type="pct"/>
          </w:tcPr>
          <w:p w:rsidR="00EF247E" w:rsidRPr="00FB36FE" w:rsidRDefault="00EF247E" w:rsidP="00EA47E0">
            <w:pPr>
              <w:numPr>
                <w:ilvl w:val="12"/>
                <w:numId w:val="0"/>
              </w:numPr>
              <w:spacing w:before="60" w:after="60"/>
              <w:rPr>
                <w:rFonts w:cs="Times New Roman"/>
                <w:color w:val="000000"/>
                <w:sz w:val="20"/>
                <w:szCs w:val="20"/>
              </w:rPr>
            </w:pPr>
            <w:r w:rsidRPr="00FB36FE">
              <w:rPr>
                <w:rFonts w:cs="Times New Roman"/>
                <w:color w:val="000000"/>
                <w:sz w:val="20"/>
                <w:szCs w:val="20"/>
              </w:rPr>
              <w:t>pārējās preces</w:t>
            </w:r>
          </w:p>
        </w:tc>
        <w:tc>
          <w:tcPr>
            <w:tcW w:w="704" w:type="pct"/>
          </w:tcPr>
          <w:p w:rsidR="00EF247E" w:rsidRPr="00FB36FE" w:rsidRDefault="00EF247E" w:rsidP="00EF247E">
            <w:pPr>
              <w:tabs>
                <w:tab w:val="decimal" w:pos="457"/>
              </w:tabs>
              <w:spacing w:before="60" w:after="60"/>
              <w:jc w:val="center"/>
              <w:rPr>
                <w:rFonts w:cs="Times New Roman"/>
                <w:color w:val="000000"/>
                <w:sz w:val="20"/>
                <w:szCs w:val="20"/>
              </w:rPr>
            </w:pPr>
            <w:r w:rsidRPr="00FB36FE">
              <w:rPr>
                <w:rFonts w:cs="Times New Roman"/>
                <w:color w:val="000000"/>
                <w:sz w:val="20"/>
                <w:szCs w:val="20"/>
              </w:rPr>
              <w:t>9,7</w:t>
            </w:r>
          </w:p>
        </w:tc>
        <w:tc>
          <w:tcPr>
            <w:tcW w:w="1037" w:type="pct"/>
          </w:tcPr>
          <w:p w:rsidR="00EF247E" w:rsidRPr="00FB36FE" w:rsidRDefault="00EF247E" w:rsidP="00EF247E">
            <w:pPr>
              <w:tabs>
                <w:tab w:val="decimal" w:pos="638"/>
              </w:tabs>
              <w:spacing w:before="60" w:after="60"/>
              <w:jc w:val="center"/>
              <w:rPr>
                <w:rFonts w:cs="Times New Roman"/>
                <w:color w:val="000000"/>
                <w:sz w:val="20"/>
                <w:szCs w:val="20"/>
              </w:rPr>
            </w:pPr>
            <w:r w:rsidRPr="00FB36FE">
              <w:rPr>
                <w:rFonts w:cs="Times New Roman"/>
                <w:color w:val="000000"/>
                <w:sz w:val="20"/>
                <w:szCs w:val="20"/>
              </w:rPr>
              <w:t>9,0</w:t>
            </w:r>
          </w:p>
        </w:tc>
        <w:tc>
          <w:tcPr>
            <w:tcW w:w="1036" w:type="pct"/>
          </w:tcPr>
          <w:p w:rsidR="00EF247E" w:rsidRPr="00FB36FE" w:rsidRDefault="00EF247E" w:rsidP="00EF247E">
            <w:pPr>
              <w:tabs>
                <w:tab w:val="decimal" w:pos="431"/>
              </w:tabs>
              <w:spacing w:before="60" w:after="60"/>
              <w:jc w:val="center"/>
              <w:rPr>
                <w:rFonts w:cs="Times New Roman"/>
                <w:color w:val="000000"/>
                <w:sz w:val="20"/>
                <w:szCs w:val="20"/>
              </w:rPr>
            </w:pPr>
            <w:r w:rsidRPr="00FB36FE">
              <w:rPr>
                <w:rFonts w:cs="Times New Roman"/>
                <w:color w:val="000000"/>
                <w:sz w:val="20"/>
                <w:szCs w:val="20"/>
              </w:rPr>
              <w:t>10,8</w:t>
            </w:r>
          </w:p>
        </w:tc>
      </w:tr>
    </w:tbl>
    <w:p w:rsidR="009D456C" w:rsidRPr="003730C5" w:rsidRDefault="009D456C" w:rsidP="009D456C">
      <w:pPr>
        <w:ind w:firstLine="709"/>
        <w:jc w:val="both"/>
        <w:rPr>
          <w:rFonts w:cs="Times New Roman"/>
          <w:sz w:val="26"/>
          <w:szCs w:val="26"/>
        </w:rPr>
      </w:pPr>
    </w:p>
    <w:p w:rsidR="00A73323" w:rsidRPr="003730C5" w:rsidRDefault="00A73323" w:rsidP="00A73323">
      <w:pPr>
        <w:ind w:firstLine="709"/>
        <w:jc w:val="both"/>
        <w:rPr>
          <w:rFonts w:cs="Times New Roman"/>
          <w:sz w:val="26"/>
          <w:szCs w:val="26"/>
        </w:rPr>
      </w:pPr>
      <w:r w:rsidRPr="003730C5">
        <w:rPr>
          <w:rFonts w:cs="Times New Roman"/>
          <w:sz w:val="26"/>
          <w:szCs w:val="26"/>
        </w:rPr>
        <w:t xml:space="preserve">Atbalsts komersantiem ārējo tirgu apgūšanas aktivitātēm ir pieejams LIAA administrētās </w:t>
      </w:r>
      <w:r w:rsidRPr="003730C5">
        <w:rPr>
          <w:rFonts w:cs="Times New Roman"/>
          <w:b/>
          <w:sz w:val="26"/>
          <w:szCs w:val="26"/>
        </w:rPr>
        <w:t>Ārējo tirgu apgūšanas – nozaru konkurētspējas stiprināšanas</w:t>
      </w:r>
      <w:r w:rsidRPr="003730C5">
        <w:rPr>
          <w:rFonts w:cs="Times New Roman"/>
          <w:sz w:val="26"/>
          <w:szCs w:val="26"/>
        </w:rPr>
        <w:t xml:space="preserve"> </w:t>
      </w:r>
      <w:r w:rsidRPr="003730C5">
        <w:rPr>
          <w:rFonts w:cs="Times New Roman"/>
          <w:b/>
          <w:sz w:val="26"/>
          <w:szCs w:val="26"/>
        </w:rPr>
        <w:t>programmas</w:t>
      </w:r>
      <w:r w:rsidRPr="003730C5">
        <w:rPr>
          <w:rFonts w:cs="Times New Roman"/>
          <w:sz w:val="26"/>
          <w:szCs w:val="26"/>
        </w:rPr>
        <w:t xml:space="preserve"> ietvaros nacionālo stendu, tirdzniecības misiju organizēšanai, Latvijas ārējo ekonomisko pārstāvju pakalpojumiem, informācijas par interesējošo tirgu apkopojumiem, apmācībām par eksporta veicināšanas jautājumiem. Tāpat komersantiem tiek sniegts atbalsts </w:t>
      </w:r>
      <w:r w:rsidRPr="003730C5">
        <w:rPr>
          <w:rFonts w:cs="Times New Roman"/>
          <w:b/>
          <w:sz w:val="26"/>
          <w:szCs w:val="26"/>
        </w:rPr>
        <w:t>Ārējo tirgu apgūšana – ārējais mārketings</w:t>
      </w:r>
      <w:r w:rsidRPr="003730C5">
        <w:rPr>
          <w:rFonts w:cs="Times New Roman"/>
          <w:sz w:val="26"/>
          <w:szCs w:val="26"/>
        </w:rPr>
        <w:t xml:space="preserve"> </w:t>
      </w:r>
      <w:r w:rsidRPr="003730C5">
        <w:rPr>
          <w:rFonts w:cs="Times New Roman"/>
          <w:b/>
          <w:sz w:val="26"/>
          <w:szCs w:val="26"/>
        </w:rPr>
        <w:lastRenderedPageBreak/>
        <w:t>programmas</w:t>
      </w:r>
      <w:r w:rsidRPr="003730C5">
        <w:rPr>
          <w:rFonts w:cs="Times New Roman"/>
          <w:sz w:val="26"/>
          <w:szCs w:val="26"/>
        </w:rPr>
        <w:t xml:space="preserve"> ietvaros– dalībai izstādēs, konferencēs (semināros), </w:t>
      </w:r>
      <w:proofErr w:type="spellStart"/>
      <w:r w:rsidRPr="003730C5">
        <w:rPr>
          <w:rFonts w:cs="Times New Roman"/>
          <w:sz w:val="26"/>
          <w:szCs w:val="26"/>
        </w:rPr>
        <w:t>kontaktbiržās</w:t>
      </w:r>
      <w:proofErr w:type="spellEnd"/>
      <w:r w:rsidRPr="003730C5">
        <w:rPr>
          <w:rFonts w:cs="Times New Roman"/>
          <w:sz w:val="26"/>
          <w:szCs w:val="26"/>
        </w:rPr>
        <w:t xml:space="preserve">, tirdzniecības misijās, semināru un konferenču organizēšanā ārvalstīs. Aktivitātes ietvaros tiek sniegts atbalsts dalībai izstādēs sedzot 50% no atbalstāmajām izmaksām. Galvenās atbalstāmās izmaksas ir dalības maksa, izstādes laukuma un stenda konstrukciju īre un ceļu, viesnīcu un dienas naudu izmaksas trīs pārstāvjiem. </w:t>
      </w:r>
    </w:p>
    <w:p w:rsidR="00A73323" w:rsidRPr="003730C5" w:rsidRDefault="00A73323" w:rsidP="00A73323">
      <w:pPr>
        <w:tabs>
          <w:tab w:val="left" w:pos="0"/>
        </w:tabs>
        <w:jc w:val="both"/>
        <w:rPr>
          <w:rFonts w:cs="Times New Roman"/>
          <w:sz w:val="26"/>
          <w:szCs w:val="26"/>
        </w:rPr>
      </w:pPr>
      <w:r w:rsidRPr="003730C5">
        <w:rPr>
          <w:rFonts w:cs="Times New Roman"/>
          <w:sz w:val="26"/>
          <w:szCs w:val="26"/>
        </w:rPr>
        <w:tab/>
        <w:t xml:space="preserve">Nozaru komersanti atbalstu var saņemt arī Zemkopības ministrijas administrēto programmu ietvaros: </w:t>
      </w:r>
      <w:r w:rsidRPr="003730C5">
        <w:rPr>
          <w:rFonts w:cs="Times New Roman"/>
          <w:b/>
          <w:sz w:val="26"/>
          <w:szCs w:val="26"/>
        </w:rPr>
        <w:t xml:space="preserve">Eiropas Zivsaimniecības fonda ietvaros, </w:t>
      </w:r>
      <w:r w:rsidRPr="003730C5">
        <w:rPr>
          <w:rFonts w:cs="Times New Roman"/>
          <w:sz w:val="26"/>
          <w:szCs w:val="26"/>
        </w:rPr>
        <w:t xml:space="preserve">kura ietvaros tiek  atbalstīta dalība starptautiskās izstādēs, kuras īsteno biedrības un kurās vismaz piecu tās biedru komercdarbības joma ir zvejniecība, akvakultūra vai zivju, vēžveidīgo un mīkstmiešu pārstrāde un konservēšana. Pārtikas ražotāju </w:t>
      </w:r>
      <w:r w:rsidR="002B328B" w:rsidRPr="003730C5">
        <w:rPr>
          <w:rFonts w:cs="Times New Roman"/>
          <w:sz w:val="26"/>
          <w:szCs w:val="26"/>
        </w:rPr>
        <w:t xml:space="preserve">(izņemot zivsaimniecības produktu) </w:t>
      </w:r>
      <w:r w:rsidRPr="003730C5">
        <w:rPr>
          <w:rFonts w:cs="Times New Roman"/>
          <w:sz w:val="26"/>
          <w:szCs w:val="26"/>
        </w:rPr>
        <w:t>dalība starptautisk</w:t>
      </w:r>
      <w:r w:rsidR="002B328B" w:rsidRPr="003730C5">
        <w:rPr>
          <w:rFonts w:cs="Times New Roman"/>
          <w:sz w:val="26"/>
          <w:szCs w:val="26"/>
        </w:rPr>
        <w:t>aj</w:t>
      </w:r>
      <w:r w:rsidRPr="003730C5">
        <w:rPr>
          <w:rFonts w:cs="Times New Roman"/>
          <w:sz w:val="26"/>
          <w:szCs w:val="26"/>
        </w:rPr>
        <w:t xml:space="preserve">ās izstādēs tiek atbalstīta </w:t>
      </w:r>
      <w:r w:rsidRPr="003730C5">
        <w:rPr>
          <w:rFonts w:cs="Times New Roman"/>
          <w:b/>
          <w:sz w:val="26"/>
          <w:szCs w:val="26"/>
        </w:rPr>
        <w:t>valsts atbalsta lauksaimniecībai programmas</w:t>
      </w:r>
      <w:r w:rsidRPr="003730C5">
        <w:rPr>
          <w:rFonts w:cs="Times New Roman"/>
          <w:sz w:val="26"/>
          <w:szCs w:val="26"/>
        </w:rPr>
        <w:t xml:space="preserve"> „Tirgus veicināšana” ietvaros</w:t>
      </w:r>
      <w:r w:rsidR="002B328B" w:rsidRPr="003730C5">
        <w:rPr>
          <w:rFonts w:cs="Times New Roman"/>
          <w:sz w:val="26"/>
          <w:szCs w:val="26"/>
        </w:rPr>
        <w:t>.</w:t>
      </w:r>
      <w:r w:rsidRPr="003730C5">
        <w:rPr>
          <w:rFonts w:cs="Times New Roman"/>
          <w:sz w:val="26"/>
          <w:szCs w:val="26"/>
        </w:rPr>
        <w:t xml:space="preserve"> </w:t>
      </w:r>
    </w:p>
    <w:p w:rsidR="00EF247E" w:rsidRPr="003730C5" w:rsidRDefault="00EF247E" w:rsidP="000412F0">
      <w:pPr>
        <w:ind w:firstLine="720"/>
        <w:jc w:val="both"/>
        <w:rPr>
          <w:rFonts w:cs="Times New Roman"/>
          <w:sz w:val="26"/>
          <w:szCs w:val="26"/>
        </w:rPr>
      </w:pPr>
    </w:p>
    <w:p w:rsidR="002B328B" w:rsidRPr="003730C5" w:rsidRDefault="009D456C" w:rsidP="009D456C">
      <w:pPr>
        <w:ind w:firstLine="720"/>
        <w:jc w:val="both"/>
        <w:rPr>
          <w:rFonts w:cs="Times New Roman"/>
          <w:sz w:val="26"/>
          <w:szCs w:val="26"/>
        </w:rPr>
      </w:pPr>
      <w:r w:rsidRPr="003730C5">
        <w:rPr>
          <w:rFonts w:cs="Times New Roman"/>
          <w:sz w:val="26"/>
          <w:szCs w:val="26"/>
        </w:rPr>
        <w:t xml:space="preserve">Ziņojuma izstrādes gaitā </w:t>
      </w:r>
      <w:r w:rsidR="00C82D74" w:rsidRPr="003730C5">
        <w:rPr>
          <w:rFonts w:cs="Times New Roman"/>
          <w:sz w:val="26"/>
          <w:szCs w:val="26"/>
        </w:rPr>
        <w:t>Ekono</w:t>
      </w:r>
      <w:r w:rsidR="00CD33DE" w:rsidRPr="003730C5">
        <w:rPr>
          <w:rFonts w:cs="Times New Roman"/>
          <w:sz w:val="26"/>
          <w:szCs w:val="26"/>
        </w:rPr>
        <w:t>m</w:t>
      </w:r>
      <w:r w:rsidR="00C82D74" w:rsidRPr="003730C5">
        <w:rPr>
          <w:rFonts w:cs="Times New Roman"/>
          <w:sz w:val="26"/>
          <w:szCs w:val="26"/>
        </w:rPr>
        <w:t>i</w:t>
      </w:r>
      <w:r w:rsidR="00CD33DE" w:rsidRPr="003730C5">
        <w:rPr>
          <w:rFonts w:cs="Times New Roman"/>
          <w:sz w:val="26"/>
          <w:szCs w:val="26"/>
        </w:rPr>
        <w:t>kas ministrija sadarbībā ar LIAA</w:t>
      </w:r>
      <w:r w:rsidR="00357140" w:rsidRPr="003730C5">
        <w:rPr>
          <w:rFonts w:cs="Times New Roman"/>
          <w:sz w:val="26"/>
          <w:szCs w:val="26"/>
        </w:rPr>
        <w:t xml:space="preserve"> un </w:t>
      </w:r>
      <w:r w:rsidR="002B328B" w:rsidRPr="003730C5">
        <w:rPr>
          <w:rFonts w:cs="Times New Roman"/>
          <w:sz w:val="26"/>
          <w:szCs w:val="26"/>
        </w:rPr>
        <w:t xml:space="preserve">Zemkopības ministriju, </w:t>
      </w:r>
      <w:r w:rsidRPr="003730C5">
        <w:rPr>
          <w:rFonts w:cs="Times New Roman"/>
          <w:sz w:val="26"/>
          <w:szCs w:val="26"/>
        </w:rPr>
        <w:t xml:space="preserve">Latvijas Tirdzniecības un rūpniecības kameru, Latvijas Darba devēju konfederāciju un </w:t>
      </w:r>
      <w:r w:rsidR="00F927E2" w:rsidRPr="003730C5">
        <w:rPr>
          <w:rFonts w:cs="Times New Roman"/>
          <w:sz w:val="26"/>
          <w:szCs w:val="26"/>
        </w:rPr>
        <w:t xml:space="preserve">sekojošām </w:t>
      </w:r>
      <w:r w:rsidR="00357140" w:rsidRPr="003730C5">
        <w:rPr>
          <w:rFonts w:cs="Times New Roman"/>
          <w:sz w:val="26"/>
          <w:szCs w:val="26"/>
        </w:rPr>
        <w:t>nozar</w:t>
      </w:r>
      <w:r w:rsidR="00F927E2" w:rsidRPr="003730C5">
        <w:rPr>
          <w:rFonts w:cs="Times New Roman"/>
          <w:sz w:val="26"/>
          <w:szCs w:val="26"/>
        </w:rPr>
        <w:t>es</w:t>
      </w:r>
      <w:r w:rsidR="00357140" w:rsidRPr="003730C5">
        <w:rPr>
          <w:rFonts w:cs="Times New Roman"/>
          <w:sz w:val="26"/>
          <w:szCs w:val="26"/>
        </w:rPr>
        <w:t xml:space="preserve"> asociācijām</w:t>
      </w:r>
      <w:r w:rsidRPr="003730C5">
        <w:rPr>
          <w:rFonts w:cs="Times New Roman"/>
          <w:sz w:val="26"/>
          <w:szCs w:val="26"/>
        </w:rPr>
        <w:t xml:space="preserve">: Latvijas pārtikas uzņēmēju federāciju, Zemnieku Saeimu, Latvijas </w:t>
      </w:r>
      <w:proofErr w:type="spellStart"/>
      <w:r w:rsidRPr="003730C5">
        <w:rPr>
          <w:rFonts w:cs="Times New Roman"/>
          <w:sz w:val="26"/>
          <w:szCs w:val="26"/>
        </w:rPr>
        <w:t>Zivrūpnieku</w:t>
      </w:r>
      <w:proofErr w:type="spellEnd"/>
      <w:r w:rsidRPr="003730C5">
        <w:rPr>
          <w:rFonts w:cs="Times New Roman"/>
          <w:sz w:val="26"/>
          <w:szCs w:val="26"/>
        </w:rPr>
        <w:t xml:space="preserve"> savienību, Lauksaimnieku Organizāciju sadarbības padomi, Latvijas Lauksaimniecības kooperatīvu asociāciju, Latvijas P</w:t>
      </w:r>
      <w:r w:rsidR="003730C5" w:rsidRPr="003730C5">
        <w:rPr>
          <w:rFonts w:cs="Times New Roman"/>
          <w:sz w:val="26"/>
          <w:szCs w:val="26"/>
        </w:rPr>
        <w:t>iensaimnieku Centrālo Savienību,</w:t>
      </w:r>
      <w:r w:rsidRPr="003730C5">
        <w:rPr>
          <w:rFonts w:cs="Times New Roman"/>
          <w:sz w:val="26"/>
          <w:szCs w:val="26"/>
        </w:rPr>
        <w:t xml:space="preserve"> Autopārvadātāju Asociāciju "Latvijas auto", Latvijas Loģistikas asociāciju, Latvijas Ķīmijas un Farmācijas uzņēmumu asociāciju, Mašīnbūves un metālapstrādes uzņēmēju asociāciju, Vieglās rūpniecības uzņēmumu asociāciju, Latvijas veļas ražotāju asociāciju organizēja tikšanās, lai identificētu prioritārās valstis un </w:t>
      </w:r>
      <w:r w:rsidR="00A50DBC" w:rsidRPr="003730C5">
        <w:rPr>
          <w:rFonts w:cs="Times New Roman"/>
          <w:sz w:val="26"/>
          <w:szCs w:val="26"/>
        </w:rPr>
        <w:t xml:space="preserve">atbalstāmās </w:t>
      </w:r>
      <w:r w:rsidRPr="003730C5">
        <w:rPr>
          <w:rFonts w:cs="Times New Roman"/>
          <w:sz w:val="26"/>
          <w:szCs w:val="26"/>
        </w:rPr>
        <w:t xml:space="preserve">izmaksu pozīcijas katrai nozarei papildus eksporta </w:t>
      </w:r>
      <w:r w:rsidR="003730C5" w:rsidRPr="003730C5">
        <w:rPr>
          <w:rFonts w:cs="Times New Roman"/>
          <w:sz w:val="26"/>
          <w:szCs w:val="26"/>
        </w:rPr>
        <w:t xml:space="preserve">veicināšanas </w:t>
      </w:r>
      <w:r w:rsidRPr="003730C5">
        <w:rPr>
          <w:rFonts w:cs="Times New Roman"/>
          <w:sz w:val="26"/>
          <w:szCs w:val="26"/>
        </w:rPr>
        <w:t>aktivitāšu īstenošanai, ņ</w:t>
      </w:r>
      <w:r w:rsidR="00C82D74" w:rsidRPr="003730C5">
        <w:rPr>
          <w:rFonts w:cs="Times New Roman"/>
          <w:sz w:val="26"/>
          <w:szCs w:val="26"/>
        </w:rPr>
        <w:t>emot vērā</w:t>
      </w:r>
      <w:r w:rsidR="000412F0" w:rsidRPr="003730C5">
        <w:rPr>
          <w:rFonts w:cs="Times New Roman"/>
          <w:sz w:val="26"/>
          <w:szCs w:val="26"/>
        </w:rPr>
        <w:t xml:space="preserve"> uzņēmēju pieprasījumu</w:t>
      </w:r>
      <w:r w:rsidR="00C82D74" w:rsidRPr="003730C5">
        <w:rPr>
          <w:rFonts w:cs="Times New Roman"/>
          <w:sz w:val="26"/>
          <w:szCs w:val="26"/>
        </w:rPr>
        <w:t xml:space="preserve"> </w:t>
      </w:r>
      <w:r w:rsidR="000412F0" w:rsidRPr="003730C5">
        <w:rPr>
          <w:rFonts w:cs="Times New Roman"/>
          <w:sz w:val="26"/>
          <w:szCs w:val="26"/>
        </w:rPr>
        <w:t xml:space="preserve">un izvērtējot līdzšinējo </w:t>
      </w:r>
      <w:r w:rsidR="00357140" w:rsidRPr="003730C5">
        <w:rPr>
          <w:rFonts w:cs="Times New Roman"/>
          <w:sz w:val="26"/>
          <w:szCs w:val="26"/>
        </w:rPr>
        <w:t>aktivitāšu</w:t>
      </w:r>
      <w:r w:rsidR="000412F0" w:rsidRPr="003730C5">
        <w:rPr>
          <w:rFonts w:cs="Times New Roman"/>
          <w:sz w:val="26"/>
          <w:szCs w:val="26"/>
        </w:rPr>
        <w:t xml:space="preserve"> efektivitāti, kā arī ņemot vērā produkcijas realizācij</w:t>
      </w:r>
      <w:r w:rsidRPr="003730C5">
        <w:rPr>
          <w:rFonts w:cs="Times New Roman"/>
          <w:sz w:val="26"/>
          <w:szCs w:val="26"/>
        </w:rPr>
        <w:t xml:space="preserve">as iespējas ārvalstu tirgos. </w:t>
      </w:r>
      <w:r w:rsidR="00ED5877" w:rsidRPr="003730C5">
        <w:rPr>
          <w:rFonts w:cs="Times New Roman"/>
          <w:sz w:val="26"/>
          <w:szCs w:val="26"/>
        </w:rPr>
        <w:t>Diskutējot ar nozaru asociācijā</w:t>
      </w:r>
      <w:r w:rsidR="003730C5" w:rsidRPr="003730C5">
        <w:rPr>
          <w:rFonts w:cs="Times New Roman"/>
          <w:sz w:val="26"/>
          <w:szCs w:val="26"/>
        </w:rPr>
        <w:t>m</w:t>
      </w:r>
      <w:r w:rsidR="00ED5877" w:rsidRPr="003730C5">
        <w:rPr>
          <w:rFonts w:cs="Times New Roman"/>
          <w:sz w:val="26"/>
          <w:szCs w:val="26"/>
        </w:rPr>
        <w:t xml:space="preserve"> kā galvenie jautājumi tika uzdoti:</w:t>
      </w:r>
    </w:p>
    <w:p w:rsidR="00ED5877" w:rsidRPr="003730C5" w:rsidRDefault="00ED5877" w:rsidP="00ED5877">
      <w:pPr>
        <w:numPr>
          <w:ilvl w:val="0"/>
          <w:numId w:val="40"/>
        </w:numPr>
        <w:rPr>
          <w:rFonts w:eastAsia="Times New Roman" w:cs="Times New Roman"/>
          <w:sz w:val="26"/>
          <w:szCs w:val="26"/>
        </w:rPr>
      </w:pPr>
      <w:r w:rsidRPr="003730C5">
        <w:rPr>
          <w:rFonts w:eastAsia="Times New Roman" w:cs="Times New Roman"/>
          <w:sz w:val="26"/>
          <w:szCs w:val="26"/>
        </w:rPr>
        <w:t>Kuros tirgos veidot LIAA vai nozares pagaidu pārstāvniecības?</w:t>
      </w:r>
    </w:p>
    <w:p w:rsidR="00ED5877" w:rsidRPr="003730C5" w:rsidRDefault="00ED5877" w:rsidP="00ED5877">
      <w:pPr>
        <w:numPr>
          <w:ilvl w:val="0"/>
          <w:numId w:val="40"/>
        </w:numPr>
        <w:rPr>
          <w:rFonts w:eastAsia="Times New Roman" w:cs="Times New Roman"/>
          <w:sz w:val="26"/>
          <w:szCs w:val="26"/>
        </w:rPr>
      </w:pPr>
      <w:r w:rsidRPr="003730C5">
        <w:rPr>
          <w:rFonts w:eastAsia="Times New Roman" w:cs="Times New Roman"/>
          <w:sz w:val="26"/>
          <w:szCs w:val="26"/>
        </w:rPr>
        <w:t>Kur organizēt papildus nacionālos stendus?</w:t>
      </w:r>
    </w:p>
    <w:p w:rsidR="00ED5877" w:rsidRPr="003730C5" w:rsidRDefault="00ED5877" w:rsidP="00ED5877">
      <w:pPr>
        <w:numPr>
          <w:ilvl w:val="0"/>
          <w:numId w:val="40"/>
        </w:numPr>
        <w:rPr>
          <w:rFonts w:eastAsia="Times New Roman" w:cs="Times New Roman"/>
          <w:sz w:val="26"/>
          <w:szCs w:val="26"/>
        </w:rPr>
      </w:pPr>
      <w:r w:rsidRPr="003730C5">
        <w:rPr>
          <w:rFonts w:eastAsia="Times New Roman" w:cs="Times New Roman"/>
          <w:sz w:val="26"/>
          <w:szCs w:val="26"/>
        </w:rPr>
        <w:t>Kur organizēt tirdzniecības misijas?</w:t>
      </w:r>
    </w:p>
    <w:p w:rsidR="00ED5877" w:rsidRPr="003730C5" w:rsidRDefault="00ED5877" w:rsidP="00ED5877">
      <w:pPr>
        <w:numPr>
          <w:ilvl w:val="0"/>
          <w:numId w:val="40"/>
        </w:numPr>
        <w:rPr>
          <w:rFonts w:eastAsia="Times New Roman" w:cs="Times New Roman"/>
          <w:sz w:val="26"/>
          <w:szCs w:val="26"/>
        </w:rPr>
      </w:pPr>
      <w:r w:rsidRPr="003730C5">
        <w:rPr>
          <w:rFonts w:eastAsia="Times New Roman" w:cs="Times New Roman"/>
          <w:sz w:val="26"/>
          <w:szCs w:val="26"/>
        </w:rPr>
        <w:t>Kur organizēt «Latvijas dienas»?</w:t>
      </w:r>
    </w:p>
    <w:p w:rsidR="000412F0" w:rsidRPr="003730C5" w:rsidRDefault="00ED5877" w:rsidP="009D456C">
      <w:pPr>
        <w:ind w:firstLine="720"/>
        <w:jc w:val="both"/>
        <w:rPr>
          <w:rFonts w:cs="Times New Roman"/>
          <w:sz w:val="26"/>
          <w:szCs w:val="26"/>
        </w:rPr>
      </w:pPr>
      <w:r w:rsidRPr="003730C5">
        <w:rPr>
          <w:rFonts w:cs="Times New Roman"/>
          <w:sz w:val="26"/>
          <w:szCs w:val="26"/>
        </w:rPr>
        <w:t xml:space="preserve">Augstākminētās darba devēju organizācijas tika aicinātas </w:t>
      </w:r>
      <w:r w:rsidR="00F927E2" w:rsidRPr="003730C5">
        <w:rPr>
          <w:rFonts w:cs="Times New Roman"/>
          <w:sz w:val="26"/>
          <w:szCs w:val="26"/>
        </w:rPr>
        <w:t xml:space="preserve">līdz 29.08 katrai </w:t>
      </w:r>
      <w:r w:rsidR="002B328B" w:rsidRPr="003730C5">
        <w:rPr>
          <w:rFonts w:cs="Times New Roman"/>
          <w:sz w:val="26"/>
          <w:szCs w:val="26"/>
        </w:rPr>
        <w:t xml:space="preserve"> nozarei </w:t>
      </w:r>
      <w:r w:rsidR="00F927E2" w:rsidRPr="003730C5">
        <w:rPr>
          <w:rFonts w:cs="Times New Roman"/>
          <w:sz w:val="26"/>
          <w:szCs w:val="26"/>
        </w:rPr>
        <w:t xml:space="preserve">noteikt </w:t>
      </w:r>
      <w:r w:rsidR="002B328B" w:rsidRPr="003730C5">
        <w:rPr>
          <w:rFonts w:cs="Times New Roman"/>
          <w:sz w:val="26"/>
          <w:szCs w:val="26"/>
        </w:rPr>
        <w:t>prioritār</w:t>
      </w:r>
      <w:r w:rsidR="00F927E2" w:rsidRPr="003730C5">
        <w:rPr>
          <w:rFonts w:cs="Times New Roman"/>
          <w:sz w:val="26"/>
          <w:szCs w:val="26"/>
        </w:rPr>
        <w:t>os</w:t>
      </w:r>
      <w:r w:rsidR="002B328B" w:rsidRPr="003730C5">
        <w:rPr>
          <w:rFonts w:cs="Times New Roman"/>
          <w:sz w:val="26"/>
          <w:szCs w:val="26"/>
        </w:rPr>
        <w:t xml:space="preserve"> mērķa tirg</w:t>
      </w:r>
      <w:r w:rsidR="00F927E2" w:rsidRPr="003730C5">
        <w:rPr>
          <w:rFonts w:cs="Times New Roman"/>
          <w:sz w:val="26"/>
          <w:szCs w:val="26"/>
        </w:rPr>
        <w:t>us</w:t>
      </w:r>
      <w:r w:rsidR="002B328B" w:rsidRPr="003730C5">
        <w:rPr>
          <w:rFonts w:cs="Times New Roman"/>
          <w:sz w:val="26"/>
          <w:szCs w:val="26"/>
        </w:rPr>
        <w:t xml:space="preserve"> un svarīgāk</w:t>
      </w:r>
      <w:r w:rsidR="00F927E2" w:rsidRPr="003730C5">
        <w:rPr>
          <w:rFonts w:cs="Times New Roman"/>
          <w:sz w:val="26"/>
          <w:szCs w:val="26"/>
        </w:rPr>
        <w:t>os</w:t>
      </w:r>
      <w:r w:rsidR="002B328B" w:rsidRPr="003730C5">
        <w:rPr>
          <w:rFonts w:cs="Times New Roman"/>
          <w:sz w:val="26"/>
          <w:szCs w:val="26"/>
        </w:rPr>
        <w:t xml:space="preserve"> pasākum</w:t>
      </w:r>
      <w:r w:rsidR="00F927E2" w:rsidRPr="003730C5">
        <w:rPr>
          <w:rFonts w:cs="Times New Roman"/>
          <w:sz w:val="26"/>
          <w:szCs w:val="26"/>
        </w:rPr>
        <w:t>us</w:t>
      </w:r>
      <w:r w:rsidR="002B328B" w:rsidRPr="003730C5">
        <w:rPr>
          <w:rFonts w:cs="Times New Roman"/>
          <w:sz w:val="26"/>
          <w:szCs w:val="26"/>
        </w:rPr>
        <w:t xml:space="preserve"> katrā no tirgiem</w:t>
      </w:r>
      <w:r w:rsidR="009D456C" w:rsidRPr="003730C5">
        <w:rPr>
          <w:rFonts w:cs="Times New Roman"/>
          <w:sz w:val="26"/>
          <w:szCs w:val="26"/>
        </w:rPr>
        <w:t xml:space="preserve"> </w:t>
      </w:r>
      <w:r w:rsidR="002B328B" w:rsidRPr="003730C5">
        <w:rPr>
          <w:rFonts w:cs="Times New Roman"/>
          <w:sz w:val="26"/>
          <w:szCs w:val="26"/>
        </w:rPr>
        <w:t>zemāk identificēto veicamo pasākumu ietvaros.</w:t>
      </w:r>
    </w:p>
    <w:p w:rsidR="008B0412" w:rsidRPr="003730C5" w:rsidRDefault="008B0412" w:rsidP="00021A58">
      <w:pPr>
        <w:ind w:firstLine="709"/>
        <w:jc w:val="both"/>
        <w:rPr>
          <w:rFonts w:cs="Times New Roman"/>
          <w:sz w:val="26"/>
          <w:szCs w:val="26"/>
        </w:rPr>
      </w:pPr>
    </w:p>
    <w:p w:rsidR="002B328B" w:rsidRPr="003730C5" w:rsidRDefault="002B328B" w:rsidP="002B328B">
      <w:pPr>
        <w:pStyle w:val="ListParagraph"/>
        <w:numPr>
          <w:ilvl w:val="0"/>
          <w:numId w:val="33"/>
        </w:numPr>
        <w:spacing w:line="240" w:lineRule="auto"/>
        <w:ind w:left="0" w:firstLine="709"/>
        <w:jc w:val="both"/>
        <w:rPr>
          <w:rFonts w:cs="Times New Roman"/>
          <w:sz w:val="26"/>
          <w:szCs w:val="26"/>
        </w:rPr>
      </w:pPr>
      <w:bookmarkStart w:id="6" w:name="_Toc396775610"/>
      <w:r w:rsidRPr="003730C5">
        <w:rPr>
          <w:rStyle w:val="Heading2Char"/>
          <w:rFonts w:ascii="Times New Roman" w:hAnsi="Times New Roman"/>
          <w:color w:val="auto"/>
        </w:rPr>
        <w:t xml:space="preserve">Nozaru </w:t>
      </w:r>
      <w:r w:rsidR="005B0818" w:rsidRPr="003730C5">
        <w:rPr>
          <w:rStyle w:val="Heading2Char"/>
          <w:rFonts w:ascii="Times New Roman" w:hAnsi="Times New Roman"/>
          <w:color w:val="auto"/>
        </w:rPr>
        <w:t xml:space="preserve">asociāciju </w:t>
      </w:r>
      <w:r w:rsidRPr="003730C5">
        <w:rPr>
          <w:rStyle w:val="Heading2Char"/>
          <w:rFonts w:ascii="Times New Roman" w:hAnsi="Times New Roman"/>
          <w:color w:val="auto"/>
        </w:rPr>
        <w:t>pārstāvju klātbūtne mērķa tirgos</w:t>
      </w:r>
      <w:r w:rsidR="00724F5B" w:rsidRPr="003730C5">
        <w:rPr>
          <w:rStyle w:val="Heading2Char"/>
          <w:rFonts w:ascii="Times New Roman" w:hAnsi="Times New Roman"/>
          <w:color w:val="auto"/>
        </w:rPr>
        <w:t xml:space="preserve"> un</w:t>
      </w:r>
      <w:r w:rsidRPr="003730C5">
        <w:rPr>
          <w:rStyle w:val="Heading2Char"/>
          <w:rFonts w:ascii="Times New Roman" w:hAnsi="Times New Roman"/>
          <w:color w:val="auto"/>
        </w:rPr>
        <w:t xml:space="preserve"> aģentu piesaiste</w:t>
      </w:r>
      <w:bookmarkEnd w:id="6"/>
      <w:r w:rsidRPr="003730C5">
        <w:rPr>
          <w:rFonts w:cs="Times New Roman"/>
          <w:b/>
          <w:sz w:val="26"/>
          <w:szCs w:val="26"/>
        </w:rPr>
        <w:t xml:space="preserve">.  </w:t>
      </w:r>
      <w:r w:rsidR="005B0818" w:rsidRPr="003730C5">
        <w:rPr>
          <w:rFonts w:cs="Times New Roman"/>
          <w:sz w:val="26"/>
          <w:szCs w:val="26"/>
        </w:rPr>
        <w:t xml:space="preserve">Kā viens no nozaru asociāciju priekšlikumiem ir atbalstīt </w:t>
      </w:r>
      <w:r w:rsidRPr="003730C5">
        <w:rPr>
          <w:rFonts w:cs="Times New Roman"/>
          <w:sz w:val="26"/>
          <w:szCs w:val="26"/>
        </w:rPr>
        <w:t xml:space="preserve">nozaru </w:t>
      </w:r>
      <w:r w:rsidR="005B0818" w:rsidRPr="003730C5">
        <w:rPr>
          <w:rFonts w:cs="Times New Roman"/>
          <w:sz w:val="26"/>
          <w:szCs w:val="26"/>
        </w:rPr>
        <w:t xml:space="preserve">asociāciju </w:t>
      </w:r>
      <w:r w:rsidRPr="003730C5">
        <w:rPr>
          <w:rFonts w:cs="Times New Roman"/>
          <w:sz w:val="26"/>
          <w:szCs w:val="26"/>
        </w:rPr>
        <w:t>pārstāvju pagaidu pārstāvniecības mērķa tirgos</w:t>
      </w:r>
      <w:r w:rsidR="005B0818" w:rsidRPr="003730C5">
        <w:rPr>
          <w:rFonts w:cs="Times New Roman"/>
          <w:sz w:val="26"/>
          <w:szCs w:val="26"/>
        </w:rPr>
        <w:t xml:space="preserve"> izveidi</w:t>
      </w:r>
      <w:r w:rsidRPr="003730C5">
        <w:rPr>
          <w:rFonts w:cs="Times New Roman"/>
          <w:sz w:val="26"/>
          <w:szCs w:val="26"/>
        </w:rPr>
        <w:t xml:space="preserve">, nosūtot uz ārvalstīm </w:t>
      </w:r>
      <w:r w:rsidR="005B0818" w:rsidRPr="003730C5">
        <w:rPr>
          <w:rFonts w:cs="Times New Roman"/>
          <w:sz w:val="26"/>
          <w:szCs w:val="26"/>
        </w:rPr>
        <w:t>nozares ekspertus</w:t>
      </w:r>
      <w:r w:rsidRPr="003730C5">
        <w:rPr>
          <w:rFonts w:cs="Times New Roman"/>
          <w:sz w:val="26"/>
          <w:szCs w:val="26"/>
        </w:rPr>
        <w:t xml:space="preserve"> vai arī </w:t>
      </w:r>
      <w:r w:rsidR="005B0818" w:rsidRPr="003730C5">
        <w:rPr>
          <w:rFonts w:cs="Times New Roman"/>
          <w:sz w:val="26"/>
          <w:szCs w:val="26"/>
        </w:rPr>
        <w:t>piesaistot</w:t>
      </w:r>
      <w:r w:rsidRPr="003730C5">
        <w:rPr>
          <w:rFonts w:cs="Times New Roman"/>
          <w:sz w:val="26"/>
          <w:szCs w:val="26"/>
        </w:rPr>
        <w:t xml:space="preserve"> t</w:t>
      </w:r>
      <w:r w:rsidR="005B0818" w:rsidRPr="003730C5">
        <w:rPr>
          <w:rFonts w:cs="Times New Roman"/>
          <w:sz w:val="26"/>
          <w:szCs w:val="26"/>
        </w:rPr>
        <w:t>ādus</w:t>
      </w:r>
      <w:r w:rsidRPr="003730C5">
        <w:rPr>
          <w:rFonts w:cs="Times New Roman"/>
          <w:sz w:val="26"/>
          <w:szCs w:val="26"/>
        </w:rPr>
        <w:t xml:space="preserve"> mērķa tirgos</w:t>
      </w:r>
      <w:r w:rsidR="005B0818" w:rsidRPr="003730C5">
        <w:rPr>
          <w:rFonts w:cs="Times New Roman"/>
          <w:sz w:val="26"/>
          <w:szCs w:val="26"/>
        </w:rPr>
        <w:t xml:space="preserve"> ar mērķi </w:t>
      </w:r>
      <w:r w:rsidRPr="003730C5">
        <w:rPr>
          <w:rFonts w:cs="Times New Roman"/>
          <w:sz w:val="26"/>
          <w:szCs w:val="26"/>
        </w:rPr>
        <w:t>īsā laikā sni</w:t>
      </w:r>
      <w:r w:rsidR="001D3C03" w:rsidRPr="003730C5">
        <w:rPr>
          <w:rFonts w:cs="Times New Roman"/>
          <w:sz w:val="26"/>
          <w:szCs w:val="26"/>
        </w:rPr>
        <w:t xml:space="preserve">egt atbalstu Latvijas produktu </w:t>
      </w:r>
      <w:r w:rsidRPr="003730C5">
        <w:rPr>
          <w:rFonts w:cs="Times New Roman"/>
          <w:sz w:val="26"/>
          <w:szCs w:val="26"/>
        </w:rPr>
        <w:t xml:space="preserve">virzīšanai </w:t>
      </w:r>
      <w:r w:rsidR="005B0818" w:rsidRPr="003730C5">
        <w:rPr>
          <w:rFonts w:cs="Times New Roman"/>
          <w:sz w:val="26"/>
          <w:szCs w:val="26"/>
        </w:rPr>
        <w:t xml:space="preserve">attiecīgajā </w:t>
      </w:r>
      <w:r w:rsidRPr="003730C5">
        <w:rPr>
          <w:rFonts w:cs="Times New Roman"/>
          <w:sz w:val="26"/>
          <w:szCs w:val="26"/>
        </w:rPr>
        <w:t>tirgū.</w:t>
      </w:r>
    </w:p>
    <w:p w:rsidR="002B328B" w:rsidRPr="003730C5" w:rsidRDefault="001D3C03" w:rsidP="002B328B">
      <w:pPr>
        <w:ind w:firstLine="709"/>
        <w:jc w:val="both"/>
        <w:rPr>
          <w:rFonts w:cs="Times New Roman"/>
          <w:sz w:val="26"/>
          <w:szCs w:val="26"/>
        </w:rPr>
      </w:pPr>
      <w:r w:rsidRPr="003730C5">
        <w:rPr>
          <w:rFonts w:cs="Times New Roman"/>
          <w:sz w:val="26"/>
          <w:szCs w:val="26"/>
        </w:rPr>
        <w:t xml:space="preserve">Nozaru </w:t>
      </w:r>
      <w:r w:rsidR="005B0818" w:rsidRPr="003730C5">
        <w:rPr>
          <w:rFonts w:cs="Times New Roman"/>
          <w:sz w:val="26"/>
          <w:szCs w:val="26"/>
        </w:rPr>
        <w:t xml:space="preserve">asociāciju </w:t>
      </w:r>
      <w:r w:rsidRPr="003730C5">
        <w:rPr>
          <w:rFonts w:cs="Times New Roman"/>
          <w:sz w:val="26"/>
          <w:szCs w:val="26"/>
        </w:rPr>
        <w:t>definētajās prioritārajās valstīs</w:t>
      </w:r>
      <w:r w:rsidR="005B0818" w:rsidRPr="003730C5">
        <w:rPr>
          <w:rFonts w:cs="Times New Roman"/>
          <w:sz w:val="26"/>
          <w:szCs w:val="26"/>
        </w:rPr>
        <w:t xml:space="preserve"> </w:t>
      </w:r>
      <w:r w:rsidR="002B328B" w:rsidRPr="003730C5">
        <w:rPr>
          <w:rFonts w:cs="Times New Roman"/>
          <w:sz w:val="26"/>
          <w:szCs w:val="26"/>
        </w:rPr>
        <w:t>piesaist</w:t>
      </w:r>
      <w:r w:rsidR="005B0818" w:rsidRPr="003730C5">
        <w:rPr>
          <w:rFonts w:cs="Times New Roman"/>
          <w:sz w:val="26"/>
          <w:szCs w:val="26"/>
        </w:rPr>
        <w:t>āmi</w:t>
      </w:r>
      <w:r w:rsidR="002B328B" w:rsidRPr="003730C5">
        <w:rPr>
          <w:rFonts w:cs="Times New Roman"/>
          <w:sz w:val="26"/>
          <w:szCs w:val="26"/>
        </w:rPr>
        <w:t xml:space="preserve"> vietējie aģenti vai konsultanti, kas pārzina attiecīgās valsts produktu iepirkšanas sistēmu, ir aktīvi kontakti tirdzniecības ķēdēs, un kam uzticas iepircēji, </w:t>
      </w:r>
      <w:proofErr w:type="spellStart"/>
      <w:r w:rsidR="002B328B" w:rsidRPr="003730C5">
        <w:rPr>
          <w:rFonts w:cs="Times New Roman"/>
          <w:sz w:val="26"/>
          <w:szCs w:val="26"/>
        </w:rPr>
        <w:t>distributori</w:t>
      </w:r>
      <w:proofErr w:type="spellEnd"/>
      <w:r w:rsidR="002B328B" w:rsidRPr="003730C5">
        <w:rPr>
          <w:rFonts w:cs="Times New Roman"/>
          <w:sz w:val="26"/>
          <w:szCs w:val="26"/>
        </w:rPr>
        <w:t xml:space="preserve">. Aģenti noteiktu periodu pārstāvētu </w:t>
      </w:r>
      <w:r w:rsidR="00596FA7" w:rsidRPr="003730C5">
        <w:rPr>
          <w:rFonts w:cs="Times New Roman"/>
          <w:sz w:val="26"/>
          <w:szCs w:val="26"/>
        </w:rPr>
        <w:t xml:space="preserve">nozares asociācijas intereses mērķa tirgū </w:t>
      </w:r>
      <w:proofErr w:type="spellStart"/>
      <w:r w:rsidR="00596FA7" w:rsidRPr="003730C5">
        <w:rPr>
          <w:rFonts w:cs="Times New Roman"/>
          <w:sz w:val="26"/>
          <w:szCs w:val="26"/>
        </w:rPr>
        <w:t>t.sk</w:t>
      </w:r>
      <w:proofErr w:type="spellEnd"/>
      <w:r w:rsidR="00596FA7" w:rsidRPr="003730C5">
        <w:rPr>
          <w:rFonts w:cs="Times New Roman"/>
          <w:sz w:val="26"/>
          <w:szCs w:val="26"/>
        </w:rPr>
        <w:t>., a</w:t>
      </w:r>
      <w:r w:rsidR="002B328B" w:rsidRPr="003730C5">
        <w:rPr>
          <w:rFonts w:cs="Times New Roman"/>
          <w:sz w:val="26"/>
          <w:szCs w:val="26"/>
        </w:rPr>
        <w:t>pmeklē</w:t>
      </w:r>
      <w:r w:rsidR="00596FA7" w:rsidRPr="003730C5">
        <w:rPr>
          <w:rFonts w:cs="Times New Roman"/>
          <w:sz w:val="26"/>
          <w:szCs w:val="26"/>
        </w:rPr>
        <w:t xml:space="preserve">jot </w:t>
      </w:r>
      <w:r w:rsidR="002B328B" w:rsidRPr="003730C5">
        <w:rPr>
          <w:rFonts w:cs="Times New Roman"/>
          <w:sz w:val="26"/>
          <w:szCs w:val="26"/>
        </w:rPr>
        <w:lastRenderedPageBreak/>
        <w:t xml:space="preserve">uzņēmumus Latvijā, iepazītos ar uzņēmumu produktiem pakalpojumiem, sniegtu konsultācijas par produktu pielāgošanu attiecīgajam tirgum, izvēlētos produktu virzīšanas tirgū taktiku,  uzrunātu potenciālos iepircējus, organizētu uzņēmumu vizītes mērķa tirgū – tikšanās ar iepircējiem, </w:t>
      </w:r>
      <w:proofErr w:type="spellStart"/>
      <w:r w:rsidR="002B328B" w:rsidRPr="003730C5">
        <w:rPr>
          <w:rFonts w:cs="Times New Roman"/>
          <w:sz w:val="26"/>
          <w:szCs w:val="26"/>
        </w:rPr>
        <w:t>distributoriem</w:t>
      </w:r>
      <w:proofErr w:type="spellEnd"/>
      <w:r w:rsidR="002B328B" w:rsidRPr="003730C5">
        <w:rPr>
          <w:rFonts w:cs="Times New Roman"/>
          <w:sz w:val="26"/>
          <w:szCs w:val="26"/>
        </w:rPr>
        <w:t>.</w:t>
      </w:r>
    </w:p>
    <w:p w:rsidR="002B328B" w:rsidRPr="003730C5" w:rsidRDefault="002B328B" w:rsidP="002B328B">
      <w:pPr>
        <w:jc w:val="both"/>
        <w:rPr>
          <w:rFonts w:cs="Times New Roman"/>
          <w:sz w:val="26"/>
          <w:szCs w:val="26"/>
        </w:rPr>
      </w:pPr>
    </w:p>
    <w:p w:rsidR="00AB3AA7" w:rsidRPr="003730C5" w:rsidRDefault="00AB3AA7" w:rsidP="00AB3AA7">
      <w:pPr>
        <w:pStyle w:val="ListParagraph"/>
        <w:numPr>
          <w:ilvl w:val="0"/>
          <w:numId w:val="33"/>
        </w:numPr>
        <w:spacing w:line="240" w:lineRule="auto"/>
        <w:ind w:left="0" w:firstLine="709"/>
        <w:jc w:val="both"/>
        <w:rPr>
          <w:rFonts w:cs="Times New Roman"/>
          <w:sz w:val="26"/>
          <w:szCs w:val="26"/>
        </w:rPr>
      </w:pPr>
      <w:bookmarkStart w:id="7" w:name="_Toc396775611"/>
      <w:r w:rsidRPr="003730C5">
        <w:rPr>
          <w:rStyle w:val="Heading2Char"/>
          <w:rFonts w:ascii="Times New Roman" w:hAnsi="Times New Roman"/>
          <w:color w:val="auto"/>
        </w:rPr>
        <w:t>Tirgus padziļināti pētījumi</w:t>
      </w:r>
      <w:bookmarkEnd w:id="7"/>
      <w:r w:rsidRPr="003730C5">
        <w:rPr>
          <w:rFonts w:cs="Times New Roman"/>
          <w:b/>
          <w:sz w:val="26"/>
          <w:szCs w:val="26"/>
        </w:rPr>
        <w:t xml:space="preserve"> </w:t>
      </w:r>
      <w:r w:rsidRPr="003730C5">
        <w:rPr>
          <w:rFonts w:cs="Times New Roman"/>
          <w:sz w:val="26"/>
          <w:szCs w:val="26"/>
        </w:rPr>
        <w:t>nepieciešami, lai sagatavotos eksportam uz jaunu tirgu. Sadarbībā ar nozaru asociācijām tiks noteikti tirgu un produktu klāsts iegādājoties tirgus pētījumus. Padziļināti attiecīgo produktu tirgus pētījumi, attiecīga tirgus prasību pārzināšana ir pamat</w:t>
      </w:r>
      <w:r w:rsidR="003730C5" w:rsidRPr="003730C5">
        <w:rPr>
          <w:rFonts w:cs="Times New Roman"/>
          <w:sz w:val="26"/>
          <w:szCs w:val="26"/>
        </w:rPr>
        <w:t>s</w:t>
      </w:r>
      <w:r w:rsidRPr="003730C5">
        <w:rPr>
          <w:rFonts w:cs="Times New Roman"/>
          <w:sz w:val="26"/>
          <w:szCs w:val="26"/>
        </w:rPr>
        <w:t xml:space="preserve"> iepriekš precīzi izstrādātai marketinga stratēģijai, kā izcelties konkurentu vidū, diferencēt savus piedāvājumus, izstrādāt jaunus produktus un novērtēt savas iespējas. </w:t>
      </w:r>
      <w:r w:rsidR="00D64654" w:rsidRPr="003730C5">
        <w:rPr>
          <w:rFonts w:cs="Times New Roman"/>
          <w:sz w:val="26"/>
          <w:szCs w:val="26"/>
        </w:rPr>
        <w:t>Lai noteiktu</w:t>
      </w:r>
      <w:r w:rsidRPr="003730C5">
        <w:rPr>
          <w:rFonts w:cs="Times New Roman"/>
          <w:sz w:val="26"/>
          <w:szCs w:val="26"/>
        </w:rPr>
        <w:t xml:space="preserve"> atbilstošākos mērķa tirgus ir nepieciešami gan globālie produktu tirgus pētījumi, kuru izmaksas ir aptuveni 35 </w:t>
      </w:r>
      <w:proofErr w:type="spellStart"/>
      <w:r w:rsidRPr="003730C5">
        <w:rPr>
          <w:rFonts w:cs="Times New Roman"/>
          <w:sz w:val="26"/>
          <w:szCs w:val="26"/>
        </w:rPr>
        <w:t>tūkst.eiro</w:t>
      </w:r>
      <w:proofErr w:type="spellEnd"/>
      <w:r w:rsidRPr="003730C5">
        <w:rPr>
          <w:rFonts w:cs="Times New Roman"/>
          <w:sz w:val="26"/>
          <w:szCs w:val="26"/>
        </w:rPr>
        <w:t xml:space="preserve">, </w:t>
      </w:r>
      <w:r w:rsidR="00D64654" w:rsidRPr="003730C5">
        <w:rPr>
          <w:rFonts w:cs="Times New Roman"/>
          <w:sz w:val="26"/>
          <w:szCs w:val="26"/>
        </w:rPr>
        <w:t>gan</w:t>
      </w:r>
      <w:r w:rsidRPr="003730C5">
        <w:rPr>
          <w:rFonts w:cs="Times New Roman"/>
          <w:sz w:val="26"/>
          <w:szCs w:val="26"/>
        </w:rPr>
        <w:t xml:space="preserve"> arī specifiskāki konkrētā produkta tirgus pētījumi prioritāri izvēlētajā tirgu.</w:t>
      </w:r>
    </w:p>
    <w:p w:rsidR="00AB3AA7" w:rsidRPr="003730C5" w:rsidRDefault="00AB3AA7" w:rsidP="00AB3AA7">
      <w:pPr>
        <w:pStyle w:val="ListParagraph"/>
        <w:spacing w:line="240" w:lineRule="auto"/>
        <w:ind w:left="709"/>
        <w:jc w:val="both"/>
        <w:rPr>
          <w:rFonts w:cs="Times New Roman"/>
          <w:sz w:val="26"/>
          <w:szCs w:val="26"/>
        </w:rPr>
      </w:pPr>
    </w:p>
    <w:p w:rsidR="00AB3AA7" w:rsidRPr="003730C5" w:rsidRDefault="00AB3AA7" w:rsidP="00AB3AA7">
      <w:pPr>
        <w:pStyle w:val="ListParagraph"/>
        <w:numPr>
          <w:ilvl w:val="0"/>
          <w:numId w:val="33"/>
        </w:numPr>
        <w:spacing w:line="240" w:lineRule="auto"/>
        <w:ind w:left="0" w:firstLine="709"/>
        <w:jc w:val="both"/>
        <w:rPr>
          <w:rFonts w:cs="Times New Roman"/>
          <w:sz w:val="26"/>
          <w:szCs w:val="26"/>
        </w:rPr>
      </w:pPr>
      <w:bookmarkStart w:id="8" w:name="_Toc396775612"/>
      <w:r w:rsidRPr="003730C5">
        <w:rPr>
          <w:rStyle w:val="Heading2Char"/>
          <w:rFonts w:ascii="Times New Roman" w:hAnsi="Times New Roman"/>
          <w:color w:val="auto"/>
        </w:rPr>
        <w:t>Tirdzniecības misijas</w:t>
      </w:r>
      <w:bookmarkEnd w:id="8"/>
      <w:r w:rsidRPr="003730C5">
        <w:rPr>
          <w:rFonts w:cs="Times New Roman"/>
          <w:b/>
          <w:sz w:val="26"/>
          <w:szCs w:val="26"/>
        </w:rPr>
        <w:t xml:space="preserve"> </w:t>
      </w:r>
      <w:r w:rsidRPr="003730C5">
        <w:rPr>
          <w:rFonts w:cs="Times New Roman"/>
          <w:sz w:val="26"/>
          <w:szCs w:val="26"/>
        </w:rPr>
        <w:t xml:space="preserve">jāorganizē gan uzņēmēju delegācijām, gan individuālās vizītes. Tirdzniecības misijas organizēšanā </w:t>
      </w:r>
      <w:r w:rsidR="00D64654" w:rsidRPr="003730C5">
        <w:rPr>
          <w:rFonts w:cs="Times New Roman"/>
          <w:sz w:val="26"/>
          <w:szCs w:val="26"/>
        </w:rPr>
        <w:t>jā</w:t>
      </w:r>
      <w:r w:rsidRPr="003730C5">
        <w:rPr>
          <w:rFonts w:cs="Times New Roman"/>
          <w:sz w:val="26"/>
          <w:szCs w:val="26"/>
        </w:rPr>
        <w:t xml:space="preserve">paredz iespēju piesaistīt attiecīgo tirgu ekspertus, ārvalstu tirdzniecības kameras,  konsultantu kompānijas </w:t>
      </w:r>
      <w:proofErr w:type="spellStart"/>
      <w:r w:rsidRPr="003730C5">
        <w:rPr>
          <w:rFonts w:cs="Times New Roman"/>
          <w:sz w:val="26"/>
          <w:szCs w:val="26"/>
        </w:rPr>
        <w:t>utml</w:t>
      </w:r>
      <w:proofErr w:type="spellEnd"/>
      <w:r w:rsidRPr="003730C5">
        <w:rPr>
          <w:rFonts w:cs="Times New Roman"/>
          <w:sz w:val="26"/>
          <w:szCs w:val="26"/>
        </w:rPr>
        <w:t xml:space="preserve">. Izvēlētais partneris palīdz izvērtēt Latvijas uzņēmumu potenciālu attiecīgajā tirgū, sniedz informāciju par produktu pielāgošanas nepieciešamību, par produkcijas realizācijas stratēģiju attiecīgajā tirgū, organizēs tikšanās programmu, iespējami sniegs atbalstu sarunu vešanas procesā. Papildus dalībai tirdzniecības misijās tiks atbalstītas arī uzņēmumu individuālās vizītes, kuras organizē vai atbalsta asociācijas. Atbalsts individuālajām vizītēm ir būtisks, jo uzņēmumu piedāvātie pakalpojumi un produkti bieži vien ir tik dažādi, ka katram uzņēmumam ir jāgatavo sava individuāla tikšanās programma. Vienlaikus nozaru asociācijas atzīst, ka individuālās vizītes ir lietderīgas, kad uzņēmums jau ir uzkrājis eksporta pieredzi </w:t>
      </w:r>
      <w:proofErr w:type="spellStart"/>
      <w:r w:rsidRPr="003730C5">
        <w:rPr>
          <w:rFonts w:cs="Times New Roman"/>
          <w:sz w:val="26"/>
          <w:szCs w:val="26"/>
        </w:rPr>
        <w:t>t.sk</w:t>
      </w:r>
      <w:proofErr w:type="spellEnd"/>
      <w:r w:rsidRPr="003730C5">
        <w:rPr>
          <w:rFonts w:cs="Times New Roman"/>
          <w:sz w:val="26"/>
          <w:szCs w:val="26"/>
        </w:rPr>
        <w:t>., veiksmīgi piedalījies starptautiskās nozaru izstādēs.</w:t>
      </w:r>
    </w:p>
    <w:p w:rsidR="00AB3AA7" w:rsidRPr="003730C5" w:rsidRDefault="00AB3AA7" w:rsidP="00AB3AA7">
      <w:pPr>
        <w:ind w:firstLine="709"/>
        <w:jc w:val="both"/>
        <w:rPr>
          <w:rFonts w:cs="Times New Roman"/>
          <w:sz w:val="26"/>
          <w:szCs w:val="26"/>
        </w:rPr>
      </w:pPr>
    </w:p>
    <w:p w:rsidR="00AB3AA7" w:rsidRPr="003730C5" w:rsidRDefault="00AB3AA7" w:rsidP="00AB3AA7">
      <w:pPr>
        <w:ind w:firstLine="709"/>
        <w:jc w:val="both"/>
        <w:rPr>
          <w:rFonts w:cs="Times New Roman"/>
          <w:sz w:val="26"/>
          <w:szCs w:val="26"/>
        </w:rPr>
      </w:pPr>
      <w:r w:rsidRPr="003730C5">
        <w:rPr>
          <w:rFonts w:cs="Times New Roman"/>
          <w:sz w:val="26"/>
          <w:szCs w:val="26"/>
        </w:rPr>
        <w:t>2014.gadā vēl paredzētas sekojošas tirdzniecības misijas:</w:t>
      </w:r>
    </w:p>
    <w:tbl>
      <w:tblPr>
        <w:tblStyle w:val="TableGrid4"/>
        <w:tblW w:w="0" w:type="auto"/>
        <w:tblLook w:val="04A0" w:firstRow="1" w:lastRow="0" w:firstColumn="1" w:lastColumn="0" w:noHBand="0" w:noVBand="1"/>
      </w:tblPr>
      <w:tblGrid>
        <w:gridCol w:w="1668"/>
        <w:gridCol w:w="3402"/>
        <w:gridCol w:w="4110"/>
      </w:tblGrid>
      <w:tr w:rsidR="00AB3AA7" w:rsidRPr="008D2837" w:rsidTr="00075FB8">
        <w:tc>
          <w:tcPr>
            <w:tcW w:w="1668" w:type="dxa"/>
            <w:vAlign w:val="center"/>
          </w:tcPr>
          <w:p w:rsidR="00AB3AA7" w:rsidRPr="008D2837" w:rsidRDefault="00AB3AA7" w:rsidP="00075FB8">
            <w:pPr>
              <w:rPr>
                <w:rFonts w:ascii="Times New Roman" w:hAnsi="Times New Roman" w:cs="Times New Roman"/>
              </w:rPr>
            </w:pPr>
            <w:r w:rsidRPr="008D2837">
              <w:rPr>
                <w:rFonts w:ascii="Times New Roman" w:hAnsi="Times New Roman" w:cs="Times New Roman"/>
              </w:rPr>
              <w:t>02.09.-05.09.</w:t>
            </w:r>
          </w:p>
        </w:tc>
        <w:tc>
          <w:tcPr>
            <w:tcW w:w="3402" w:type="dxa"/>
            <w:vAlign w:val="center"/>
          </w:tcPr>
          <w:p w:rsidR="00AB3AA7" w:rsidRPr="008D2837" w:rsidRDefault="00AB3AA7" w:rsidP="00075FB8">
            <w:pPr>
              <w:rPr>
                <w:rFonts w:ascii="Times New Roman" w:hAnsi="Times New Roman" w:cs="Times New Roman"/>
              </w:rPr>
            </w:pPr>
            <w:r w:rsidRPr="008D2837">
              <w:rPr>
                <w:rFonts w:ascii="Times New Roman" w:hAnsi="Times New Roman" w:cs="Times New Roman"/>
              </w:rPr>
              <w:t>Pārtikas rūpniecība</w:t>
            </w:r>
          </w:p>
        </w:tc>
        <w:tc>
          <w:tcPr>
            <w:tcW w:w="4110" w:type="dxa"/>
            <w:vAlign w:val="center"/>
          </w:tcPr>
          <w:p w:rsidR="00AB3AA7" w:rsidRPr="008D2837" w:rsidRDefault="00AB3AA7" w:rsidP="00075FB8">
            <w:pPr>
              <w:rPr>
                <w:rFonts w:ascii="Times New Roman" w:hAnsi="Times New Roman" w:cs="Times New Roman"/>
              </w:rPr>
            </w:pPr>
            <w:r w:rsidRPr="008D2837">
              <w:rPr>
                <w:rFonts w:ascii="Times New Roman" w:hAnsi="Times New Roman" w:cs="Times New Roman"/>
              </w:rPr>
              <w:t>Dublina, Īrija</w:t>
            </w:r>
          </w:p>
        </w:tc>
      </w:tr>
      <w:tr w:rsidR="00AB3AA7" w:rsidRPr="008D2837" w:rsidTr="00075FB8">
        <w:trPr>
          <w:trHeight w:val="254"/>
        </w:trPr>
        <w:tc>
          <w:tcPr>
            <w:tcW w:w="1668"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29.10.-31.10.</w:t>
            </w:r>
          </w:p>
        </w:tc>
        <w:tc>
          <w:tcPr>
            <w:tcW w:w="3402"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Pārtikas rūpniecība</w:t>
            </w:r>
          </w:p>
        </w:tc>
        <w:tc>
          <w:tcPr>
            <w:tcW w:w="4110"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Kijeva, Ukraina</w:t>
            </w:r>
          </w:p>
        </w:tc>
      </w:tr>
      <w:tr w:rsidR="00AB3AA7" w:rsidRPr="008D2837" w:rsidTr="00075FB8">
        <w:trPr>
          <w:trHeight w:val="257"/>
        </w:trPr>
        <w:tc>
          <w:tcPr>
            <w:tcW w:w="1668"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09.09.-11.09.</w:t>
            </w:r>
          </w:p>
        </w:tc>
        <w:tc>
          <w:tcPr>
            <w:tcW w:w="3402"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Dažādu nozaru uzņēmumi</w:t>
            </w:r>
          </w:p>
        </w:tc>
        <w:tc>
          <w:tcPr>
            <w:tcW w:w="4110"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Belfāsta, Lielbritānija</w:t>
            </w:r>
          </w:p>
        </w:tc>
      </w:tr>
      <w:tr w:rsidR="00AB3AA7" w:rsidRPr="008D2837" w:rsidTr="00075FB8">
        <w:trPr>
          <w:trHeight w:val="277"/>
        </w:trPr>
        <w:tc>
          <w:tcPr>
            <w:tcW w:w="1668"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09.09.-12.09.</w:t>
            </w:r>
          </w:p>
        </w:tc>
        <w:tc>
          <w:tcPr>
            <w:tcW w:w="3402"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Biotehnoloģijas un farmācija</w:t>
            </w:r>
          </w:p>
        </w:tc>
        <w:tc>
          <w:tcPr>
            <w:tcW w:w="4110"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Viļņa, Lietuva</w:t>
            </w:r>
          </w:p>
        </w:tc>
      </w:tr>
      <w:tr w:rsidR="00AB3AA7" w:rsidRPr="008D2837" w:rsidTr="00075FB8">
        <w:trPr>
          <w:trHeight w:val="277"/>
        </w:trPr>
        <w:tc>
          <w:tcPr>
            <w:tcW w:w="1668"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10.09.-11.09.</w:t>
            </w:r>
          </w:p>
        </w:tc>
        <w:tc>
          <w:tcPr>
            <w:tcW w:w="3402"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Būvindustrijas</w:t>
            </w:r>
          </w:p>
        </w:tc>
        <w:tc>
          <w:tcPr>
            <w:tcW w:w="4110"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 xml:space="preserve">Kopenhāgena, Dānija un </w:t>
            </w:r>
            <w:proofErr w:type="spellStart"/>
            <w:r w:rsidRPr="008D2837">
              <w:rPr>
                <w:rFonts w:ascii="Times New Roman" w:hAnsi="Times New Roman" w:cs="Times New Roman"/>
              </w:rPr>
              <w:t>Malme</w:t>
            </w:r>
            <w:proofErr w:type="spellEnd"/>
            <w:r w:rsidRPr="008D2837">
              <w:rPr>
                <w:rFonts w:ascii="Times New Roman" w:hAnsi="Times New Roman" w:cs="Times New Roman"/>
              </w:rPr>
              <w:t>, Zviedrijā</w:t>
            </w:r>
          </w:p>
        </w:tc>
      </w:tr>
      <w:tr w:rsidR="00AB3AA7" w:rsidRPr="008D2837" w:rsidTr="00075FB8">
        <w:trPr>
          <w:trHeight w:val="216"/>
        </w:trPr>
        <w:tc>
          <w:tcPr>
            <w:tcW w:w="1668"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15.09.-24.09.</w:t>
            </w:r>
          </w:p>
        </w:tc>
        <w:tc>
          <w:tcPr>
            <w:tcW w:w="3402"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Tehnoloģiju nozares</w:t>
            </w:r>
          </w:p>
        </w:tc>
        <w:tc>
          <w:tcPr>
            <w:tcW w:w="4110"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Silīcija ieleja, ASV</w:t>
            </w:r>
          </w:p>
        </w:tc>
      </w:tr>
      <w:tr w:rsidR="00AB3AA7" w:rsidRPr="008D2837" w:rsidTr="00075FB8">
        <w:trPr>
          <w:trHeight w:val="210"/>
        </w:trPr>
        <w:tc>
          <w:tcPr>
            <w:tcW w:w="1668"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21.12.-23.12.</w:t>
            </w:r>
          </w:p>
        </w:tc>
        <w:tc>
          <w:tcPr>
            <w:tcW w:w="3402"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 xml:space="preserve">Bērnu apģērbi un rotaļlietas </w:t>
            </w:r>
          </w:p>
        </w:tc>
        <w:tc>
          <w:tcPr>
            <w:tcW w:w="4110"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Viļņa, Lietuva</w:t>
            </w:r>
          </w:p>
        </w:tc>
      </w:tr>
      <w:tr w:rsidR="00AB3AA7" w:rsidRPr="008D2837" w:rsidTr="00075FB8">
        <w:trPr>
          <w:trHeight w:val="356"/>
        </w:trPr>
        <w:tc>
          <w:tcPr>
            <w:tcW w:w="1668"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16.09.-18.09.</w:t>
            </w:r>
          </w:p>
        </w:tc>
        <w:tc>
          <w:tcPr>
            <w:tcW w:w="3402"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Dažādu nozaru uzņēmumi</w:t>
            </w:r>
          </w:p>
        </w:tc>
        <w:tc>
          <w:tcPr>
            <w:tcW w:w="4110"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Tampere, Somija</w:t>
            </w:r>
          </w:p>
        </w:tc>
      </w:tr>
      <w:tr w:rsidR="00AB3AA7" w:rsidRPr="008D2837" w:rsidTr="00075FB8">
        <w:trPr>
          <w:trHeight w:val="356"/>
        </w:trPr>
        <w:tc>
          <w:tcPr>
            <w:tcW w:w="1668" w:type="dxa"/>
          </w:tcPr>
          <w:p w:rsidR="00AB3AA7" w:rsidRPr="008D2837" w:rsidRDefault="00AB3AA7" w:rsidP="00075FB8">
            <w:pPr>
              <w:rPr>
                <w:rFonts w:ascii="Times New Roman" w:hAnsi="Times New Roman" w:cs="Times New Roman"/>
              </w:rPr>
            </w:pPr>
            <w:r w:rsidRPr="008D2837">
              <w:rPr>
                <w:rFonts w:ascii="Times New Roman" w:hAnsi="Times New Roman" w:cs="Times New Roman"/>
              </w:rPr>
              <w:t>23.09.-26.09.</w:t>
            </w:r>
          </w:p>
        </w:tc>
        <w:tc>
          <w:tcPr>
            <w:tcW w:w="3402" w:type="dxa"/>
          </w:tcPr>
          <w:p w:rsidR="00AB3AA7" w:rsidRPr="008D2837" w:rsidRDefault="00AB3AA7" w:rsidP="00075FB8">
            <w:pPr>
              <w:rPr>
                <w:rFonts w:ascii="Times New Roman" w:hAnsi="Times New Roman" w:cs="Times New Roman"/>
              </w:rPr>
            </w:pPr>
            <w:proofErr w:type="spellStart"/>
            <w:r w:rsidRPr="008D2837">
              <w:rPr>
                <w:rFonts w:ascii="Times New Roman" w:hAnsi="Times New Roman" w:cs="Times New Roman"/>
              </w:rPr>
              <w:t>Inženiernozares</w:t>
            </w:r>
            <w:proofErr w:type="spellEnd"/>
          </w:p>
        </w:tc>
        <w:tc>
          <w:tcPr>
            <w:tcW w:w="4110" w:type="dxa"/>
          </w:tcPr>
          <w:p w:rsidR="00AB3AA7" w:rsidRPr="008D2837" w:rsidRDefault="00AB3AA7" w:rsidP="00075FB8">
            <w:pPr>
              <w:rPr>
                <w:rFonts w:ascii="Times New Roman" w:hAnsi="Times New Roman" w:cs="Times New Roman"/>
              </w:rPr>
            </w:pPr>
            <w:r w:rsidRPr="008D2837">
              <w:rPr>
                <w:rFonts w:ascii="Times New Roman" w:hAnsi="Times New Roman" w:cs="Times New Roman"/>
              </w:rPr>
              <w:t>Berlīne, Vācija</w:t>
            </w:r>
          </w:p>
        </w:tc>
      </w:tr>
      <w:tr w:rsidR="00AB3AA7" w:rsidRPr="008D2837" w:rsidTr="00075FB8">
        <w:trPr>
          <w:trHeight w:val="356"/>
        </w:trPr>
        <w:tc>
          <w:tcPr>
            <w:tcW w:w="1668" w:type="dxa"/>
          </w:tcPr>
          <w:p w:rsidR="00AB3AA7" w:rsidRPr="008D2837" w:rsidRDefault="00AB3AA7" w:rsidP="00075FB8">
            <w:pPr>
              <w:rPr>
                <w:rFonts w:ascii="Times New Roman" w:hAnsi="Times New Roman" w:cs="Times New Roman"/>
              </w:rPr>
            </w:pPr>
            <w:r w:rsidRPr="008D2837">
              <w:rPr>
                <w:rFonts w:ascii="Times New Roman" w:hAnsi="Times New Roman" w:cs="Times New Roman"/>
              </w:rPr>
              <w:t>14.10.-17.10.</w:t>
            </w:r>
          </w:p>
        </w:tc>
        <w:tc>
          <w:tcPr>
            <w:tcW w:w="3402" w:type="dxa"/>
          </w:tcPr>
          <w:p w:rsidR="00AB3AA7" w:rsidRPr="008D2837" w:rsidRDefault="00AB3AA7" w:rsidP="00075FB8">
            <w:pPr>
              <w:rPr>
                <w:rFonts w:ascii="Times New Roman" w:hAnsi="Times New Roman" w:cs="Times New Roman"/>
              </w:rPr>
            </w:pPr>
            <w:proofErr w:type="spellStart"/>
            <w:r w:rsidRPr="008D2837">
              <w:rPr>
                <w:rFonts w:ascii="Times New Roman" w:hAnsi="Times New Roman" w:cs="Times New Roman"/>
              </w:rPr>
              <w:t>Inženiernozares</w:t>
            </w:r>
            <w:proofErr w:type="spellEnd"/>
          </w:p>
        </w:tc>
        <w:tc>
          <w:tcPr>
            <w:tcW w:w="4110" w:type="dxa"/>
          </w:tcPr>
          <w:p w:rsidR="00AB3AA7" w:rsidRPr="008D2837" w:rsidRDefault="00AB3AA7" w:rsidP="00075FB8">
            <w:pPr>
              <w:rPr>
                <w:rFonts w:ascii="Times New Roman" w:hAnsi="Times New Roman" w:cs="Times New Roman"/>
              </w:rPr>
            </w:pPr>
            <w:r w:rsidRPr="008D2837">
              <w:rPr>
                <w:rFonts w:ascii="Times New Roman" w:hAnsi="Times New Roman" w:cs="Times New Roman"/>
              </w:rPr>
              <w:t>Oslo, Norvēģija</w:t>
            </w:r>
          </w:p>
        </w:tc>
      </w:tr>
      <w:tr w:rsidR="00AB3AA7" w:rsidRPr="008D2837" w:rsidTr="00075FB8">
        <w:trPr>
          <w:trHeight w:val="356"/>
        </w:trPr>
        <w:tc>
          <w:tcPr>
            <w:tcW w:w="1668" w:type="dxa"/>
          </w:tcPr>
          <w:p w:rsidR="00AB3AA7" w:rsidRPr="008D2837" w:rsidRDefault="00AB3AA7" w:rsidP="00075FB8">
            <w:pPr>
              <w:rPr>
                <w:rFonts w:ascii="Times New Roman" w:hAnsi="Times New Roman" w:cs="Times New Roman"/>
              </w:rPr>
            </w:pPr>
            <w:r w:rsidRPr="008D2837">
              <w:rPr>
                <w:rFonts w:ascii="Times New Roman" w:hAnsi="Times New Roman" w:cs="Times New Roman"/>
              </w:rPr>
              <w:t>04.11.-07.11.</w:t>
            </w:r>
          </w:p>
        </w:tc>
        <w:tc>
          <w:tcPr>
            <w:tcW w:w="3402" w:type="dxa"/>
          </w:tcPr>
          <w:p w:rsidR="00AB3AA7" w:rsidRPr="008D2837" w:rsidRDefault="00AB3AA7" w:rsidP="00075FB8">
            <w:pPr>
              <w:rPr>
                <w:rFonts w:ascii="Times New Roman" w:hAnsi="Times New Roman" w:cs="Times New Roman"/>
              </w:rPr>
            </w:pPr>
            <w:proofErr w:type="spellStart"/>
            <w:r w:rsidRPr="008D2837">
              <w:rPr>
                <w:rFonts w:ascii="Times New Roman" w:hAnsi="Times New Roman" w:cs="Times New Roman"/>
              </w:rPr>
              <w:t>Inženiernozares</w:t>
            </w:r>
            <w:proofErr w:type="spellEnd"/>
          </w:p>
        </w:tc>
        <w:tc>
          <w:tcPr>
            <w:tcW w:w="4110" w:type="dxa"/>
          </w:tcPr>
          <w:p w:rsidR="00AB3AA7" w:rsidRPr="008D2837" w:rsidRDefault="00AB3AA7" w:rsidP="00075FB8">
            <w:pPr>
              <w:rPr>
                <w:rFonts w:ascii="Times New Roman" w:hAnsi="Times New Roman" w:cs="Times New Roman"/>
              </w:rPr>
            </w:pPr>
            <w:r w:rsidRPr="008D2837">
              <w:rPr>
                <w:rFonts w:ascii="Times New Roman" w:hAnsi="Times New Roman" w:cs="Times New Roman"/>
              </w:rPr>
              <w:t>Parīze, Francija</w:t>
            </w:r>
          </w:p>
        </w:tc>
      </w:tr>
      <w:tr w:rsidR="00AB3AA7" w:rsidRPr="008D2837" w:rsidTr="00075FB8">
        <w:trPr>
          <w:trHeight w:val="356"/>
        </w:trPr>
        <w:tc>
          <w:tcPr>
            <w:tcW w:w="1668" w:type="dxa"/>
          </w:tcPr>
          <w:p w:rsidR="00AB3AA7" w:rsidRPr="008D2837" w:rsidRDefault="00AB3AA7" w:rsidP="00075FB8">
            <w:pPr>
              <w:rPr>
                <w:rFonts w:ascii="Times New Roman" w:hAnsi="Times New Roman" w:cs="Times New Roman"/>
              </w:rPr>
            </w:pPr>
            <w:r w:rsidRPr="008D2837">
              <w:rPr>
                <w:rFonts w:ascii="Times New Roman" w:hAnsi="Times New Roman" w:cs="Times New Roman"/>
              </w:rPr>
              <w:t>11.11.-12.11.</w:t>
            </w:r>
          </w:p>
        </w:tc>
        <w:tc>
          <w:tcPr>
            <w:tcW w:w="3402" w:type="dxa"/>
          </w:tcPr>
          <w:p w:rsidR="00AB3AA7" w:rsidRPr="008D2837" w:rsidRDefault="00AB3AA7" w:rsidP="00075FB8">
            <w:pPr>
              <w:rPr>
                <w:rFonts w:ascii="Times New Roman" w:hAnsi="Times New Roman" w:cs="Times New Roman"/>
              </w:rPr>
            </w:pPr>
            <w:proofErr w:type="spellStart"/>
            <w:r w:rsidRPr="008D2837">
              <w:rPr>
                <w:rFonts w:ascii="Times New Roman" w:hAnsi="Times New Roman" w:cs="Times New Roman"/>
              </w:rPr>
              <w:t>Inženiernozares</w:t>
            </w:r>
            <w:proofErr w:type="spellEnd"/>
          </w:p>
        </w:tc>
        <w:tc>
          <w:tcPr>
            <w:tcW w:w="4110" w:type="dxa"/>
          </w:tcPr>
          <w:p w:rsidR="00AB3AA7" w:rsidRPr="008D2837" w:rsidRDefault="00AB3AA7" w:rsidP="00075FB8">
            <w:pPr>
              <w:rPr>
                <w:rFonts w:ascii="Times New Roman" w:hAnsi="Times New Roman" w:cs="Times New Roman"/>
              </w:rPr>
            </w:pPr>
            <w:proofErr w:type="spellStart"/>
            <w:r w:rsidRPr="008D2837">
              <w:rPr>
                <w:rFonts w:ascii="Times New Roman" w:hAnsi="Times New Roman" w:cs="Times New Roman"/>
              </w:rPr>
              <w:t>Jenšēpinga</w:t>
            </w:r>
            <w:proofErr w:type="spellEnd"/>
            <w:r w:rsidRPr="008D2837">
              <w:rPr>
                <w:rFonts w:ascii="Times New Roman" w:hAnsi="Times New Roman" w:cs="Times New Roman"/>
              </w:rPr>
              <w:t>, Zviedrija</w:t>
            </w:r>
          </w:p>
        </w:tc>
      </w:tr>
      <w:tr w:rsidR="00AB3AA7" w:rsidRPr="008D2837" w:rsidTr="00075FB8">
        <w:trPr>
          <w:trHeight w:val="356"/>
        </w:trPr>
        <w:tc>
          <w:tcPr>
            <w:tcW w:w="1668" w:type="dxa"/>
          </w:tcPr>
          <w:p w:rsidR="00AB3AA7" w:rsidRPr="008D2837" w:rsidRDefault="00AB3AA7" w:rsidP="00075FB8">
            <w:pPr>
              <w:rPr>
                <w:rFonts w:ascii="Times New Roman" w:hAnsi="Times New Roman" w:cs="Times New Roman"/>
              </w:rPr>
            </w:pPr>
            <w:r w:rsidRPr="008D2837">
              <w:rPr>
                <w:rFonts w:ascii="Times New Roman" w:hAnsi="Times New Roman" w:cs="Times New Roman"/>
              </w:rPr>
              <w:t>25.12.-28.12.</w:t>
            </w:r>
          </w:p>
        </w:tc>
        <w:tc>
          <w:tcPr>
            <w:tcW w:w="3402" w:type="dxa"/>
          </w:tcPr>
          <w:p w:rsidR="00AB3AA7" w:rsidRPr="008D2837" w:rsidRDefault="00AB3AA7" w:rsidP="00075FB8">
            <w:pPr>
              <w:rPr>
                <w:rFonts w:ascii="Times New Roman" w:hAnsi="Times New Roman" w:cs="Times New Roman"/>
              </w:rPr>
            </w:pPr>
            <w:r w:rsidRPr="008D2837">
              <w:rPr>
                <w:rFonts w:ascii="Times New Roman" w:hAnsi="Times New Roman" w:cs="Times New Roman"/>
              </w:rPr>
              <w:t>Mašīnbūve un metālapstrāde</w:t>
            </w:r>
          </w:p>
        </w:tc>
        <w:tc>
          <w:tcPr>
            <w:tcW w:w="4110" w:type="dxa"/>
          </w:tcPr>
          <w:p w:rsidR="00AB3AA7" w:rsidRPr="008D2837" w:rsidRDefault="00AB3AA7" w:rsidP="00075FB8">
            <w:pPr>
              <w:rPr>
                <w:rFonts w:ascii="Times New Roman" w:hAnsi="Times New Roman" w:cs="Times New Roman"/>
              </w:rPr>
            </w:pPr>
            <w:proofErr w:type="spellStart"/>
            <w:r w:rsidRPr="008D2837">
              <w:rPr>
                <w:rFonts w:ascii="Times New Roman" w:hAnsi="Times New Roman" w:cs="Times New Roman"/>
              </w:rPr>
              <w:t>Hērniga</w:t>
            </w:r>
            <w:proofErr w:type="spellEnd"/>
            <w:r w:rsidRPr="008D2837">
              <w:rPr>
                <w:rFonts w:ascii="Times New Roman" w:hAnsi="Times New Roman" w:cs="Times New Roman"/>
              </w:rPr>
              <w:t>, Dānija</w:t>
            </w:r>
          </w:p>
        </w:tc>
      </w:tr>
    </w:tbl>
    <w:p w:rsidR="00AB3AA7" w:rsidRPr="003730C5" w:rsidRDefault="00AB3AA7" w:rsidP="00AB3AA7">
      <w:pPr>
        <w:ind w:firstLine="709"/>
        <w:jc w:val="both"/>
        <w:rPr>
          <w:rFonts w:cs="Times New Roman"/>
          <w:sz w:val="26"/>
          <w:szCs w:val="26"/>
        </w:rPr>
      </w:pPr>
    </w:p>
    <w:p w:rsidR="00AB3AA7" w:rsidRPr="003730C5" w:rsidRDefault="00AB3AA7" w:rsidP="00AB3AA7">
      <w:pPr>
        <w:pStyle w:val="ListParagraph"/>
        <w:numPr>
          <w:ilvl w:val="0"/>
          <w:numId w:val="33"/>
        </w:numPr>
        <w:spacing w:line="240" w:lineRule="auto"/>
        <w:ind w:left="0" w:firstLine="709"/>
        <w:jc w:val="both"/>
        <w:rPr>
          <w:rFonts w:cs="Times New Roman"/>
          <w:sz w:val="26"/>
          <w:szCs w:val="26"/>
        </w:rPr>
      </w:pPr>
      <w:bookmarkStart w:id="9" w:name="_Toc396775613"/>
      <w:r w:rsidRPr="003730C5">
        <w:rPr>
          <w:rStyle w:val="Heading2Char"/>
          <w:rFonts w:ascii="Times New Roman" w:hAnsi="Times New Roman"/>
          <w:color w:val="auto"/>
        </w:rPr>
        <w:lastRenderedPageBreak/>
        <w:t>Nacionālie un nozaru stendi</w:t>
      </w:r>
      <w:bookmarkEnd w:id="9"/>
      <w:r w:rsidRPr="003730C5">
        <w:rPr>
          <w:rFonts w:cs="Times New Roman"/>
          <w:b/>
          <w:sz w:val="26"/>
          <w:szCs w:val="26"/>
        </w:rPr>
        <w:t xml:space="preserve">.  </w:t>
      </w:r>
      <w:r w:rsidRPr="003730C5">
        <w:rPr>
          <w:rFonts w:cs="Times New Roman"/>
          <w:sz w:val="26"/>
          <w:szCs w:val="26"/>
        </w:rPr>
        <w:t xml:space="preserve">Diskusijās ar nozaru asociācijām dalība starptautiskajās un lielākajās nozaru un produktu grupu profesionālajās izstādēs tika identificētas, kā viena no būtiskākajām eksporta veicināšanas aktivitātēm, kuras ietvaros jāpalielina izstāžu skaits, kurās atbalsta dalību (šobrīd LIAA gadā vidēji organizē dalību 16 starptautiskajās izstādēs). Nozaru asociāciju iesaiste izstāžu organizēšanā nodrošinās arī </w:t>
      </w:r>
      <w:proofErr w:type="spellStart"/>
      <w:r w:rsidRPr="003730C5">
        <w:rPr>
          <w:rFonts w:cs="Times New Roman"/>
          <w:sz w:val="26"/>
          <w:szCs w:val="26"/>
        </w:rPr>
        <w:t>daudzskaitlīgāku</w:t>
      </w:r>
      <w:proofErr w:type="spellEnd"/>
      <w:r w:rsidRPr="003730C5">
        <w:rPr>
          <w:rFonts w:cs="Times New Roman"/>
          <w:sz w:val="26"/>
          <w:szCs w:val="26"/>
        </w:rPr>
        <w:t xml:space="preserve"> un kvalitatīvāku komersantu dalību izstādēs.  </w:t>
      </w:r>
    </w:p>
    <w:p w:rsidR="00AB3AA7" w:rsidRPr="003730C5" w:rsidRDefault="00AB3AA7" w:rsidP="00AB3AA7">
      <w:pPr>
        <w:ind w:firstLine="709"/>
        <w:jc w:val="both"/>
        <w:rPr>
          <w:rFonts w:cs="Times New Roman"/>
          <w:sz w:val="26"/>
          <w:szCs w:val="26"/>
        </w:rPr>
      </w:pPr>
      <w:r w:rsidRPr="003730C5">
        <w:rPr>
          <w:rFonts w:cs="Times New Roman"/>
          <w:sz w:val="26"/>
          <w:szCs w:val="26"/>
        </w:rPr>
        <w:tab/>
        <w:t>Komersantu dalības atbalstam jāpaplašina atbalstāmo izmaksu sarakst</w:t>
      </w:r>
      <w:r w:rsidR="003730C5" w:rsidRPr="003730C5">
        <w:rPr>
          <w:rFonts w:cs="Times New Roman"/>
          <w:sz w:val="26"/>
          <w:szCs w:val="26"/>
        </w:rPr>
        <w:t>s,</w:t>
      </w:r>
      <w:r w:rsidRPr="003730C5">
        <w:rPr>
          <w:rFonts w:cs="Times New Roman"/>
          <w:sz w:val="26"/>
          <w:szCs w:val="26"/>
        </w:rPr>
        <w:t xml:space="preserve"> iekļaujot kopējā transporta īres izdevumus, tulkošanas pakalpojumus, ekspozīcijas mārketinga materiālu nogādāšanas, produktu uzglabāšanas, izstādē prezentēto produktu iepakojumu izmaksas </w:t>
      </w:r>
      <w:proofErr w:type="spellStart"/>
      <w:r w:rsidRPr="003730C5">
        <w:rPr>
          <w:rFonts w:cs="Times New Roman"/>
          <w:sz w:val="26"/>
          <w:szCs w:val="26"/>
        </w:rPr>
        <w:t>u.c</w:t>
      </w:r>
      <w:proofErr w:type="spellEnd"/>
      <w:r w:rsidRPr="003730C5">
        <w:rPr>
          <w:rFonts w:cs="Times New Roman"/>
          <w:sz w:val="26"/>
          <w:szCs w:val="26"/>
        </w:rPr>
        <w:t>..</w:t>
      </w:r>
    </w:p>
    <w:p w:rsidR="00AB3AA7" w:rsidRPr="003730C5" w:rsidRDefault="00AB3AA7" w:rsidP="00AB3AA7">
      <w:pPr>
        <w:tabs>
          <w:tab w:val="left" w:pos="0"/>
        </w:tabs>
        <w:jc w:val="both"/>
        <w:rPr>
          <w:rFonts w:cs="Times New Roman"/>
          <w:sz w:val="26"/>
          <w:szCs w:val="26"/>
        </w:rPr>
      </w:pPr>
    </w:p>
    <w:p w:rsidR="00AB3AA7" w:rsidRPr="003730C5" w:rsidRDefault="00AB3AA7" w:rsidP="00AB3AA7">
      <w:pPr>
        <w:ind w:firstLine="709"/>
        <w:jc w:val="both"/>
        <w:rPr>
          <w:rFonts w:cs="Times New Roman"/>
          <w:sz w:val="26"/>
          <w:szCs w:val="26"/>
        </w:rPr>
      </w:pPr>
      <w:r w:rsidRPr="003730C5">
        <w:rPr>
          <w:rFonts w:cs="Times New Roman"/>
          <w:sz w:val="26"/>
          <w:szCs w:val="26"/>
        </w:rPr>
        <w:t>2014.gadā vēl paredzēta dalība sekojošās izstādēs ar nacionālajiem stendiem:</w:t>
      </w:r>
    </w:p>
    <w:tbl>
      <w:tblPr>
        <w:tblStyle w:val="TableGrid2"/>
        <w:tblW w:w="0" w:type="auto"/>
        <w:tblLook w:val="04A0" w:firstRow="1" w:lastRow="0" w:firstColumn="1" w:lastColumn="0" w:noHBand="0" w:noVBand="1"/>
      </w:tblPr>
      <w:tblGrid>
        <w:gridCol w:w="1526"/>
        <w:gridCol w:w="3544"/>
        <w:gridCol w:w="2126"/>
        <w:gridCol w:w="2091"/>
      </w:tblGrid>
      <w:tr w:rsidR="00AB3AA7" w:rsidRPr="008D2837" w:rsidTr="00075FB8">
        <w:tc>
          <w:tcPr>
            <w:tcW w:w="1526" w:type="dxa"/>
            <w:vAlign w:val="center"/>
          </w:tcPr>
          <w:p w:rsidR="00AB3AA7" w:rsidRPr="008D2837" w:rsidRDefault="00AB3AA7" w:rsidP="00075FB8">
            <w:pPr>
              <w:rPr>
                <w:rFonts w:ascii="Times New Roman" w:hAnsi="Times New Roman" w:cs="Times New Roman"/>
              </w:rPr>
            </w:pPr>
            <w:r w:rsidRPr="008D2837">
              <w:rPr>
                <w:rFonts w:ascii="Times New Roman" w:hAnsi="Times New Roman" w:cs="Times New Roman"/>
              </w:rPr>
              <w:t>15.09.-18.09.</w:t>
            </w:r>
          </w:p>
        </w:tc>
        <w:tc>
          <w:tcPr>
            <w:tcW w:w="3544" w:type="dxa"/>
            <w:vAlign w:val="center"/>
          </w:tcPr>
          <w:p w:rsidR="00AB3AA7" w:rsidRPr="008D2837" w:rsidRDefault="00AB3AA7" w:rsidP="00075FB8">
            <w:pPr>
              <w:rPr>
                <w:rFonts w:ascii="Times New Roman" w:hAnsi="Times New Roman" w:cs="Times New Roman"/>
              </w:rPr>
            </w:pPr>
            <w:r w:rsidRPr="008D2837">
              <w:rPr>
                <w:rFonts w:ascii="Times New Roman" w:hAnsi="Times New Roman" w:cs="Times New Roman"/>
              </w:rPr>
              <w:t>Pārtikas rūpniecība</w:t>
            </w:r>
          </w:p>
        </w:tc>
        <w:tc>
          <w:tcPr>
            <w:tcW w:w="2126" w:type="dxa"/>
            <w:vAlign w:val="center"/>
          </w:tcPr>
          <w:p w:rsidR="00AB3AA7" w:rsidRPr="008D2837" w:rsidRDefault="00AB3AA7" w:rsidP="00075FB8">
            <w:pPr>
              <w:rPr>
                <w:rFonts w:ascii="Times New Roman" w:hAnsi="Times New Roman" w:cs="Times New Roman"/>
              </w:rPr>
            </w:pPr>
            <w:proofErr w:type="spellStart"/>
            <w:r w:rsidRPr="008D2837">
              <w:rPr>
                <w:rFonts w:ascii="Times New Roman" w:hAnsi="Times New Roman" w:cs="Times New Roman"/>
              </w:rPr>
              <w:t>WorldFood</w:t>
            </w:r>
            <w:proofErr w:type="spellEnd"/>
            <w:r w:rsidRPr="008D2837">
              <w:rPr>
                <w:rFonts w:ascii="Times New Roman" w:hAnsi="Times New Roman" w:cs="Times New Roman"/>
              </w:rPr>
              <w:t xml:space="preserve"> </w:t>
            </w:r>
            <w:proofErr w:type="spellStart"/>
            <w:r w:rsidRPr="008D2837">
              <w:rPr>
                <w:rFonts w:ascii="Times New Roman" w:hAnsi="Times New Roman" w:cs="Times New Roman"/>
              </w:rPr>
              <w:t>Moscow</w:t>
            </w:r>
            <w:proofErr w:type="spellEnd"/>
          </w:p>
        </w:tc>
        <w:tc>
          <w:tcPr>
            <w:tcW w:w="2091" w:type="dxa"/>
            <w:vAlign w:val="center"/>
          </w:tcPr>
          <w:p w:rsidR="00AB3AA7" w:rsidRPr="008D2837" w:rsidRDefault="00AB3AA7" w:rsidP="00075FB8">
            <w:pPr>
              <w:rPr>
                <w:rFonts w:ascii="Times New Roman" w:hAnsi="Times New Roman" w:cs="Times New Roman"/>
              </w:rPr>
            </w:pPr>
            <w:r w:rsidRPr="008D2837">
              <w:rPr>
                <w:rFonts w:ascii="Times New Roman" w:hAnsi="Times New Roman" w:cs="Times New Roman"/>
              </w:rPr>
              <w:t>Maskava, Krievija</w:t>
            </w:r>
          </w:p>
        </w:tc>
      </w:tr>
      <w:tr w:rsidR="00AB3AA7" w:rsidRPr="008D2837" w:rsidTr="00075FB8">
        <w:trPr>
          <w:trHeight w:val="254"/>
        </w:trPr>
        <w:tc>
          <w:tcPr>
            <w:tcW w:w="1526"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11.11.-14.11.</w:t>
            </w:r>
          </w:p>
        </w:tc>
        <w:tc>
          <w:tcPr>
            <w:tcW w:w="3544"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Mašīnbūve, metālapstrāde, elektronika, elektrotehnika</w:t>
            </w:r>
          </w:p>
        </w:tc>
        <w:tc>
          <w:tcPr>
            <w:tcW w:w="2126" w:type="dxa"/>
            <w:hideMark/>
          </w:tcPr>
          <w:p w:rsidR="00AB3AA7" w:rsidRPr="008D2837" w:rsidRDefault="00AB3AA7" w:rsidP="00075FB8">
            <w:pPr>
              <w:rPr>
                <w:rFonts w:ascii="Times New Roman" w:hAnsi="Times New Roman" w:cs="Times New Roman"/>
              </w:rPr>
            </w:pPr>
            <w:proofErr w:type="spellStart"/>
            <w:r w:rsidRPr="008D2837">
              <w:rPr>
                <w:rFonts w:ascii="Times New Roman" w:hAnsi="Times New Roman" w:cs="Times New Roman"/>
              </w:rPr>
              <w:t>Elmia</w:t>
            </w:r>
            <w:proofErr w:type="spellEnd"/>
            <w:r w:rsidRPr="008D2837">
              <w:rPr>
                <w:rFonts w:ascii="Times New Roman" w:hAnsi="Times New Roman" w:cs="Times New Roman"/>
              </w:rPr>
              <w:t xml:space="preserve"> </w:t>
            </w:r>
            <w:proofErr w:type="spellStart"/>
            <w:r w:rsidRPr="008D2837">
              <w:rPr>
                <w:rFonts w:ascii="Times New Roman" w:hAnsi="Times New Roman" w:cs="Times New Roman"/>
              </w:rPr>
              <w:t>Subcontractor</w:t>
            </w:r>
            <w:proofErr w:type="spellEnd"/>
          </w:p>
        </w:tc>
        <w:tc>
          <w:tcPr>
            <w:tcW w:w="2091" w:type="dxa"/>
            <w:hideMark/>
          </w:tcPr>
          <w:p w:rsidR="00AB3AA7" w:rsidRPr="008D2837" w:rsidRDefault="00AB3AA7" w:rsidP="00075FB8">
            <w:pPr>
              <w:rPr>
                <w:rFonts w:ascii="Times New Roman" w:hAnsi="Times New Roman" w:cs="Times New Roman"/>
              </w:rPr>
            </w:pPr>
            <w:proofErr w:type="spellStart"/>
            <w:r w:rsidRPr="008D2837">
              <w:rPr>
                <w:rFonts w:ascii="Times New Roman" w:hAnsi="Times New Roman" w:cs="Times New Roman"/>
              </w:rPr>
              <w:t>Jenšēpinga</w:t>
            </w:r>
            <w:proofErr w:type="spellEnd"/>
            <w:r w:rsidRPr="008D2837">
              <w:rPr>
                <w:rFonts w:ascii="Times New Roman" w:hAnsi="Times New Roman" w:cs="Times New Roman"/>
              </w:rPr>
              <w:t>, Zviedrija</w:t>
            </w:r>
          </w:p>
        </w:tc>
      </w:tr>
      <w:tr w:rsidR="00AB3AA7" w:rsidRPr="008D2837" w:rsidTr="00075FB8">
        <w:trPr>
          <w:trHeight w:val="257"/>
        </w:trPr>
        <w:tc>
          <w:tcPr>
            <w:tcW w:w="1526"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07.10.-09.10.</w:t>
            </w:r>
          </w:p>
        </w:tc>
        <w:tc>
          <w:tcPr>
            <w:tcW w:w="3544"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Farmācija</w:t>
            </w:r>
          </w:p>
        </w:tc>
        <w:tc>
          <w:tcPr>
            <w:tcW w:w="2126" w:type="dxa"/>
            <w:hideMark/>
          </w:tcPr>
          <w:p w:rsidR="00AB3AA7" w:rsidRPr="008D2837" w:rsidRDefault="00AB3AA7" w:rsidP="00075FB8">
            <w:pPr>
              <w:rPr>
                <w:rFonts w:ascii="Times New Roman" w:hAnsi="Times New Roman" w:cs="Times New Roman"/>
              </w:rPr>
            </w:pPr>
            <w:proofErr w:type="spellStart"/>
            <w:r w:rsidRPr="008D2837">
              <w:rPr>
                <w:rFonts w:ascii="Times New Roman" w:hAnsi="Times New Roman" w:cs="Times New Roman"/>
              </w:rPr>
              <w:t>CPhI</w:t>
            </w:r>
            <w:proofErr w:type="spellEnd"/>
            <w:r w:rsidRPr="008D2837">
              <w:rPr>
                <w:rFonts w:ascii="Times New Roman" w:hAnsi="Times New Roman" w:cs="Times New Roman"/>
              </w:rPr>
              <w:t xml:space="preserve"> </w:t>
            </w:r>
            <w:proofErr w:type="spellStart"/>
            <w:r w:rsidRPr="008D2837">
              <w:rPr>
                <w:rFonts w:ascii="Times New Roman" w:hAnsi="Times New Roman" w:cs="Times New Roman"/>
              </w:rPr>
              <w:t>Worldwide</w:t>
            </w:r>
            <w:proofErr w:type="spellEnd"/>
          </w:p>
        </w:tc>
        <w:tc>
          <w:tcPr>
            <w:tcW w:w="2091"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Parīze, Francija</w:t>
            </w:r>
          </w:p>
        </w:tc>
      </w:tr>
      <w:tr w:rsidR="00AB3AA7" w:rsidRPr="008D2837" w:rsidTr="00075FB8">
        <w:trPr>
          <w:trHeight w:val="277"/>
        </w:trPr>
        <w:tc>
          <w:tcPr>
            <w:tcW w:w="1526"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08.10.-12.10.</w:t>
            </w:r>
          </w:p>
        </w:tc>
        <w:tc>
          <w:tcPr>
            <w:tcW w:w="3544"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Poligrāfija, izdevējdarbība</w:t>
            </w:r>
          </w:p>
        </w:tc>
        <w:tc>
          <w:tcPr>
            <w:tcW w:w="2126" w:type="dxa"/>
            <w:hideMark/>
          </w:tcPr>
          <w:p w:rsidR="00AB3AA7" w:rsidRPr="008D2837" w:rsidRDefault="00AB3AA7" w:rsidP="00075FB8">
            <w:pPr>
              <w:rPr>
                <w:rFonts w:ascii="Times New Roman" w:hAnsi="Times New Roman" w:cs="Times New Roman"/>
              </w:rPr>
            </w:pPr>
            <w:proofErr w:type="spellStart"/>
            <w:r w:rsidRPr="008D2837">
              <w:rPr>
                <w:rFonts w:ascii="Times New Roman" w:hAnsi="Times New Roman" w:cs="Times New Roman"/>
              </w:rPr>
              <w:t>Frankfurt</w:t>
            </w:r>
            <w:proofErr w:type="spellEnd"/>
            <w:r w:rsidRPr="008D2837">
              <w:rPr>
                <w:rFonts w:ascii="Times New Roman" w:hAnsi="Times New Roman" w:cs="Times New Roman"/>
              </w:rPr>
              <w:t xml:space="preserve"> </w:t>
            </w:r>
            <w:proofErr w:type="spellStart"/>
            <w:r w:rsidRPr="008D2837">
              <w:rPr>
                <w:rFonts w:ascii="Times New Roman" w:hAnsi="Times New Roman" w:cs="Times New Roman"/>
              </w:rPr>
              <w:t>Book</w:t>
            </w:r>
            <w:proofErr w:type="spellEnd"/>
            <w:r w:rsidRPr="008D2837">
              <w:rPr>
                <w:rFonts w:ascii="Times New Roman" w:hAnsi="Times New Roman" w:cs="Times New Roman"/>
              </w:rPr>
              <w:t xml:space="preserve"> </w:t>
            </w:r>
            <w:proofErr w:type="spellStart"/>
            <w:r w:rsidRPr="008D2837">
              <w:rPr>
                <w:rFonts w:ascii="Times New Roman" w:hAnsi="Times New Roman" w:cs="Times New Roman"/>
              </w:rPr>
              <w:t>Fair</w:t>
            </w:r>
            <w:proofErr w:type="spellEnd"/>
          </w:p>
        </w:tc>
        <w:tc>
          <w:tcPr>
            <w:tcW w:w="2091"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Frankfurte, Vācija</w:t>
            </w:r>
          </w:p>
        </w:tc>
      </w:tr>
      <w:tr w:rsidR="00AB3AA7" w:rsidRPr="008D2837" w:rsidTr="00075FB8">
        <w:trPr>
          <w:trHeight w:val="277"/>
        </w:trPr>
        <w:tc>
          <w:tcPr>
            <w:tcW w:w="1526"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17.11.-20.11.</w:t>
            </w:r>
          </w:p>
        </w:tc>
        <w:tc>
          <w:tcPr>
            <w:tcW w:w="3544"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Papīra un iepakojuma ražošana</w:t>
            </w:r>
          </w:p>
        </w:tc>
        <w:tc>
          <w:tcPr>
            <w:tcW w:w="2126" w:type="dxa"/>
            <w:hideMark/>
          </w:tcPr>
          <w:p w:rsidR="00AB3AA7" w:rsidRPr="008D2837" w:rsidRDefault="00AB3AA7" w:rsidP="00075FB8">
            <w:pPr>
              <w:rPr>
                <w:rFonts w:ascii="Times New Roman" w:hAnsi="Times New Roman" w:cs="Times New Roman"/>
              </w:rPr>
            </w:pPr>
            <w:proofErr w:type="spellStart"/>
            <w:r w:rsidRPr="008D2837">
              <w:rPr>
                <w:rFonts w:ascii="Times New Roman" w:hAnsi="Times New Roman" w:cs="Times New Roman"/>
              </w:rPr>
              <w:t>Emballage</w:t>
            </w:r>
            <w:proofErr w:type="spellEnd"/>
          </w:p>
        </w:tc>
        <w:tc>
          <w:tcPr>
            <w:tcW w:w="2091"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Parīze, Francija</w:t>
            </w:r>
          </w:p>
        </w:tc>
      </w:tr>
      <w:tr w:rsidR="00AB3AA7" w:rsidRPr="008D2837" w:rsidTr="00075FB8">
        <w:trPr>
          <w:trHeight w:val="216"/>
        </w:trPr>
        <w:tc>
          <w:tcPr>
            <w:tcW w:w="1526"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01.10.-03.10.</w:t>
            </w:r>
          </w:p>
        </w:tc>
        <w:tc>
          <w:tcPr>
            <w:tcW w:w="3544"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Būvindustrija</w:t>
            </w:r>
          </w:p>
        </w:tc>
        <w:tc>
          <w:tcPr>
            <w:tcW w:w="2126" w:type="dxa"/>
            <w:hideMark/>
          </w:tcPr>
          <w:p w:rsidR="00AB3AA7" w:rsidRPr="008D2837" w:rsidRDefault="00AB3AA7" w:rsidP="00075FB8">
            <w:pPr>
              <w:rPr>
                <w:rFonts w:ascii="Times New Roman" w:hAnsi="Times New Roman" w:cs="Times New Roman"/>
              </w:rPr>
            </w:pPr>
            <w:proofErr w:type="spellStart"/>
            <w:r w:rsidRPr="008D2837">
              <w:rPr>
                <w:rFonts w:ascii="Times New Roman" w:hAnsi="Times New Roman" w:cs="Times New Roman"/>
              </w:rPr>
              <w:t>FinnBuild</w:t>
            </w:r>
            <w:proofErr w:type="spellEnd"/>
          </w:p>
        </w:tc>
        <w:tc>
          <w:tcPr>
            <w:tcW w:w="2091"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Helsinki, Somija</w:t>
            </w:r>
          </w:p>
        </w:tc>
      </w:tr>
      <w:tr w:rsidR="00AB3AA7" w:rsidRPr="008D2837" w:rsidTr="00075FB8">
        <w:trPr>
          <w:trHeight w:val="210"/>
        </w:trPr>
        <w:tc>
          <w:tcPr>
            <w:tcW w:w="1526"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05.09.-09.09.</w:t>
            </w:r>
          </w:p>
        </w:tc>
        <w:tc>
          <w:tcPr>
            <w:tcW w:w="3544"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 xml:space="preserve">Interjera dizains, mājas tekstils </w:t>
            </w:r>
          </w:p>
        </w:tc>
        <w:tc>
          <w:tcPr>
            <w:tcW w:w="2126" w:type="dxa"/>
            <w:hideMark/>
          </w:tcPr>
          <w:p w:rsidR="00AB3AA7" w:rsidRPr="008D2837" w:rsidRDefault="00AB3AA7" w:rsidP="00075FB8">
            <w:pPr>
              <w:rPr>
                <w:rFonts w:ascii="Times New Roman" w:hAnsi="Times New Roman" w:cs="Times New Roman"/>
              </w:rPr>
            </w:pPr>
            <w:proofErr w:type="spellStart"/>
            <w:r w:rsidRPr="008D2837">
              <w:rPr>
                <w:rFonts w:ascii="Times New Roman" w:hAnsi="Times New Roman" w:cs="Times New Roman"/>
              </w:rPr>
              <w:t>Maison</w:t>
            </w:r>
            <w:proofErr w:type="spellEnd"/>
            <w:r w:rsidRPr="008D2837">
              <w:rPr>
                <w:rFonts w:ascii="Times New Roman" w:hAnsi="Times New Roman" w:cs="Times New Roman"/>
              </w:rPr>
              <w:t xml:space="preserve"> </w:t>
            </w:r>
            <w:proofErr w:type="spellStart"/>
            <w:r w:rsidRPr="008D2837">
              <w:rPr>
                <w:rFonts w:ascii="Times New Roman" w:hAnsi="Times New Roman" w:cs="Times New Roman"/>
              </w:rPr>
              <w:t>et</w:t>
            </w:r>
            <w:proofErr w:type="spellEnd"/>
            <w:r w:rsidRPr="008D2837">
              <w:rPr>
                <w:rFonts w:ascii="Times New Roman" w:hAnsi="Times New Roman" w:cs="Times New Roman"/>
              </w:rPr>
              <w:t xml:space="preserve"> </w:t>
            </w:r>
            <w:proofErr w:type="spellStart"/>
            <w:r w:rsidRPr="008D2837">
              <w:rPr>
                <w:rFonts w:ascii="Times New Roman" w:hAnsi="Times New Roman" w:cs="Times New Roman"/>
              </w:rPr>
              <w:t>Objet</w:t>
            </w:r>
            <w:proofErr w:type="spellEnd"/>
            <w:r w:rsidRPr="008D2837">
              <w:rPr>
                <w:rFonts w:ascii="Times New Roman" w:hAnsi="Times New Roman" w:cs="Times New Roman"/>
              </w:rPr>
              <w:t xml:space="preserve"> </w:t>
            </w:r>
          </w:p>
        </w:tc>
        <w:tc>
          <w:tcPr>
            <w:tcW w:w="2091"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Parīze, Francija</w:t>
            </w:r>
          </w:p>
        </w:tc>
      </w:tr>
      <w:tr w:rsidR="00AB3AA7" w:rsidRPr="008D2837" w:rsidTr="00075FB8">
        <w:trPr>
          <w:trHeight w:val="356"/>
        </w:trPr>
        <w:tc>
          <w:tcPr>
            <w:tcW w:w="1526"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28.10.-31.10.</w:t>
            </w:r>
          </w:p>
        </w:tc>
        <w:tc>
          <w:tcPr>
            <w:tcW w:w="3544"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Interjera dizains, mājas tekstils</w:t>
            </w:r>
          </w:p>
        </w:tc>
        <w:tc>
          <w:tcPr>
            <w:tcW w:w="2126" w:type="dxa"/>
            <w:hideMark/>
          </w:tcPr>
          <w:p w:rsidR="00AB3AA7" w:rsidRPr="008D2837" w:rsidRDefault="00AB3AA7" w:rsidP="00075FB8">
            <w:pPr>
              <w:rPr>
                <w:rFonts w:ascii="Times New Roman" w:hAnsi="Times New Roman" w:cs="Times New Roman"/>
              </w:rPr>
            </w:pPr>
            <w:proofErr w:type="spellStart"/>
            <w:r w:rsidRPr="008D2837">
              <w:rPr>
                <w:rFonts w:ascii="Times New Roman" w:hAnsi="Times New Roman" w:cs="Times New Roman"/>
              </w:rPr>
              <w:t>Downtown</w:t>
            </w:r>
            <w:proofErr w:type="spellEnd"/>
            <w:r w:rsidRPr="008D2837">
              <w:rPr>
                <w:rFonts w:ascii="Times New Roman" w:hAnsi="Times New Roman" w:cs="Times New Roman"/>
              </w:rPr>
              <w:t xml:space="preserve"> </w:t>
            </w:r>
            <w:proofErr w:type="spellStart"/>
            <w:r w:rsidRPr="008D2837">
              <w:rPr>
                <w:rFonts w:ascii="Times New Roman" w:hAnsi="Times New Roman" w:cs="Times New Roman"/>
              </w:rPr>
              <w:t>Design</w:t>
            </w:r>
            <w:proofErr w:type="spellEnd"/>
          </w:p>
        </w:tc>
        <w:tc>
          <w:tcPr>
            <w:tcW w:w="2091"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Dubaija, Apvienotie Arābu Emirāti</w:t>
            </w:r>
          </w:p>
        </w:tc>
      </w:tr>
    </w:tbl>
    <w:p w:rsidR="00AB3AA7" w:rsidRPr="003730C5" w:rsidRDefault="00AB3AA7" w:rsidP="00AB3AA7">
      <w:pPr>
        <w:ind w:firstLine="709"/>
        <w:jc w:val="both"/>
        <w:rPr>
          <w:rFonts w:cs="Times New Roman"/>
          <w:sz w:val="26"/>
          <w:szCs w:val="26"/>
        </w:rPr>
      </w:pPr>
      <w:r w:rsidRPr="003730C5">
        <w:rPr>
          <w:rFonts w:cs="Times New Roman"/>
          <w:sz w:val="26"/>
          <w:szCs w:val="26"/>
        </w:rPr>
        <w:t xml:space="preserve">No ZM administrētās valsts atbalsta lauksaimniecībai programmas 2014.gadā tiek atbalstīts ražotāju </w:t>
      </w:r>
      <w:proofErr w:type="spellStart"/>
      <w:r w:rsidRPr="003730C5">
        <w:rPr>
          <w:rFonts w:cs="Times New Roman"/>
          <w:sz w:val="26"/>
          <w:szCs w:val="26"/>
        </w:rPr>
        <w:t>kopstends</w:t>
      </w:r>
      <w:proofErr w:type="spellEnd"/>
      <w:r w:rsidRPr="003730C5">
        <w:rPr>
          <w:rFonts w:cs="Times New Roman"/>
          <w:sz w:val="26"/>
          <w:szCs w:val="26"/>
        </w:rPr>
        <w:t xml:space="preserve"> izstādē "</w:t>
      </w:r>
      <w:proofErr w:type="spellStart"/>
      <w:r w:rsidRPr="003730C5">
        <w:rPr>
          <w:rFonts w:cs="Times New Roman"/>
          <w:sz w:val="26"/>
          <w:szCs w:val="26"/>
        </w:rPr>
        <w:t>Riga</w:t>
      </w:r>
      <w:proofErr w:type="spellEnd"/>
      <w:r w:rsidRPr="003730C5">
        <w:rPr>
          <w:rFonts w:cs="Times New Roman"/>
          <w:sz w:val="26"/>
          <w:szCs w:val="26"/>
        </w:rPr>
        <w:t xml:space="preserve"> </w:t>
      </w:r>
      <w:proofErr w:type="spellStart"/>
      <w:r w:rsidRPr="003730C5">
        <w:rPr>
          <w:rFonts w:cs="Times New Roman"/>
          <w:sz w:val="26"/>
          <w:szCs w:val="26"/>
        </w:rPr>
        <w:t>Food</w:t>
      </w:r>
      <w:proofErr w:type="spellEnd"/>
      <w:r w:rsidRPr="003730C5">
        <w:rPr>
          <w:rFonts w:cs="Times New Roman"/>
          <w:sz w:val="26"/>
          <w:szCs w:val="26"/>
        </w:rPr>
        <w:t>", SIAL (Parīze).</w:t>
      </w:r>
    </w:p>
    <w:p w:rsidR="00AB3AA7" w:rsidRPr="003730C5" w:rsidRDefault="00AB3AA7" w:rsidP="00AB3AA7">
      <w:pPr>
        <w:ind w:firstLine="709"/>
        <w:jc w:val="both"/>
        <w:rPr>
          <w:rFonts w:cs="Times New Roman"/>
          <w:sz w:val="26"/>
          <w:szCs w:val="26"/>
        </w:rPr>
      </w:pPr>
    </w:p>
    <w:p w:rsidR="00AB3AA7" w:rsidRPr="003730C5" w:rsidRDefault="00AB3AA7" w:rsidP="00AB3AA7">
      <w:pPr>
        <w:ind w:firstLine="709"/>
        <w:jc w:val="both"/>
        <w:rPr>
          <w:rFonts w:cs="Times New Roman"/>
          <w:sz w:val="26"/>
          <w:szCs w:val="26"/>
        </w:rPr>
      </w:pPr>
      <w:r w:rsidRPr="003730C5">
        <w:rPr>
          <w:rFonts w:cs="Times New Roman"/>
          <w:sz w:val="26"/>
          <w:szCs w:val="26"/>
        </w:rPr>
        <w:t>2015.gadā paredzēta dalība sekojošās izstādēs ar nacionālajiem stendiem:</w:t>
      </w:r>
    </w:p>
    <w:tbl>
      <w:tblPr>
        <w:tblStyle w:val="TableGrid3"/>
        <w:tblW w:w="0" w:type="auto"/>
        <w:tblLook w:val="04A0" w:firstRow="1" w:lastRow="0" w:firstColumn="1" w:lastColumn="0" w:noHBand="0" w:noVBand="1"/>
      </w:tblPr>
      <w:tblGrid>
        <w:gridCol w:w="1524"/>
        <w:gridCol w:w="3012"/>
        <w:gridCol w:w="2977"/>
        <w:gridCol w:w="1774"/>
      </w:tblGrid>
      <w:tr w:rsidR="00AB3AA7" w:rsidRPr="008D2837" w:rsidTr="00075FB8">
        <w:tc>
          <w:tcPr>
            <w:tcW w:w="1524" w:type="dxa"/>
            <w:vAlign w:val="center"/>
          </w:tcPr>
          <w:p w:rsidR="00AB3AA7" w:rsidRPr="008D2837" w:rsidRDefault="00AB3AA7" w:rsidP="00075FB8">
            <w:pPr>
              <w:rPr>
                <w:rFonts w:ascii="Times New Roman" w:hAnsi="Times New Roman" w:cs="Times New Roman"/>
              </w:rPr>
            </w:pPr>
            <w:r w:rsidRPr="008D2837">
              <w:rPr>
                <w:rFonts w:ascii="Times New Roman" w:hAnsi="Times New Roman" w:cs="Times New Roman"/>
              </w:rPr>
              <w:t>21.05.-23.05.</w:t>
            </w:r>
          </w:p>
        </w:tc>
        <w:tc>
          <w:tcPr>
            <w:tcW w:w="3012" w:type="dxa"/>
            <w:vAlign w:val="center"/>
          </w:tcPr>
          <w:p w:rsidR="00AB3AA7" w:rsidRPr="008D2837" w:rsidRDefault="00AB3AA7" w:rsidP="00075FB8">
            <w:pPr>
              <w:rPr>
                <w:rFonts w:ascii="Times New Roman" w:hAnsi="Times New Roman" w:cs="Times New Roman"/>
              </w:rPr>
            </w:pPr>
            <w:r w:rsidRPr="008D2837">
              <w:rPr>
                <w:rFonts w:ascii="Times New Roman" w:hAnsi="Times New Roman" w:cs="Times New Roman"/>
              </w:rPr>
              <w:t>Pārtikas rūpniecība</w:t>
            </w:r>
          </w:p>
        </w:tc>
        <w:tc>
          <w:tcPr>
            <w:tcW w:w="2977" w:type="dxa"/>
            <w:vAlign w:val="center"/>
          </w:tcPr>
          <w:p w:rsidR="00AB3AA7" w:rsidRPr="008D2837" w:rsidRDefault="00AB3AA7" w:rsidP="00075FB8">
            <w:pPr>
              <w:rPr>
                <w:rFonts w:ascii="Times New Roman" w:hAnsi="Times New Roman" w:cs="Times New Roman"/>
              </w:rPr>
            </w:pPr>
            <w:proofErr w:type="spellStart"/>
            <w:r w:rsidRPr="008D2837">
              <w:rPr>
                <w:rFonts w:ascii="Times New Roman" w:hAnsi="Times New Roman" w:cs="Times New Roman"/>
              </w:rPr>
              <w:t>World</w:t>
            </w:r>
            <w:proofErr w:type="spellEnd"/>
            <w:r w:rsidRPr="008D2837">
              <w:rPr>
                <w:rFonts w:ascii="Times New Roman" w:hAnsi="Times New Roman" w:cs="Times New Roman"/>
              </w:rPr>
              <w:t xml:space="preserve"> </w:t>
            </w:r>
            <w:proofErr w:type="spellStart"/>
            <w:r w:rsidRPr="008D2837">
              <w:rPr>
                <w:rFonts w:ascii="Times New Roman" w:hAnsi="Times New Roman" w:cs="Times New Roman"/>
              </w:rPr>
              <w:t>Food</w:t>
            </w:r>
            <w:proofErr w:type="spellEnd"/>
            <w:r w:rsidRPr="008D2837">
              <w:rPr>
                <w:rFonts w:ascii="Times New Roman" w:hAnsi="Times New Roman" w:cs="Times New Roman"/>
              </w:rPr>
              <w:t xml:space="preserve"> </w:t>
            </w:r>
            <w:proofErr w:type="spellStart"/>
            <w:r w:rsidRPr="008D2837">
              <w:rPr>
                <w:rFonts w:ascii="Times New Roman" w:hAnsi="Times New Roman" w:cs="Times New Roman"/>
              </w:rPr>
              <w:t>Azerbaijan</w:t>
            </w:r>
            <w:proofErr w:type="spellEnd"/>
          </w:p>
        </w:tc>
        <w:tc>
          <w:tcPr>
            <w:tcW w:w="1774" w:type="dxa"/>
            <w:vAlign w:val="center"/>
          </w:tcPr>
          <w:p w:rsidR="00AB3AA7" w:rsidRPr="008D2837" w:rsidRDefault="00AB3AA7" w:rsidP="00075FB8">
            <w:pPr>
              <w:rPr>
                <w:rFonts w:ascii="Times New Roman" w:hAnsi="Times New Roman" w:cs="Times New Roman"/>
              </w:rPr>
            </w:pPr>
            <w:r w:rsidRPr="008D2837">
              <w:rPr>
                <w:rFonts w:ascii="Times New Roman" w:hAnsi="Times New Roman" w:cs="Times New Roman"/>
              </w:rPr>
              <w:t>Azerbaidžāna</w:t>
            </w:r>
          </w:p>
        </w:tc>
      </w:tr>
      <w:tr w:rsidR="00AB3AA7" w:rsidRPr="008D2837" w:rsidTr="00075FB8">
        <w:trPr>
          <w:trHeight w:val="254"/>
        </w:trPr>
        <w:tc>
          <w:tcPr>
            <w:tcW w:w="1524"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19.01.-24.01.</w:t>
            </w:r>
          </w:p>
        </w:tc>
        <w:tc>
          <w:tcPr>
            <w:tcW w:w="3012"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Būvindustrija</w:t>
            </w:r>
          </w:p>
        </w:tc>
        <w:tc>
          <w:tcPr>
            <w:tcW w:w="2977" w:type="dxa"/>
            <w:hideMark/>
          </w:tcPr>
          <w:p w:rsidR="00AB3AA7" w:rsidRPr="008D2837" w:rsidRDefault="00AB3AA7" w:rsidP="00075FB8">
            <w:pPr>
              <w:rPr>
                <w:rFonts w:ascii="Times New Roman" w:hAnsi="Times New Roman" w:cs="Times New Roman"/>
              </w:rPr>
            </w:pPr>
            <w:proofErr w:type="spellStart"/>
            <w:r w:rsidRPr="008D2837">
              <w:rPr>
                <w:rFonts w:ascii="Times New Roman" w:hAnsi="Times New Roman" w:cs="Times New Roman"/>
              </w:rPr>
              <w:t>Bau</w:t>
            </w:r>
            <w:proofErr w:type="spellEnd"/>
            <w:r w:rsidRPr="008D2837">
              <w:rPr>
                <w:rFonts w:ascii="Times New Roman" w:hAnsi="Times New Roman" w:cs="Times New Roman"/>
              </w:rPr>
              <w:t xml:space="preserve"> 2015</w:t>
            </w:r>
          </w:p>
        </w:tc>
        <w:tc>
          <w:tcPr>
            <w:tcW w:w="1774"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Vācija</w:t>
            </w:r>
          </w:p>
        </w:tc>
      </w:tr>
      <w:tr w:rsidR="00AB3AA7" w:rsidRPr="008D2837" w:rsidTr="00075FB8">
        <w:trPr>
          <w:trHeight w:val="257"/>
        </w:trPr>
        <w:tc>
          <w:tcPr>
            <w:tcW w:w="1524"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19.01.-25.01.</w:t>
            </w:r>
          </w:p>
        </w:tc>
        <w:tc>
          <w:tcPr>
            <w:tcW w:w="3012"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Mēbeļu gadatirgus</w:t>
            </w:r>
          </w:p>
        </w:tc>
        <w:tc>
          <w:tcPr>
            <w:tcW w:w="2977"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IMM COLOGNE 2015</w:t>
            </w:r>
          </w:p>
        </w:tc>
        <w:tc>
          <w:tcPr>
            <w:tcW w:w="1774"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Vācija</w:t>
            </w:r>
          </w:p>
        </w:tc>
      </w:tr>
      <w:tr w:rsidR="00AB3AA7" w:rsidRPr="008D2837" w:rsidTr="00075FB8">
        <w:trPr>
          <w:trHeight w:val="277"/>
        </w:trPr>
        <w:tc>
          <w:tcPr>
            <w:tcW w:w="1524"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16.03.-20.03.</w:t>
            </w:r>
          </w:p>
        </w:tc>
        <w:tc>
          <w:tcPr>
            <w:tcW w:w="3012"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IT izstāde</w:t>
            </w:r>
          </w:p>
        </w:tc>
        <w:tc>
          <w:tcPr>
            <w:tcW w:w="2977" w:type="dxa"/>
            <w:hideMark/>
          </w:tcPr>
          <w:p w:rsidR="00AB3AA7" w:rsidRPr="008D2837" w:rsidRDefault="00AB3AA7" w:rsidP="00075FB8">
            <w:pPr>
              <w:rPr>
                <w:rFonts w:ascii="Times New Roman" w:hAnsi="Times New Roman" w:cs="Times New Roman"/>
              </w:rPr>
            </w:pPr>
            <w:proofErr w:type="spellStart"/>
            <w:r w:rsidRPr="008D2837">
              <w:rPr>
                <w:rFonts w:ascii="Times New Roman" w:hAnsi="Times New Roman" w:cs="Times New Roman"/>
              </w:rPr>
              <w:t>CeBIT</w:t>
            </w:r>
            <w:proofErr w:type="spellEnd"/>
            <w:r w:rsidRPr="008D2837">
              <w:rPr>
                <w:rFonts w:ascii="Times New Roman" w:hAnsi="Times New Roman" w:cs="Times New Roman"/>
              </w:rPr>
              <w:t xml:space="preserve"> 2015</w:t>
            </w:r>
          </w:p>
        </w:tc>
        <w:tc>
          <w:tcPr>
            <w:tcW w:w="1774"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Vācija</w:t>
            </w:r>
          </w:p>
        </w:tc>
      </w:tr>
      <w:tr w:rsidR="00AB3AA7" w:rsidRPr="008D2837" w:rsidTr="00075FB8">
        <w:trPr>
          <w:trHeight w:val="277"/>
        </w:trPr>
        <w:tc>
          <w:tcPr>
            <w:tcW w:w="1524"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10.03.-13.03.</w:t>
            </w:r>
          </w:p>
        </w:tc>
        <w:tc>
          <w:tcPr>
            <w:tcW w:w="3012"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Dizains</w:t>
            </w:r>
          </w:p>
        </w:tc>
        <w:tc>
          <w:tcPr>
            <w:tcW w:w="2977" w:type="dxa"/>
            <w:hideMark/>
          </w:tcPr>
          <w:p w:rsidR="00AB3AA7" w:rsidRPr="008D2837" w:rsidRDefault="00AB3AA7" w:rsidP="00075FB8">
            <w:pPr>
              <w:rPr>
                <w:rFonts w:ascii="Times New Roman" w:hAnsi="Times New Roman" w:cs="Times New Roman"/>
              </w:rPr>
            </w:pPr>
            <w:proofErr w:type="spellStart"/>
            <w:r w:rsidRPr="008D2837">
              <w:rPr>
                <w:rFonts w:ascii="Times New Roman" w:hAnsi="Times New Roman" w:cs="Times New Roman"/>
              </w:rPr>
              <w:t>Maison&amp;Object</w:t>
            </w:r>
            <w:proofErr w:type="spellEnd"/>
          </w:p>
        </w:tc>
        <w:tc>
          <w:tcPr>
            <w:tcW w:w="1774"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Singapūra</w:t>
            </w:r>
          </w:p>
        </w:tc>
      </w:tr>
      <w:tr w:rsidR="00AB3AA7" w:rsidRPr="008D2837" w:rsidTr="00075FB8">
        <w:trPr>
          <w:trHeight w:val="216"/>
        </w:trPr>
        <w:tc>
          <w:tcPr>
            <w:tcW w:w="1524"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01.10.-03.10.</w:t>
            </w:r>
          </w:p>
        </w:tc>
        <w:tc>
          <w:tcPr>
            <w:tcW w:w="3012" w:type="dxa"/>
            <w:hideMark/>
          </w:tcPr>
          <w:p w:rsidR="00AB3AA7" w:rsidRPr="008D2837" w:rsidRDefault="00AB3AA7" w:rsidP="00075FB8">
            <w:pPr>
              <w:rPr>
                <w:rFonts w:ascii="Times New Roman" w:hAnsi="Times New Roman" w:cs="Times New Roman"/>
              </w:rPr>
            </w:pPr>
            <w:proofErr w:type="spellStart"/>
            <w:r w:rsidRPr="008D2837">
              <w:rPr>
                <w:rFonts w:ascii="Times New Roman" w:hAnsi="Times New Roman" w:cs="Times New Roman"/>
              </w:rPr>
              <w:t>Inženiernozares</w:t>
            </w:r>
            <w:proofErr w:type="spellEnd"/>
          </w:p>
        </w:tc>
        <w:tc>
          <w:tcPr>
            <w:tcW w:w="2977" w:type="dxa"/>
            <w:hideMark/>
          </w:tcPr>
          <w:p w:rsidR="00AB3AA7" w:rsidRPr="008D2837" w:rsidRDefault="00AB3AA7" w:rsidP="00075FB8">
            <w:pPr>
              <w:rPr>
                <w:rFonts w:ascii="Times New Roman" w:hAnsi="Times New Roman" w:cs="Times New Roman"/>
              </w:rPr>
            </w:pPr>
            <w:proofErr w:type="spellStart"/>
            <w:r w:rsidRPr="008D2837">
              <w:rPr>
                <w:rFonts w:ascii="Times New Roman" w:hAnsi="Times New Roman" w:cs="Times New Roman"/>
              </w:rPr>
              <w:t>Hannover</w:t>
            </w:r>
            <w:proofErr w:type="spellEnd"/>
            <w:r w:rsidRPr="008D2837">
              <w:rPr>
                <w:rFonts w:ascii="Times New Roman" w:hAnsi="Times New Roman" w:cs="Times New Roman"/>
              </w:rPr>
              <w:t xml:space="preserve"> </w:t>
            </w:r>
            <w:proofErr w:type="spellStart"/>
            <w:r w:rsidRPr="008D2837">
              <w:rPr>
                <w:rFonts w:ascii="Times New Roman" w:hAnsi="Times New Roman" w:cs="Times New Roman"/>
              </w:rPr>
              <w:t>Messe</w:t>
            </w:r>
            <w:proofErr w:type="spellEnd"/>
            <w:r w:rsidRPr="008D2837">
              <w:rPr>
                <w:rFonts w:ascii="Times New Roman" w:hAnsi="Times New Roman" w:cs="Times New Roman"/>
              </w:rPr>
              <w:t xml:space="preserve"> 2015</w:t>
            </w:r>
          </w:p>
        </w:tc>
        <w:tc>
          <w:tcPr>
            <w:tcW w:w="1774"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Vācija</w:t>
            </w:r>
          </w:p>
        </w:tc>
      </w:tr>
      <w:tr w:rsidR="00AB3AA7" w:rsidRPr="008D2837" w:rsidTr="00075FB8">
        <w:trPr>
          <w:trHeight w:val="210"/>
        </w:trPr>
        <w:tc>
          <w:tcPr>
            <w:tcW w:w="1524"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02.06.-04.06.</w:t>
            </w:r>
          </w:p>
        </w:tc>
        <w:tc>
          <w:tcPr>
            <w:tcW w:w="3012"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 xml:space="preserve">Apakšpiegādātāju izstāde </w:t>
            </w:r>
          </w:p>
        </w:tc>
        <w:tc>
          <w:tcPr>
            <w:tcW w:w="2977" w:type="dxa"/>
            <w:hideMark/>
          </w:tcPr>
          <w:p w:rsidR="00AB3AA7" w:rsidRPr="008D2837" w:rsidRDefault="00AB3AA7" w:rsidP="00075FB8">
            <w:pPr>
              <w:rPr>
                <w:rFonts w:ascii="Times New Roman" w:hAnsi="Times New Roman" w:cs="Times New Roman"/>
              </w:rPr>
            </w:pPr>
            <w:proofErr w:type="spellStart"/>
            <w:r w:rsidRPr="008D2837">
              <w:rPr>
                <w:rFonts w:ascii="Times New Roman" w:hAnsi="Times New Roman" w:cs="Times New Roman"/>
              </w:rPr>
              <w:t>Subcon</w:t>
            </w:r>
            <w:proofErr w:type="spellEnd"/>
            <w:r w:rsidRPr="008D2837">
              <w:rPr>
                <w:rFonts w:ascii="Times New Roman" w:hAnsi="Times New Roman" w:cs="Times New Roman"/>
              </w:rPr>
              <w:t xml:space="preserve"> - 2015 </w:t>
            </w:r>
          </w:p>
        </w:tc>
        <w:tc>
          <w:tcPr>
            <w:tcW w:w="1774"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Lielbritānija</w:t>
            </w:r>
          </w:p>
        </w:tc>
      </w:tr>
      <w:tr w:rsidR="00AB3AA7" w:rsidRPr="008D2837" w:rsidTr="00075FB8">
        <w:trPr>
          <w:trHeight w:val="356"/>
        </w:trPr>
        <w:tc>
          <w:tcPr>
            <w:tcW w:w="1524"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14.10.-17.10.</w:t>
            </w:r>
          </w:p>
        </w:tc>
        <w:tc>
          <w:tcPr>
            <w:tcW w:w="3012"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Koka mājas, būvmateriāli</w:t>
            </w:r>
          </w:p>
        </w:tc>
        <w:tc>
          <w:tcPr>
            <w:tcW w:w="2977" w:type="dxa"/>
            <w:hideMark/>
          </w:tcPr>
          <w:p w:rsidR="00AB3AA7" w:rsidRPr="008D2837" w:rsidRDefault="00AB3AA7" w:rsidP="00075FB8">
            <w:pPr>
              <w:rPr>
                <w:rFonts w:ascii="Times New Roman" w:hAnsi="Times New Roman" w:cs="Times New Roman"/>
              </w:rPr>
            </w:pPr>
            <w:proofErr w:type="spellStart"/>
            <w:r w:rsidRPr="008D2837">
              <w:rPr>
                <w:rFonts w:ascii="Times New Roman" w:hAnsi="Times New Roman" w:cs="Times New Roman"/>
              </w:rPr>
              <w:t>Bygg</w:t>
            </w:r>
            <w:proofErr w:type="spellEnd"/>
            <w:r w:rsidRPr="008D2837">
              <w:rPr>
                <w:rFonts w:ascii="Times New Roman" w:hAnsi="Times New Roman" w:cs="Times New Roman"/>
              </w:rPr>
              <w:t xml:space="preserve"> </w:t>
            </w:r>
            <w:proofErr w:type="spellStart"/>
            <w:r w:rsidRPr="008D2837">
              <w:rPr>
                <w:rFonts w:ascii="Times New Roman" w:hAnsi="Times New Roman" w:cs="Times New Roman"/>
              </w:rPr>
              <w:t>Reis</w:t>
            </w:r>
            <w:proofErr w:type="spellEnd"/>
            <w:r w:rsidRPr="008D2837">
              <w:rPr>
                <w:rFonts w:ascii="Times New Roman" w:hAnsi="Times New Roman" w:cs="Times New Roman"/>
              </w:rPr>
              <w:t xml:space="preserve"> Deg 2015</w:t>
            </w:r>
          </w:p>
        </w:tc>
        <w:tc>
          <w:tcPr>
            <w:tcW w:w="1774" w:type="dxa"/>
            <w:hideMark/>
          </w:tcPr>
          <w:p w:rsidR="00AB3AA7" w:rsidRPr="008D2837" w:rsidRDefault="00AB3AA7" w:rsidP="00075FB8">
            <w:pPr>
              <w:rPr>
                <w:rFonts w:ascii="Times New Roman" w:hAnsi="Times New Roman" w:cs="Times New Roman"/>
              </w:rPr>
            </w:pPr>
            <w:r w:rsidRPr="008D2837">
              <w:rPr>
                <w:rFonts w:ascii="Times New Roman" w:hAnsi="Times New Roman" w:cs="Times New Roman"/>
              </w:rPr>
              <w:t>Norvēģija</w:t>
            </w:r>
          </w:p>
        </w:tc>
      </w:tr>
    </w:tbl>
    <w:p w:rsidR="00AB3AA7" w:rsidRPr="003730C5" w:rsidRDefault="00AB3AA7" w:rsidP="00AB3AA7">
      <w:pPr>
        <w:tabs>
          <w:tab w:val="left" w:pos="0"/>
        </w:tabs>
        <w:jc w:val="both"/>
        <w:rPr>
          <w:rFonts w:cs="Times New Roman"/>
          <w:sz w:val="26"/>
          <w:szCs w:val="26"/>
        </w:rPr>
      </w:pPr>
    </w:p>
    <w:p w:rsidR="00AB3AA7" w:rsidRPr="003730C5" w:rsidRDefault="00AB3AA7" w:rsidP="00AB3AA7">
      <w:pPr>
        <w:tabs>
          <w:tab w:val="left" w:pos="0"/>
        </w:tabs>
        <w:jc w:val="both"/>
        <w:rPr>
          <w:rFonts w:cs="Times New Roman"/>
          <w:sz w:val="26"/>
          <w:szCs w:val="26"/>
        </w:rPr>
      </w:pPr>
      <w:r w:rsidRPr="003730C5">
        <w:rPr>
          <w:rFonts w:cs="Times New Roman"/>
          <w:sz w:val="26"/>
          <w:szCs w:val="26"/>
        </w:rPr>
        <w:tab/>
        <w:t xml:space="preserve"> Zemkopības ministrijas programmu ietvaros 2015.gadā plānots atbalstīt:</w:t>
      </w:r>
    </w:p>
    <w:tbl>
      <w:tblPr>
        <w:tblStyle w:val="TableGrid3"/>
        <w:tblW w:w="0" w:type="auto"/>
        <w:tblLook w:val="04A0" w:firstRow="1" w:lastRow="0" w:firstColumn="1" w:lastColumn="0" w:noHBand="0" w:noVBand="1"/>
      </w:tblPr>
      <w:tblGrid>
        <w:gridCol w:w="1598"/>
        <w:gridCol w:w="2973"/>
        <w:gridCol w:w="2935"/>
        <w:gridCol w:w="1781"/>
      </w:tblGrid>
      <w:tr w:rsidR="00AB3AA7" w:rsidRPr="008D2837" w:rsidTr="00075FB8">
        <w:tc>
          <w:tcPr>
            <w:tcW w:w="1598" w:type="dxa"/>
          </w:tcPr>
          <w:p w:rsidR="00AB3AA7" w:rsidRPr="008D2837" w:rsidRDefault="00AB3AA7" w:rsidP="00075FB8">
            <w:pPr>
              <w:rPr>
                <w:rFonts w:ascii="Times New Roman" w:hAnsi="Times New Roman" w:cs="Times New Roman"/>
              </w:rPr>
            </w:pPr>
            <w:r w:rsidRPr="008D2837">
              <w:rPr>
                <w:rFonts w:ascii="Times New Roman" w:hAnsi="Times New Roman" w:cs="Times New Roman"/>
                <w:szCs w:val="28"/>
              </w:rPr>
              <w:t xml:space="preserve"> 15.01.-25.01. </w:t>
            </w:r>
          </w:p>
        </w:tc>
        <w:tc>
          <w:tcPr>
            <w:tcW w:w="2973" w:type="dxa"/>
          </w:tcPr>
          <w:p w:rsidR="00AB3AA7" w:rsidRPr="008D2837" w:rsidRDefault="00AB3AA7" w:rsidP="00075FB8">
            <w:pPr>
              <w:rPr>
                <w:rFonts w:ascii="Times New Roman" w:hAnsi="Times New Roman" w:cs="Times New Roman"/>
              </w:rPr>
            </w:pPr>
            <w:r w:rsidRPr="008D2837">
              <w:rPr>
                <w:rFonts w:ascii="Times New Roman" w:hAnsi="Times New Roman" w:cs="Times New Roman"/>
              </w:rPr>
              <w:t>Pārtikas rūpniecība</w:t>
            </w:r>
          </w:p>
        </w:tc>
        <w:tc>
          <w:tcPr>
            <w:tcW w:w="2935" w:type="dxa"/>
          </w:tcPr>
          <w:p w:rsidR="00AB3AA7" w:rsidRPr="008D2837" w:rsidRDefault="00AB3AA7" w:rsidP="00075FB8">
            <w:pPr>
              <w:rPr>
                <w:rFonts w:ascii="Times New Roman" w:hAnsi="Times New Roman" w:cs="Times New Roman"/>
              </w:rPr>
            </w:pPr>
            <w:r w:rsidRPr="008D2837">
              <w:rPr>
                <w:rFonts w:ascii="Times New Roman" w:hAnsi="Times New Roman" w:cs="Times New Roman"/>
                <w:szCs w:val="28"/>
              </w:rPr>
              <w:t>„Zaļā nedēļa 2015”</w:t>
            </w:r>
          </w:p>
        </w:tc>
        <w:tc>
          <w:tcPr>
            <w:tcW w:w="1781" w:type="dxa"/>
          </w:tcPr>
          <w:p w:rsidR="00AB3AA7" w:rsidRPr="008D2837" w:rsidRDefault="00AB3AA7" w:rsidP="00075FB8">
            <w:pPr>
              <w:rPr>
                <w:rFonts w:ascii="Times New Roman" w:hAnsi="Times New Roman" w:cs="Times New Roman"/>
              </w:rPr>
            </w:pPr>
            <w:r w:rsidRPr="008D2837">
              <w:rPr>
                <w:rFonts w:ascii="Times New Roman" w:hAnsi="Times New Roman" w:cs="Times New Roman"/>
                <w:szCs w:val="28"/>
              </w:rPr>
              <w:t>Berlīne, Vācija</w:t>
            </w:r>
          </w:p>
        </w:tc>
      </w:tr>
      <w:tr w:rsidR="00AB3AA7" w:rsidRPr="008D2837" w:rsidTr="00075FB8">
        <w:tc>
          <w:tcPr>
            <w:tcW w:w="1598" w:type="dxa"/>
            <w:vAlign w:val="center"/>
          </w:tcPr>
          <w:p w:rsidR="00AB3AA7" w:rsidRPr="008D2837" w:rsidRDefault="00AB3AA7" w:rsidP="00075FB8">
            <w:pPr>
              <w:rPr>
                <w:rFonts w:ascii="Times New Roman" w:hAnsi="Times New Roman" w:cs="Times New Roman"/>
              </w:rPr>
            </w:pPr>
            <w:r w:rsidRPr="008D2837">
              <w:rPr>
                <w:rFonts w:ascii="Times New Roman" w:hAnsi="Times New Roman" w:cs="Times New Roman"/>
                <w:szCs w:val="28"/>
              </w:rPr>
              <w:t xml:space="preserve">8.02.-12.02. </w:t>
            </w:r>
          </w:p>
        </w:tc>
        <w:tc>
          <w:tcPr>
            <w:tcW w:w="2973" w:type="dxa"/>
            <w:vAlign w:val="center"/>
          </w:tcPr>
          <w:p w:rsidR="00AB3AA7" w:rsidRPr="008D2837" w:rsidRDefault="00AB3AA7" w:rsidP="00075FB8">
            <w:pPr>
              <w:rPr>
                <w:rFonts w:ascii="Times New Roman" w:hAnsi="Times New Roman" w:cs="Times New Roman"/>
              </w:rPr>
            </w:pPr>
            <w:r w:rsidRPr="008D2837">
              <w:rPr>
                <w:rFonts w:ascii="Times New Roman" w:hAnsi="Times New Roman" w:cs="Times New Roman"/>
              </w:rPr>
              <w:t>Pārtikas rūpniecība</w:t>
            </w:r>
          </w:p>
        </w:tc>
        <w:tc>
          <w:tcPr>
            <w:tcW w:w="2935" w:type="dxa"/>
            <w:vAlign w:val="center"/>
          </w:tcPr>
          <w:p w:rsidR="00AB3AA7" w:rsidRPr="008D2837" w:rsidRDefault="00AB3AA7" w:rsidP="00075FB8">
            <w:pPr>
              <w:rPr>
                <w:rFonts w:ascii="Times New Roman" w:hAnsi="Times New Roman" w:cs="Times New Roman"/>
              </w:rPr>
            </w:pPr>
            <w:r w:rsidRPr="008D2837">
              <w:rPr>
                <w:rFonts w:ascii="Times New Roman" w:hAnsi="Times New Roman" w:cs="Times New Roman"/>
                <w:szCs w:val="28"/>
              </w:rPr>
              <w:t xml:space="preserve">GULFOOD 2015 </w:t>
            </w:r>
          </w:p>
        </w:tc>
        <w:tc>
          <w:tcPr>
            <w:tcW w:w="1781" w:type="dxa"/>
            <w:vAlign w:val="center"/>
          </w:tcPr>
          <w:p w:rsidR="00AB3AA7" w:rsidRPr="008D2837" w:rsidRDefault="00AB3AA7" w:rsidP="00075FB8">
            <w:pPr>
              <w:rPr>
                <w:rFonts w:ascii="Times New Roman" w:hAnsi="Times New Roman" w:cs="Times New Roman"/>
              </w:rPr>
            </w:pPr>
            <w:proofErr w:type="spellStart"/>
            <w:r w:rsidRPr="008D2837">
              <w:rPr>
                <w:rFonts w:ascii="Times New Roman" w:hAnsi="Times New Roman" w:cs="Times New Roman"/>
                <w:szCs w:val="28"/>
              </w:rPr>
              <w:t>Dubaja</w:t>
            </w:r>
            <w:proofErr w:type="spellEnd"/>
            <w:r w:rsidRPr="008D2837">
              <w:rPr>
                <w:rFonts w:ascii="Times New Roman" w:hAnsi="Times New Roman" w:cs="Times New Roman"/>
                <w:szCs w:val="28"/>
              </w:rPr>
              <w:t>, Apvienotie Arābu Emirāti</w:t>
            </w:r>
            <w:r w:rsidRPr="008D2837">
              <w:rPr>
                <w:rFonts w:ascii="Times New Roman" w:hAnsi="Times New Roman" w:cs="Times New Roman"/>
              </w:rPr>
              <w:t xml:space="preserve"> </w:t>
            </w:r>
          </w:p>
        </w:tc>
      </w:tr>
      <w:tr w:rsidR="00AB3AA7" w:rsidRPr="008D2837" w:rsidTr="00075FB8">
        <w:tc>
          <w:tcPr>
            <w:tcW w:w="1598" w:type="dxa"/>
            <w:vAlign w:val="center"/>
          </w:tcPr>
          <w:p w:rsidR="00AB3AA7" w:rsidRPr="008D2837" w:rsidRDefault="00AB3AA7" w:rsidP="00075FB8">
            <w:pPr>
              <w:rPr>
                <w:rFonts w:ascii="Times New Roman" w:hAnsi="Times New Roman" w:cs="Times New Roman"/>
                <w:szCs w:val="28"/>
              </w:rPr>
            </w:pPr>
            <w:r w:rsidRPr="008D2837">
              <w:rPr>
                <w:rFonts w:ascii="Times New Roman" w:hAnsi="Times New Roman" w:cs="Times New Roman"/>
                <w:szCs w:val="28"/>
              </w:rPr>
              <w:t>10.10.–14.10.</w:t>
            </w:r>
          </w:p>
        </w:tc>
        <w:tc>
          <w:tcPr>
            <w:tcW w:w="2973" w:type="dxa"/>
            <w:vAlign w:val="center"/>
          </w:tcPr>
          <w:p w:rsidR="00AB3AA7" w:rsidRPr="008D2837" w:rsidRDefault="00AB3AA7" w:rsidP="00075FB8">
            <w:pPr>
              <w:rPr>
                <w:rFonts w:ascii="Times New Roman" w:hAnsi="Times New Roman" w:cs="Times New Roman"/>
              </w:rPr>
            </w:pPr>
            <w:r w:rsidRPr="008D2837">
              <w:rPr>
                <w:rFonts w:ascii="Times New Roman" w:hAnsi="Times New Roman" w:cs="Times New Roman"/>
              </w:rPr>
              <w:t>Pārtikas rūpniecība</w:t>
            </w:r>
          </w:p>
        </w:tc>
        <w:tc>
          <w:tcPr>
            <w:tcW w:w="2935" w:type="dxa"/>
            <w:vAlign w:val="center"/>
          </w:tcPr>
          <w:p w:rsidR="00AB3AA7" w:rsidRPr="008D2837" w:rsidRDefault="00AB3AA7" w:rsidP="00075FB8">
            <w:pPr>
              <w:rPr>
                <w:rFonts w:ascii="Times New Roman" w:hAnsi="Times New Roman" w:cs="Times New Roman"/>
              </w:rPr>
            </w:pPr>
            <w:r w:rsidRPr="008D2837">
              <w:rPr>
                <w:rFonts w:ascii="Times New Roman" w:hAnsi="Times New Roman" w:cs="Times New Roman"/>
                <w:szCs w:val="28"/>
              </w:rPr>
              <w:t>ANUGA 2015</w:t>
            </w:r>
          </w:p>
        </w:tc>
        <w:tc>
          <w:tcPr>
            <w:tcW w:w="1781" w:type="dxa"/>
            <w:vAlign w:val="center"/>
          </w:tcPr>
          <w:p w:rsidR="00AB3AA7" w:rsidRPr="008D2837" w:rsidRDefault="00AB3AA7" w:rsidP="00075FB8">
            <w:pPr>
              <w:rPr>
                <w:rFonts w:ascii="Times New Roman" w:hAnsi="Times New Roman" w:cs="Times New Roman"/>
              </w:rPr>
            </w:pPr>
            <w:r w:rsidRPr="008D2837">
              <w:rPr>
                <w:rFonts w:ascii="Times New Roman" w:hAnsi="Times New Roman" w:cs="Times New Roman"/>
                <w:szCs w:val="28"/>
              </w:rPr>
              <w:t>Ķelne, Vācija</w:t>
            </w:r>
          </w:p>
        </w:tc>
      </w:tr>
      <w:tr w:rsidR="00AB3AA7" w:rsidRPr="008D2837" w:rsidTr="00075FB8">
        <w:tc>
          <w:tcPr>
            <w:tcW w:w="1598" w:type="dxa"/>
            <w:vAlign w:val="center"/>
          </w:tcPr>
          <w:p w:rsidR="00AB3AA7" w:rsidRPr="008D2837" w:rsidRDefault="00AB3AA7" w:rsidP="00075FB8">
            <w:pPr>
              <w:rPr>
                <w:rFonts w:ascii="Times New Roman" w:hAnsi="Times New Roman" w:cs="Times New Roman"/>
              </w:rPr>
            </w:pPr>
            <w:r w:rsidRPr="008D2837">
              <w:rPr>
                <w:rFonts w:ascii="Times New Roman" w:hAnsi="Times New Roman" w:cs="Times New Roman"/>
                <w:szCs w:val="28"/>
              </w:rPr>
              <w:t xml:space="preserve">09.02.- 13.02. </w:t>
            </w:r>
          </w:p>
        </w:tc>
        <w:tc>
          <w:tcPr>
            <w:tcW w:w="2973" w:type="dxa"/>
            <w:vAlign w:val="center"/>
          </w:tcPr>
          <w:p w:rsidR="00AB3AA7" w:rsidRPr="008D2837" w:rsidRDefault="00AB3AA7" w:rsidP="00075FB8">
            <w:pPr>
              <w:rPr>
                <w:rFonts w:ascii="Times New Roman" w:hAnsi="Times New Roman" w:cs="Times New Roman"/>
              </w:rPr>
            </w:pPr>
            <w:r w:rsidRPr="008D2837">
              <w:rPr>
                <w:rFonts w:ascii="Times New Roman" w:hAnsi="Times New Roman" w:cs="Times New Roman"/>
              </w:rPr>
              <w:t>Pārtikas rūpniecība</w:t>
            </w:r>
          </w:p>
        </w:tc>
        <w:tc>
          <w:tcPr>
            <w:tcW w:w="2935" w:type="dxa"/>
            <w:vAlign w:val="center"/>
          </w:tcPr>
          <w:p w:rsidR="00AB3AA7" w:rsidRPr="008D2837" w:rsidRDefault="00AB3AA7" w:rsidP="00075FB8">
            <w:pPr>
              <w:rPr>
                <w:rFonts w:ascii="Times New Roman" w:hAnsi="Times New Roman" w:cs="Times New Roman"/>
              </w:rPr>
            </w:pPr>
            <w:proofErr w:type="spellStart"/>
            <w:r w:rsidRPr="008D2837">
              <w:rPr>
                <w:rFonts w:ascii="Times New Roman" w:hAnsi="Times New Roman" w:cs="Times New Roman"/>
                <w:szCs w:val="28"/>
              </w:rPr>
              <w:t>Prodexpo</w:t>
            </w:r>
            <w:proofErr w:type="spellEnd"/>
            <w:r w:rsidRPr="008D2837">
              <w:rPr>
                <w:rFonts w:ascii="Times New Roman" w:hAnsi="Times New Roman" w:cs="Times New Roman"/>
                <w:szCs w:val="28"/>
              </w:rPr>
              <w:t xml:space="preserve"> 2015</w:t>
            </w:r>
          </w:p>
        </w:tc>
        <w:tc>
          <w:tcPr>
            <w:tcW w:w="1781" w:type="dxa"/>
            <w:vAlign w:val="center"/>
          </w:tcPr>
          <w:p w:rsidR="00AB3AA7" w:rsidRPr="008D2837" w:rsidRDefault="00AB3AA7" w:rsidP="00075FB8">
            <w:pPr>
              <w:rPr>
                <w:rFonts w:ascii="Times New Roman" w:hAnsi="Times New Roman" w:cs="Times New Roman"/>
              </w:rPr>
            </w:pPr>
            <w:r w:rsidRPr="008D2837">
              <w:rPr>
                <w:rFonts w:ascii="Times New Roman" w:hAnsi="Times New Roman" w:cs="Times New Roman"/>
                <w:szCs w:val="28"/>
              </w:rPr>
              <w:t>Maskava, Krievija</w:t>
            </w:r>
          </w:p>
        </w:tc>
      </w:tr>
    </w:tbl>
    <w:p w:rsidR="00AB3AA7" w:rsidRPr="003730C5" w:rsidRDefault="00AB3AA7" w:rsidP="00AB3AA7">
      <w:pPr>
        <w:tabs>
          <w:tab w:val="left" w:pos="0"/>
        </w:tabs>
        <w:jc w:val="both"/>
        <w:rPr>
          <w:rFonts w:cs="Times New Roman"/>
          <w:sz w:val="26"/>
          <w:szCs w:val="26"/>
        </w:rPr>
      </w:pPr>
      <w:r>
        <w:rPr>
          <w:rFonts w:cs="Times New Roman"/>
          <w:szCs w:val="28"/>
        </w:rPr>
        <w:tab/>
      </w:r>
    </w:p>
    <w:p w:rsidR="00AB3AA7" w:rsidRPr="003730C5" w:rsidRDefault="00AB3AA7" w:rsidP="00AB3AA7">
      <w:pPr>
        <w:jc w:val="both"/>
        <w:rPr>
          <w:rFonts w:cs="Times New Roman"/>
          <w:sz w:val="26"/>
          <w:szCs w:val="26"/>
        </w:rPr>
      </w:pPr>
      <w:r w:rsidRPr="003730C5">
        <w:rPr>
          <w:rFonts w:cs="Times New Roman"/>
          <w:sz w:val="26"/>
          <w:szCs w:val="26"/>
        </w:rPr>
        <w:tab/>
      </w:r>
    </w:p>
    <w:p w:rsidR="00AB3AA7" w:rsidRPr="003730C5" w:rsidRDefault="00AB3AA7" w:rsidP="00AB3AA7">
      <w:pPr>
        <w:tabs>
          <w:tab w:val="left" w:pos="0"/>
        </w:tabs>
        <w:jc w:val="both"/>
        <w:rPr>
          <w:rFonts w:cs="Times New Roman"/>
          <w:sz w:val="26"/>
          <w:szCs w:val="26"/>
        </w:rPr>
      </w:pPr>
      <w:r w:rsidRPr="003730C5">
        <w:rPr>
          <w:rFonts w:cs="Times New Roman"/>
          <w:b/>
          <w:sz w:val="26"/>
          <w:szCs w:val="26"/>
        </w:rPr>
        <w:lastRenderedPageBreak/>
        <w:tab/>
      </w:r>
      <w:r w:rsidRPr="003730C5">
        <w:rPr>
          <w:rFonts w:cs="Times New Roman"/>
          <w:sz w:val="26"/>
          <w:szCs w:val="26"/>
        </w:rPr>
        <w:t>Starptautiskā izstāde</w:t>
      </w:r>
      <w:r w:rsidRPr="003730C5">
        <w:rPr>
          <w:rFonts w:cs="Times New Roman"/>
          <w:b/>
          <w:sz w:val="26"/>
          <w:szCs w:val="26"/>
        </w:rPr>
        <w:t xml:space="preserve"> </w:t>
      </w:r>
      <w:r w:rsidRPr="003730C5">
        <w:rPr>
          <w:rFonts w:cs="Times New Roman"/>
          <w:sz w:val="26"/>
          <w:szCs w:val="26"/>
        </w:rPr>
        <w:t xml:space="preserve">„EXPO </w:t>
      </w:r>
      <w:proofErr w:type="spellStart"/>
      <w:r w:rsidRPr="003730C5">
        <w:rPr>
          <w:rFonts w:cs="Times New Roman"/>
          <w:sz w:val="26"/>
          <w:szCs w:val="26"/>
        </w:rPr>
        <w:t>Milano</w:t>
      </w:r>
      <w:proofErr w:type="spellEnd"/>
      <w:r w:rsidRPr="003730C5">
        <w:rPr>
          <w:rFonts w:cs="Times New Roman"/>
          <w:sz w:val="26"/>
          <w:szCs w:val="26"/>
        </w:rPr>
        <w:t xml:space="preserve"> 2015” norisināsies laika posmā no 2015.gada 1.maija līdz 31.oktobrim Milānā, Itālijā. Izstādes pamattēma ir „Paēdināt planētu. Enerģija dzīvei”. Šobrīd budžets Latvijas dalībai izstādē „</w:t>
      </w:r>
      <w:proofErr w:type="spellStart"/>
      <w:r w:rsidRPr="003730C5">
        <w:rPr>
          <w:rFonts w:cs="Times New Roman"/>
          <w:sz w:val="26"/>
          <w:szCs w:val="26"/>
        </w:rPr>
        <w:t>Expo</w:t>
      </w:r>
      <w:proofErr w:type="spellEnd"/>
      <w:r w:rsidRPr="003730C5">
        <w:rPr>
          <w:rFonts w:cs="Times New Roman"/>
          <w:sz w:val="26"/>
          <w:szCs w:val="26"/>
        </w:rPr>
        <w:t xml:space="preserve"> </w:t>
      </w:r>
      <w:proofErr w:type="spellStart"/>
      <w:r w:rsidRPr="003730C5">
        <w:rPr>
          <w:rFonts w:cs="Times New Roman"/>
          <w:sz w:val="26"/>
          <w:szCs w:val="26"/>
        </w:rPr>
        <w:t>Milano</w:t>
      </w:r>
      <w:proofErr w:type="spellEnd"/>
      <w:r w:rsidRPr="003730C5">
        <w:rPr>
          <w:rFonts w:cs="Times New Roman"/>
          <w:sz w:val="26"/>
          <w:szCs w:val="26"/>
        </w:rPr>
        <w:t xml:space="preserve"> 2015” sastāda EUR 5 725 067, tā ietvaros iekļauta Latvijas paviljona tehniskā projekta izstrāde, paviljona būvniecība, būvuzraudzība, paviljona ekspozīcijas satura izstrāde, loģistika, prezentācijas izdevumi, projekta vadība. Lai īstenotu paviljona ekspozīcijas mērķi - stiprināt Latvijas kā ekoloģiski tīras, kultūras tradīcijām bagātas un ilgtspējīgas valsts tēlu, ir jānodrošina Latvijas uzņēmēju līdzdalība ekspozīcijas veidošanā, </w:t>
      </w:r>
      <w:proofErr w:type="spellStart"/>
      <w:r w:rsidRPr="003730C5">
        <w:rPr>
          <w:rFonts w:cs="Times New Roman"/>
          <w:sz w:val="26"/>
          <w:szCs w:val="26"/>
        </w:rPr>
        <w:t>t.i</w:t>
      </w:r>
      <w:proofErr w:type="spellEnd"/>
      <w:r w:rsidRPr="003730C5">
        <w:rPr>
          <w:rFonts w:cs="Times New Roman"/>
          <w:sz w:val="26"/>
          <w:szCs w:val="26"/>
        </w:rPr>
        <w:t xml:space="preserve">. izstādes  laikā papildinot Latvijas ekspozīciju ar nacionālo uzņēmēju stendiem, produktu un pakalpojumu prezentācijām, organizētiem semināriem, konferencēm </w:t>
      </w:r>
      <w:proofErr w:type="spellStart"/>
      <w:r w:rsidRPr="003730C5">
        <w:rPr>
          <w:rFonts w:cs="Times New Roman"/>
          <w:sz w:val="26"/>
          <w:szCs w:val="26"/>
        </w:rPr>
        <w:t>u.c</w:t>
      </w:r>
      <w:proofErr w:type="spellEnd"/>
      <w:r w:rsidRPr="003730C5">
        <w:rPr>
          <w:rFonts w:cs="Times New Roman"/>
          <w:sz w:val="26"/>
          <w:szCs w:val="26"/>
        </w:rPr>
        <w:t>. aktivitātēm. Uzņēmumu dalības nodrošināšanai jāatbalsta uzņēmēju līdzdalība iekļaujot izmaksas, kas saistītas ar loģistikas pakalpojumiem, produktu uzglabāšanu, uzņēmumu pārstāvju uzturēšanos izstādē.</w:t>
      </w:r>
    </w:p>
    <w:p w:rsidR="00AB3AA7" w:rsidRPr="003730C5" w:rsidRDefault="00AB3AA7" w:rsidP="00AB3AA7">
      <w:pPr>
        <w:tabs>
          <w:tab w:val="left" w:pos="0"/>
        </w:tabs>
        <w:jc w:val="both"/>
        <w:rPr>
          <w:rFonts w:cs="Times New Roman"/>
          <w:sz w:val="26"/>
          <w:szCs w:val="26"/>
        </w:rPr>
      </w:pPr>
    </w:p>
    <w:p w:rsidR="00AB3AA7" w:rsidRPr="003730C5" w:rsidRDefault="00AB3AA7" w:rsidP="00AB3AA7">
      <w:pPr>
        <w:pStyle w:val="ListParagraph"/>
        <w:numPr>
          <w:ilvl w:val="0"/>
          <w:numId w:val="33"/>
        </w:numPr>
        <w:tabs>
          <w:tab w:val="left" w:pos="0"/>
        </w:tabs>
        <w:ind w:left="0" w:firstLine="709"/>
        <w:jc w:val="both"/>
        <w:rPr>
          <w:rFonts w:cs="Times New Roman"/>
          <w:sz w:val="26"/>
          <w:szCs w:val="26"/>
        </w:rPr>
      </w:pPr>
      <w:r w:rsidRPr="003730C5">
        <w:rPr>
          <w:rFonts w:cs="Times New Roman"/>
          <w:b/>
          <w:sz w:val="26"/>
          <w:szCs w:val="26"/>
        </w:rPr>
        <w:t xml:space="preserve">„Latvijas dienas” un citu mārketinga aktivitāšu </w:t>
      </w:r>
      <w:r w:rsidRPr="003730C5">
        <w:rPr>
          <w:rFonts w:cs="Times New Roman"/>
          <w:sz w:val="26"/>
          <w:szCs w:val="26"/>
        </w:rPr>
        <w:t>organizēšana</w:t>
      </w:r>
      <w:r w:rsidRPr="003730C5">
        <w:rPr>
          <w:rFonts w:cs="Times New Roman"/>
          <w:b/>
          <w:sz w:val="26"/>
          <w:szCs w:val="26"/>
        </w:rPr>
        <w:t xml:space="preserve"> </w:t>
      </w:r>
      <w:r w:rsidRPr="003730C5">
        <w:rPr>
          <w:rFonts w:cs="Times New Roman"/>
          <w:sz w:val="26"/>
          <w:szCs w:val="26"/>
        </w:rPr>
        <w:t>nozaru identificētajos mērķa tirgos ar mērķi stiprināt Latvijas produkta tēlu kopumā, sekmēt jau tirgū esošo Latvijas ražotāju produkcijas atpazīstamību un noietu, kā arī iepazīstināt ar labāko, ko Latvija var piedāvāt gan biznesā, gan tūrismā, kultūrā un mākslā. Kampaņas ietvaros tiek nodrošināta Latvijas produktu marķēšana esošās tirdzniecības vietās; jaunu produktu izvietošana tirdzniecības tīklos uz „Latvijas dienu” laiku; mārketinga kampaņa medijos, publiskajā telpā.</w:t>
      </w:r>
    </w:p>
    <w:p w:rsidR="00D64654" w:rsidRPr="003730C5" w:rsidRDefault="00D64654" w:rsidP="00D64654">
      <w:pPr>
        <w:pStyle w:val="ListParagraph"/>
        <w:tabs>
          <w:tab w:val="left" w:pos="0"/>
        </w:tabs>
        <w:ind w:left="709"/>
        <w:jc w:val="both"/>
        <w:rPr>
          <w:rFonts w:cs="Times New Roman"/>
          <w:sz w:val="26"/>
          <w:szCs w:val="26"/>
        </w:rPr>
      </w:pPr>
    </w:p>
    <w:p w:rsidR="002B328B" w:rsidRPr="003730C5" w:rsidRDefault="002B328B" w:rsidP="002B328B">
      <w:pPr>
        <w:pStyle w:val="ListParagraph"/>
        <w:numPr>
          <w:ilvl w:val="0"/>
          <w:numId w:val="33"/>
        </w:numPr>
        <w:spacing w:line="240" w:lineRule="auto"/>
        <w:ind w:left="0" w:firstLine="709"/>
        <w:jc w:val="both"/>
        <w:rPr>
          <w:rFonts w:cs="Times New Roman"/>
          <w:sz w:val="26"/>
          <w:szCs w:val="26"/>
        </w:rPr>
      </w:pPr>
      <w:bookmarkStart w:id="10" w:name="_Toc396775614"/>
      <w:r w:rsidRPr="003730C5">
        <w:rPr>
          <w:rStyle w:val="Heading2Char"/>
          <w:rFonts w:ascii="Times New Roman" w:hAnsi="Times New Roman"/>
          <w:color w:val="auto"/>
        </w:rPr>
        <w:t>Iepircēju vizīšu organizēšan</w:t>
      </w:r>
      <w:r w:rsidR="00724F5B" w:rsidRPr="003730C5">
        <w:rPr>
          <w:rStyle w:val="Heading2Char"/>
          <w:rFonts w:ascii="Times New Roman" w:hAnsi="Times New Roman"/>
          <w:color w:val="auto"/>
        </w:rPr>
        <w:t>a</w:t>
      </w:r>
      <w:bookmarkEnd w:id="10"/>
      <w:r w:rsidR="00724F5B" w:rsidRPr="003730C5">
        <w:rPr>
          <w:rFonts w:cs="Times New Roman"/>
          <w:b/>
          <w:sz w:val="26"/>
          <w:szCs w:val="26"/>
        </w:rPr>
        <w:t xml:space="preserve"> </w:t>
      </w:r>
      <w:r w:rsidR="00596FA7" w:rsidRPr="003730C5">
        <w:rPr>
          <w:rFonts w:cs="Times New Roman"/>
          <w:b/>
          <w:sz w:val="26"/>
          <w:szCs w:val="26"/>
        </w:rPr>
        <w:t>–</w:t>
      </w:r>
      <w:r w:rsidRPr="003730C5">
        <w:rPr>
          <w:rFonts w:cs="Times New Roman"/>
          <w:b/>
          <w:sz w:val="26"/>
          <w:szCs w:val="26"/>
        </w:rPr>
        <w:t xml:space="preserve"> </w:t>
      </w:r>
      <w:r w:rsidR="00596FA7" w:rsidRPr="003730C5">
        <w:rPr>
          <w:rFonts w:cs="Times New Roman"/>
          <w:sz w:val="26"/>
          <w:szCs w:val="26"/>
        </w:rPr>
        <w:t>starptautiski plaši</w:t>
      </w:r>
      <w:r w:rsidR="00596FA7" w:rsidRPr="003730C5">
        <w:rPr>
          <w:rFonts w:cs="Times New Roman"/>
          <w:b/>
          <w:sz w:val="26"/>
          <w:szCs w:val="26"/>
        </w:rPr>
        <w:t xml:space="preserve"> </w:t>
      </w:r>
      <w:r w:rsidRPr="003730C5">
        <w:rPr>
          <w:rFonts w:cs="Times New Roman"/>
          <w:sz w:val="26"/>
          <w:szCs w:val="26"/>
        </w:rPr>
        <w:t>izmanto</w:t>
      </w:r>
      <w:r w:rsidR="00596FA7" w:rsidRPr="003730C5">
        <w:rPr>
          <w:rFonts w:cs="Times New Roman"/>
          <w:sz w:val="26"/>
          <w:szCs w:val="26"/>
        </w:rPr>
        <w:t>ts</w:t>
      </w:r>
      <w:r w:rsidRPr="003730C5">
        <w:rPr>
          <w:rFonts w:cs="Times New Roman"/>
          <w:sz w:val="26"/>
          <w:szCs w:val="26"/>
        </w:rPr>
        <w:t xml:space="preserve"> </w:t>
      </w:r>
      <w:r w:rsidR="00596FA7" w:rsidRPr="003730C5">
        <w:rPr>
          <w:rFonts w:cs="Times New Roman"/>
          <w:sz w:val="26"/>
          <w:szCs w:val="26"/>
        </w:rPr>
        <w:t>instruments</w:t>
      </w:r>
      <w:r w:rsidRPr="003730C5">
        <w:rPr>
          <w:rFonts w:cs="Times New Roman"/>
          <w:sz w:val="26"/>
          <w:szCs w:val="26"/>
        </w:rPr>
        <w:t>, lai stimulētu ārvalstu iepircēju interesi apmeklēt valsti un uz vietas iepazīties ar piedāvāto produktu klāstu, ražošanas procesu, izvēlētos interesējošos produktus. Iepircējiem Latvijā tiks sagatavota vizītes programma, tai skaitā Latvijā notiekošo starptautisko izstāžu ietvaros, lai klātienē vienlaicīgi satiktu vairākus Latvijas uzņēmumus - potenciālos piegādātājus, iepazītos ar Latvijas ražotāju iespējām, produktu daudzveidību, iespējām piemērot ražotni iepircēja vajadzībām. Iepircējiem tiktu segti ceļa un uzturēšanās izdevumi.</w:t>
      </w:r>
      <w:r w:rsidR="001D3C03" w:rsidRPr="003730C5">
        <w:rPr>
          <w:rFonts w:cs="Times New Roman"/>
          <w:sz w:val="26"/>
          <w:szCs w:val="26"/>
        </w:rPr>
        <w:t xml:space="preserve"> Plānots, ka tiktu organizētas vismaz 10 iepircēju vizītes</w:t>
      </w:r>
      <w:r w:rsidR="00724F5B" w:rsidRPr="003730C5">
        <w:rPr>
          <w:rFonts w:cs="Times New Roman"/>
          <w:sz w:val="26"/>
          <w:szCs w:val="26"/>
        </w:rPr>
        <w:t xml:space="preserve">, vidējās izmaksas vienai vizītei sastāda 10 </w:t>
      </w:r>
      <w:proofErr w:type="spellStart"/>
      <w:r w:rsidR="00724F5B" w:rsidRPr="003730C5">
        <w:rPr>
          <w:rFonts w:cs="Times New Roman"/>
          <w:sz w:val="26"/>
          <w:szCs w:val="26"/>
        </w:rPr>
        <w:t>tūkst.eiro</w:t>
      </w:r>
      <w:proofErr w:type="spellEnd"/>
      <w:r w:rsidR="00724F5B" w:rsidRPr="003730C5">
        <w:rPr>
          <w:rFonts w:cs="Times New Roman"/>
          <w:sz w:val="26"/>
          <w:szCs w:val="26"/>
        </w:rPr>
        <w:t>.</w:t>
      </w:r>
      <w:r w:rsidR="001D3C03" w:rsidRPr="003730C5">
        <w:rPr>
          <w:rFonts w:cs="Times New Roman"/>
          <w:sz w:val="26"/>
          <w:szCs w:val="26"/>
        </w:rPr>
        <w:t xml:space="preserve"> </w:t>
      </w:r>
    </w:p>
    <w:p w:rsidR="002B328B" w:rsidRPr="003730C5" w:rsidRDefault="002B328B" w:rsidP="002B328B">
      <w:pPr>
        <w:jc w:val="both"/>
        <w:rPr>
          <w:rFonts w:cs="Times New Roman"/>
          <w:b/>
          <w:sz w:val="26"/>
          <w:szCs w:val="26"/>
        </w:rPr>
      </w:pPr>
    </w:p>
    <w:p w:rsidR="00AB3AA7" w:rsidRPr="003730C5" w:rsidRDefault="002B328B" w:rsidP="00AB3AA7">
      <w:pPr>
        <w:pStyle w:val="ListParagraph"/>
        <w:numPr>
          <w:ilvl w:val="0"/>
          <w:numId w:val="33"/>
        </w:numPr>
        <w:spacing w:line="240" w:lineRule="auto"/>
        <w:ind w:left="0" w:firstLine="709"/>
        <w:jc w:val="both"/>
        <w:rPr>
          <w:rFonts w:cs="Times New Roman"/>
          <w:sz w:val="26"/>
          <w:szCs w:val="26"/>
        </w:rPr>
      </w:pPr>
      <w:bookmarkStart w:id="11" w:name="_Toc396775615"/>
      <w:r w:rsidRPr="003730C5">
        <w:rPr>
          <w:rStyle w:val="Heading2Char"/>
          <w:rFonts w:ascii="Times New Roman" w:hAnsi="Times New Roman"/>
          <w:color w:val="auto"/>
        </w:rPr>
        <w:t>Produktu reģistrēšana un sertificēšana</w:t>
      </w:r>
      <w:bookmarkEnd w:id="11"/>
      <w:r w:rsidRPr="003730C5">
        <w:rPr>
          <w:rFonts w:cs="Times New Roman"/>
          <w:b/>
          <w:sz w:val="26"/>
          <w:szCs w:val="26"/>
        </w:rPr>
        <w:t xml:space="preserve"> </w:t>
      </w:r>
      <w:r w:rsidRPr="003730C5">
        <w:rPr>
          <w:rFonts w:cs="Times New Roman"/>
          <w:sz w:val="26"/>
          <w:szCs w:val="26"/>
        </w:rPr>
        <w:t>atbilstoši attiecīgā tirgus prasībām ir</w:t>
      </w:r>
      <w:r w:rsidRPr="003730C5">
        <w:rPr>
          <w:rFonts w:cs="Times New Roman"/>
          <w:b/>
          <w:sz w:val="26"/>
          <w:szCs w:val="26"/>
        </w:rPr>
        <w:t xml:space="preserve"> </w:t>
      </w:r>
      <w:r w:rsidRPr="003730C5">
        <w:rPr>
          <w:rFonts w:cs="Times New Roman"/>
          <w:sz w:val="26"/>
          <w:szCs w:val="26"/>
        </w:rPr>
        <w:t xml:space="preserve">viens no būtiskajiem priekšnosacījumiem, lai uzņēmumi ieietu jaunos mērķa tirgos. Izmaksas ir atkarīgas no produkta veida un mērķa valsts. Tās ir sertificēšanas centru, testēšanas laboratoriju pakalpojumu noteiktās izmaksas,  ražotnes un katra produkta atzīšanas izmaksas, konsultāciju pakalpojumu apmaksa par nepieciešamajiem sertifikātiem, normām, prasībām, dokumentu tulkošana </w:t>
      </w:r>
      <w:proofErr w:type="spellStart"/>
      <w:r w:rsidRPr="003730C5">
        <w:rPr>
          <w:rFonts w:cs="Times New Roman"/>
          <w:sz w:val="26"/>
          <w:szCs w:val="26"/>
        </w:rPr>
        <w:t>utml</w:t>
      </w:r>
      <w:proofErr w:type="spellEnd"/>
      <w:r w:rsidRPr="003730C5">
        <w:rPr>
          <w:rFonts w:cs="Times New Roman"/>
          <w:sz w:val="26"/>
          <w:szCs w:val="26"/>
        </w:rPr>
        <w:t>., tāpēc uzņēmēji norāda, ka šo izdevumu segšanai atbalsts ir īpaši būtisks, it īpaši gadījumos, kad sertifikāts ir jāsaņem k</w:t>
      </w:r>
      <w:r w:rsidR="00D64654" w:rsidRPr="003730C5">
        <w:rPr>
          <w:rFonts w:cs="Times New Roman"/>
          <w:sz w:val="26"/>
          <w:szCs w:val="26"/>
        </w:rPr>
        <w:t>atrai produktu grupai, kas vienā uzņēmumā</w:t>
      </w:r>
      <w:r w:rsidRPr="003730C5">
        <w:rPr>
          <w:rFonts w:cs="Times New Roman"/>
          <w:sz w:val="26"/>
          <w:szCs w:val="26"/>
        </w:rPr>
        <w:t xml:space="preserve"> var būt ievērojams apjoms.</w:t>
      </w:r>
    </w:p>
    <w:p w:rsidR="00AB3AA7" w:rsidRPr="003730C5" w:rsidRDefault="00AB3AA7" w:rsidP="00AB3AA7">
      <w:pPr>
        <w:pStyle w:val="ListParagraph"/>
        <w:rPr>
          <w:rFonts w:cs="Times New Roman"/>
          <w:sz w:val="26"/>
          <w:szCs w:val="26"/>
        </w:rPr>
      </w:pPr>
    </w:p>
    <w:p w:rsidR="00154FC5" w:rsidRPr="003730C5" w:rsidRDefault="00357EC3" w:rsidP="00AB3AA7">
      <w:pPr>
        <w:pStyle w:val="ListParagraph"/>
        <w:numPr>
          <w:ilvl w:val="0"/>
          <w:numId w:val="33"/>
        </w:numPr>
        <w:spacing w:line="240" w:lineRule="auto"/>
        <w:ind w:left="0" w:firstLine="709"/>
        <w:jc w:val="both"/>
        <w:rPr>
          <w:rFonts w:cs="Times New Roman"/>
          <w:sz w:val="26"/>
          <w:szCs w:val="26"/>
        </w:rPr>
      </w:pPr>
      <w:r w:rsidRPr="003730C5">
        <w:rPr>
          <w:rFonts w:cs="Times New Roman"/>
          <w:sz w:val="26"/>
          <w:szCs w:val="26"/>
        </w:rPr>
        <w:lastRenderedPageBreak/>
        <w:t>K</w:t>
      </w:r>
      <w:r w:rsidR="0092672E" w:rsidRPr="003730C5">
        <w:rPr>
          <w:rFonts w:cs="Times New Roman"/>
          <w:sz w:val="26"/>
          <w:szCs w:val="26"/>
        </w:rPr>
        <w:t>omersantiem atbalstu nodrošina 14 Latvijas ārējās ekonomiskās pārstāvniecības - Lielbritānijā, Vācijā, Francijā, Nīderlandē, Polijā, Zviedrijā, Norvēģijā, Dānijā, Krievijā, Ukrainā, Baltkrievijā, Lietuvā, Japānā un Ķīnā. Pārstāvniecības Latvijas uzņēmumu uzdevumā uzrunā ārvalstu kompānijas, palīdz nodibināt pirmos kontaktu, apstrādā ārvalstu kompāniju pieprasījumus, kas vēlas izvietot Latvijā pasūtījumus vai pirkt Latvijas uzņēmumu produkciju, sniedz nepastarpinātu informāciju par tirgu un piedāvātajām iespējām,</w:t>
      </w:r>
      <w:r w:rsidR="00154FC5" w:rsidRPr="003730C5">
        <w:rPr>
          <w:rFonts w:cs="Times New Roman"/>
          <w:sz w:val="26"/>
          <w:szCs w:val="26"/>
        </w:rPr>
        <w:t xml:space="preserve"> organizē biznesa seminārus ārvalstīs, fokusējot tos uz ārvalstu kompāniju iepazīstināšanu ar noteiktu segmentu Latvijas uzņēmumiem, organizē</w:t>
      </w:r>
      <w:r w:rsidRPr="003730C5">
        <w:rPr>
          <w:rFonts w:cs="Times New Roman"/>
          <w:sz w:val="26"/>
          <w:szCs w:val="26"/>
        </w:rPr>
        <w:t xml:space="preserve"> </w:t>
      </w:r>
      <w:proofErr w:type="spellStart"/>
      <w:r w:rsidRPr="003730C5">
        <w:rPr>
          <w:rFonts w:cs="Times New Roman"/>
          <w:sz w:val="26"/>
          <w:szCs w:val="26"/>
        </w:rPr>
        <w:t>kontaktbiržas</w:t>
      </w:r>
      <w:proofErr w:type="spellEnd"/>
      <w:r w:rsidRPr="003730C5">
        <w:rPr>
          <w:rFonts w:cs="Times New Roman"/>
          <w:sz w:val="26"/>
          <w:szCs w:val="26"/>
        </w:rPr>
        <w:t>.</w:t>
      </w:r>
    </w:p>
    <w:p w:rsidR="00F64370" w:rsidRPr="003730C5" w:rsidRDefault="0092672E" w:rsidP="001650AF">
      <w:pPr>
        <w:ind w:firstLine="709"/>
        <w:jc w:val="both"/>
        <w:rPr>
          <w:rFonts w:cs="Times New Roman"/>
          <w:sz w:val="26"/>
          <w:szCs w:val="26"/>
        </w:rPr>
      </w:pPr>
      <w:r w:rsidRPr="003730C5">
        <w:rPr>
          <w:rFonts w:cs="Times New Roman"/>
          <w:sz w:val="26"/>
          <w:szCs w:val="26"/>
        </w:rPr>
        <w:t>LIAA organizē</w:t>
      </w:r>
      <w:r w:rsidR="00F64370" w:rsidRPr="003730C5">
        <w:rPr>
          <w:rFonts w:cs="Times New Roman"/>
          <w:sz w:val="26"/>
          <w:szCs w:val="26"/>
        </w:rPr>
        <w:t xml:space="preserve"> seminā</w:t>
      </w:r>
      <w:r w:rsidR="001650AF" w:rsidRPr="003730C5">
        <w:rPr>
          <w:rFonts w:cs="Times New Roman"/>
          <w:sz w:val="26"/>
          <w:szCs w:val="26"/>
        </w:rPr>
        <w:t>r</w:t>
      </w:r>
      <w:r w:rsidR="00357EC3" w:rsidRPr="003730C5">
        <w:rPr>
          <w:rFonts w:cs="Times New Roman"/>
          <w:sz w:val="26"/>
          <w:szCs w:val="26"/>
        </w:rPr>
        <w:t>u</w:t>
      </w:r>
      <w:r w:rsidR="00F64370" w:rsidRPr="003730C5">
        <w:rPr>
          <w:rFonts w:cs="Times New Roman"/>
          <w:sz w:val="26"/>
          <w:szCs w:val="26"/>
        </w:rPr>
        <w:t>s par ārējiem</w:t>
      </w:r>
      <w:r w:rsidR="00997454" w:rsidRPr="003730C5">
        <w:rPr>
          <w:rFonts w:cs="Times New Roman"/>
          <w:sz w:val="26"/>
          <w:szCs w:val="26"/>
        </w:rPr>
        <w:t xml:space="preserve"> tirgiem</w:t>
      </w:r>
      <w:r w:rsidR="00F64370" w:rsidRPr="003730C5">
        <w:rPr>
          <w:rFonts w:cs="Times New Roman"/>
          <w:sz w:val="26"/>
          <w:szCs w:val="26"/>
        </w:rPr>
        <w:t xml:space="preserve">, kā arī par specifiskiem tirdzniecības nosacījumiem noteiktām produktu grupām. </w:t>
      </w:r>
      <w:r w:rsidR="00F51292" w:rsidRPr="003730C5">
        <w:rPr>
          <w:rFonts w:cs="Times New Roman"/>
          <w:sz w:val="26"/>
          <w:szCs w:val="26"/>
        </w:rPr>
        <w:t>Šis p</w:t>
      </w:r>
      <w:r w:rsidR="00F64370" w:rsidRPr="003730C5">
        <w:rPr>
          <w:rFonts w:cs="Times New Roman"/>
          <w:sz w:val="26"/>
          <w:szCs w:val="26"/>
        </w:rPr>
        <w:t xml:space="preserve">iedāvājums tiks paplašināts, </w:t>
      </w:r>
      <w:r w:rsidR="00F51292" w:rsidRPr="003730C5">
        <w:rPr>
          <w:rFonts w:cs="Times New Roman"/>
          <w:sz w:val="26"/>
          <w:szCs w:val="26"/>
        </w:rPr>
        <w:t>aptverot</w:t>
      </w:r>
      <w:r w:rsidR="00F64370" w:rsidRPr="003730C5">
        <w:rPr>
          <w:rFonts w:cs="Times New Roman"/>
          <w:sz w:val="26"/>
          <w:szCs w:val="26"/>
        </w:rPr>
        <w:t xml:space="preserve"> </w:t>
      </w:r>
      <w:r w:rsidR="00357EC3" w:rsidRPr="003730C5">
        <w:rPr>
          <w:rFonts w:cs="Times New Roman"/>
          <w:sz w:val="26"/>
          <w:szCs w:val="26"/>
        </w:rPr>
        <w:t xml:space="preserve">praktiskās </w:t>
      </w:r>
      <w:r w:rsidR="00F64370" w:rsidRPr="003730C5">
        <w:rPr>
          <w:rFonts w:cs="Times New Roman"/>
          <w:sz w:val="26"/>
          <w:szCs w:val="26"/>
        </w:rPr>
        <w:t>tē</w:t>
      </w:r>
      <w:r w:rsidR="00357EC3" w:rsidRPr="003730C5">
        <w:rPr>
          <w:rFonts w:cs="Times New Roman"/>
          <w:sz w:val="26"/>
          <w:szCs w:val="26"/>
        </w:rPr>
        <w:t xml:space="preserve">mas, kas ir aktuālas uzņēmumiem. </w:t>
      </w:r>
      <w:r w:rsidR="00F64370" w:rsidRPr="003730C5">
        <w:rPr>
          <w:rFonts w:cs="Times New Roman"/>
          <w:sz w:val="26"/>
          <w:szCs w:val="26"/>
        </w:rPr>
        <w:t>Semināriem tiks piesai</w:t>
      </w:r>
      <w:r w:rsidR="00F51292" w:rsidRPr="003730C5">
        <w:rPr>
          <w:rFonts w:cs="Times New Roman"/>
          <w:sz w:val="26"/>
          <w:szCs w:val="26"/>
        </w:rPr>
        <w:t>s</w:t>
      </w:r>
      <w:r w:rsidR="00F64370" w:rsidRPr="003730C5">
        <w:rPr>
          <w:rFonts w:cs="Times New Roman"/>
          <w:sz w:val="26"/>
          <w:szCs w:val="26"/>
        </w:rPr>
        <w:t>tīti</w:t>
      </w:r>
      <w:r w:rsidR="00997454" w:rsidRPr="003730C5">
        <w:rPr>
          <w:rFonts w:cs="Times New Roman"/>
          <w:sz w:val="26"/>
          <w:szCs w:val="26"/>
        </w:rPr>
        <w:t xml:space="preserve"> </w:t>
      </w:r>
      <w:r w:rsidR="00F64370" w:rsidRPr="003730C5">
        <w:rPr>
          <w:rFonts w:cs="Times New Roman"/>
          <w:sz w:val="26"/>
          <w:szCs w:val="26"/>
        </w:rPr>
        <w:t>profesionāli gan Latvijas, gan ārvalstu lektori.</w:t>
      </w:r>
    </w:p>
    <w:p w:rsidR="00021A58" w:rsidRPr="003730C5" w:rsidRDefault="00357EC3" w:rsidP="00D64654">
      <w:pPr>
        <w:ind w:firstLine="709"/>
        <w:jc w:val="both"/>
        <w:rPr>
          <w:rFonts w:cs="Times New Roman"/>
          <w:sz w:val="26"/>
          <w:szCs w:val="26"/>
        </w:rPr>
      </w:pPr>
      <w:r w:rsidRPr="003730C5">
        <w:rPr>
          <w:rFonts w:cs="Times New Roman"/>
          <w:sz w:val="26"/>
          <w:szCs w:val="26"/>
        </w:rPr>
        <w:tab/>
        <w:t>Eksporta veicināšanas aktivitātes ir pieejamas komersantiem arī Klasteru atbalsta programmas ietvaros</w:t>
      </w:r>
      <w:bookmarkStart w:id="12" w:name="_Toc395558278"/>
      <w:bookmarkStart w:id="13" w:name="_Toc395558331"/>
      <w:bookmarkEnd w:id="12"/>
      <w:bookmarkEnd w:id="13"/>
      <w:r w:rsidRPr="003730C5">
        <w:rPr>
          <w:rFonts w:cs="Times New Roman"/>
          <w:sz w:val="26"/>
          <w:szCs w:val="26"/>
        </w:rPr>
        <w:t xml:space="preserve"> to </w:t>
      </w:r>
      <w:r w:rsidR="00021A58" w:rsidRPr="003730C5">
        <w:rPr>
          <w:rFonts w:cs="Times New Roman"/>
          <w:sz w:val="26"/>
          <w:szCs w:val="26"/>
        </w:rPr>
        <w:t xml:space="preserve">dalībniekiem starptautiskās </w:t>
      </w:r>
      <w:r w:rsidR="00021A58" w:rsidRPr="003730C5">
        <w:rPr>
          <w:rFonts w:eastAsia="Times New Roman" w:cs="Times New Roman"/>
          <w:sz w:val="26"/>
          <w:szCs w:val="26"/>
          <w:lang w:eastAsia="lv-LV"/>
        </w:rPr>
        <w:t>sadarbības veicināšanas</w:t>
      </w:r>
      <w:r w:rsidRPr="003730C5">
        <w:rPr>
          <w:rFonts w:eastAsia="Times New Roman" w:cs="Times New Roman"/>
          <w:sz w:val="26"/>
          <w:szCs w:val="26"/>
          <w:lang w:eastAsia="lv-LV"/>
        </w:rPr>
        <w:t xml:space="preserve"> un</w:t>
      </w:r>
      <w:r w:rsidR="00021A58" w:rsidRPr="003730C5">
        <w:rPr>
          <w:rFonts w:eastAsia="Times New Roman" w:cs="Times New Roman"/>
          <w:sz w:val="26"/>
          <w:szCs w:val="26"/>
          <w:lang w:eastAsia="lv-LV"/>
        </w:rPr>
        <w:t xml:space="preserve"> </w:t>
      </w:r>
      <w:r w:rsidRPr="003730C5">
        <w:rPr>
          <w:rFonts w:eastAsia="Times New Roman" w:cs="Times New Roman"/>
          <w:sz w:val="26"/>
          <w:szCs w:val="26"/>
          <w:lang w:eastAsia="lv-LV"/>
        </w:rPr>
        <w:t xml:space="preserve">mārketinga pasākumiem. </w:t>
      </w:r>
      <w:r w:rsidR="00021A58" w:rsidRPr="003730C5">
        <w:rPr>
          <w:rFonts w:cs="Times New Roman"/>
          <w:sz w:val="26"/>
          <w:szCs w:val="26"/>
        </w:rPr>
        <w:t>Klasteru atbalsta programmas ietvaros atbalstu saņem 11 klasteri un tajos ir iesaistījušies vairāk  nekā 300 komersanti un 20 izglītības un pētniecības iestādes, kā arī virkne nevalstisko organizāciju.</w:t>
      </w:r>
    </w:p>
    <w:p w:rsidR="00021A58" w:rsidRPr="003730C5" w:rsidRDefault="00021A58" w:rsidP="00F95565">
      <w:pPr>
        <w:ind w:firstLine="709"/>
        <w:contextualSpacing/>
        <w:jc w:val="both"/>
        <w:rPr>
          <w:rFonts w:cs="Times New Roman"/>
          <w:b/>
          <w:sz w:val="26"/>
          <w:szCs w:val="26"/>
          <w:lang w:eastAsia="lv-LV"/>
        </w:rPr>
      </w:pPr>
      <w:r w:rsidRPr="003730C5">
        <w:rPr>
          <w:rFonts w:eastAsia="Times New Roman" w:cs="Times New Roman"/>
          <w:sz w:val="26"/>
          <w:szCs w:val="26"/>
          <w:lang w:eastAsia="lv-LV"/>
        </w:rPr>
        <w:t xml:space="preserve"> </w:t>
      </w:r>
      <w:r w:rsidR="00357EC3" w:rsidRPr="003730C5">
        <w:rPr>
          <w:rFonts w:eastAsia="Times New Roman" w:cs="Times New Roman"/>
          <w:sz w:val="26"/>
          <w:szCs w:val="26"/>
          <w:lang w:eastAsia="lv-LV"/>
        </w:rPr>
        <w:t xml:space="preserve">Savukārt </w:t>
      </w:r>
      <w:r w:rsidRPr="003730C5">
        <w:rPr>
          <w:rFonts w:cs="Times New Roman"/>
          <w:sz w:val="26"/>
          <w:szCs w:val="26"/>
        </w:rPr>
        <w:t xml:space="preserve">„Latvijas Garantiju aģentūra” </w:t>
      </w:r>
      <w:r w:rsidR="00F95565" w:rsidRPr="003730C5">
        <w:rPr>
          <w:rFonts w:cs="Times New Roman"/>
          <w:sz w:val="26"/>
          <w:szCs w:val="26"/>
        </w:rPr>
        <w:t>nodrošina</w:t>
      </w:r>
      <w:r w:rsidRPr="003730C5">
        <w:rPr>
          <w:rFonts w:cs="Times New Roman"/>
          <w:sz w:val="26"/>
          <w:szCs w:val="26"/>
        </w:rPr>
        <w:t xml:space="preserve"> īstermiņa eksporta </w:t>
      </w:r>
      <w:r w:rsidR="00F95565" w:rsidRPr="003730C5">
        <w:rPr>
          <w:rFonts w:cs="Times New Roman"/>
          <w:sz w:val="26"/>
          <w:szCs w:val="26"/>
        </w:rPr>
        <w:t>debitoru apdrošināšanu</w:t>
      </w:r>
      <w:r w:rsidR="00F95565" w:rsidRPr="003730C5">
        <w:rPr>
          <w:rFonts w:cs="Times New Roman"/>
          <w:sz w:val="26"/>
          <w:szCs w:val="26"/>
          <w:lang w:eastAsia="lv-LV"/>
        </w:rPr>
        <w:t xml:space="preserve">, kas </w:t>
      </w:r>
      <w:r w:rsidRPr="003730C5">
        <w:rPr>
          <w:rFonts w:cs="Times New Roman"/>
          <w:sz w:val="26"/>
          <w:szCs w:val="26"/>
        </w:rPr>
        <w:t xml:space="preserve">sniedz garantijas eksporta darījumiem, kuros atliktais maksājums par piegādātajām precēm vai sniegtajiem pakalpojumiem veicams ne vēlāk kā divu gadu laikā pēc eksporta produkta piegādes un debitori ir tajās valstīs reģistrēti komersanti, kas nav Eiropas Savienības dalībvalstis un atsevišķas Ekonomiskās sadarbības un attīstības organizācijas dalībvalstis – Austrālija, Kanāda, </w:t>
      </w:r>
      <w:proofErr w:type="spellStart"/>
      <w:r w:rsidRPr="003730C5">
        <w:rPr>
          <w:rFonts w:cs="Times New Roman"/>
          <w:sz w:val="26"/>
          <w:szCs w:val="26"/>
        </w:rPr>
        <w:t>Īslande</w:t>
      </w:r>
      <w:proofErr w:type="spellEnd"/>
      <w:r w:rsidRPr="003730C5">
        <w:rPr>
          <w:rFonts w:cs="Times New Roman"/>
          <w:sz w:val="26"/>
          <w:szCs w:val="26"/>
        </w:rPr>
        <w:t xml:space="preserve">, Japāna, Jaunzēlande, Norvēģija, Šveice, Amerikas Savienotās Valstis. </w:t>
      </w:r>
    </w:p>
    <w:p w:rsidR="00021A58" w:rsidRPr="003730C5" w:rsidRDefault="00021A58" w:rsidP="00021A58">
      <w:pPr>
        <w:jc w:val="both"/>
        <w:rPr>
          <w:rFonts w:cs="Times New Roman"/>
          <w:sz w:val="26"/>
          <w:szCs w:val="26"/>
        </w:rPr>
      </w:pPr>
    </w:p>
    <w:p w:rsidR="00ED2AE7" w:rsidRDefault="00ED2AE7" w:rsidP="00A54FC4">
      <w:pPr>
        <w:rPr>
          <w:rFonts w:cs="Times New Roman"/>
          <w:sz w:val="26"/>
          <w:szCs w:val="26"/>
        </w:rPr>
      </w:pPr>
    </w:p>
    <w:p w:rsidR="00347123" w:rsidRPr="003730C5" w:rsidRDefault="00A54FC4" w:rsidP="00ED2AE7">
      <w:pPr>
        <w:rPr>
          <w:rFonts w:cs="Times New Roman"/>
          <w:sz w:val="26"/>
          <w:szCs w:val="26"/>
        </w:rPr>
      </w:pPr>
      <w:r w:rsidRPr="003730C5">
        <w:rPr>
          <w:rFonts w:cs="Times New Roman"/>
          <w:sz w:val="26"/>
          <w:szCs w:val="26"/>
        </w:rPr>
        <w:t>Ministru prezidents</w:t>
      </w:r>
      <w:r w:rsidRPr="003730C5">
        <w:rPr>
          <w:rFonts w:cs="Times New Roman"/>
          <w:sz w:val="26"/>
          <w:szCs w:val="26"/>
        </w:rPr>
        <w:tab/>
      </w:r>
      <w:r w:rsidRPr="003730C5">
        <w:rPr>
          <w:rFonts w:cs="Times New Roman"/>
          <w:sz w:val="26"/>
          <w:szCs w:val="26"/>
        </w:rPr>
        <w:tab/>
      </w:r>
      <w:r w:rsidRPr="003730C5">
        <w:rPr>
          <w:rFonts w:cs="Times New Roman"/>
          <w:sz w:val="26"/>
          <w:szCs w:val="26"/>
        </w:rPr>
        <w:tab/>
      </w:r>
      <w:r w:rsidRPr="003730C5">
        <w:rPr>
          <w:rFonts w:cs="Times New Roman"/>
          <w:sz w:val="26"/>
          <w:szCs w:val="26"/>
        </w:rPr>
        <w:tab/>
      </w:r>
      <w:r w:rsidRPr="003730C5">
        <w:rPr>
          <w:rFonts w:cs="Times New Roman"/>
          <w:sz w:val="26"/>
          <w:szCs w:val="26"/>
        </w:rPr>
        <w:tab/>
      </w:r>
      <w:r w:rsidRPr="003730C5">
        <w:rPr>
          <w:rFonts w:cs="Times New Roman"/>
          <w:sz w:val="26"/>
          <w:szCs w:val="26"/>
        </w:rPr>
        <w:tab/>
      </w:r>
      <w:r w:rsidRPr="003730C5">
        <w:rPr>
          <w:rFonts w:cs="Times New Roman"/>
          <w:sz w:val="26"/>
          <w:szCs w:val="26"/>
        </w:rPr>
        <w:tab/>
      </w:r>
      <w:r w:rsidR="00ED2AE7">
        <w:rPr>
          <w:rFonts w:cs="Times New Roman"/>
          <w:sz w:val="26"/>
          <w:szCs w:val="26"/>
        </w:rPr>
        <w:tab/>
        <w:t xml:space="preserve">        </w:t>
      </w:r>
      <w:r w:rsidRPr="003730C5">
        <w:rPr>
          <w:rFonts w:cs="Times New Roman"/>
          <w:sz w:val="26"/>
          <w:szCs w:val="26"/>
        </w:rPr>
        <w:t>L.Straujuma</w:t>
      </w:r>
    </w:p>
    <w:p w:rsidR="00A54FC4" w:rsidRPr="003730C5" w:rsidRDefault="00A54FC4" w:rsidP="00A54FC4">
      <w:pPr>
        <w:rPr>
          <w:rFonts w:cs="Times New Roman"/>
          <w:sz w:val="26"/>
          <w:szCs w:val="26"/>
        </w:rPr>
      </w:pPr>
    </w:p>
    <w:p w:rsidR="00A54FC4" w:rsidRPr="003730C5" w:rsidRDefault="00A54FC4" w:rsidP="00A54FC4">
      <w:pPr>
        <w:rPr>
          <w:rFonts w:cs="Times New Roman"/>
          <w:sz w:val="26"/>
          <w:szCs w:val="26"/>
        </w:rPr>
      </w:pPr>
    </w:p>
    <w:p w:rsidR="00A54FC4" w:rsidRPr="003730C5" w:rsidRDefault="00A54FC4" w:rsidP="00A54FC4">
      <w:pPr>
        <w:tabs>
          <w:tab w:val="right" w:pos="9072"/>
        </w:tabs>
        <w:rPr>
          <w:rFonts w:cs="Times New Roman"/>
          <w:sz w:val="26"/>
          <w:szCs w:val="26"/>
        </w:rPr>
      </w:pPr>
      <w:r w:rsidRPr="003730C5">
        <w:rPr>
          <w:rFonts w:cs="Times New Roman"/>
          <w:sz w:val="26"/>
          <w:szCs w:val="26"/>
        </w:rPr>
        <w:t>Ekonomikas ministrs</w:t>
      </w:r>
      <w:r w:rsidRPr="003730C5">
        <w:rPr>
          <w:rFonts w:cs="Times New Roman"/>
          <w:sz w:val="26"/>
          <w:szCs w:val="26"/>
        </w:rPr>
        <w:tab/>
      </w:r>
      <w:r w:rsidR="00ED2AE7">
        <w:rPr>
          <w:rFonts w:cs="Times New Roman"/>
          <w:sz w:val="26"/>
          <w:szCs w:val="26"/>
        </w:rPr>
        <w:t xml:space="preserve">   </w:t>
      </w:r>
      <w:proofErr w:type="spellStart"/>
      <w:r w:rsidRPr="003730C5">
        <w:rPr>
          <w:rFonts w:cs="Times New Roman"/>
          <w:sz w:val="26"/>
          <w:szCs w:val="26"/>
        </w:rPr>
        <w:t>V.Dombrovskis</w:t>
      </w:r>
      <w:proofErr w:type="spellEnd"/>
    </w:p>
    <w:p w:rsidR="00A54FC4" w:rsidRPr="003730C5" w:rsidRDefault="00A54FC4" w:rsidP="00CB77A1">
      <w:pPr>
        <w:tabs>
          <w:tab w:val="right" w:pos="9072"/>
        </w:tabs>
        <w:rPr>
          <w:rFonts w:cs="Times New Roman"/>
          <w:sz w:val="26"/>
          <w:szCs w:val="26"/>
        </w:rPr>
      </w:pPr>
    </w:p>
    <w:p w:rsidR="00ED2AE7" w:rsidRDefault="00ED2AE7" w:rsidP="00CB77A1">
      <w:pPr>
        <w:tabs>
          <w:tab w:val="right" w:pos="9072"/>
        </w:tabs>
        <w:rPr>
          <w:rFonts w:cs="Times New Roman"/>
          <w:sz w:val="26"/>
          <w:szCs w:val="26"/>
        </w:rPr>
      </w:pPr>
    </w:p>
    <w:p w:rsidR="00A54FC4" w:rsidRPr="003730C5" w:rsidRDefault="00A54FC4" w:rsidP="00CB77A1">
      <w:pPr>
        <w:tabs>
          <w:tab w:val="right" w:pos="9072"/>
        </w:tabs>
        <w:rPr>
          <w:rFonts w:cs="Times New Roman"/>
          <w:sz w:val="26"/>
          <w:szCs w:val="26"/>
        </w:rPr>
      </w:pPr>
      <w:r w:rsidRPr="003730C5">
        <w:rPr>
          <w:rFonts w:cs="Times New Roman"/>
          <w:sz w:val="26"/>
          <w:szCs w:val="26"/>
        </w:rPr>
        <w:t>Iesniedzējs:</w:t>
      </w:r>
    </w:p>
    <w:p w:rsidR="00347123" w:rsidRPr="003730C5" w:rsidRDefault="00347123" w:rsidP="00ED2AE7">
      <w:pPr>
        <w:tabs>
          <w:tab w:val="right" w:pos="9072"/>
        </w:tabs>
        <w:jc w:val="right"/>
        <w:rPr>
          <w:rFonts w:cs="Times New Roman"/>
          <w:sz w:val="26"/>
          <w:szCs w:val="26"/>
        </w:rPr>
      </w:pPr>
      <w:r w:rsidRPr="003730C5">
        <w:rPr>
          <w:rFonts w:cs="Times New Roman"/>
          <w:sz w:val="26"/>
          <w:szCs w:val="26"/>
        </w:rPr>
        <w:t>Ekonomikas ministrs</w:t>
      </w:r>
      <w:r w:rsidRPr="003730C5">
        <w:rPr>
          <w:rFonts w:cs="Times New Roman"/>
          <w:sz w:val="26"/>
          <w:szCs w:val="26"/>
        </w:rPr>
        <w:tab/>
      </w:r>
      <w:r w:rsidR="00ED2AE7">
        <w:rPr>
          <w:rFonts w:cs="Times New Roman"/>
          <w:sz w:val="26"/>
          <w:szCs w:val="26"/>
        </w:rPr>
        <w:t xml:space="preserve">   </w:t>
      </w:r>
      <w:proofErr w:type="spellStart"/>
      <w:r w:rsidRPr="003730C5">
        <w:rPr>
          <w:rFonts w:cs="Times New Roman"/>
          <w:sz w:val="26"/>
          <w:szCs w:val="26"/>
        </w:rPr>
        <w:t>V.Dombrovskis</w:t>
      </w:r>
      <w:proofErr w:type="spellEnd"/>
    </w:p>
    <w:p w:rsidR="00347123" w:rsidRPr="003730C5" w:rsidRDefault="00347123" w:rsidP="00347123">
      <w:pPr>
        <w:tabs>
          <w:tab w:val="right" w:pos="9639"/>
        </w:tabs>
        <w:jc w:val="both"/>
        <w:rPr>
          <w:rFonts w:cs="Times New Roman"/>
          <w:sz w:val="26"/>
          <w:szCs w:val="26"/>
        </w:rPr>
      </w:pPr>
    </w:p>
    <w:p w:rsidR="00A8293A" w:rsidRPr="003730C5" w:rsidRDefault="00A8293A" w:rsidP="00347123">
      <w:pPr>
        <w:tabs>
          <w:tab w:val="right" w:pos="9639"/>
        </w:tabs>
        <w:jc w:val="both"/>
        <w:rPr>
          <w:rFonts w:cs="Times New Roman"/>
          <w:sz w:val="26"/>
          <w:szCs w:val="26"/>
        </w:rPr>
      </w:pPr>
    </w:p>
    <w:p w:rsidR="00347123" w:rsidRPr="003730C5" w:rsidRDefault="00A8293A" w:rsidP="00347123">
      <w:pPr>
        <w:tabs>
          <w:tab w:val="right" w:pos="9639"/>
        </w:tabs>
        <w:jc w:val="both"/>
        <w:rPr>
          <w:rFonts w:cs="Times New Roman"/>
          <w:sz w:val="26"/>
          <w:szCs w:val="26"/>
        </w:rPr>
      </w:pPr>
      <w:r w:rsidRPr="003730C5">
        <w:rPr>
          <w:rFonts w:cs="Times New Roman"/>
          <w:sz w:val="26"/>
          <w:szCs w:val="26"/>
        </w:rPr>
        <w:t>Vīza:</w:t>
      </w:r>
    </w:p>
    <w:p w:rsidR="00347123" w:rsidRPr="003730C5" w:rsidRDefault="00DD394F" w:rsidP="00ED2AE7">
      <w:pPr>
        <w:tabs>
          <w:tab w:val="right" w:pos="9072"/>
        </w:tabs>
        <w:jc w:val="right"/>
        <w:rPr>
          <w:rFonts w:cs="Times New Roman"/>
          <w:sz w:val="26"/>
          <w:szCs w:val="26"/>
        </w:rPr>
      </w:pPr>
      <w:r w:rsidRPr="003730C5">
        <w:rPr>
          <w:rFonts w:cs="Times New Roman"/>
          <w:sz w:val="26"/>
          <w:szCs w:val="26"/>
        </w:rPr>
        <w:t xml:space="preserve">Valsts sekretārs                                                                               </w:t>
      </w:r>
      <w:r w:rsidR="00ED2AE7">
        <w:rPr>
          <w:rFonts w:cs="Times New Roman"/>
          <w:sz w:val="26"/>
          <w:szCs w:val="26"/>
        </w:rPr>
        <w:tab/>
      </w:r>
      <w:r w:rsidRPr="003730C5">
        <w:rPr>
          <w:rFonts w:cs="Times New Roman"/>
          <w:sz w:val="26"/>
          <w:szCs w:val="26"/>
        </w:rPr>
        <w:t xml:space="preserve"> </w:t>
      </w:r>
      <w:r w:rsidR="00ED2AE7">
        <w:rPr>
          <w:rFonts w:cs="Times New Roman"/>
          <w:sz w:val="26"/>
          <w:szCs w:val="26"/>
        </w:rPr>
        <w:t xml:space="preserve">   </w:t>
      </w:r>
      <w:r w:rsidRPr="003730C5">
        <w:rPr>
          <w:rFonts w:cs="Times New Roman"/>
          <w:sz w:val="26"/>
          <w:szCs w:val="26"/>
        </w:rPr>
        <w:t>M.Lazdovskis</w:t>
      </w:r>
    </w:p>
    <w:p w:rsidR="00347123" w:rsidRPr="00FB36FE" w:rsidRDefault="00347123" w:rsidP="00347123">
      <w:pPr>
        <w:rPr>
          <w:rFonts w:cs="Times New Roman"/>
          <w:szCs w:val="28"/>
        </w:rPr>
      </w:pPr>
    </w:p>
    <w:p w:rsidR="00347123" w:rsidRPr="008D2837" w:rsidRDefault="008D2837" w:rsidP="00347123">
      <w:pPr>
        <w:pStyle w:val="Subtitle"/>
        <w:keepNext w:val="0"/>
        <w:keepLines w:val="0"/>
        <w:widowControl/>
        <w:spacing w:before="0" w:after="0"/>
        <w:rPr>
          <w:b w:val="0"/>
          <w:sz w:val="20"/>
          <w:szCs w:val="22"/>
          <w:lang w:val="lv-LV"/>
        </w:rPr>
      </w:pPr>
      <w:r>
        <w:rPr>
          <w:b w:val="0"/>
          <w:sz w:val="20"/>
          <w:szCs w:val="22"/>
          <w:lang w:val="lv-LV"/>
        </w:rPr>
        <w:t>2</w:t>
      </w:r>
      <w:r w:rsidR="00ED2AE7">
        <w:rPr>
          <w:b w:val="0"/>
          <w:sz w:val="20"/>
          <w:szCs w:val="22"/>
          <w:lang w:val="lv-LV"/>
        </w:rPr>
        <w:t>6</w:t>
      </w:r>
      <w:r w:rsidR="008D1586" w:rsidRPr="008D2837">
        <w:rPr>
          <w:b w:val="0"/>
          <w:sz w:val="20"/>
          <w:szCs w:val="22"/>
          <w:lang w:val="lv-LV"/>
        </w:rPr>
        <w:t xml:space="preserve">.08.2014 </w:t>
      </w:r>
      <w:r w:rsidR="00ED2AE7">
        <w:rPr>
          <w:b w:val="0"/>
          <w:sz w:val="20"/>
          <w:szCs w:val="22"/>
          <w:lang w:val="lv-LV"/>
        </w:rPr>
        <w:t>09</w:t>
      </w:r>
      <w:r w:rsidR="003E1C31" w:rsidRPr="008D2837">
        <w:rPr>
          <w:b w:val="0"/>
          <w:sz w:val="20"/>
          <w:szCs w:val="22"/>
          <w:lang w:val="lv-LV"/>
        </w:rPr>
        <w:t>:</w:t>
      </w:r>
      <w:r w:rsidR="004F2F5C">
        <w:rPr>
          <w:b w:val="0"/>
          <w:sz w:val="20"/>
          <w:szCs w:val="22"/>
          <w:lang w:val="lv-LV"/>
        </w:rPr>
        <w:t>07</w:t>
      </w:r>
    </w:p>
    <w:p w:rsidR="00347123" w:rsidRPr="008D2837" w:rsidRDefault="004F2F5C" w:rsidP="00347123">
      <w:pPr>
        <w:pStyle w:val="Subtitle"/>
        <w:keepNext w:val="0"/>
        <w:keepLines w:val="0"/>
        <w:widowControl/>
        <w:spacing w:before="0" w:after="0"/>
        <w:rPr>
          <w:b w:val="0"/>
          <w:sz w:val="20"/>
          <w:szCs w:val="22"/>
          <w:lang w:val="lv-LV"/>
        </w:rPr>
      </w:pPr>
      <w:r>
        <w:rPr>
          <w:b w:val="0"/>
          <w:sz w:val="20"/>
          <w:szCs w:val="22"/>
          <w:lang w:val="lv-LV"/>
        </w:rPr>
        <w:t>7862</w:t>
      </w:r>
      <w:r w:rsidR="00347123" w:rsidRPr="008D2837">
        <w:rPr>
          <w:b w:val="0"/>
          <w:sz w:val="20"/>
          <w:szCs w:val="22"/>
          <w:lang w:val="lv-LV"/>
        </w:rPr>
        <w:br/>
        <w:t>Ilze Beināre</w:t>
      </w:r>
      <w:r w:rsidR="003E1C31" w:rsidRPr="008D2837">
        <w:rPr>
          <w:b w:val="0"/>
          <w:sz w:val="20"/>
          <w:szCs w:val="22"/>
          <w:lang w:val="lv-LV"/>
        </w:rPr>
        <w:t>, 67013151</w:t>
      </w:r>
    </w:p>
    <w:p w:rsidR="00ED2AE7" w:rsidRDefault="004B4759" w:rsidP="0092672E">
      <w:pPr>
        <w:pStyle w:val="Subtitle"/>
        <w:keepNext w:val="0"/>
        <w:keepLines w:val="0"/>
        <w:widowControl/>
        <w:spacing w:before="0" w:after="0"/>
        <w:rPr>
          <w:rStyle w:val="Hyperlink"/>
          <w:b w:val="0"/>
          <w:color w:val="auto"/>
          <w:sz w:val="20"/>
          <w:szCs w:val="22"/>
          <w:lang w:val="lv-LV"/>
        </w:rPr>
      </w:pPr>
      <w:hyperlink r:id="rId9" w:history="1">
        <w:r w:rsidR="00347123" w:rsidRPr="008D2837">
          <w:rPr>
            <w:rStyle w:val="Hyperlink"/>
            <w:b w:val="0"/>
            <w:color w:val="auto"/>
            <w:sz w:val="20"/>
            <w:szCs w:val="22"/>
            <w:lang w:val="lv-LV"/>
          </w:rPr>
          <w:t>Ilze.Beinare@em.gov.lv</w:t>
        </w:r>
      </w:hyperlink>
      <w:r w:rsidR="00ED2AE7">
        <w:rPr>
          <w:rStyle w:val="Hyperlink"/>
          <w:b w:val="0"/>
          <w:color w:val="auto"/>
          <w:sz w:val="20"/>
          <w:szCs w:val="22"/>
          <w:lang w:val="lv-LV"/>
        </w:rPr>
        <w:t xml:space="preserve"> </w:t>
      </w:r>
    </w:p>
    <w:p w:rsidR="00ED2AE7" w:rsidRDefault="00ED2AE7">
      <w:r>
        <w:br w:type="page"/>
      </w:r>
    </w:p>
    <w:p w:rsidR="00ED2AE7" w:rsidRPr="00ED2AE7" w:rsidRDefault="00ED2AE7" w:rsidP="00ED2AE7"/>
    <w:p w:rsidR="0092672E" w:rsidRPr="00ED2AE7" w:rsidRDefault="00C44AE7" w:rsidP="00C44AE7">
      <w:pPr>
        <w:pStyle w:val="Heading1"/>
        <w:numPr>
          <w:ilvl w:val="0"/>
          <w:numId w:val="25"/>
        </w:numPr>
        <w:jc w:val="center"/>
        <w:rPr>
          <w:rFonts w:ascii="Times New Roman" w:eastAsia="MS Mincho" w:hAnsi="Times New Roman" w:cs="Times New Roman"/>
          <w:color w:val="auto"/>
          <w:u w:val="single"/>
        </w:rPr>
      </w:pPr>
      <w:bookmarkStart w:id="14" w:name="_Toc396775616"/>
      <w:r w:rsidRPr="00ED2AE7">
        <w:rPr>
          <w:rFonts w:ascii="Times New Roman" w:hAnsi="Times New Roman" w:cs="Times New Roman"/>
          <w:color w:val="auto"/>
        </w:rPr>
        <w:t xml:space="preserve">Pielikums: </w:t>
      </w:r>
      <w:r w:rsidR="0092672E" w:rsidRPr="00ED2AE7">
        <w:rPr>
          <w:rFonts w:ascii="Times New Roman" w:hAnsi="Times New Roman" w:cs="Times New Roman"/>
          <w:color w:val="auto"/>
        </w:rPr>
        <w:t>Satiksmes ministrijas informācija par p</w:t>
      </w:r>
      <w:r w:rsidR="0092672E" w:rsidRPr="00ED2AE7">
        <w:rPr>
          <w:rFonts w:ascii="Times New Roman" w:eastAsia="MS Mincho" w:hAnsi="Times New Roman" w:cs="Times New Roman"/>
          <w:color w:val="auto"/>
        </w:rPr>
        <w:t>asākumi Krievijas ekonomisko sankciju negatīvās ietekmes mazināšanai attiecībā uz transporta un loģistikas sektora komersantiem.</w:t>
      </w:r>
      <w:bookmarkEnd w:id="14"/>
    </w:p>
    <w:p w:rsidR="0092672E" w:rsidRPr="00997E3E" w:rsidRDefault="0092672E" w:rsidP="0092672E">
      <w:pPr>
        <w:rPr>
          <w:rFonts w:eastAsia="MS Mincho" w:cs="Times New Roman"/>
          <w:szCs w:val="28"/>
        </w:rPr>
      </w:pPr>
    </w:p>
    <w:p w:rsidR="00A02DD5" w:rsidRPr="00A02DD5" w:rsidRDefault="00A02DD5" w:rsidP="00A02DD5">
      <w:pPr>
        <w:widowControl w:val="0"/>
        <w:autoSpaceDE w:val="0"/>
        <w:autoSpaceDN w:val="0"/>
        <w:adjustRightInd w:val="0"/>
        <w:jc w:val="both"/>
        <w:rPr>
          <w:rFonts w:eastAsia="MS Mincho" w:cs="Times New Roman"/>
          <w:szCs w:val="28"/>
        </w:rPr>
      </w:pPr>
    </w:p>
    <w:p w:rsidR="00A02DD5" w:rsidRPr="00ED2AE7" w:rsidRDefault="00A02DD5" w:rsidP="00A02DD5">
      <w:pPr>
        <w:widowControl w:val="0"/>
        <w:autoSpaceDE w:val="0"/>
        <w:autoSpaceDN w:val="0"/>
        <w:adjustRightInd w:val="0"/>
        <w:jc w:val="both"/>
        <w:rPr>
          <w:rFonts w:eastAsia="MS Mincho" w:cs="Times New Roman"/>
          <w:b/>
          <w:sz w:val="26"/>
          <w:szCs w:val="26"/>
          <w:u w:val="single"/>
        </w:rPr>
      </w:pPr>
      <w:r w:rsidRPr="00ED2AE7">
        <w:rPr>
          <w:rFonts w:eastAsia="MS Mincho" w:cs="Times New Roman"/>
          <w:b/>
          <w:sz w:val="26"/>
          <w:szCs w:val="26"/>
          <w:u w:val="single"/>
        </w:rPr>
        <w:t xml:space="preserve">Transporta līdzekļu ekspluatācijas nodoklis </w:t>
      </w:r>
    </w:p>
    <w:p w:rsidR="00A02DD5" w:rsidRPr="00ED2AE7" w:rsidRDefault="00A02DD5" w:rsidP="00A02DD5">
      <w:pPr>
        <w:widowControl w:val="0"/>
        <w:autoSpaceDE w:val="0"/>
        <w:autoSpaceDN w:val="0"/>
        <w:adjustRightInd w:val="0"/>
        <w:jc w:val="both"/>
        <w:rPr>
          <w:rFonts w:eastAsia="MS Mincho" w:cs="Times New Roman"/>
          <w:sz w:val="26"/>
          <w:szCs w:val="26"/>
        </w:rPr>
      </w:pPr>
    </w:p>
    <w:p w:rsidR="00A02DD5" w:rsidRPr="00ED2AE7" w:rsidRDefault="00A02DD5" w:rsidP="000F4D5B">
      <w:pPr>
        <w:widowControl w:val="0"/>
        <w:autoSpaceDE w:val="0"/>
        <w:autoSpaceDN w:val="0"/>
        <w:adjustRightInd w:val="0"/>
        <w:ind w:firstLine="720"/>
        <w:jc w:val="both"/>
        <w:rPr>
          <w:rFonts w:eastAsia="MS Mincho" w:cs="Times New Roman"/>
          <w:sz w:val="26"/>
          <w:szCs w:val="26"/>
        </w:rPr>
      </w:pPr>
      <w:r w:rsidRPr="00ED2AE7">
        <w:rPr>
          <w:rFonts w:eastAsia="MS Mincho" w:cs="Times New Roman"/>
          <w:sz w:val="26"/>
          <w:szCs w:val="26"/>
        </w:rPr>
        <w:t>Nolūkā mazināt Krievijas Federācijas piemēroto sankciju ietekmi uz Latvijas starptautisko autopārvadājumu nozari, Satiksmes ministrija ir izstrādājusi priekšlikumus grozījumiem Transportlīdzekļa ekspluatācijas nodokļa un uzņēmumu vieglo transportlīdzekļu nodokļa likumā, paredzot atbrīvojumus no transportlīdzekļa ekspluatācijas nodokļa maksāšanas kravas transportlīdzekļiem. Šobrīd tiek veikti aprēķini attiecībā uz likumprojekta ietekmi uz valsts budžetu, lai noteiktu tās kravas transportlīdzekļu kategorijas, kurām tiks noteikts atbrīvojums no nodokļa maksāšanas.</w:t>
      </w:r>
    </w:p>
    <w:p w:rsidR="00A02DD5" w:rsidRPr="00ED2AE7" w:rsidRDefault="00A02DD5" w:rsidP="000F4D5B">
      <w:pPr>
        <w:widowControl w:val="0"/>
        <w:autoSpaceDE w:val="0"/>
        <w:autoSpaceDN w:val="0"/>
        <w:adjustRightInd w:val="0"/>
        <w:ind w:firstLine="720"/>
        <w:jc w:val="both"/>
        <w:rPr>
          <w:rFonts w:eastAsia="MS Mincho" w:cs="Times New Roman"/>
          <w:sz w:val="26"/>
          <w:szCs w:val="26"/>
        </w:rPr>
      </w:pPr>
      <w:r w:rsidRPr="00ED2AE7">
        <w:rPr>
          <w:rFonts w:eastAsia="MS Mincho" w:cs="Times New Roman"/>
          <w:sz w:val="26"/>
          <w:szCs w:val="26"/>
        </w:rPr>
        <w:t>Šāda atbrīvojuma piemērošana ļautu Latvijas autopārvadātājiem nezaudēt konkurētspēju attiecībā pret tādu kaimiņvalstu kā Lietuva un Polija autopārvadātājiem, saglabāt savu vietu tirgū un apgūt jaunus tirgus.</w:t>
      </w:r>
    </w:p>
    <w:p w:rsidR="00A02DD5" w:rsidRPr="00ED2AE7" w:rsidRDefault="00A02DD5" w:rsidP="000F4D5B">
      <w:pPr>
        <w:widowControl w:val="0"/>
        <w:autoSpaceDE w:val="0"/>
        <w:autoSpaceDN w:val="0"/>
        <w:adjustRightInd w:val="0"/>
        <w:ind w:firstLine="720"/>
        <w:jc w:val="both"/>
        <w:rPr>
          <w:rFonts w:eastAsia="MS Mincho" w:cs="Times New Roman"/>
          <w:sz w:val="26"/>
          <w:szCs w:val="26"/>
        </w:rPr>
      </w:pPr>
      <w:r w:rsidRPr="00ED2AE7">
        <w:rPr>
          <w:rFonts w:eastAsia="MS Mincho" w:cs="Times New Roman"/>
          <w:sz w:val="26"/>
          <w:szCs w:val="26"/>
        </w:rPr>
        <w:t>2014.gada 14.augustā Satiksmes ministrija ir nosūtījusi vēstuli Eiropas Komisijai ar lūgumu steidzami sniegt viedokli, vai Latvijai tiks atļauts uz noteiktu laiku piemērot atbrīvojumus no Eiropas Parlamenta un Padomes 1999.gada 17.jūnija Direktīvas 1999/62/EEK par dažu infrastruktūru lietošanas maksas noteikšanu smagajiem kravas transportlīdzekļiem II nodaļā noteiktajiem transporta nodokļiem kravas transportlīdzekļiem ar pilnu masu virs 3500 kg.</w:t>
      </w:r>
    </w:p>
    <w:p w:rsidR="00A02DD5" w:rsidRPr="00ED2AE7" w:rsidRDefault="00A02DD5" w:rsidP="00A02DD5">
      <w:pPr>
        <w:ind w:firstLine="720"/>
        <w:jc w:val="both"/>
        <w:rPr>
          <w:rFonts w:eastAsia="MS Mincho" w:cs="Times New Roman"/>
          <w:b/>
          <w:i/>
          <w:sz w:val="26"/>
          <w:szCs w:val="26"/>
        </w:rPr>
      </w:pPr>
    </w:p>
    <w:p w:rsidR="00A02DD5" w:rsidRPr="00ED2AE7" w:rsidRDefault="00A02DD5" w:rsidP="00A02DD5">
      <w:pPr>
        <w:ind w:firstLine="720"/>
        <w:jc w:val="both"/>
        <w:rPr>
          <w:rFonts w:eastAsia="MS Mincho" w:cs="Times New Roman"/>
          <w:sz w:val="26"/>
          <w:szCs w:val="26"/>
        </w:rPr>
      </w:pPr>
      <w:r w:rsidRPr="00ED2AE7">
        <w:rPr>
          <w:rFonts w:eastAsia="MS Mincho" w:cs="Times New Roman"/>
          <w:b/>
          <w:i/>
          <w:sz w:val="26"/>
          <w:szCs w:val="26"/>
        </w:rPr>
        <w:t>Finanšu ministrijas viedoklis</w:t>
      </w:r>
      <w:r w:rsidRPr="00ED2AE7">
        <w:rPr>
          <w:rFonts w:eastAsia="MS Mincho" w:cs="Times New Roman"/>
          <w:sz w:val="26"/>
          <w:szCs w:val="26"/>
        </w:rPr>
        <w:t>.</w:t>
      </w:r>
    </w:p>
    <w:p w:rsidR="00A02DD5" w:rsidRPr="00ED2AE7" w:rsidRDefault="00A02DD5" w:rsidP="00A02DD5">
      <w:pPr>
        <w:widowControl w:val="0"/>
        <w:autoSpaceDE w:val="0"/>
        <w:autoSpaceDN w:val="0"/>
        <w:adjustRightInd w:val="0"/>
        <w:ind w:firstLine="720"/>
        <w:jc w:val="both"/>
        <w:rPr>
          <w:rFonts w:eastAsia="MS Mincho" w:cs="Times New Roman"/>
          <w:sz w:val="26"/>
          <w:szCs w:val="26"/>
        </w:rPr>
      </w:pPr>
      <w:r w:rsidRPr="00ED2AE7">
        <w:rPr>
          <w:rFonts w:eastAsia="MS Mincho" w:cs="Times New Roman"/>
          <w:sz w:val="26"/>
          <w:szCs w:val="26"/>
        </w:rPr>
        <w:t xml:space="preserve">Pēc Satiksmes ministrijas sagatavotajā informatīvajā ziņojumā norādītās informācijas, nosakot atbrīvojumus no transportlīdzekļa ekspluatācijas nodokļa maksāšanas kravas transportlīdzekļiem ar pilnu masu virs 3500 kg, valsts budžeta ieņēmumi samazinātos par aptuveni 4,7 </w:t>
      </w:r>
      <w:proofErr w:type="spellStart"/>
      <w:r w:rsidRPr="00ED2AE7">
        <w:rPr>
          <w:rFonts w:eastAsia="MS Mincho" w:cs="Times New Roman"/>
          <w:sz w:val="26"/>
          <w:szCs w:val="26"/>
        </w:rPr>
        <w:t>milj</w:t>
      </w:r>
      <w:proofErr w:type="spellEnd"/>
      <w:r w:rsidRPr="00ED2AE7">
        <w:rPr>
          <w:rFonts w:eastAsia="MS Mincho" w:cs="Times New Roman"/>
          <w:sz w:val="26"/>
          <w:szCs w:val="26"/>
        </w:rPr>
        <w:t xml:space="preserve">. EUR gadā. Vēršam uzmanību uz to, ka pēc Finanšu ministrijas aprēķiniem fiskālā ietekme priekšlikumam ir citāda - transportlīdzekļa ekspluatācijas nodokļa atcelšana transportlīdzekļiem ar pilnu masu virs 3500 kg radītu negatīvu fiskālo ietekmi par aptuveni 5,7 </w:t>
      </w:r>
      <w:proofErr w:type="spellStart"/>
      <w:r w:rsidRPr="00ED2AE7">
        <w:rPr>
          <w:rFonts w:eastAsia="MS Mincho" w:cs="Times New Roman"/>
          <w:sz w:val="26"/>
          <w:szCs w:val="26"/>
        </w:rPr>
        <w:t>milj</w:t>
      </w:r>
      <w:proofErr w:type="spellEnd"/>
      <w:r w:rsidRPr="00ED2AE7">
        <w:rPr>
          <w:rFonts w:eastAsia="MS Mincho" w:cs="Times New Roman"/>
          <w:sz w:val="26"/>
          <w:szCs w:val="26"/>
        </w:rPr>
        <w:t>. EUR gadā.</w:t>
      </w:r>
    </w:p>
    <w:p w:rsidR="00A02DD5" w:rsidRPr="00ED2AE7" w:rsidRDefault="00A02DD5" w:rsidP="00A02DD5">
      <w:pPr>
        <w:widowControl w:val="0"/>
        <w:autoSpaceDE w:val="0"/>
        <w:autoSpaceDN w:val="0"/>
        <w:adjustRightInd w:val="0"/>
        <w:jc w:val="both"/>
        <w:rPr>
          <w:rFonts w:eastAsia="MS Mincho" w:cs="Times New Roman"/>
          <w:sz w:val="26"/>
          <w:szCs w:val="26"/>
        </w:rPr>
      </w:pPr>
    </w:p>
    <w:p w:rsidR="00A02DD5" w:rsidRPr="00ED2AE7" w:rsidRDefault="00A02DD5" w:rsidP="0056781E">
      <w:pPr>
        <w:ind w:firstLine="720"/>
        <w:jc w:val="both"/>
        <w:rPr>
          <w:rFonts w:eastAsia="MS Mincho" w:cs="Times New Roman"/>
          <w:b/>
          <w:sz w:val="26"/>
          <w:szCs w:val="26"/>
          <w:u w:val="single"/>
        </w:rPr>
      </w:pPr>
      <w:r w:rsidRPr="00ED2AE7">
        <w:rPr>
          <w:rFonts w:eastAsia="MS Mincho" w:cs="Times New Roman"/>
          <w:b/>
          <w:sz w:val="26"/>
          <w:szCs w:val="26"/>
          <w:u w:val="single"/>
        </w:rPr>
        <w:t>Pievienotās vērtības nodokļa maksājumu atlikšana līzingā ņemtām automašīnām, ja tās tiek atgrieztas atpakaļ līz</w:t>
      </w:r>
      <w:r w:rsidR="003C15F8" w:rsidRPr="00ED2AE7">
        <w:rPr>
          <w:rFonts w:eastAsia="MS Mincho" w:cs="Times New Roman"/>
          <w:b/>
          <w:sz w:val="26"/>
          <w:szCs w:val="26"/>
          <w:u w:val="single"/>
        </w:rPr>
        <w:t>i</w:t>
      </w:r>
      <w:r w:rsidRPr="00ED2AE7">
        <w:rPr>
          <w:rFonts w:eastAsia="MS Mincho" w:cs="Times New Roman"/>
          <w:b/>
          <w:sz w:val="26"/>
          <w:szCs w:val="26"/>
          <w:u w:val="single"/>
        </w:rPr>
        <w:t>nga devējiem.</w:t>
      </w:r>
    </w:p>
    <w:p w:rsidR="00A02DD5" w:rsidRPr="00ED2AE7" w:rsidRDefault="00A02DD5" w:rsidP="00A02DD5">
      <w:pPr>
        <w:jc w:val="both"/>
        <w:rPr>
          <w:rFonts w:eastAsia="MS Mincho" w:cs="Times New Roman"/>
          <w:b/>
          <w:sz w:val="26"/>
          <w:szCs w:val="26"/>
          <w:u w:val="single"/>
        </w:rPr>
      </w:pPr>
    </w:p>
    <w:p w:rsidR="00A02DD5" w:rsidRPr="00ED2AE7" w:rsidRDefault="00A02DD5" w:rsidP="0056781E">
      <w:pPr>
        <w:widowControl w:val="0"/>
        <w:autoSpaceDE w:val="0"/>
        <w:autoSpaceDN w:val="0"/>
        <w:adjustRightInd w:val="0"/>
        <w:ind w:firstLine="720"/>
        <w:jc w:val="both"/>
        <w:rPr>
          <w:rFonts w:eastAsia="MS Mincho" w:cs="Times New Roman"/>
          <w:sz w:val="26"/>
          <w:szCs w:val="26"/>
        </w:rPr>
      </w:pPr>
      <w:r w:rsidRPr="00ED2AE7">
        <w:rPr>
          <w:rFonts w:eastAsia="MS Mincho" w:cs="Times New Roman"/>
          <w:sz w:val="26"/>
          <w:szCs w:val="26"/>
        </w:rPr>
        <w:t>Lai stiprinātu konkurētspēju starptautisko autopārvadājumu tirgū, Latvijas autopārvadātāji pēdējo gadu laikā ir būtiski atjaunojuši savu transportlīdzekļu parku un iegādājušies jaunas automašīnas, izmantojot banku, līzinga un citu finanšu kompāniju aizdevumus un kredītus. Kā liecina iepriekšējo periodu krīžu pieredze, līzinga kompānijas bieži vien atsavina konkrēto transpo</w:t>
      </w:r>
      <w:r w:rsidR="003C15F8" w:rsidRPr="00ED2AE7">
        <w:rPr>
          <w:rFonts w:eastAsia="MS Mincho" w:cs="Times New Roman"/>
          <w:sz w:val="26"/>
          <w:szCs w:val="26"/>
        </w:rPr>
        <w:t>r</w:t>
      </w:r>
      <w:r w:rsidRPr="00ED2AE7">
        <w:rPr>
          <w:rFonts w:eastAsia="MS Mincho" w:cs="Times New Roman"/>
          <w:sz w:val="26"/>
          <w:szCs w:val="26"/>
        </w:rPr>
        <w:t xml:space="preserve">ta līdzekli, jo krīzes ietekmē </w:t>
      </w:r>
      <w:r w:rsidRPr="00ED2AE7">
        <w:rPr>
          <w:rFonts w:eastAsia="MS Mincho" w:cs="Times New Roman"/>
          <w:sz w:val="26"/>
          <w:szCs w:val="26"/>
        </w:rPr>
        <w:lastRenderedPageBreak/>
        <w:t>uzņēmējs nespēj pildīt savas finansiālās saistības. Pēc šodien pastāvošās likumdošanas, autopārvadātājam brīdī, kad automašīna tiek atgriezta līzinga devējam, jānomaksā valsts budžetā atlikušais PVN, kaut gan līzinga kompānija vai banka atsavināto transporta līdzekli realizē pēc tirgus vērtības vēlākā laika periodā. Līdz ar to pārvadātājam šai krīzes situācijā veidojas maksātnespējas draudi.</w:t>
      </w:r>
    </w:p>
    <w:p w:rsidR="00A02DD5" w:rsidRPr="00ED2AE7" w:rsidRDefault="00A02DD5" w:rsidP="0056781E">
      <w:pPr>
        <w:ind w:firstLine="720"/>
        <w:jc w:val="both"/>
        <w:rPr>
          <w:rFonts w:eastAsia="MS Mincho" w:cs="Times New Roman"/>
          <w:sz w:val="26"/>
          <w:szCs w:val="26"/>
        </w:rPr>
      </w:pPr>
      <w:r w:rsidRPr="00ED2AE7">
        <w:rPr>
          <w:rFonts w:eastAsia="MS Mincho" w:cs="Times New Roman"/>
          <w:sz w:val="26"/>
          <w:szCs w:val="26"/>
        </w:rPr>
        <w:t xml:space="preserve">Par šo jautājumu jau notika saruna Finanšu ministrijas rīkotajā sanāksmē šī gada 18.augustā, kur Finanšu ministrijas pārstāvji informēja, ka principā esošie normatīvie akti paredz kārtību, kā komersanti Valsts ieņēmumu dienestā var saņemt nodokļa nomaksas atlikšanu. Līdz ar to normatīvie akti neesot jāmaina, bet nozarei svarīgi saņemt skaidrojumu, kā konkrēti jārīkojas augstāk minētajās situācijās. </w:t>
      </w:r>
    </w:p>
    <w:p w:rsidR="00A02DD5" w:rsidRPr="00ED2AE7" w:rsidRDefault="00A02DD5" w:rsidP="0056781E">
      <w:pPr>
        <w:ind w:firstLine="720"/>
        <w:jc w:val="both"/>
        <w:rPr>
          <w:rFonts w:eastAsia="MS Mincho" w:cs="Times New Roman"/>
          <w:sz w:val="26"/>
          <w:szCs w:val="26"/>
        </w:rPr>
      </w:pPr>
      <w:r w:rsidRPr="00ED2AE7">
        <w:rPr>
          <w:rFonts w:eastAsia="MS Mincho" w:cs="Times New Roman"/>
          <w:sz w:val="26"/>
          <w:szCs w:val="26"/>
        </w:rPr>
        <w:t>Vienlaicīgi svarīgi izvērtēt iespējas veikt izmaiņas tiesību aktos, paredzot iespējas veikt PVN atmaksu tikai pēc tra</w:t>
      </w:r>
      <w:r w:rsidR="003C15F8" w:rsidRPr="00ED2AE7">
        <w:rPr>
          <w:rFonts w:eastAsia="MS Mincho" w:cs="Times New Roman"/>
          <w:sz w:val="26"/>
          <w:szCs w:val="26"/>
        </w:rPr>
        <w:t>n</w:t>
      </w:r>
      <w:r w:rsidRPr="00ED2AE7">
        <w:rPr>
          <w:rFonts w:eastAsia="MS Mincho" w:cs="Times New Roman"/>
          <w:sz w:val="26"/>
          <w:szCs w:val="26"/>
        </w:rPr>
        <w:t>sportlīdzekļa realizācijas, kad tiek saņemti reāli līdzekļi un var tikt veikti attiecīgie nodokļu maksājumi.</w:t>
      </w:r>
    </w:p>
    <w:p w:rsidR="00A02DD5" w:rsidRPr="00ED2AE7" w:rsidRDefault="00A02DD5" w:rsidP="0056781E">
      <w:pPr>
        <w:ind w:firstLine="720"/>
        <w:jc w:val="both"/>
        <w:rPr>
          <w:rFonts w:eastAsia="MS Mincho" w:cs="Times New Roman"/>
          <w:sz w:val="26"/>
          <w:szCs w:val="26"/>
        </w:rPr>
      </w:pPr>
      <w:r w:rsidRPr="00ED2AE7">
        <w:rPr>
          <w:rFonts w:eastAsia="MS Mincho" w:cs="Times New Roman"/>
          <w:sz w:val="26"/>
          <w:szCs w:val="26"/>
        </w:rPr>
        <w:t>Satiksmes ministrija šī gada 21.augustā ar oficiālu vēstuli griezās pie Finanšu ministrijas ar augstāk minētajiem priekšlikumiem.</w:t>
      </w:r>
    </w:p>
    <w:p w:rsidR="00A02DD5" w:rsidRPr="00ED2AE7" w:rsidRDefault="00A02DD5" w:rsidP="00A02DD5">
      <w:pPr>
        <w:jc w:val="both"/>
        <w:rPr>
          <w:rFonts w:eastAsia="MS Mincho" w:cs="Times New Roman"/>
          <w:sz w:val="26"/>
          <w:szCs w:val="26"/>
        </w:rPr>
      </w:pPr>
    </w:p>
    <w:p w:rsidR="00A02DD5" w:rsidRPr="00ED2AE7" w:rsidRDefault="00A02DD5" w:rsidP="00A02DD5">
      <w:pPr>
        <w:jc w:val="both"/>
        <w:rPr>
          <w:rFonts w:eastAsia="MS Mincho" w:cs="Times New Roman"/>
          <w:sz w:val="26"/>
          <w:szCs w:val="26"/>
        </w:rPr>
      </w:pPr>
    </w:p>
    <w:p w:rsidR="00A02DD5" w:rsidRPr="00ED2AE7" w:rsidRDefault="00A02DD5" w:rsidP="00A02DD5">
      <w:pPr>
        <w:jc w:val="both"/>
        <w:rPr>
          <w:rFonts w:eastAsia="MS Mincho" w:cs="Times New Roman"/>
          <w:b/>
          <w:sz w:val="26"/>
          <w:szCs w:val="26"/>
          <w:u w:val="single"/>
        </w:rPr>
      </w:pPr>
      <w:r w:rsidRPr="00ED2AE7">
        <w:rPr>
          <w:rFonts w:eastAsia="MS Mincho" w:cs="Times New Roman"/>
          <w:b/>
          <w:sz w:val="26"/>
          <w:szCs w:val="26"/>
          <w:u w:val="single"/>
        </w:rPr>
        <w:t xml:space="preserve">“Nodokļu brīvdienas” </w:t>
      </w:r>
    </w:p>
    <w:p w:rsidR="00A02DD5" w:rsidRPr="00ED2AE7" w:rsidRDefault="00A02DD5" w:rsidP="00A02DD5">
      <w:pPr>
        <w:jc w:val="both"/>
        <w:rPr>
          <w:rFonts w:eastAsia="MS Mincho" w:cs="Times New Roman"/>
          <w:sz w:val="26"/>
          <w:szCs w:val="26"/>
        </w:rPr>
      </w:pPr>
    </w:p>
    <w:p w:rsidR="00A02DD5" w:rsidRPr="00ED2AE7" w:rsidRDefault="00A02DD5" w:rsidP="0056781E">
      <w:pPr>
        <w:ind w:firstLine="720"/>
        <w:jc w:val="both"/>
        <w:rPr>
          <w:rFonts w:eastAsia="MS Mincho" w:cs="Times New Roman"/>
          <w:sz w:val="26"/>
          <w:szCs w:val="26"/>
        </w:rPr>
      </w:pPr>
      <w:r w:rsidRPr="00ED2AE7">
        <w:rPr>
          <w:rFonts w:eastAsia="MS Mincho" w:cs="Times New Roman"/>
          <w:sz w:val="26"/>
          <w:szCs w:val="26"/>
        </w:rPr>
        <w:t>Finanšu ministrijas izstrādātie grozījumi likumā “Par nodokļiem un nodevām” no transporta jomas viedokļa nav pietiekami, jo, mūsuprāt tie nedod iespējas transporta un loģistikas sektora komersantiem, kas cietuši no Krievijas ieviestajām ekonomiskajām sankcijām. Tādēļ Satiksmes ministrija ir sniegusi atzinumu ar šādus iebildumus:</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2.1. Izteikt likumprojekta 24.panta pirmās daļas 9.punkta b) apakšpunktu šādā redakcijā:</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„b)</w:t>
      </w:r>
      <w:r w:rsidRPr="00ED2AE7">
        <w:rPr>
          <w:rFonts w:eastAsia="MS Mincho" w:cs="Times New Roman"/>
          <w:sz w:val="26"/>
          <w:szCs w:val="26"/>
        </w:rPr>
        <w:tab/>
        <w:t>nodokļu maksātāja darbība ir saistīta ar Krievijas Federācijas noteiktajam ierobežojumam pakļauto preču eksportu, ražošanu, pārvadāšanu vai ekspedīcijas un loģistikas pakalpojumu sniegšanu šādām preču piegādēm vismaz 10 procentu apmērā no kopējā realizācijas, pārvadājumu vai ekspedīcijas un loģistikas pakalpojumu apjoma, ja sankciju ietekmē tiek lauzti piegādes, pakalpojuma, pārvadājumu vai ekspedīcijas un loģistikas pakalpojumu līgumi, vai samazināta preces vai pakalpojuma  iepirkuma (piegādes) vai pārvadājuma cena, vai samazinājies attiecīgo pakalpojumu apjoms.”</w:t>
      </w:r>
    </w:p>
    <w:p w:rsidR="00A02DD5" w:rsidRPr="00ED2AE7" w:rsidRDefault="00A02DD5" w:rsidP="00A02DD5">
      <w:pPr>
        <w:ind w:firstLine="720"/>
        <w:jc w:val="both"/>
        <w:rPr>
          <w:rFonts w:eastAsia="MS Mincho" w:cs="Times New Roman"/>
          <w:sz w:val="26"/>
          <w:szCs w:val="26"/>
        </w:rPr>
      </w:pPr>
      <w:r w:rsidRPr="00ED2AE7">
        <w:rPr>
          <w:rFonts w:eastAsia="MS Mincho" w:cs="Times New Roman"/>
          <w:b/>
          <w:sz w:val="26"/>
          <w:szCs w:val="26"/>
        </w:rPr>
        <w:t>Pamatojums</w:t>
      </w:r>
      <w:r w:rsidRPr="00ED2AE7">
        <w:rPr>
          <w:rFonts w:eastAsia="MS Mincho" w:cs="Times New Roman"/>
          <w:sz w:val="26"/>
          <w:szCs w:val="26"/>
        </w:rPr>
        <w:t>.</w:t>
      </w:r>
    </w:p>
    <w:p w:rsidR="00A02DD5" w:rsidRPr="00ED2AE7" w:rsidRDefault="00A02DD5" w:rsidP="00A02DD5">
      <w:pPr>
        <w:jc w:val="both"/>
        <w:rPr>
          <w:rFonts w:eastAsia="MS Mincho" w:cs="Times New Roman"/>
          <w:sz w:val="26"/>
          <w:szCs w:val="26"/>
        </w:rPr>
      </w:pPr>
      <w:r w:rsidRPr="00ED2AE7">
        <w:rPr>
          <w:rFonts w:eastAsia="MS Mincho" w:cs="Times New Roman"/>
          <w:sz w:val="26"/>
          <w:szCs w:val="26"/>
        </w:rPr>
        <w:tab/>
        <w:t xml:space="preserve">Piedāvātais grozījums ir nepieciešams, lai paredzētu nodokļu samaksas atvieglojumus, kas piemērojami saistībā ar Krievijas Federācijas noteiktajiem ierobežojumiem, ne tikai preču ražotājiem un eksportētājiem, bet arī pārvadātājiem, kas transportē attiecīgās preces no Latvijas vai citas Eiropas Savienības dalībvalsts uz Krievijas Federāciju, kā arī uzņēmumiem, kas sniedz kravas ekspedīcijas un loģistikas pakalpojumus šādu preču piegādēm uz Krievijas Federāciju. </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2.2. Precizēt likumprojekta 24.panta 1</w:t>
      </w:r>
      <w:r w:rsidRPr="00ED2AE7">
        <w:rPr>
          <w:rFonts w:eastAsia="MS Mincho" w:cs="Times New Roman"/>
          <w:sz w:val="26"/>
          <w:szCs w:val="26"/>
          <w:vertAlign w:val="superscript"/>
        </w:rPr>
        <w:t>5</w:t>
      </w:r>
      <w:r w:rsidRPr="00ED2AE7">
        <w:rPr>
          <w:rFonts w:eastAsia="MS Mincho" w:cs="Times New Roman"/>
          <w:sz w:val="26"/>
          <w:szCs w:val="26"/>
        </w:rPr>
        <w:t xml:space="preserve"> daļas otro apakšpunktu un aizstāt vārdus „nav konstatēti pārkāpumi” ar vārdiem „nav konstatēti nopietni pārkāpumi”.</w:t>
      </w:r>
    </w:p>
    <w:p w:rsidR="00A02DD5" w:rsidRPr="00ED2AE7" w:rsidRDefault="00A02DD5" w:rsidP="00A02DD5">
      <w:pPr>
        <w:ind w:firstLine="720"/>
        <w:jc w:val="both"/>
        <w:rPr>
          <w:rFonts w:eastAsia="MS Mincho" w:cs="Times New Roman"/>
          <w:sz w:val="26"/>
          <w:szCs w:val="26"/>
        </w:rPr>
      </w:pPr>
      <w:r w:rsidRPr="00ED2AE7">
        <w:rPr>
          <w:rFonts w:eastAsia="MS Mincho" w:cs="Times New Roman"/>
          <w:b/>
          <w:sz w:val="26"/>
          <w:szCs w:val="26"/>
        </w:rPr>
        <w:t>Pamatojums</w:t>
      </w:r>
      <w:r w:rsidRPr="00ED2AE7">
        <w:rPr>
          <w:rFonts w:eastAsia="MS Mincho" w:cs="Times New Roman"/>
          <w:sz w:val="26"/>
          <w:szCs w:val="26"/>
        </w:rPr>
        <w:t>.</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lastRenderedPageBreak/>
        <w:t>Likumprojekta 24.panta 1</w:t>
      </w:r>
      <w:r w:rsidRPr="00ED2AE7">
        <w:rPr>
          <w:rFonts w:eastAsia="MS Mincho" w:cs="Times New Roman"/>
          <w:sz w:val="26"/>
          <w:szCs w:val="26"/>
          <w:vertAlign w:val="superscript"/>
        </w:rPr>
        <w:t>5</w:t>
      </w:r>
      <w:r w:rsidRPr="00ED2AE7">
        <w:rPr>
          <w:rFonts w:eastAsia="MS Mincho" w:cs="Times New Roman"/>
          <w:sz w:val="26"/>
          <w:szCs w:val="26"/>
        </w:rPr>
        <w:t xml:space="preserve"> daļas otrajā apakšpunktā ir iekļauts nosacījums, kas faktiski nosaka šī likumprojekta pirmajā punktā ietverto nodokļu samaksas atvieglojumu piemērošanu tikai gadījumos, ja nodokļu maksātājam pēdējās nodokļu revīzijas (audita) laikā nav konstatēti pārkāpumi.</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Uzskatām, ka jēdziens „nodokļu maksātājam nav konstatēti pārkāpumi” ir neskaidrs un pārāk vispārīgs, un tas pieļauj iespējas nodokļu administrācijai atteikt komersantam likumprojektā paredzēto nodokļu samaksas atvieglojumu piešķiršanu, ja tam revīzijas (audita) laikā ir konstatēti maznozīmīgi, nebūtiski vai formāli pārkāpumi.</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Šobrīd muitas tiesību aktos jau ir paredzēts līdzvērtīgs nosacījums „smagi, nopietni vai atkārtoti muitas vai nodokļu pārkāpumi”, kas ietekmē muitas tiesību aktos paredzēto vienkāršojumu piešķiršanu, apturēšanu un anulēšanu, vērtējot komersanta izdarīto pārkāpumu smagumu vai biežumu muitas vai nodokļu jomā.</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Ņemot vērā to, aicinām precizēt likumprojekta 24.panta 1</w:t>
      </w:r>
      <w:r w:rsidRPr="00ED2AE7">
        <w:rPr>
          <w:rFonts w:eastAsia="MS Mincho" w:cs="Times New Roman"/>
          <w:sz w:val="26"/>
          <w:szCs w:val="26"/>
          <w:vertAlign w:val="superscript"/>
        </w:rPr>
        <w:t>5</w:t>
      </w:r>
      <w:r w:rsidRPr="00ED2AE7">
        <w:rPr>
          <w:rFonts w:eastAsia="MS Mincho" w:cs="Times New Roman"/>
          <w:sz w:val="26"/>
          <w:szCs w:val="26"/>
        </w:rPr>
        <w:t xml:space="preserve"> daļas otrajā apakšpunktā ietverto nosacījumu, paredzot, ka, izskatot jautājumu par nodokļu maksājumu atvieglojumu piemērošanu, nodokļu administrācija vērtē tikai nopietnus nodokļu maksātāja pārkāpumus.</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2.3. Papildināt likumprojekta anotācijas otrās daļas (pašreizējā situācija) otrās rindkopas pēdējo teikumu ar šādiem vārdiem:</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„vai pakalpojumu apjoma samazināšanās saistībā ar preču piegādēm Krievijas Federācijas tirgum.”</w:t>
      </w:r>
    </w:p>
    <w:p w:rsidR="00A02DD5" w:rsidRPr="00ED2AE7" w:rsidRDefault="00A02DD5" w:rsidP="00A02DD5">
      <w:pPr>
        <w:ind w:firstLine="720"/>
        <w:jc w:val="both"/>
        <w:rPr>
          <w:rFonts w:eastAsia="MS Mincho" w:cs="Times New Roman"/>
          <w:b/>
          <w:sz w:val="26"/>
          <w:szCs w:val="26"/>
        </w:rPr>
      </w:pPr>
      <w:r w:rsidRPr="00ED2AE7">
        <w:rPr>
          <w:rFonts w:eastAsia="MS Mincho" w:cs="Times New Roman"/>
          <w:b/>
          <w:sz w:val="26"/>
          <w:szCs w:val="26"/>
        </w:rPr>
        <w:t>Pamatojums.</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Šis priekšlikums saistīts ar atzinuma pirmajā punktā ietverto grozījumu likumprojekta 24.panta pirmās daļas 9.punkta b) apakšpunktā un paskaidro nodokļu samaksas atvieglojumu piemērošanu transporta uzņēmumiem, kā arī kravu ekspedīcijas un loģistikas pakalpojumu sniedzējiem.</w:t>
      </w:r>
    </w:p>
    <w:p w:rsidR="00A02DD5" w:rsidRPr="00ED2AE7" w:rsidRDefault="00A02DD5" w:rsidP="000F4D5B">
      <w:pPr>
        <w:ind w:firstLine="720"/>
        <w:jc w:val="both"/>
        <w:rPr>
          <w:rFonts w:eastAsia="MS Mincho" w:cs="Times New Roman"/>
          <w:sz w:val="26"/>
          <w:szCs w:val="26"/>
          <w:u w:val="single"/>
        </w:rPr>
      </w:pPr>
      <w:r w:rsidRPr="00ED2AE7">
        <w:rPr>
          <w:rFonts w:eastAsia="MS Mincho" w:cs="Times New Roman"/>
          <w:sz w:val="26"/>
          <w:szCs w:val="26"/>
          <w:u w:val="single"/>
        </w:rPr>
        <w:t>Satiksmes ministrija šos papildinājumus grozījumiem uzskata par ļoti svarīgiem un aicina Ministri kabinetu ņemt tos vērā un papildināt Finanšu ministrijas izstrādātos likumprojektu.</w:t>
      </w:r>
    </w:p>
    <w:p w:rsidR="00A02DD5" w:rsidRPr="00ED2AE7" w:rsidRDefault="00A02DD5" w:rsidP="00A02DD5">
      <w:pPr>
        <w:jc w:val="both"/>
        <w:rPr>
          <w:rFonts w:eastAsia="MS Mincho" w:cs="Times New Roman"/>
          <w:sz w:val="26"/>
          <w:szCs w:val="26"/>
        </w:rPr>
      </w:pPr>
    </w:p>
    <w:p w:rsidR="00A02DD5" w:rsidRPr="00ED2AE7" w:rsidRDefault="00A02DD5" w:rsidP="00A02DD5">
      <w:pPr>
        <w:jc w:val="both"/>
        <w:rPr>
          <w:rFonts w:eastAsia="MS Mincho" w:cs="Times New Roman"/>
          <w:sz w:val="26"/>
          <w:szCs w:val="26"/>
        </w:rPr>
      </w:pPr>
    </w:p>
    <w:p w:rsidR="00A02DD5" w:rsidRPr="00ED2AE7" w:rsidRDefault="00A02DD5" w:rsidP="00A02DD5">
      <w:pPr>
        <w:jc w:val="both"/>
        <w:rPr>
          <w:rFonts w:eastAsia="MS Mincho" w:cs="Times New Roman"/>
          <w:sz w:val="26"/>
          <w:szCs w:val="26"/>
        </w:rPr>
      </w:pPr>
    </w:p>
    <w:p w:rsidR="00A02DD5" w:rsidRPr="00ED2AE7" w:rsidRDefault="00A02DD5" w:rsidP="00A02DD5">
      <w:pPr>
        <w:jc w:val="both"/>
        <w:rPr>
          <w:rFonts w:eastAsia="MS Mincho" w:cs="Times New Roman"/>
          <w:b/>
          <w:sz w:val="26"/>
          <w:szCs w:val="26"/>
          <w:u w:val="single"/>
        </w:rPr>
      </w:pPr>
      <w:r w:rsidRPr="00ED2AE7">
        <w:rPr>
          <w:rFonts w:eastAsia="MS Mincho" w:cs="Times New Roman"/>
          <w:b/>
          <w:sz w:val="26"/>
          <w:szCs w:val="26"/>
          <w:u w:val="single"/>
        </w:rPr>
        <w:t>Priekšlikumi Latvijas loģistikas pakalpojumu jomas komersantu konkurētspējas stiprināšanai.</w:t>
      </w:r>
    </w:p>
    <w:p w:rsidR="00A02DD5" w:rsidRPr="00ED2AE7" w:rsidRDefault="00A02DD5" w:rsidP="00A02DD5">
      <w:pPr>
        <w:jc w:val="both"/>
        <w:rPr>
          <w:rFonts w:eastAsia="MS Mincho" w:cs="Times New Roman"/>
          <w:sz w:val="26"/>
          <w:szCs w:val="26"/>
        </w:rPr>
      </w:pPr>
    </w:p>
    <w:p w:rsidR="00A02DD5" w:rsidRPr="00ED2AE7" w:rsidRDefault="00A02DD5" w:rsidP="00A02DD5">
      <w:pPr>
        <w:numPr>
          <w:ilvl w:val="0"/>
          <w:numId w:val="36"/>
        </w:numPr>
        <w:spacing w:after="200"/>
        <w:contextualSpacing/>
        <w:jc w:val="both"/>
        <w:rPr>
          <w:rFonts w:eastAsia="Cambria" w:cs="Times New Roman"/>
          <w:b/>
          <w:sz w:val="26"/>
          <w:szCs w:val="26"/>
        </w:rPr>
      </w:pPr>
      <w:r w:rsidRPr="00ED2AE7">
        <w:rPr>
          <w:rFonts w:eastAsia="Cambria" w:cs="Times New Roman"/>
          <w:b/>
          <w:sz w:val="26"/>
          <w:szCs w:val="26"/>
        </w:rPr>
        <w:t>Fiskālā pārstāvja darbības atvieglošana</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Ar grozījumiem likumā „Par pievienotās vērtības nodokli”, kas stājās spēkā 2011.gada 1.janvārī, pievienotās vērtības nodokļa jomas normatīvajos aktos tika ieviests fiskālā pārstāvja institūts, kas ļauj atvieglot preču importa, eksporta operācijas un preču piegādes Eiropas Savienībā un Latvijā, piemērojot pievienotās vērtības nodokļa 0 procentu likmi un nemaksājot to pie preču importēšanas. Tas kopumā veicina kravu loģistikas un distribūcijas pakalpojumu attīstīšanu caur Latviju.</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 xml:space="preserve">Darbojoties jaunajam tiesiskajam regulējumam, tranzīta un loģistikas nozares komersanti, kas izmanto vai arī vēlētos izmantot fiskālā pārstāvja priekšrocības, sniedzot pakalpojumus kravu nosūtītājiem un saņēmējiem ārvalstīs, citās Eiropas </w:t>
      </w:r>
      <w:r w:rsidRPr="00ED2AE7">
        <w:rPr>
          <w:rFonts w:eastAsia="MS Mincho" w:cs="Times New Roman"/>
          <w:sz w:val="26"/>
          <w:szCs w:val="26"/>
        </w:rPr>
        <w:lastRenderedPageBreak/>
        <w:t>Savienības dalībvalstīs vai arī Latvijas teritorijā, atzīmē vairākus ierobežojumus, kuri salīdzinājumā ar fiskālā pārstāvja darbības tiesisko regulējumu citās Eiropas Savienības dalībvalstīs (piemēram, Nīderlandē un Lielbritānijā), būtiski ierobežo vai pat padara neiespējamu šāda institūta darbību Latvijā.</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Galvenās problēmas un to iespējamie risinājumi ministrijas ieskatā ir šādi.</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Pašreizējais fiskālā pārstāvja darbības tiesiskais regulējums Pievienotās vērtības nodokļa likumā, kā arī Ministru kabineta 2013.gada 3.janvāra noteikumos Nr.17 „Pievienotās vērtības nodokļa likuma normu piemērošanas kārtība un atsevišķas prasības pievienotās vērtības nodokļa maksāšanai un administrēšanai” vai tā trūkums neļauj Latvijā reģistrētam fiskālajam pārstāvim veikt šādas darbības, kā arī nosaka šādus ierobežojumus.</w:t>
      </w:r>
    </w:p>
    <w:p w:rsidR="00A02DD5" w:rsidRPr="00ED2AE7" w:rsidRDefault="00A02DD5" w:rsidP="00A02DD5">
      <w:pPr>
        <w:ind w:firstLine="720"/>
        <w:jc w:val="both"/>
        <w:rPr>
          <w:rFonts w:eastAsia="MS Mincho" w:cs="Times New Roman"/>
          <w:i/>
          <w:sz w:val="26"/>
          <w:szCs w:val="26"/>
        </w:rPr>
      </w:pPr>
    </w:p>
    <w:p w:rsidR="00A02DD5" w:rsidRPr="00ED2AE7" w:rsidRDefault="00A02DD5" w:rsidP="00A02DD5">
      <w:pPr>
        <w:ind w:firstLine="720"/>
        <w:jc w:val="both"/>
        <w:rPr>
          <w:rFonts w:eastAsia="MS Mincho" w:cs="Times New Roman"/>
          <w:i/>
          <w:sz w:val="26"/>
          <w:szCs w:val="26"/>
        </w:rPr>
      </w:pPr>
      <w:r w:rsidRPr="00ED2AE7">
        <w:rPr>
          <w:rFonts w:eastAsia="MS Mincho" w:cs="Times New Roman"/>
          <w:i/>
          <w:sz w:val="26"/>
          <w:szCs w:val="26"/>
        </w:rPr>
        <w:t xml:space="preserve">a) Pārstāvēt citus Eiropas Savienības pievienotās vērtības nodokļa maksātājus, kuri nav reģistrēti PVN reģistrā. </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Piemēram, Īrijā dibināts tirdzniecības uzņēmums, kas nav Īrijas PVN maksātājs, jo neveic darījumus Īrijā, konsolidē kravu sūtījumus Latvijas noliktavā. Šobrīd Latvijas fiskālais pārstāvis (piemēram, Latvijas noliktava), nevar pārstāvēt šādu uzņēmumu. Tā kā Īrijā veikt PVN reģistrāciju nav nepieciešams, šādas prasības būtība nav pamatota. Veicot Īrijā PVN reģistrāciju, tā tiek atcelta - jo nav darījumu.</w:t>
      </w:r>
    </w:p>
    <w:p w:rsidR="00A02DD5" w:rsidRPr="00ED2AE7" w:rsidRDefault="00A02DD5" w:rsidP="00A02DD5">
      <w:pPr>
        <w:ind w:firstLine="720"/>
        <w:jc w:val="both"/>
        <w:rPr>
          <w:rFonts w:eastAsia="MS Mincho" w:cs="Times New Roman"/>
          <w:b/>
          <w:i/>
          <w:sz w:val="26"/>
          <w:szCs w:val="26"/>
        </w:rPr>
      </w:pPr>
      <w:r w:rsidRPr="00ED2AE7">
        <w:rPr>
          <w:rFonts w:eastAsia="MS Mincho" w:cs="Times New Roman"/>
          <w:b/>
          <w:i/>
          <w:sz w:val="26"/>
          <w:szCs w:val="26"/>
        </w:rPr>
        <w:t>Priekšlikums:</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Veikt grozījumus Pievienotās vērtības nodokļa likuma 1.panta 5) punktā ir paredzēt, ka fiskālais pārstāvis var pārstāvēt arī citas dalībvalsts nereģistrētu nodokļu maksātāju.</w:t>
      </w:r>
    </w:p>
    <w:p w:rsidR="00A02DD5" w:rsidRPr="00ED2AE7" w:rsidRDefault="00A02DD5" w:rsidP="00A02DD5">
      <w:pPr>
        <w:ind w:firstLine="720"/>
        <w:jc w:val="both"/>
        <w:rPr>
          <w:rFonts w:eastAsia="MS Mincho" w:cs="Times New Roman"/>
          <w:i/>
          <w:sz w:val="26"/>
          <w:szCs w:val="26"/>
        </w:rPr>
      </w:pPr>
    </w:p>
    <w:p w:rsidR="00A02DD5" w:rsidRPr="00ED2AE7" w:rsidRDefault="00A02DD5" w:rsidP="00A02DD5">
      <w:pPr>
        <w:ind w:firstLine="720"/>
        <w:jc w:val="both"/>
        <w:rPr>
          <w:rFonts w:eastAsia="MS Mincho" w:cs="Times New Roman"/>
          <w:i/>
          <w:sz w:val="26"/>
          <w:szCs w:val="26"/>
        </w:rPr>
      </w:pPr>
      <w:r w:rsidRPr="00ED2AE7">
        <w:rPr>
          <w:rFonts w:eastAsia="MS Mincho" w:cs="Times New Roman"/>
          <w:i/>
          <w:sz w:val="26"/>
          <w:szCs w:val="26"/>
        </w:rPr>
        <w:t xml:space="preserve">b) Veikt ar PVN 0 procentu likmi apliekamas preču piegādes (pēc preču importēšanas) iekšzemē (Latvijā). </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Šādā situācijā Latvijā reģistrētam fiskālajam pārstāvim ir papildus jāsaņem Pievienotās vērtības nodokļa likumā paredzētā atļauja piemērot īpašo nodokļa režīmu preču importa darījumos, lai arī fiskālajam pārstāvim saskaņā ar PVN likumā ietverto definīciju ir tiesības veikt šādas piegādes bez papildus nosacījumiem.</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Piemērs. Āzijas uzņēmums, kurš Latvijas distribūcijas centrā uzglabā kravas Baltijas valstu tirgum, veicot precēm importa procedūru - piemēro PVN 0% likmi. Tālāk veicot preču piegādes no Latvijas distribūcijas centra uz Lietuvu, Igauniju - piemēro PVN 0% likmi. Savukārt, veicot preču piegādes uz Latviju („iekšzemi”) – tiek piemērota PVN 21% likme. Tādēļ ražošanas uzņēmumi izejvielu iepirkumus izvēlas no Lietuvas, Igaunijas, jo šādā gadījumā netiek „iesaldēts” pievienotās vērtības nodoklis Latvijā.</w:t>
      </w:r>
    </w:p>
    <w:p w:rsidR="00A02DD5" w:rsidRPr="00ED2AE7" w:rsidRDefault="00A02DD5" w:rsidP="00A02DD5">
      <w:pPr>
        <w:ind w:firstLine="720"/>
        <w:jc w:val="both"/>
        <w:rPr>
          <w:rFonts w:eastAsia="MS Mincho" w:cs="Times New Roman"/>
          <w:b/>
          <w:i/>
          <w:sz w:val="26"/>
          <w:szCs w:val="26"/>
        </w:rPr>
      </w:pPr>
      <w:r w:rsidRPr="00ED2AE7">
        <w:rPr>
          <w:rFonts w:eastAsia="MS Mincho" w:cs="Times New Roman"/>
          <w:b/>
          <w:i/>
          <w:sz w:val="26"/>
          <w:szCs w:val="26"/>
        </w:rPr>
        <w:t>Priekšlikums:</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Veikt grozījumus pievienotās vērtības nodokļa normatīvajos aktos un paredzēt iespēju Latvijā reģistrētam fiskālajam pārstāvim piemērot PVN 0 procentu likmi, veicot preču importu ar turpmāko šo preču piegādi iekšzemē.</w:t>
      </w:r>
    </w:p>
    <w:p w:rsidR="00A02DD5" w:rsidRPr="00ED2AE7" w:rsidRDefault="00A02DD5" w:rsidP="00A02DD5">
      <w:pPr>
        <w:ind w:firstLine="720"/>
        <w:jc w:val="both"/>
        <w:rPr>
          <w:rFonts w:eastAsia="MS Mincho" w:cs="Times New Roman"/>
          <w:sz w:val="26"/>
          <w:szCs w:val="26"/>
        </w:rPr>
      </w:pPr>
    </w:p>
    <w:p w:rsidR="00A02DD5" w:rsidRPr="00ED2AE7" w:rsidRDefault="00A02DD5" w:rsidP="00A02DD5">
      <w:pPr>
        <w:ind w:firstLine="720"/>
        <w:jc w:val="both"/>
        <w:rPr>
          <w:rFonts w:eastAsia="MS Mincho" w:cs="Times New Roman"/>
          <w:i/>
          <w:sz w:val="26"/>
          <w:szCs w:val="26"/>
        </w:rPr>
      </w:pPr>
      <w:r w:rsidRPr="00ED2AE7">
        <w:rPr>
          <w:rFonts w:eastAsia="MS Mincho" w:cs="Times New Roman"/>
          <w:i/>
          <w:sz w:val="26"/>
          <w:szCs w:val="26"/>
        </w:rPr>
        <w:lastRenderedPageBreak/>
        <w:t>c) Konsolidēt kravas Eiropas Savienībā, veicot preču iegādi ES teritorijā, kā arī nosūtot to arī uz citu dalībvalsti reģistrētam nodokļu maksātājam (ne tikai eksportēt no ES).</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Piemērs. Āzijas uzņēmums, veicot iepirkumu Eiropas Savienībā, kravas konsolidē Latvijā un Polijā (risku dalīšana). No Latvijas noliktavas eksportam paredzētās kravas uz Polijas konsolidācijas noliktavu šobrīd iespējams nosūtīt tikai ar eksporta muitas procedūru.</w:t>
      </w:r>
    </w:p>
    <w:p w:rsidR="00A02DD5" w:rsidRPr="00ED2AE7" w:rsidRDefault="00A02DD5" w:rsidP="00A02DD5">
      <w:pPr>
        <w:ind w:firstLine="720"/>
        <w:jc w:val="both"/>
        <w:rPr>
          <w:rFonts w:eastAsia="MS Mincho" w:cs="Times New Roman"/>
          <w:b/>
          <w:i/>
          <w:sz w:val="26"/>
          <w:szCs w:val="26"/>
        </w:rPr>
      </w:pPr>
      <w:r w:rsidRPr="00ED2AE7">
        <w:rPr>
          <w:rFonts w:eastAsia="MS Mincho" w:cs="Times New Roman"/>
          <w:b/>
          <w:i/>
          <w:sz w:val="26"/>
          <w:szCs w:val="26"/>
        </w:rPr>
        <w:t>Priekšlikums:</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Veikt grozījumus pievienotās vērtības nodokļa normatīvajos aktos un paredzēt iespēju Latvijā reģistrētam fiskālajam pārstāvim piemērot PVN 0 procentu likmi, veicot preču iegādi Eiropas Savienībā un nosūtot tās kravas konsolidācijas nolūkā citas dalībvalsts reģistrētam nodokļu maksātājam.</w:t>
      </w:r>
    </w:p>
    <w:p w:rsidR="00A02DD5" w:rsidRPr="00ED2AE7" w:rsidRDefault="00A02DD5" w:rsidP="00A02DD5">
      <w:pPr>
        <w:ind w:firstLine="720"/>
        <w:jc w:val="both"/>
        <w:rPr>
          <w:rFonts w:eastAsia="MS Mincho" w:cs="Times New Roman"/>
          <w:i/>
          <w:sz w:val="26"/>
          <w:szCs w:val="26"/>
        </w:rPr>
      </w:pPr>
    </w:p>
    <w:p w:rsidR="00A02DD5" w:rsidRPr="00ED2AE7" w:rsidRDefault="00A02DD5" w:rsidP="00A02DD5">
      <w:pPr>
        <w:ind w:firstLine="720"/>
        <w:jc w:val="both"/>
        <w:rPr>
          <w:rFonts w:eastAsia="MS Mincho" w:cs="Times New Roman"/>
          <w:i/>
          <w:sz w:val="26"/>
          <w:szCs w:val="26"/>
        </w:rPr>
      </w:pPr>
      <w:r w:rsidRPr="00ED2AE7">
        <w:rPr>
          <w:rFonts w:eastAsia="MS Mincho" w:cs="Times New Roman"/>
          <w:i/>
          <w:sz w:val="26"/>
          <w:szCs w:val="26"/>
        </w:rPr>
        <w:t>d) Sagatavot un iesniegt tādu pašu pievienotās vērtības nodokļa deklarāciju, kāda paredzēta reģistrētam nodokļu maksātājam.</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Normatīvie akti pievienotās vērtības nodokļa piemērošanas jomā šobrīd nosaka prasību fiskālajam pārstāvim iesniegt atšķirīgu un sniedzamo ziņu satura ziņā apjomīgāku deklarāciju, nekā vienkāršajam reģistrētam PVN nodokļa maksātājam. Tas sarežģī un apgrūtina fiskālā pārstāvja darbu. Bez tam pastāv problēma, ka fiskālā pārstāvja sniedzamajās PVN deklarācijās nevar identificēt viņa veiktās darbības muitas jomā, jo deklarācijā tiek prasīts norādīt fiskālā pārstāvja reģistrācijas numuru, bet muitas vajadzībām paredzē</w:t>
      </w:r>
      <w:r w:rsidR="003C15F8" w:rsidRPr="00ED2AE7">
        <w:rPr>
          <w:rFonts w:eastAsia="MS Mincho" w:cs="Times New Roman"/>
          <w:sz w:val="26"/>
          <w:szCs w:val="26"/>
        </w:rPr>
        <w:t>t</w:t>
      </w:r>
      <w:r w:rsidRPr="00ED2AE7">
        <w:rPr>
          <w:rFonts w:eastAsia="MS Mincho" w:cs="Times New Roman"/>
          <w:sz w:val="26"/>
          <w:szCs w:val="26"/>
        </w:rPr>
        <w:t>o reģistrācijas numuru (EORI) šajā deklarācijā nenorāda.</w:t>
      </w:r>
    </w:p>
    <w:p w:rsidR="00A02DD5" w:rsidRPr="00ED2AE7" w:rsidRDefault="00A02DD5" w:rsidP="00A02DD5">
      <w:pPr>
        <w:ind w:firstLine="720"/>
        <w:jc w:val="both"/>
        <w:rPr>
          <w:rFonts w:eastAsia="MS Mincho" w:cs="Times New Roman"/>
          <w:b/>
          <w:i/>
          <w:sz w:val="26"/>
          <w:szCs w:val="26"/>
        </w:rPr>
      </w:pPr>
      <w:r w:rsidRPr="00ED2AE7">
        <w:rPr>
          <w:rFonts w:eastAsia="MS Mincho" w:cs="Times New Roman"/>
          <w:b/>
          <w:i/>
          <w:sz w:val="26"/>
          <w:szCs w:val="26"/>
        </w:rPr>
        <w:t>Priekšlikums:</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Veikt grozījumus pievienotās vērtības nodokļa normatīvajos aktos un vienkāršot Latvijā reģistrēta fiskālā pārstāvja PVN deklarācijas saturu, iespēju robežās pielīdzinot to reģistrēta nodokļu maksātāja PVN deklarācijas veidlapai.</w:t>
      </w:r>
    </w:p>
    <w:p w:rsidR="00A02DD5" w:rsidRPr="00ED2AE7" w:rsidRDefault="00A02DD5" w:rsidP="00A02DD5">
      <w:pPr>
        <w:ind w:firstLine="720"/>
        <w:jc w:val="both"/>
        <w:rPr>
          <w:rFonts w:eastAsia="MS Mincho" w:cs="Times New Roman"/>
          <w:i/>
          <w:sz w:val="26"/>
          <w:szCs w:val="26"/>
        </w:rPr>
      </w:pPr>
    </w:p>
    <w:p w:rsidR="00A02DD5" w:rsidRPr="00ED2AE7" w:rsidRDefault="00A02DD5" w:rsidP="00A02DD5">
      <w:pPr>
        <w:ind w:firstLine="720"/>
        <w:jc w:val="both"/>
        <w:rPr>
          <w:rFonts w:eastAsia="MS Mincho" w:cs="Times New Roman"/>
          <w:i/>
          <w:sz w:val="26"/>
          <w:szCs w:val="26"/>
        </w:rPr>
      </w:pPr>
      <w:r w:rsidRPr="00ED2AE7">
        <w:rPr>
          <w:rFonts w:eastAsia="MS Mincho" w:cs="Times New Roman"/>
          <w:i/>
          <w:sz w:val="26"/>
          <w:szCs w:val="26"/>
        </w:rPr>
        <w:t xml:space="preserve">e) Atļauju fiskālā pārstāvja darbībai var saņemt vienīgi, ja komersants iesniedz galvojumu (minimālais galvojuma apjoms 284 570 </w:t>
      </w:r>
      <w:proofErr w:type="spellStart"/>
      <w:r w:rsidRPr="00ED2AE7">
        <w:rPr>
          <w:rFonts w:eastAsia="MS Mincho" w:cs="Times New Roman"/>
          <w:i/>
          <w:sz w:val="26"/>
          <w:szCs w:val="26"/>
        </w:rPr>
        <w:t>euro</w:t>
      </w:r>
      <w:proofErr w:type="spellEnd"/>
      <w:r w:rsidRPr="00ED2AE7">
        <w:rPr>
          <w:rFonts w:eastAsia="MS Mincho" w:cs="Times New Roman"/>
          <w:i/>
          <w:sz w:val="26"/>
          <w:szCs w:val="26"/>
        </w:rPr>
        <w:t xml:space="preserve">) un uzņemas atbildību par pievienotās vērtības nodokļa summas nomaksu līdzīgi kā pie preču muitas procedūrām. </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Galvojumus Latvijā nodrošina tikai 3 apdrošināšanas kompānijas, tādēļ komersantiem, kuri Latvijā vēlas saņemt fiskālā pārstāvja atļauju, šīs prasības izpilde ir lieks administratīvo izmaksu slogs. Citās Eiropas Savienības dalībvalstīs, kurās arī darbojas fiskālā pārstāvja institūts, konkrēti, Nīderlandē un Lielbritānijā, šāda prasība fiskālajam pārstāvim netiek izvirzīta.</w:t>
      </w:r>
    </w:p>
    <w:p w:rsidR="00A02DD5" w:rsidRPr="00ED2AE7" w:rsidRDefault="00A02DD5" w:rsidP="00A02DD5">
      <w:pPr>
        <w:ind w:firstLine="720"/>
        <w:jc w:val="both"/>
        <w:rPr>
          <w:rFonts w:eastAsia="MS Mincho" w:cs="Times New Roman"/>
          <w:b/>
          <w:i/>
          <w:sz w:val="26"/>
          <w:szCs w:val="26"/>
        </w:rPr>
      </w:pPr>
      <w:r w:rsidRPr="00ED2AE7">
        <w:rPr>
          <w:rFonts w:eastAsia="MS Mincho" w:cs="Times New Roman"/>
          <w:b/>
          <w:i/>
          <w:sz w:val="26"/>
          <w:szCs w:val="26"/>
        </w:rPr>
        <w:t>Priekšlikums:</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Grozīt Ministru kabineta 03.01.2013. noteikumu Nr.17 „Pievienotās vērtības nodokļa likumu normu piemērošanas kārtība un atsevišķās prasības pievienotās vērtības nodokļa maksāšanai un administrēšanai” 116. un 117.punktu un atvieglot prasības fiskālā pārstāvja darbībai nepieciešamā vispārējā galvojuma apjoma samazināšanai par 50 procentiem un atbrīvojuma piešķiršanai no galvojuma iesniegšanas personām, kuras atbilst šo noteikumu 116.1 un 117.1 noteiktajiem kritērijiem, bet kurām nav atzītā komersanta statusa.</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lastRenderedPageBreak/>
        <w:t>Vienlaikus aicināt Finanšu ministriju sadarbībā ar tranzīta un loģistikas nozares uzņēmēju asociācijām izvērtēt iespējas atcelt normatīvajos aktos paredzēto prasību par galvojuma iesniegšanu fiskālā pārstāvja darbībai, izmantojot, citus pievienotās vērtības nodokļa tiesību aktos paredzētos nodokļu maksātāju kontroles instrumentus.</w:t>
      </w:r>
    </w:p>
    <w:p w:rsidR="00A02DD5" w:rsidRPr="00ED2AE7" w:rsidRDefault="00A02DD5" w:rsidP="00A02DD5">
      <w:pPr>
        <w:ind w:firstLine="720"/>
        <w:jc w:val="both"/>
        <w:rPr>
          <w:rFonts w:eastAsia="MS Mincho" w:cs="Times New Roman"/>
          <w:b/>
          <w:i/>
          <w:sz w:val="26"/>
          <w:szCs w:val="26"/>
        </w:rPr>
      </w:pPr>
    </w:p>
    <w:p w:rsidR="00A02DD5" w:rsidRPr="00ED2AE7" w:rsidRDefault="00A02DD5" w:rsidP="00A02DD5">
      <w:pPr>
        <w:ind w:firstLine="720"/>
        <w:jc w:val="both"/>
        <w:rPr>
          <w:rFonts w:eastAsia="MS Mincho" w:cs="Times New Roman"/>
          <w:sz w:val="26"/>
          <w:szCs w:val="26"/>
        </w:rPr>
      </w:pPr>
      <w:r w:rsidRPr="00ED2AE7">
        <w:rPr>
          <w:rFonts w:eastAsia="MS Mincho" w:cs="Times New Roman"/>
          <w:b/>
          <w:i/>
          <w:sz w:val="26"/>
          <w:szCs w:val="26"/>
        </w:rPr>
        <w:t xml:space="preserve">Finanšu ministrijas viedoklis </w:t>
      </w:r>
      <w:r w:rsidRPr="00ED2AE7">
        <w:rPr>
          <w:rFonts w:eastAsia="MS Mincho" w:cs="Times New Roman"/>
          <w:i/>
          <w:sz w:val="26"/>
          <w:szCs w:val="26"/>
        </w:rPr>
        <w:t>(par visiem iepriekš minētajiem priekšlikumiem)</w:t>
      </w:r>
      <w:r w:rsidRPr="00ED2AE7">
        <w:rPr>
          <w:rFonts w:eastAsia="MS Mincho" w:cs="Times New Roman"/>
          <w:sz w:val="26"/>
          <w:szCs w:val="26"/>
        </w:rPr>
        <w:t>.</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 xml:space="preserve">Finanšu ministrija norāda, ka ir uzsākts darbs pie regulējuma, kas nosaka fiskālā pārstāvja darbību Latvijā, izvērtēšanas. Bez tam jāatzīmē, ka rosinātie priekšlikumi attiecībā uz regulējumu, kas nosaka fiskālā pārstāvja darbību Latvijā, ir pilnīgi jauni, proti, par tiem nodokļu maksātāji līdz šim nebija uzrunājuši Finanšu ministriju. Tādējādi izteiktie priekšlikumi tiks vērtēti, lai varētu izdarīt secinājumus par iespējamiem grozījumiem normatīvajos aktos pievienotās vērtības nodokļa (turpmāk - PVN) jomā, precizējot regulējumu par fiskālā pārstāvja darbību Latvijā. </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Papildus jāatzīmē, ka reģistrētam PVN maksātājam, kurš vēlas reģistrēties kā fiskālais pārstāvis, jau šobrīd ir noteikti atvieglojumi attiecībā uz apliecinājumu iespējamā PVN parāda segšanai, ja šim reģistrētam PVN maksātājam ir piešķirts Padziļinātās sadarbības programmas dalībnieka statuss atbilstoši normatīvajiem aktiem par Padziļinātās sadarbības programmas darbību.</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Vienlaikus Finanšu ministrija norāda, ka nav plānots mainīt kritērijus, lai atvieglotu Padziļinātās sadarbības programmas dalībnieka statusa piešķiršanu.</w:t>
      </w:r>
    </w:p>
    <w:p w:rsidR="00A02DD5" w:rsidRPr="00ED2AE7" w:rsidRDefault="00A02DD5" w:rsidP="00A02DD5">
      <w:pPr>
        <w:ind w:firstLine="720"/>
        <w:jc w:val="both"/>
        <w:rPr>
          <w:rFonts w:eastAsia="MS Mincho" w:cs="Times New Roman"/>
          <w:sz w:val="26"/>
          <w:szCs w:val="26"/>
        </w:rPr>
      </w:pPr>
    </w:p>
    <w:p w:rsidR="00A02DD5" w:rsidRPr="00ED2AE7" w:rsidRDefault="00A02DD5" w:rsidP="00A02DD5">
      <w:pPr>
        <w:ind w:firstLine="720"/>
        <w:jc w:val="both"/>
        <w:rPr>
          <w:rFonts w:eastAsia="MS Mincho" w:cs="Times New Roman"/>
          <w:b/>
          <w:sz w:val="26"/>
          <w:szCs w:val="26"/>
        </w:rPr>
      </w:pPr>
      <w:r w:rsidRPr="00ED2AE7">
        <w:rPr>
          <w:rFonts w:eastAsia="MS Mincho" w:cs="Times New Roman"/>
          <w:b/>
          <w:sz w:val="26"/>
          <w:szCs w:val="26"/>
        </w:rPr>
        <w:t>2. Rīcība, konstatējot neatbilstības starp importētajām precēm un to pavaddokumentiem</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 xml:space="preserve">Šī problēma komersantiem ir aktuāla ar preču muitas operācijām saistītajās darbībās, konkrēti attiecībā uz Eiropas Savienības muitas teritorijā no trešajām valstīm ievestām precēm, piemērojot muitas procedūru – tranzīts, jo Latvijas normatīvajos aktos nav paredzēta precīza kārtība un arī rīcība gadījumos, kad tiek konstatētas atšķirības starp importēto faktisko preču daudzumu, svaru, aprakstu, </w:t>
      </w:r>
      <w:proofErr w:type="spellStart"/>
      <w:r w:rsidRPr="00ED2AE7">
        <w:rPr>
          <w:rFonts w:eastAsia="MS Mincho" w:cs="Times New Roman"/>
          <w:sz w:val="26"/>
          <w:szCs w:val="26"/>
        </w:rPr>
        <w:t>u.tml</w:t>
      </w:r>
      <w:proofErr w:type="spellEnd"/>
      <w:r w:rsidRPr="00ED2AE7">
        <w:rPr>
          <w:rFonts w:eastAsia="MS Mincho" w:cs="Times New Roman"/>
          <w:sz w:val="26"/>
          <w:szCs w:val="26"/>
        </w:rPr>
        <w:t>. un pavaddokumentos norādītajām ziņām. Citās Eiropas Savienības dalībvalstīs muitas dienesti dod komersantam šādos gadījumos laiku, lai noskaidrotu minēto neatbilstību cēloņus un iesniegtu muitas iestādēm apliecinošus dokumentus, kā arī nepiemērojot pret komersantu automātiskas sankcijas.</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Pašlaik saskaņošanā ar ministrijām atrodas divi Finanšu ministrijas izstrādāti un virzīti Ministru kabineta noteikumu projekti (Pagaidu uzglabāšanas noteikumi (VSS-2097) un Muitas noliktavu darbības noteikumi (VSS-578)), kuros ir iekļauta kārtība, kas nosaka komersanta un muitas iestāžu rīcību šādos gadījumos.</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Vienlaikus nozares asociācijas ir norādījušas arī uz līdzīgām problēmām, piemērojot muitas procedūru – tranzīts, kad, noslēdzot muitas procedūru, tiek konstatētas neatbilstības starp kravas saturu un muitas deklarāciju, pat gadījumos, kad kravas atnāk ar neskartiem nodrošinājumiem, principālam (par tranzīta procedūru atbildīgajai personai) tiek automātiski aprēķināts muitas parāds.</w:t>
      </w:r>
    </w:p>
    <w:p w:rsidR="00A02DD5" w:rsidRPr="00ED2AE7" w:rsidRDefault="00A02DD5" w:rsidP="00A02DD5">
      <w:pPr>
        <w:ind w:firstLine="720"/>
        <w:jc w:val="both"/>
        <w:rPr>
          <w:rFonts w:eastAsia="MS Mincho" w:cs="Times New Roman"/>
          <w:b/>
          <w:i/>
          <w:sz w:val="26"/>
          <w:szCs w:val="26"/>
        </w:rPr>
      </w:pPr>
      <w:r w:rsidRPr="00ED2AE7">
        <w:rPr>
          <w:rFonts w:eastAsia="MS Mincho" w:cs="Times New Roman"/>
          <w:b/>
          <w:i/>
          <w:sz w:val="26"/>
          <w:szCs w:val="26"/>
        </w:rPr>
        <w:t xml:space="preserve">Priekšlikums: </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 xml:space="preserve">Normatīvajos aktos par muitas procedūras – tranzīts – piemērošanu paredzēt regulējumu gadījumos, kad tranzīta krava tiek nogādāta saņēmējā muitas iestādē ar </w:t>
      </w:r>
      <w:r w:rsidRPr="00ED2AE7">
        <w:rPr>
          <w:rFonts w:eastAsia="MS Mincho" w:cs="Times New Roman"/>
          <w:sz w:val="26"/>
          <w:szCs w:val="26"/>
        </w:rPr>
        <w:lastRenderedPageBreak/>
        <w:t>neskartiem nodrošinājumiem, bet kravas saturā tiek konstatētas neatbilstības starp precēm un pavaddokumentiem. Šādos gadījumos (līdzīgi kā tas šobrīd tiek ierosināts Finanšu ministrijas virzītajos Ministru kabineta noteikumos par muitas noliktavām un preču pagaidu uzglabāšanu) principālam būtu jādod saprātīgs termiņš noskaidrot neatbilstību iemeslus un iesniegt muitas iestādēm dokumentāru apliecinājumu neatbilstību rašanās iemesliem, nepiemērojot tam muitas sankcijas un automātisku muitas parāda aprēķinu.</w:t>
      </w:r>
    </w:p>
    <w:p w:rsidR="00A02DD5" w:rsidRPr="00ED2AE7" w:rsidRDefault="00A02DD5" w:rsidP="00A02DD5">
      <w:pPr>
        <w:ind w:firstLine="720"/>
        <w:jc w:val="both"/>
        <w:rPr>
          <w:rFonts w:eastAsia="MS Mincho" w:cs="Times New Roman"/>
          <w:b/>
          <w:i/>
          <w:sz w:val="26"/>
          <w:szCs w:val="26"/>
        </w:rPr>
      </w:pPr>
    </w:p>
    <w:p w:rsidR="00A02DD5" w:rsidRPr="00ED2AE7" w:rsidRDefault="00A02DD5" w:rsidP="00A02DD5">
      <w:pPr>
        <w:ind w:firstLine="720"/>
        <w:jc w:val="both"/>
        <w:rPr>
          <w:rFonts w:eastAsia="MS Mincho" w:cs="Times New Roman"/>
          <w:sz w:val="26"/>
          <w:szCs w:val="26"/>
        </w:rPr>
      </w:pPr>
      <w:r w:rsidRPr="00ED2AE7">
        <w:rPr>
          <w:rFonts w:eastAsia="MS Mincho" w:cs="Times New Roman"/>
          <w:b/>
          <w:i/>
          <w:sz w:val="26"/>
          <w:szCs w:val="26"/>
        </w:rPr>
        <w:t>Finanšu ministrijas viedoklis</w:t>
      </w:r>
      <w:r w:rsidRPr="00ED2AE7">
        <w:rPr>
          <w:rFonts w:eastAsia="MS Mincho" w:cs="Times New Roman"/>
          <w:sz w:val="26"/>
          <w:szCs w:val="26"/>
        </w:rPr>
        <w:t>.</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 xml:space="preserve">Finanšu ministrija informē, ka tā ir sagatavojusi Ministru kabineta noteikumu projektu “Pagaidu uzglabāšanas noteikumi” (VSS-2097), kas papildināts ar jauniem punktiem, kas nosaka kā rīkoties gadījumos, ja tiek konstatētas neatbilstības starp preču pavaddokumentos sniegtajām ziņām un faktisko kravas saturu vai arī cita veida atšķirības. </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 xml:space="preserve">Ministru kabineta noteikumu projekts “Pagaidu uzglabāšanas noteikumi” pēc starpministriju sanāksmes tiek precizēts atbilstoši ministriju izteiktajiem iebildumiem un gatavots iesniegšanai Ministru kabinetā. </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Papildus minētajam Finanšu ministrija ir izstrādājusi Ministru kabineta noteikuma projektu, kas noteiks kārtību, kādā muitas kontrolē esošajiem naftas produktiem, alkoholiskiem dzērieniem un spirta atlikumiem piemēros pieļaujamos zuduma apmērus. Pašlaik notiek minētā noteikumu projekta iekšējā saskaņošana Finanšu ministrijā, pēc kuras tas tālāk tiks iesniegts izsludināšanai Valsts sekretāru sanāksmē.</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Finanšu ministrija arī uzskata, ka pirms Ministru kabineta sēdes notikušajā sanāksmē ar tranzīta uzņēmēju asociācijām, par minēto jautājumu papildus problēmas netika identificētas.</w:t>
      </w:r>
    </w:p>
    <w:p w:rsidR="00A02DD5" w:rsidRPr="00ED2AE7" w:rsidRDefault="00A02DD5" w:rsidP="00A02DD5">
      <w:pPr>
        <w:ind w:firstLine="720"/>
        <w:jc w:val="both"/>
        <w:rPr>
          <w:rFonts w:eastAsia="MS Mincho" w:cs="Times New Roman"/>
          <w:sz w:val="26"/>
          <w:szCs w:val="26"/>
        </w:rPr>
      </w:pPr>
    </w:p>
    <w:p w:rsidR="00A02DD5" w:rsidRPr="00ED2AE7" w:rsidRDefault="00A02DD5" w:rsidP="00A02DD5">
      <w:pPr>
        <w:ind w:firstLine="720"/>
        <w:jc w:val="both"/>
        <w:rPr>
          <w:rFonts w:eastAsia="MS Mincho" w:cs="Times New Roman"/>
          <w:sz w:val="26"/>
          <w:szCs w:val="26"/>
        </w:rPr>
      </w:pPr>
    </w:p>
    <w:p w:rsidR="00A02DD5" w:rsidRPr="00ED2AE7" w:rsidRDefault="00A02DD5" w:rsidP="00A02DD5">
      <w:pPr>
        <w:ind w:firstLine="720"/>
        <w:jc w:val="both"/>
        <w:rPr>
          <w:rFonts w:eastAsia="MS Mincho" w:cs="Times New Roman"/>
          <w:b/>
          <w:sz w:val="26"/>
          <w:szCs w:val="26"/>
        </w:rPr>
      </w:pPr>
      <w:r w:rsidRPr="00ED2AE7">
        <w:rPr>
          <w:rFonts w:eastAsia="MS Mincho" w:cs="Times New Roman"/>
          <w:b/>
          <w:sz w:val="26"/>
          <w:szCs w:val="26"/>
        </w:rPr>
        <w:t>3. Komersanta sodāmības kritēriji</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 xml:space="preserve">Eiropas Savienības muitas tiesību aktos ir paredzēts kritērijs – komersantam nedrīkst būt būtisku vai atkārtotu muitas vai nodokļu tiesību aktu pārkāpumu – lai saņemtu jebkuru muitas tiesību aktos paredzēto vienkāršojumu (piemēram, atzītais komersants, atzītais saņēmējs vai atzītais nosūtītājs tranzīta procedūrā, vispārējā galvojuma samazinājumu, </w:t>
      </w:r>
      <w:proofErr w:type="spellStart"/>
      <w:r w:rsidRPr="00ED2AE7">
        <w:rPr>
          <w:rFonts w:eastAsia="MS Mincho" w:cs="Times New Roman"/>
          <w:sz w:val="26"/>
          <w:szCs w:val="26"/>
        </w:rPr>
        <w:t>u.tml</w:t>
      </w:r>
      <w:proofErr w:type="spellEnd"/>
      <w:r w:rsidRPr="00ED2AE7">
        <w:rPr>
          <w:rFonts w:eastAsia="MS Mincho" w:cs="Times New Roman"/>
          <w:sz w:val="26"/>
          <w:szCs w:val="26"/>
        </w:rPr>
        <w:t>.). Tomēr ne Eiropas Savienības tiesību aktos, ne Latvijas ārējos normatīvos aktos par muitas lietām nav paredzēts skaidri un viennozīmīgi šī kritērija piemērošanas nosacījumi.</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 xml:space="preserve">Šī gada jūlija sākumā Finanšu ministrija, konsultējoties ar Tieslietu ministriju, Satiksmes ministriju, kā arī ar tranzīta un loģistikas nozares uzņēmēju asociācijām, izstrādāja un apstiprināja iekšējo instrukciju „Muitas jomā izmantotā nosacījuma „smagi, nopietni vai atkārtoti muitas vai nodokļu noteikumu pārkāpumi” piemērošanas instrukcija” (FM 2014.gada 3.jūlija rīkojums Nr.12-28/1), kas ir arī publiskota Finanšu ministrijas interneta mājas lapā. </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 xml:space="preserve">Vienlaikus jāatzīmē, ka minētā Finanšu ministrijas instrukcija ir iekšējais tiesību akts, kas nav saistošs trešajām personām, - komersantiem, kā arī tiesu </w:t>
      </w:r>
      <w:r w:rsidRPr="00ED2AE7">
        <w:rPr>
          <w:rFonts w:eastAsia="MS Mincho" w:cs="Times New Roman"/>
          <w:sz w:val="26"/>
          <w:szCs w:val="26"/>
        </w:rPr>
        <w:lastRenderedPageBreak/>
        <w:t>institūcijām, kas parasti ir iesaistītas jautājumos par muitas jomā pieņemto lēmumu pārsūdzēšanu. Tāpat ir jānorāda, ka daudzi būtiski uzņēmēju iesniegtie priekšlikumi, izstrādājot šo instrukciju, nav tikuši ņemti vērā, lai arī tie balstījās uz līdzīgu citu Eiropas Savienības muitas dienestu normatīvu regulējumu un praksi (piemēram, iespēja atbrīvot komersantu no atbildības par muitas vai nodokļu normatīvo aktu pārkāpumiem, ja komersants pats atklājis pārkāpumu, paziņojis par to kompetentajam dienestam un novērsis to).</w:t>
      </w:r>
    </w:p>
    <w:p w:rsidR="00A02DD5" w:rsidRPr="00ED2AE7" w:rsidRDefault="00A02DD5" w:rsidP="00A02DD5">
      <w:pPr>
        <w:ind w:firstLine="720"/>
        <w:jc w:val="both"/>
        <w:rPr>
          <w:rFonts w:eastAsia="MS Mincho" w:cs="Times New Roman"/>
          <w:b/>
          <w:i/>
          <w:sz w:val="26"/>
          <w:szCs w:val="26"/>
        </w:rPr>
      </w:pPr>
      <w:r w:rsidRPr="00ED2AE7">
        <w:rPr>
          <w:rFonts w:eastAsia="MS Mincho" w:cs="Times New Roman"/>
          <w:b/>
          <w:i/>
          <w:sz w:val="26"/>
          <w:szCs w:val="26"/>
        </w:rPr>
        <w:t>Priekšlikums:</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Finanšu ministrijai sadarbībā ar Satiksmes ministriju un tranzīta un loģistikas nozares uzņēmēju asociācijām sagatavot un iesniegt Ministru kabinetā grozījumus ārējos muitas normatīvajos aktos, kas paredz muitas tiesību jomā izmantotā nosacījuma „smagi, nopietni vai atkārtoti muitas vai nodokļu noteikumu pārkāpumi” piemērošanas noteikumus.</w:t>
      </w:r>
    </w:p>
    <w:p w:rsidR="00A02DD5" w:rsidRPr="00ED2AE7" w:rsidRDefault="00A02DD5" w:rsidP="00A02DD5">
      <w:pPr>
        <w:ind w:firstLine="720"/>
        <w:jc w:val="both"/>
        <w:rPr>
          <w:rFonts w:eastAsia="MS Mincho" w:cs="Times New Roman"/>
          <w:b/>
          <w:i/>
          <w:sz w:val="26"/>
          <w:szCs w:val="26"/>
        </w:rPr>
      </w:pPr>
    </w:p>
    <w:p w:rsidR="00A02DD5" w:rsidRPr="00ED2AE7" w:rsidRDefault="00A02DD5" w:rsidP="00A02DD5">
      <w:pPr>
        <w:ind w:firstLine="720"/>
        <w:jc w:val="both"/>
        <w:rPr>
          <w:rFonts w:eastAsia="MS Mincho" w:cs="Times New Roman"/>
          <w:sz w:val="26"/>
          <w:szCs w:val="26"/>
        </w:rPr>
      </w:pPr>
      <w:r w:rsidRPr="00ED2AE7">
        <w:rPr>
          <w:rFonts w:eastAsia="MS Mincho" w:cs="Times New Roman"/>
          <w:b/>
          <w:i/>
          <w:sz w:val="26"/>
          <w:szCs w:val="26"/>
        </w:rPr>
        <w:t>Finanšu ministrijas viedoklis</w:t>
      </w:r>
      <w:r w:rsidRPr="00ED2AE7">
        <w:rPr>
          <w:rFonts w:eastAsia="MS Mincho" w:cs="Times New Roman"/>
          <w:sz w:val="26"/>
          <w:szCs w:val="26"/>
        </w:rPr>
        <w:t>.</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 xml:space="preserve">Lai nodrošinātu, ka Valsts ieņēmumu dienests vienveidīgi piemērotu „smagu, nopietnu vai atkārtotu muitas pārkāpumu” kritērijus, saskaņā ar Valsts pārvaldes iekārtas likuma 72.panta otro daļu 2014.gada 3.jūlijā tika pieņemta Finanšu ministrijas instrukcija Nr.12-28/1 “Muitas lietu jomā izmantotā nosacījuma „smagi, nopietni vai atkārtoti muitas vai nodokļu noteikumu pārkāpumi” piemērošanas instrukcija”, kura nosaka Komisijas 1993.gada 2.jūlija Regulas Nr.2454/93 ar ko nosaka īstenošanas noteikumus Padomes Regulai (EEK) Nr.2913/92 par Kopienas Muitas kodeksa izveidi 253.g panta b) apakšpunktā minētā smagu, nopietnu vai atkārtotu muitas vai nodokļu noteikumu pārkāpumu nosacījuma piemērošanu. </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Saskaņā ar Valsts pārvaldes iekārtas likuma 72.panta ceturto daļu minētā instrukcija ir saistoša Finanšu ministrijas padotības iestādei - Valsts ieņēmumu dienestam.  Instrukcija ir publicēta Finanšu ministrijas un Valsts ieņēmumu dienesta interneta mājas lapās.</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Finanšu ministrijas minētajā instrukcijā noteiktie „smagu, nopietnu vai atkārtotu muitas pārkāpumu” kritēriji tiks ietverti jaunajā Muitas likumā.</w:t>
      </w:r>
    </w:p>
    <w:p w:rsidR="00A02DD5" w:rsidRPr="00ED2AE7" w:rsidRDefault="00A02DD5" w:rsidP="00A02DD5">
      <w:pPr>
        <w:ind w:firstLine="720"/>
        <w:jc w:val="both"/>
        <w:rPr>
          <w:rFonts w:eastAsia="MS Mincho" w:cs="Times New Roman"/>
          <w:sz w:val="26"/>
          <w:szCs w:val="26"/>
        </w:rPr>
      </w:pPr>
    </w:p>
    <w:p w:rsidR="00A02DD5" w:rsidRPr="00ED2AE7" w:rsidRDefault="00A02DD5" w:rsidP="00A02DD5">
      <w:pPr>
        <w:ind w:firstLine="720"/>
        <w:jc w:val="both"/>
        <w:rPr>
          <w:rFonts w:eastAsia="MS Mincho" w:cs="Times New Roman"/>
          <w:b/>
          <w:sz w:val="26"/>
          <w:szCs w:val="26"/>
        </w:rPr>
      </w:pPr>
      <w:r w:rsidRPr="00ED2AE7">
        <w:rPr>
          <w:rFonts w:eastAsia="MS Mincho" w:cs="Times New Roman"/>
          <w:b/>
          <w:sz w:val="26"/>
          <w:szCs w:val="26"/>
        </w:rPr>
        <w:t>4. Muitas likuma un citu normatīvo aktu pilnveidošana muitas jomā</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Ar Finanšu ministrijas 2012.gada 2.marta rīkojumu Nr.113 tiks izveidota darba grupa Finanšu ministrijas vadībā, kurā tika iekļauti pārstāvji no Valsts ieņēmumu dienesta, Tieslietu ministrijas, Satiksmes ministrijas un nozares uzņēmēju asociācijām, lai sagatavotu jaunu Latvijas Muitas likuma projektu. Darbs pie likumprojekta izstrādes tika pārtraukts 2013.gada sākumā, norādot, ka tas tiks turpināts pēc jaunā Eiropas Savienības Muitas kodeksa pieņemšanas (ES Regula Nr.952/2013, pieņemta 2013.gada 9.oktobrī). Tomēr darbs pie Muitas likuma projekta izstrādes nav atsākts, jo Finanšu ministrija norādīja, ka pagaidām nav pieņemti Savienības Muitas kodeksa ieviešanai nepieciešamie Eiropas Savienības sekundārie tiesību akti.</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 xml:space="preserve">Vienlaikus 2013.gada beigām un 2014.gada sākumā Finanšu ministrija sagatavoja un pašlaik virza apstiprināšanai Ministru kabinetā vairākus būtiskus normatīvos aktus par muitas lietām, piemēram,  Grozījumi Ministru kabineta </w:t>
      </w:r>
      <w:r w:rsidRPr="00ED2AE7">
        <w:rPr>
          <w:rFonts w:eastAsia="MS Mincho" w:cs="Times New Roman"/>
          <w:sz w:val="26"/>
          <w:szCs w:val="26"/>
        </w:rPr>
        <w:lastRenderedPageBreak/>
        <w:t xml:space="preserve">2010.gada 16.novembra noteikumos Nr.1048 “Noteikumi par vienkāršoto deklarēšanu un vietējo muitošanu, atzītā nosūtītāja un atzītā saņēmēja statusu, vienoto atļauju un atzītā komersanta sertifikātu (VSS-2007); Pagaidu uzglabāšanas noteikumi (VSS-2097); Muitas noliktavu darbības noteikumi (VSS-578), </w:t>
      </w:r>
      <w:proofErr w:type="spellStart"/>
      <w:r w:rsidRPr="00ED2AE7">
        <w:rPr>
          <w:rFonts w:eastAsia="MS Mincho" w:cs="Times New Roman"/>
          <w:sz w:val="26"/>
          <w:szCs w:val="26"/>
        </w:rPr>
        <w:t>u.c</w:t>
      </w:r>
      <w:proofErr w:type="spellEnd"/>
      <w:r w:rsidRPr="00ED2AE7">
        <w:rPr>
          <w:rFonts w:eastAsia="MS Mincho" w:cs="Times New Roman"/>
          <w:sz w:val="26"/>
          <w:szCs w:val="26"/>
        </w:rPr>
        <w:t>. Par minētajiem normatīvo aktu projektiem ir iesniegti daudz nozares uzņēmēju asociāciju iebildumu, kas nav ņemti vērā, tādēļ šo projektu virzība šobrīd ir aizkavējusies.</w:t>
      </w:r>
    </w:p>
    <w:p w:rsidR="00A02DD5" w:rsidRPr="00ED2AE7" w:rsidRDefault="00A02DD5" w:rsidP="00A02DD5">
      <w:pPr>
        <w:ind w:firstLine="720"/>
        <w:jc w:val="both"/>
        <w:rPr>
          <w:rFonts w:eastAsia="MS Mincho" w:cs="Times New Roman"/>
          <w:sz w:val="26"/>
          <w:szCs w:val="26"/>
        </w:rPr>
      </w:pPr>
      <w:r w:rsidRPr="00ED2AE7">
        <w:rPr>
          <w:rFonts w:eastAsia="MS Mincho" w:cs="Times New Roman"/>
          <w:b/>
          <w:i/>
          <w:sz w:val="26"/>
          <w:szCs w:val="26"/>
        </w:rPr>
        <w:t>Priekšlikums</w:t>
      </w:r>
      <w:r w:rsidRPr="00ED2AE7">
        <w:rPr>
          <w:rFonts w:eastAsia="MS Mincho" w:cs="Times New Roman"/>
          <w:sz w:val="26"/>
          <w:szCs w:val="26"/>
        </w:rPr>
        <w:t>: Finanšu ministrijai būtiski paātrināt šo normatīvo aktu projektu saskaņošanu un virzību Ministru kabinetā.</w:t>
      </w:r>
    </w:p>
    <w:p w:rsidR="00A02DD5" w:rsidRPr="00ED2AE7" w:rsidRDefault="00A02DD5" w:rsidP="00A02DD5">
      <w:pPr>
        <w:ind w:firstLine="720"/>
        <w:jc w:val="both"/>
        <w:rPr>
          <w:rFonts w:eastAsia="MS Mincho" w:cs="Times New Roman"/>
          <w:b/>
          <w:i/>
          <w:sz w:val="26"/>
          <w:szCs w:val="26"/>
        </w:rPr>
      </w:pPr>
    </w:p>
    <w:p w:rsidR="00A02DD5" w:rsidRPr="00ED2AE7" w:rsidRDefault="00A02DD5" w:rsidP="00A02DD5">
      <w:pPr>
        <w:ind w:firstLine="720"/>
        <w:jc w:val="both"/>
        <w:rPr>
          <w:rFonts w:eastAsia="MS Mincho" w:cs="Times New Roman"/>
          <w:sz w:val="26"/>
          <w:szCs w:val="26"/>
        </w:rPr>
      </w:pPr>
      <w:r w:rsidRPr="00ED2AE7">
        <w:rPr>
          <w:rFonts w:eastAsia="MS Mincho" w:cs="Times New Roman"/>
          <w:b/>
          <w:i/>
          <w:sz w:val="26"/>
          <w:szCs w:val="26"/>
        </w:rPr>
        <w:t>Finanšu ministrijas viedoklis</w:t>
      </w:r>
      <w:r w:rsidRPr="00ED2AE7">
        <w:rPr>
          <w:rFonts w:eastAsia="MS Mincho" w:cs="Times New Roman"/>
          <w:sz w:val="26"/>
          <w:szCs w:val="26"/>
        </w:rPr>
        <w:t>.</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Muitas likuma izstrādes darba grupas 2013.gada 25.oktobra sanāksmes laikā tika nolemts, ka darbs pie jaunā Muitas likuma izstrādes tiek apturēts un tiks atsākts pēc Savienības Muitas kodeksa apstiprināšanas. 2013.gada 9.oktobrī tika pieņemta Eiropas Parlamenta un Padomes Regula (ES) Nr.952/2013, ar ko izveido Savienības Muitas kodeksu.</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Ņemot vērā minēto, Finanšu ministrija ir atsākusi darbu pie jaunā Muitas likuma izstrādes un šobrīd notiek Savienības Muitas kodeksa un jaunā Muitas likuma pantu salīdzināšana un analīze pēc būtības.</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 xml:space="preserve">Finanšu ministrija norāda, ka lai nodrošinātu Savienības Muitas kodeksa piemērošanu no 2016.gada 1.maija, Valsts ieņēmumu dienests ir uzsācis informācijas publicēšanu par tā ieviešanas procesu. </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Tāpat šobrīd Eiropas Komisija turpina darbu pie Savienības Muitas kodeksam pakārtoto Deleģēto aktu un Īstenošanas aktu izstrādes. Valsts ieņēmumu dienesta mājas lapā ir iespēja iepazīties ar šo normatīvo aktu projektiem un interesenti var izteikt viedokli par tiem.</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Papildus Finanšu ministrija informē, ka šobrīd Valsts sekretāru sanāksmēs ir izsludināti un Finanšu ministrijā norit darbs pie sekojošiem Ministru kabineta noteikumu projektiem muitas jomā:</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1)</w:t>
      </w:r>
      <w:r w:rsidRPr="00ED2AE7">
        <w:rPr>
          <w:rFonts w:eastAsia="MS Mincho" w:cs="Times New Roman"/>
          <w:sz w:val="26"/>
          <w:szCs w:val="26"/>
        </w:rPr>
        <w:tab/>
        <w:t>Ministru kabineta noteikumu projekts “Pagaidu uzglabāšanas noteikumi”;</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2)</w:t>
      </w:r>
      <w:r w:rsidRPr="00ED2AE7">
        <w:rPr>
          <w:rFonts w:eastAsia="MS Mincho" w:cs="Times New Roman"/>
          <w:sz w:val="26"/>
          <w:szCs w:val="26"/>
        </w:rPr>
        <w:tab/>
        <w:t xml:space="preserve">Ministru kabineta noteikumu projekts “Grozījumi Ministru kabineta 2010.gada 16.novembra noteikumos Nr.1048 „Noteikumi par vienkāršoto deklarēšanu un vietējo muitošanu, atzītā nosūtītāja un atzītā saņēmēja statusu, vienoto atļauju un atzītā komersanta sertifikātu””; </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3)</w:t>
      </w:r>
      <w:r w:rsidRPr="00ED2AE7">
        <w:rPr>
          <w:rFonts w:eastAsia="MS Mincho" w:cs="Times New Roman"/>
          <w:sz w:val="26"/>
          <w:szCs w:val="26"/>
        </w:rPr>
        <w:tab/>
        <w:t xml:space="preserve">Ministru kabineta noteikumu projekts “Muitas procedūras – tranzīts – piemērošanas kārtība”; </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4)</w:t>
      </w:r>
      <w:r w:rsidRPr="00ED2AE7">
        <w:rPr>
          <w:rFonts w:eastAsia="MS Mincho" w:cs="Times New Roman"/>
          <w:sz w:val="26"/>
          <w:szCs w:val="26"/>
        </w:rPr>
        <w:tab/>
        <w:t>Ministru kabineta noteikumu projekts “Intelektuālā īpašuma tiesību aizsardzība muitas jomā”;</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5)</w:t>
      </w:r>
      <w:r w:rsidRPr="00ED2AE7">
        <w:rPr>
          <w:rFonts w:eastAsia="MS Mincho" w:cs="Times New Roman"/>
          <w:sz w:val="26"/>
          <w:szCs w:val="26"/>
        </w:rPr>
        <w:tab/>
        <w:t>Ministru kabineta noteikumu projekts “Muitas noliktavu darbības noteikumi”.</w:t>
      </w:r>
    </w:p>
    <w:p w:rsidR="00A02DD5" w:rsidRPr="00ED2AE7" w:rsidRDefault="00A02DD5" w:rsidP="00A02DD5">
      <w:pPr>
        <w:ind w:firstLine="720"/>
        <w:jc w:val="both"/>
        <w:rPr>
          <w:rFonts w:eastAsia="MS Mincho" w:cs="Times New Roman"/>
          <w:sz w:val="26"/>
          <w:szCs w:val="26"/>
        </w:rPr>
      </w:pPr>
    </w:p>
    <w:p w:rsidR="00A02DD5" w:rsidRPr="00ED2AE7" w:rsidRDefault="00A02DD5" w:rsidP="00A02DD5">
      <w:pPr>
        <w:ind w:firstLine="720"/>
        <w:jc w:val="both"/>
        <w:rPr>
          <w:rFonts w:eastAsia="MS Mincho" w:cs="Times New Roman"/>
          <w:b/>
          <w:sz w:val="26"/>
          <w:szCs w:val="26"/>
        </w:rPr>
      </w:pPr>
      <w:r w:rsidRPr="00ED2AE7">
        <w:rPr>
          <w:rFonts w:eastAsia="MS Mincho" w:cs="Times New Roman"/>
          <w:b/>
          <w:sz w:val="26"/>
          <w:szCs w:val="26"/>
        </w:rPr>
        <w:t>5. Galvojumu apvienošana</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 xml:space="preserve">Tranzīta un loģistikas nozares uzņēmēju asociācijas norāda, ka, piemēram, Somijā komersantam ir jāsaņem tikai 1 galvojums, kas aptver visus nodokļus un visus </w:t>
      </w:r>
      <w:r w:rsidRPr="00ED2AE7">
        <w:rPr>
          <w:rFonts w:eastAsia="MS Mincho" w:cs="Times New Roman"/>
          <w:sz w:val="26"/>
          <w:szCs w:val="26"/>
        </w:rPr>
        <w:lastRenderedPageBreak/>
        <w:t>galvojuma/nodrošinājuma veidus, bet Latvijā tādi ir 3 - atsevišķi par (1) iespējamo muitas parādu tranzīta procedūrai, (2) galvojums visu pārējo muitas procedūru veikšanai un (3) Akcīzes nodokļa nodrošinājums. Tas Latvijas komersantiem rada negatīvas sekas gadījumos, kad piesaistot jaunu preču plūsmu, komersantam bieži vien ir nepieciešams palielināt galvojuma apjomu vienam galvojuma veidam (piemēram, muitas procedūrām), bet samazināt citam galvojuma veidam (piemēram, akcīzes nodrošinājumu).</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Lai izdarītu iepriekš minētās darbības, piemēram, Somijā, pietiek ar vēstuli Nodokļu administrācijai ar jauno summu sadalījumu starp galvojuma veidiem (tas aizņem ~ 1 nedēļu). Lai to paveiktu Latvijas uzņēmums, viņam vispirms ir jāsaņem jauni galvojumi/nodrošinājumi no kredītiestādes/apdrošināšanas sabiedrības (aptuveni 2-3 nedēļas; procedūra kā kredīta piešķiršanas gadījumā), tad šie dokumenti jāiesniedz VID un jāsaņem jaunās galvojumu apliecības (aptuveni 2 nedēļas): 4 reizes ilgāks laiks un vairakkārt lielākas administratīvās izmaksas tā paša rezultāta sasniegšanai.</w:t>
      </w:r>
    </w:p>
    <w:p w:rsidR="00A02DD5" w:rsidRPr="00ED2AE7" w:rsidRDefault="00A02DD5" w:rsidP="00A02DD5">
      <w:pPr>
        <w:ind w:firstLine="720"/>
        <w:jc w:val="both"/>
        <w:rPr>
          <w:rFonts w:eastAsia="MS Mincho" w:cs="Times New Roman"/>
          <w:b/>
          <w:i/>
          <w:sz w:val="26"/>
          <w:szCs w:val="26"/>
        </w:rPr>
      </w:pPr>
      <w:r w:rsidRPr="00ED2AE7">
        <w:rPr>
          <w:rFonts w:eastAsia="MS Mincho" w:cs="Times New Roman"/>
          <w:b/>
          <w:i/>
          <w:sz w:val="26"/>
          <w:szCs w:val="26"/>
        </w:rPr>
        <w:t>Priekšlikumi:</w:t>
      </w:r>
    </w:p>
    <w:p w:rsidR="00A02DD5" w:rsidRPr="00ED2AE7" w:rsidRDefault="00A02DD5" w:rsidP="00A02DD5">
      <w:pPr>
        <w:numPr>
          <w:ilvl w:val="0"/>
          <w:numId w:val="37"/>
        </w:numPr>
        <w:spacing w:after="200"/>
        <w:contextualSpacing/>
        <w:jc w:val="both"/>
        <w:rPr>
          <w:rFonts w:eastAsia="Cambria" w:cs="Times New Roman"/>
          <w:sz w:val="26"/>
          <w:szCs w:val="26"/>
        </w:rPr>
      </w:pPr>
      <w:r w:rsidRPr="00ED2AE7">
        <w:rPr>
          <w:rFonts w:eastAsia="Cambria" w:cs="Times New Roman"/>
          <w:sz w:val="26"/>
          <w:szCs w:val="26"/>
        </w:rPr>
        <w:t>Normatīvajos aktos par muitas lietām un akcīzes nodokļa piemērošanas normatīvajos aktos paredzēt regulējumu, kas atļauj apvienot visus muitas un akcīzes jomā iesniedzamos galvojumus zem viena nodrošinājuma – vienas kredītiestādes garantijas vai apdrošināšanas polises.</w:t>
      </w:r>
    </w:p>
    <w:p w:rsidR="00A02DD5" w:rsidRPr="00ED2AE7" w:rsidRDefault="00A02DD5" w:rsidP="00A02DD5">
      <w:pPr>
        <w:numPr>
          <w:ilvl w:val="0"/>
          <w:numId w:val="37"/>
        </w:numPr>
        <w:spacing w:after="200"/>
        <w:contextualSpacing/>
        <w:jc w:val="both"/>
        <w:rPr>
          <w:rFonts w:eastAsia="Cambria" w:cs="Times New Roman"/>
          <w:sz w:val="26"/>
          <w:szCs w:val="26"/>
        </w:rPr>
      </w:pPr>
      <w:r w:rsidRPr="00ED2AE7">
        <w:rPr>
          <w:rFonts w:eastAsia="Cambria" w:cs="Times New Roman"/>
          <w:sz w:val="26"/>
          <w:szCs w:val="26"/>
        </w:rPr>
        <w:t>Izdarīt grozījumus Ministru kabineta 30.03.2010. noteikumos Nr.302 „Noteikumi par akcīzes nodokļa nodrošinājumiem”, nosakot šādu regulējumu:</w:t>
      </w:r>
    </w:p>
    <w:p w:rsidR="00A02DD5" w:rsidRPr="00ED2AE7" w:rsidRDefault="00A02DD5" w:rsidP="00A02DD5">
      <w:pPr>
        <w:numPr>
          <w:ilvl w:val="1"/>
          <w:numId w:val="37"/>
        </w:numPr>
        <w:spacing w:after="200"/>
        <w:contextualSpacing/>
        <w:jc w:val="both"/>
        <w:rPr>
          <w:rFonts w:eastAsia="Cambria" w:cs="Times New Roman"/>
          <w:sz w:val="26"/>
          <w:szCs w:val="26"/>
        </w:rPr>
      </w:pPr>
      <w:r w:rsidRPr="00ED2AE7">
        <w:rPr>
          <w:rFonts w:eastAsia="Cambria" w:cs="Times New Roman"/>
          <w:sz w:val="26"/>
          <w:szCs w:val="26"/>
        </w:rPr>
        <w:t xml:space="preserve"> papildināt 48.</w:t>
      </w:r>
      <w:r w:rsidRPr="00ED2AE7">
        <w:rPr>
          <w:rFonts w:eastAsia="Cambria" w:cs="Times New Roman"/>
          <w:sz w:val="26"/>
          <w:szCs w:val="26"/>
          <w:vertAlign w:val="superscript"/>
        </w:rPr>
        <w:t>1</w:t>
      </w:r>
      <w:r w:rsidRPr="00ED2AE7">
        <w:rPr>
          <w:rFonts w:eastAsia="Cambria" w:cs="Times New Roman"/>
          <w:sz w:val="26"/>
          <w:szCs w:val="26"/>
        </w:rPr>
        <w:t xml:space="preserve"> punktu, paredzot, ka komersantiem, kuri ir saņēmuši atzītā komersanta statusu (AEO), piemērojami tādi paši vispārējā nodrošinājuma apjoma samazināšanas atvieglojumi kā komersantiem, kas ir Padziļinās sadarbības programmas dalībnieki;</w:t>
      </w:r>
    </w:p>
    <w:p w:rsidR="00A02DD5" w:rsidRPr="00ED2AE7" w:rsidRDefault="00A02DD5" w:rsidP="00A02DD5">
      <w:pPr>
        <w:numPr>
          <w:ilvl w:val="1"/>
          <w:numId w:val="37"/>
        </w:numPr>
        <w:spacing w:after="200"/>
        <w:contextualSpacing/>
        <w:jc w:val="both"/>
        <w:rPr>
          <w:rFonts w:eastAsia="Cambria" w:cs="Times New Roman"/>
          <w:sz w:val="26"/>
          <w:szCs w:val="26"/>
        </w:rPr>
      </w:pPr>
      <w:r w:rsidRPr="00ED2AE7">
        <w:rPr>
          <w:rFonts w:eastAsia="Cambria" w:cs="Times New Roman"/>
          <w:sz w:val="26"/>
          <w:szCs w:val="26"/>
        </w:rPr>
        <w:t xml:space="preserve">Papildināt 48.1 punktu ar šādām darbībām, - „preču marķēšana”, kas ļautu paplašināt vispārējā nodrošinājuma apjoma samazināšanas saņēmēju personu loku, kurām šobrīd, veicot analoģiskas darbības ar precēm, paredzēts mazāks nodrošinājuma apjoma samazinājums. </w:t>
      </w:r>
    </w:p>
    <w:p w:rsidR="00A02DD5" w:rsidRPr="00ED2AE7" w:rsidRDefault="00A02DD5" w:rsidP="00A02DD5">
      <w:pPr>
        <w:spacing w:after="120"/>
        <w:ind w:left="720"/>
        <w:jc w:val="both"/>
        <w:rPr>
          <w:rFonts w:eastAsia="MS Mincho" w:cs="Times New Roman"/>
          <w:sz w:val="26"/>
          <w:szCs w:val="26"/>
        </w:rPr>
      </w:pPr>
      <w:r w:rsidRPr="00ED2AE7">
        <w:rPr>
          <w:rFonts w:eastAsia="MS Mincho" w:cs="Times New Roman"/>
          <w:b/>
          <w:i/>
          <w:sz w:val="26"/>
          <w:szCs w:val="26"/>
        </w:rPr>
        <w:t>Finanšu ministrijas viedoklis</w:t>
      </w:r>
      <w:r w:rsidRPr="00ED2AE7">
        <w:rPr>
          <w:rFonts w:eastAsia="MS Mincho" w:cs="Times New Roman"/>
          <w:sz w:val="26"/>
          <w:szCs w:val="26"/>
        </w:rPr>
        <w:t>.</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 xml:space="preserve">Finanšu ministrija norāda, ka pašlaik nav atbalstāms priekšlikums apvienot visus galvojuma veidus, </w:t>
      </w:r>
      <w:proofErr w:type="spellStart"/>
      <w:r w:rsidRPr="00ED2AE7">
        <w:rPr>
          <w:rFonts w:eastAsia="MS Mincho" w:cs="Times New Roman"/>
          <w:sz w:val="26"/>
          <w:szCs w:val="26"/>
        </w:rPr>
        <w:t>t.i</w:t>
      </w:r>
      <w:proofErr w:type="spellEnd"/>
      <w:r w:rsidRPr="00ED2AE7">
        <w:rPr>
          <w:rFonts w:eastAsia="MS Mincho" w:cs="Times New Roman"/>
          <w:sz w:val="26"/>
          <w:szCs w:val="26"/>
        </w:rPr>
        <w:t xml:space="preserve">., izsniegt vienu galvojuma apliecību, kas aptvertu, piemēram, muitas parādu, pievienotās vērtības nodokli un akcīzes nodokli vairāku apsvērumu dēļ. </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 xml:space="preserve">Muitā galvojumu piemēro, galvojot muitas parāda samaksu, kad preces tiek laistas brīvam apgrozījumam, bet muitas maksājumu termiņš tiek atlikts atbilstoši Eiropas Savienības (turpmāk – ES) normatīvajos aktos noteiktajos termiņos uz 30 dienām, un iespējamo muitas parādu, piemērojot precēm kopējā/Kopienas tranzīta muitas procedūru, kā arī muitas parādu, kas var rasties, piemērojot pārējās muitas procedūras (izņemot muitas procedūru laišana brīvā apgrozībā un tranzīta muitas procedūru). </w:t>
      </w:r>
    </w:p>
    <w:p w:rsidR="00A02DD5" w:rsidRPr="00ED2AE7" w:rsidRDefault="00A02DD5" w:rsidP="00A02DD5">
      <w:pPr>
        <w:ind w:firstLine="720"/>
        <w:jc w:val="both"/>
        <w:rPr>
          <w:rFonts w:eastAsia="MS Mincho" w:cs="Times New Roman"/>
          <w:i/>
          <w:sz w:val="26"/>
          <w:szCs w:val="26"/>
        </w:rPr>
      </w:pPr>
      <w:r w:rsidRPr="00ED2AE7">
        <w:rPr>
          <w:rFonts w:eastAsia="MS Mincho" w:cs="Times New Roman"/>
          <w:i/>
          <w:sz w:val="26"/>
          <w:szCs w:val="26"/>
        </w:rPr>
        <w:t xml:space="preserve">Preču laišana brīvā apgrozījumā </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lastRenderedPageBreak/>
        <w:t>Piemērojot galvojumu muitas parādam, laižot preces brīvam apgrozījumam, tiek iesniegts viens galvojums, kas nosedz gan muitas, gan PVN parādu. Muitas parāda apjoms tiek reģistrēts par katru importa deklarāciju atsevišķi. Vispārējā galvojuma atsauces summa tiek reģistrēta EMDAS (elektroniskā muitas deklarāciju apstrādes sistēma), kas ļauj atbrīvot galvojuma summu par konkrētā muitas deklarācijā aprēķināto muitas parādu uzreiz pēc parāda samaksas (EMDAS to izdara automātiski). Tāpat jāatzīmē ka kopš 2014.gada 1.janvāra visiem komersantiem, kas muitā iesnieguši vispārējo galvojumu, vairs nav jāapmaksā katrā importa deklarācijā aprēķinātais muitas parāds, bet muitas iestādes izraksta apkopojošo rēķinu par iepriekšējā mēnesī vai kalendāra nedēļā noformētajās deklarācijās aprēķināto muitas parādu.</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 xml:space="preserve">Preces, kam piemēro kopējā/Kopienas tranzīta muitas procedūru   </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Piemērojot galvojumu iespējamam muitas parādam par precēm, kurām tiek piemērota kopējā/Kopienas tranzīta muitas procedūra, tiek iesniegts viens galvojums gan muitas, gan PVN, gan akcīzes nodokļa iespējamā parāda nodrošināšanai. Vispārējā galvojuma atsauces summa arī tiek reģistrēta EMDAS, kas ļauj atbrīvot galvojuma summu par konkrētā tranzīta deklarācijā aprēķināto iespējamo muitas parādu uzreiz pēc tranzīta procedūras pabeigšanas (EMDAS to izdara automātiski).</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Šāda muitas parāda un iespējamā muitas parāda administrēšana ir vienkārša, ātra un būtiski samazina nepieciešamo galvojuma apjomu, kas ir jāiesniedz komersantiem, piemērojot muitas procedūras, līdz ar to, būtiski samazinot gan administratīvo slogu, gan arī izmaksas šādu galvojumu iegādei.</w:t>
      </w:r>
    </w:p>
    <w:p w:rsidR="00A02DD5" w:rsidRPr="00ED2AE7" w:rsidRDefault="00A02DD5" w:rsidP="00A02DD5">
      <w:pPr>
        <w:ind w:firstLine="720"/>
        <w:jc w:val="both"/>
        <w:rPr>
          <w:rFonts w:eastAsia="MS Mincho" w:cs="Times New Roman"/>
          <w:i/>
          <w:sz w:val="26"/>
          <w:szCs w:val="26"/>
        </w:rPr>
      </w:pPr>
      <w:r w:rsidRPr="00ED2AE7">
        <w:rPr>
          <w:rFonts w:eastAsia="MS Mincho" w:cs="Times New Roman"/>
          <w:i/>
          <w:sz w:val="26"/>
          <w:szCs w:val="26"/>
        </w:rPr>
        <w:t>Akcīzes nodokļa nodrošinājums</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Lai veiktu darbības ar akcīzes precēm Latvijā un izmantotu atlikto akcīzes nodokļa maksāšanu, akcīzes nodokļa maksātājs iesniedz nodrošinājumu:</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w:t>
      </w:r>
      <w:r w:rsidRPr="00ED2AE7">
        <w:rPr>
          <w:rFonts w:eastAsia="MS Mincho" w:cs="Times New Roman"/>
          <w:sz w:val="26"/>
          <w:szCs w:val="26"/>
        </w:rPr>
        <w:tab/>
        <w:t>vienreizēju nodrošinājumu, kas paredzēts aprēķinātā akcīzes nodokļa parāda vienam noteiktam apmēram;</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w:t>
      </w:r>
      <w:r w:rsidRPr="00ED2AE7">
        <w:rPr>
          <w:rFonts w:eastAsia="MS Mincho" w:cs="Times New Roman"/>
          <w:sz w:val="26"/>
          <w:szCs w:val="26"/>
        </w:rPr>
        <w:tab/>
        <w:t>vispārēju nodrošinājumu, kas paredzēts noteiktam laikposmam un aprēķinātam akcīzes nodokļa parāda noteiktam apmēram.</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Akcīzes nodokļa nodrošinājumu un muitas galvojumu izsniegšanu un piemērošanu regulē dažādi normatīvie akti jau ES līmenī - muitas galvojuma izsniegšanas un piemērošanas jomā – Padomes 1992.gada 12.oktobra regula (EEK) Nr.2913/92 par Kopienas Muitas kodeksa izveidi un Komisijas 1993.gada 2.jūlija regula (EEK) Nr.2454/93, ar ko nosaka īstenošanas noteikumus Padomes Regulai (EEK) Nr.2913/92 par Kopienas Muitas kodeksa izveidi, bet akcīzes nodokļa nodrošinājuma reģistrācijas un piemērošanas jomā – Padomes 2008.gada 16.decembra direktīva 2008/118/EK par akcīzes nodokļa piemērošanas vispārēju režīmu, ar ko atceļ Direktīvu 92/12/EEK.</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 xml:space="preserve">Pamatojoties uz ES normatīvo aktu normām, ir izstrādāti Latvijas normatīvie akti, kas reglamentē nodokļu galvojuma piemērošanu muitas jomā (Muitas likums, Ministru kabineta 2011.gada 6.septembra noteikumi Nr.691 “Noteikumi par nodokļu parāda galvojumu preču muitošanai”) un akcīzes nodokļa nodrošinājuma piemērošanu akcīzes jomā (likums „Par akcīzes nodokli”, Ministru kabineta 2010.gada 30.marta noteikumi Nr.302 “Noteikumi par akcīzes nodokļa nodrošinājumiem”). </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lastRenderedPageBreak/>
        <w:t>Jāņem vērā, ka muitas jomas normatīvie akti reglamentē darbības ar precēm, kurām nav Kopienas statusa un šajā sakarā piemērojamā galvojuma nosacījumus. Savukārt akcīzes jomā normatīvie akti reglamentē darbības ar akcīzes precēm, akcīzes nodokļa piemērošanu, minimālā akcīzes nodokļa lielumu, akcīzes nodokļa nodrošinājumu attiecībā uz Kopienas akcīzes precēm un to pārvadājumiem Latvijas un Kopienas ietvaros. Abās jomās (muitas un akcīzes) ir dažādi/atšķirīgi uzskaites, maksāšanas un galvojuma nosacījumi un arī attiecīgi nodokļa objekta-preču uzglabāšanas un pārvietošanas nosacījumi.</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 xml:space="preserve">Tādējādi jau ES direktīvu un regulu līmenī, </w:t>
      </w:r>
      <w:proofErr w:type="spellStart"/>
      <w:r w:rsidRPr="00ED2AE7">
        <w:rPr>
          <w:rFonts w:eastAsia="MS Mincho" w:cs="Times New Roman"/>
          <w:sz w:val="26"/>
          <w:szCs w:val="26"/>
        </w:rPr>
        <w:t>t.i</w:t>
      </w:r>
      <w:proofErr w:type="spellEnd"/>
      <w:r w:rsidRPr="00ED2AE7">
        <w:rPr>
          <w:rFonts w:eastAsia="MS Mincho" w:cs="Times New Roman"/>
          <w:sz w:val="26"/>
          <w:szCs w:val="26"/>
        </w:rPr>
        <w:t xml:space="preserve">., ES līmenī ir nostiprinātas atšķirīgas prasības un nosacījumi attiecībā uz muitas galvojumu un iekšzemes nodrošinājumu izsniegšanu, reģistrāciju un piemērošanu, datu sistēmām </w:t>
      </w:r>
      <w:proofErr w:type="spellStart"/>
      <w:r w:rsidRPr="00ED2AE7">
        <w:rPr>
          <w:rFonts w:eastAsia="MS Mincho" w:cs="Times New Roman"/>
          <w:sz w:val="26"/>
          <w:szCs w:val="26"/>
        </w:rPr>
        <w:t>u.tml</w:t>
      </w:r>
      <w:proofErr w:type="spellEnd"/>
      <w:r w:rsidRPr="00ED2AE7">
        <w:rPr>
          <w:rFonts w:eastAsia="MS Mincho" w:cs="Times New Roman"/>
          <w:sz w:val="26"/>
          <w:szCs w:val="26"/>
        </w:rPr>
        <w:t>. Abi galvojuma veidi - muitas galvojums un akcīzes nodokļa nodrošinājums - savā starpā nepārklājas.</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Līdz ar to, ja apvieno:</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w:t>
      </w:r>
      <w:r w:rsidRPr="00ED2AE7">
        <w:rPr>
          <w:rFonts w:eastAsia="MS Mincho" w:cs="Times New Roman"/>
          <w:sz w:val="26"/>
          <w:szCs w:val="26"/>
        </w:rPr>
        <w:tab/>
        <w:t xml:space="preserve">muitas parāda, </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w:t>
      </w:r>
      <w:r w:rsidRPr="00ED2AE7">
        <w:rPr>
          <w:rFonts w:eastAsia="MS Mincho" w:cs="Times New Roman"/>
          <w:sz w:val="26"/>
          <w:szCs w:val="26"/>
        </w:rPr>
        <w:tab/>
        <w:t xml:space="preserve">iespējamā muitas parāda, </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w:t>
      </w:r>
      <w:r w:rsidRPr="00ED2AE7">
        <w:rPr>
          <w:rFonts w:eastAsia="MS Mincho" w:cs="Times New Roman"/>
          <w:sz w:val="26"/>
          <w:szCs w:val="26"/>
        </w:rPr>
        <w:tab/>
        <w:t>iekšzemes akcīzes nodokļa iespējamā parāda (akcīzes nodokļa nodrošinājums),</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w:t>
      </w:r>
      <w:r w:rsidRPr="00ED2AE7">
        <w:rPr>
          <w:rFonts w:eastAsia="MS Mincho" w:cs="Times New Roman"/>
          <w:sz w:val="26"/>
          <w:szCs w:val="26"/>
        </w:rPr>
        <w:tab/>
        <w:t xml:space="preserve">iekšzemes PVN </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galvojumus vienā galvojumā, ir jāņem vērā tas, ka būtiski palielināsies galvojuma summa, kā rezultātā ir iespējams ļoti liels apdrošināšanas prēmiju maksājumu apmēra pieaugums pašam nodokļa maksātājam. Turklāt, apdrošināšanas sabiedrības, izsniedzot dažādus galvojumus, dažādi vērtē iespējamos riskus, kas būtiski palielinās administratīvo slogu nodokļu maksātājiem. Pašlaik visi galvojuma veidi tiek atsevišķi uzskaitīti un datu sistēmas nav savstarpēji sasaistītas. Tādējādi arī tehniskajā līmenī to pašlaik nav iespējams īstenot. Lai varētu īstenot priekšlikumu apvienot galvojumus, ir nepieciešams nacionālā līmenī izveidot tādu savstarpēji sasaistītu datu sistēmu, kas aptver visu galvojumu veidu datu sistēmas. Taču tam ir nepieciešams laiks un papildu līdzekļi no valsts budžeta. Galvojumu apvienošanu sarežģīs arī tas, ka jau ES līmenī ir nostiprinātas atšķirīgas prasības un nosacījumi attiecībā uz muitas galvojumu un nodokļu iekšzemes nodrošinājumu izsniegšanu, reģistrāciju un piemērošanu, datu sistēmām un tas, ka muitas maksājumi tiek uzskaitīti pēc saistīto maksājumu principa, bet iekšzemes nodokļi pēc naudas plūsmas principa. Līdz ar to tas padarīs neiespējamu šāda vienota galvojuma dinamisku kontroli informatīvajās sistēmās, noteikti palielinās gan administratīvo slogu, gan nepieciešamā galvojuma apjomu, kas radīs papildus izdevumus komersantiem.</w:t>
      </w:r>
    </w:p>
    <w:p w:rsidR="00A02DD5" w:rsidRPr="00ED2AE7" w:rsidRDefault="00A02DD5" w:rsidP="00A02DD5">
      <w:pPr>
        <w:ind w:firstLine="720"/>
        <w:jc w:val="both"/>
        <w:rPr>
          <w:rFonts w:eastAsia="MS Mincho" w:cs="Times New Roman"/>
          <w:sz w:val="26"/>
          <w:szCs w:val="26"/>
        </w:rPr>
      </w:pPr>
    </w:p>
    <w:p w:rsidR="00A02DD5" w:rsidRPr="00ED2AE7" w:rsidRDefault="00A02DD5" w:rsidP="00A02DD5">
      <w:pPr>
        <w:ind w:firstLine="720"/>
        <w:jc w:val="both"/>
        <w:rPr>
          <w:rFonts w:eastAsia="MS Mincho" w:cs="Times New Roman"/>
          <w:sz w:val="26"/>
          <w:szCs w:val="26"/>
        </w:rPr>
      </w:pPr>
    </w:p>
    <w:p w:rsidR="00A02DD5" w:rsidRPr="00ED2AE7" w:rsidRDefault="00A02DD5" w:rsidP="00A02DD5">
      <w:pPr>
        <w:ind w:firstLine="720"/>
        <w:jc w:val="both"/>
        <w:rPr>
          <w:rFonts w:eastAsia="MS Mincho" w:cs="Times New Roman"/>
          <w:b/>
          <w:sz w:val="26"/>
          <w:szCs w:val="26"/>
        </w:rPr>
      </w:pPr>
      <w:r w:rsidRPr="00ED2AE7">
        <w:rPr>
          <w:rFonts w:eastAsia="MS Mincho" w:cs="Times New Roman"/>
          <w:b/>
          <w:sz w:val="26"/>
          <w:szCs w:val="26"/>
        </w:rPr>
        <w:t>6. Dažādu statusu noliktavu apvienošana</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Saskaņā ar normatīvajiem aktiem šobrīd Latvijā komersants var atvērt šādas speciālās noliktavas dažādu nodokļu maksāšanas atvieglojumu piemērošanai:</w:t>
      </w:r>
    </w:p>
    <w:p w:rsidR="00A02DD5" w:rsidRPr="00ED2AE7" w:rsidRDefault="00A02DD5" w:rsidP="00A02DD5">
      <w:pPr>
        <w:numPr>
          <w:ilvl w:val="0"/>
          <w:numId w:val="38"/>
        </w:numPr>
        <w:spacing w:after="200"/>
        <w:contextualSpacing/>
        <w:jc w:val="both"/>
        <w:rPr>
          <w:rFonts w:eastAsia="Cambria" w:cs="Times New Roman"/>
          <w:sz w:val="26"/>
          <w:szCs w:val="26"/>
        </w:rPr>
      </w:pPr>
      <w:r w:rsidRPr="00ED2AE7">
        <w:rPr>
          <w:rFonts w:eastAsia="Cambria" w:cs="Times New Roman"/>
          <w:sz w:val="26"/>
          <w:szCs w:val="26"/>
        </w:rPr>
        <w:t>Muitas noliktavas – muitas, PVN un, ja nepieciešams, akcīzes nodokļu samaksas atlikšanai par importētajām precēm;</w:t>
      </w:r>
    </w:p>
    <w:p w:rsidR="00A02DD5" w:rsidRPr="00ED2AE7" w:rsidRDefault="00A02DD5" w:rsidP="00A02DD5">
      <w:pPr>
        <w:numPr>
          <w:ilvl w:val="0"/>
          <w:numId w:val="38"/>
        </w:numPr>
        <w:spacing w:after="200"/>
        <w:contextualSpacing/>
        <w:jc w:val="both"/>
        <w:rPr>
          <w:rFonts w:eastAsia="Cambria" w:cs="Times New Roman"/>
          <w:sz w:val="26"/>
          <w:szCs w:val="26"/>
        </w:rPr>
      </w:pPr>
      <w:r w:rsidRPr="00ED2AE7">
        <w:rPr>
          <w:rFonts w:eastAsia="Cambria" w:cs="Times New Roman"/>
          <w:sz w:val="26"/>
          <w:szCs w:val="26"/>
        </w:rPr>
        <w:lastRenderedPageBreak/>
        <w:t>Pagaidu uzglabāšanas vietas – speciālas teritorijas vai muitas noliktavās īpaši norādītas vietas, kurās atļauts īslaicīgi uzglabāt importētās preces, kuru muitošana nav pabeigta un par kurām ir atlikta muitas, PVN un, ja nepieciešams, akcīzes nodokļu samaksas.</w:t>
      </w:r>
    </w:p>
    <w:p w:rsidR="00A02DD5" w:rsidRPr="00ED2AE7" w:rsidRDefault="00A02DD5" w:rsidP="00A02DD5">
      <w:pPr>
        <w:numPr>
          <w:ilvl w:val="0"/>
          <w:numId w:val="38"/>
        </w:numPr>
        <w:spacing w:after="200"/>
        <w:contextualSpacing/>
        <w:jc w:val="both"/>
        <w:rPr>
          <w:rFonts w:eastAsia="Cambria" w:cs="Times New Roman"/>
          <w:sz w:val="26"/>
          <w:szCs w:val="26"/>
        </w:rPr>
      </w:pPr>
      <w:r w:rsidRPr="00ED2AE7">
        <w:rPr>
          <w:rFonts w:eastAsia="Cambria" w:cs="Times New Roman"/>
          <w:sz w:val="26"/>
          <w:szCs w:val="26"/>
        </w:rPr>
        <w:t>Akcīzes preču noliktavas – akcīzes nodokļu samaksas atlikšanai par brīvajā apgrozījumā un tā saucamajā „atlikšanas režīmā” esošajām ar akcīzes nodokli apliekamajām precēm.</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Katrai no iepriekš minēto noliktavu darbības uzsākšanai ir nepieciešama atsevišķa Valsts ieņēmumu dienesta izsniegta atļauja muitas vai akcīzes normatīvo aktu jomā. Komersanti bieži vien izmanto iespēju un atver vairāku statusu noliktavas blakus vienu otrai. Lai pārvietotu preces no viena statusa noliktavas uz citu, tiek veikta nepieciešamo dokumentu noformēšana, kā arī – saskaņā ar pašreizējo normatīvo aktu prasībām – fiziska preču pārvietošana no vieta statusa noliktavas (bieži vien vienā un tajā pašā telpā – pārcelt preces no viena plaukta un citu). Uzņēmēji norāda, ka šī prasība, - piesaistot preces konkrētai vietai – rada papildus izmaksas, īpaši gadījumos, kad loģistikas kompānija operē vienlaikus ar vairāku statusu noliktavām.</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Izvērtējot pozitīvo pieredzi citās Eiropas Savienības dalībvalstīs, konstatēts, ka šīs administratīvās prasības dažādu statusu noliktavu fiziskai norobežošanai ir iespējams vienkāršot un samazināt, ļaujot dažādu uzglabāšanas režīmu preces glabāt vienā kompetento dienestu uzraudzībā esošā noliktavā.</w:t>
      </w:r>
    </w:p>
    <w:p w:rsidR="00A02DD5" w:rsidRPr="00ED2AE7" w:rsidRDefault="00A02DD5" w:rsidP="00A02DD5">
      <w:pPr>
        <w:ind w:firstLine="720"/>
        <w:jc w:val="both"/>
        <w:rPr>
          <w:rFonts w:eastAsia="MS Mincho" w:cs="Times New Roman"/>
          <w:b/>
          <w:i/>
          <w:sz w:val="26"/>
          <w:szCs w:val="26"/>
        </w:rPr>
      </w:pPr>
      <w:r w:rsidRPr="00ED2AE7">
        <w:rPr>
          <w:rFonts w:eastAsia="MS Mincho" w:cs="Times New Roman"/>
          <w:b/>
          <w:i/>
          <w:sz w:val="26"/>
          <w:szCs w:val="26"/>
        </w:rPr>
        <w:t>Priekšlikums:</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Finanšu ministrijai sadarbībā ar Satiksmes ministriju un tranzīta un loģistikas nozares uzņēmēju asociācijām sagatavot un virzīt uz Ministru kabinetu grozījumus Normatīvajos aktos par muitas lietām un akcīzes nodokļa piemērošanas normatīvajos aktos, paredzot regulējumu, kas atļauj uzglabāt preces, kas atrodas akcīzes un muitas noliktavās, atļaujot izmantot vienu un to pašu telpu gan akcīzes, gan muitas noliktavas, gan parastās noliktavas (Kopienas statusa precēm) vajadzībām, nodrošinot visu preču uzskaiti elektroniskā veidā.</w:t>
      </w:r>
    </w:p>
    <w:p w:rsidR="00A02DD5" w:rsidRPr="00ED2AE7" w:rsidRDefault="00A02DD5" w:rsidP="00A02DD5">
      <w:pPr>
        <w:spacing w:after="120"/>
        <w:ind w:left="720"/>
        <w:jc w:val="both"/>
        <w:rPr>
          <w:rFonts w:eastAsia="MS Mincho" w:cs="Times New Roman"/>
          <w:b/>
          <w:i/>
          <w:sz w:val="26"/>
          <w:szCs w:val="26"/>
        </w:rPr>
      </w:pPr>
    </w:p>
    <w:p w:rsidR="00A02DD5" w:rsidRPr="00ED2AE7" w:rsidRDefault="00A02DD5" w:rsidP="00A02DD5">
      <w:pPr>
        <w:spacing w:after="120"/>
        <w:ind w:left="720"/>
        <w:jc w:val="both"/>
        <w:rPr>
          <w:rFonts w:eastAsia="MS Mincho" w:cs="Times New Roman"/>
          <w:sz w:val="26"/>
          <w:szCs w:val="26"/>
        </w:rPr>
      </w:pPr>
      <w:r w:rsidRPr="00ED2AE7">
        <w:rPr>
          <w:rFonts w:eastAsia="MS Mincho" w:cs="Times New Roman"/>
          <w:b/>
          <w:i/>
          <w:sz w:val="26"/>
          <w:szCs w:val="26"/>
        </w:rPr>
        <w:t>Finanšu ministrijas viedoklis</w:t>
      </w:r>
      <w:r w:rsidRPr="00ED2AE7">
        <w:rPr>
          <w:rFonts w:eastAsia="MS Mincho" w:cs="Times New Roman"/>
          <w:sz w:val="26"/>
          <w:szCs w:val="26"/>
        </w:rPr>
        <w:t>.</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 xml:space="preserve">Atbilstoši ES normatīvajos aktos noteiktajiem muitas noliktavu un akcīzes preču noliktavu darbības principiem tās ir noliktavas ar pilnīgi atšķirīgiem statusiem. Muitas noliktava ir muitas iestāžu atzīta vieta, kur ir atļauts uzglabāt trešo valstu (valstis, kas nav ES dalībvalstis) preces, kas nav laistas brīvā apgrozībā (ārpuskopienas preces), nemaksājot nodokļus (muitas nodokli, akcīzes nodokli, PVN), kas saistīti ar šo preču laišanu brīvā apgrozībā ES. Tāpat muitas noliktavā drīkst uzglabāt tādas trešo valstu preces, kuras nav atļauts laist brīvā apgrozībā ES, vai kurām tiek piemēroti tirdzniecības politikas pasākumi, bez šo pasākumu piemērošanas. Savukārt akcīzes preču noliktavā ir atļauts uzglabāt un ražot Kopienas statusa preces atliktā akcīzes nodokļa maksāšanas režīmā. </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 xml:space="preserve">Muitas noliktavās un akcīzes preču noliktavās tiek uzglabātas dažādu statusu preces, to darbības regulējumu nosaka konkrēto nodokļu aprēķināšanas un iekasēšanas kārtība. Bez uzskaites sistēmas šo noliktavu darbības administrēšanā ļoti svarīga ir </w:t>
      </w:r>
      <w:r w:rsidRPr="00ED2AE7">
        <w:rPr>
          <w:rFonts w:eastAsia="MS Mincho" w:cs="Times New Roman"/>
          <w:sz w:val="26"/>
          <w:szCs w:val="26"/>
        </w:rPr>
        <w:lastRenderedPageBreak/>
        <w:t xml:space="preserve">konkrēto preču fiziskas identificēšanas iespējas. Latvijā atbilstoši muitas un akcīzes jomu reglamentējošajos normatīvajos aktos noteiktajam netiek prasīta konstruktīva telpu nodalīšana starp muitas noliktavu un akcīzes preču noliktavu, tādēļ ir pietiekama jebkāda veida nodalīšana. Galvenais nosacījums ir tas, ka trešajām personām, </w:t>
      </w:r>
      <w:proofErr w:type="spellStart"/>
      <w:r w:rsidRPr="00ED2AE7">
        <w:rPr>
          <w:rFonts w:eastAsia="MS Mincho" w:cs="Times New Roman"/>
          <w:sz w:val="26"/>
          <w:szCs w:val="26"/>
        </w:rPr>
        <w:t>t.sk</w:t>
      </w:r>
      <w:proofErr w:type="spellEnd"/>
      <w:r w:rsidRPr="00ED2AE7">
        <w:rPr>
          <w:rFonts w:eastAsia="MS Mincho" w:cs="Times New Roman"/>
          <w:sz w:val="26"/>
          <w:szCs w:val="26"/>
        </w:rPr>
        <w:t>. uzraudzības institūcijām, ir iespējams identificēt preču piederību vienai vai otrai noliktavai. Līdz ar to, ja uzskatāt, ka tomēr nepieciešams kaut ko mainīt šajā sakarā, lūdzam sniegt konkrētus priekšlikumus un pamatojumu tiem. Pēc konkrēto priekšlikumu izvērtēšanas nepieciešamības gadījumā sagatavosim atbilstošus grozījumus konkrētos normatīvajos aktos Ministru kabineta 2009.gada 7.aprīļa noteikumos Nr.300 “Ministru kabineta kārtības rullis” noteiktajā vispārējā kārtībā.</w:t>
      </w:r>
    </w:p>
    <w:p w:rsidR="00A02DD5" w:rsidRPr="00ED2AE7" w:rsidRDefault="00A02DD5" w:rsidP="00A02DD5">
      <w:pPr>
        <w:jc w:val="both"/>
        <w:rPr>
          <w:rFonts w:eastAsia="MS Mincho" w:cs="Times New Roman"/>
          <w:sz w:val="26"/>
          <w:szCs w:val="26"/>
        </w:rPr>
      </w:pPr>
    </w:p>
    <w:p w:rsidR="00A02DD5" w:rsidRPr="00ED2AE7" w:rsidRDefault="00A02DD5" w:rsidP="00A02DD5">
      <w:pPr>
        <w:ind w:firstLine="720"/>
        <w:jc w:val="both"/>
        <w:rPr>
          <w:rFonts w:eastAsia="MS Mincho" w:cs="Times New Roman"/>
          <w:b/>
          <w:sz w:val="26"/>
          <w:szCs w:val="26"/>
        </w:rPr>
      </w:pPr>
      <w:r w:rsidRPr="00ED2AE7">
        <w:rPr>
          <w:rFonts w:eastAsia="MS Mincho" w:cs="Times New Roman"/>
          <w:b/>
          <w:sz w:val="26"/>
          <w:szCs w:val="26"/>
        </w:rPr>
        <w:t>7. Elektroniskā piegādes dokumenta metodikas izstrāde</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Lai gan normatīvajos aktos ir paredzēts, tomēr šobrīd Latvijā faktiski nedarbojas elektroniskā preču piegādes apliecinājuma kārtība (Igaunijā, piemēram, paraksts elektroniskajā plaukstdatorā). Līdz ar to praksē Latvijā piegādātā krava ir faktiski jāpieņem saskaņā ar grāmatvedības uzskatē nepieciešamiem papīra dokumentiem, nevis tikai pēc transportēšanas dokumenta (jo saņēmējs atbild par kravas saņemšanu un reģistrēšanu savā grāmatvedībā pilnā apjomā un pretenzijas ir jāceļ kravas pieņemšanas brīdī).</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Latvijas Loģistikas asociācija norāda, ka nepieciešams nodrošināt praksē preču piegāžu apstiprinājumu elektroniskā veidā (bez fiziska papīra dokumenta) un nodalīt preču transportēšanu no paša pirkšanas-pārdošanas darījuma. Preču piegādes apliecinājuma (elektroniskās pavadzīmes) saturs – identisks, piemēram, CMR konvencijā noteiktajam (neietverot preču artikulus un vērtību).</w:t>
      </w:r>
    </w:p>
    <w:p w:rsidR="00A02DD5" w:rsidRPr="00ED2AE7" w:rsidRDefault="00A02DD5" w:rsidP="00A02DD5">
      <w:pPr>
        <w:ind w:firstLine="720"/>
        <w:jc w:val="both"/>
        <w:rPr>
          <w:rFonts w:eastAsia="MS Mincho" w:cs="Times New Roman"/>
          <w:b/>
          <w:i/>
          <w:sz w:val="26"/>
          <w:szCs w:val="26"/>
        </w:rPr>
      </w:pPr>
      <w:r w:rsidRPr="00ED2AE7">
        <w:rPr>
          <w:rFonts w:eastAsia="MS Mincho" w:cs="Times New Roman"/>
          <w:b/>
          <w:i/>
          <w:sz w:val="26"/>
          <w:szCs w:val="26"/>
        </w:rPr>
        <w:t xml:space="preserve">Priekšlikums: </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Valsts ieņēmumu dienestam izstrādāt un publicēt savā interneta mājas lapā detalizētu instrukciju vai metodiskos norādījumus komersantiem par  elektroniskā preču piegādes dokumenta izmantošanu (ietverot tajā tipiskākos piemērus).</w:t>
      </w:r>
    </w:p>
    <w:p w:rsidR="00A02DD5" w:rsidRPr="00ED2AE7" w:rsidRDefault="00A02DD5" w:rsidP="00A02DD5">
      <w:pPr>
        <w:ind w:firstLine="720"/>
        <w:jc w:val="both"/>
        <w:rPr>
          <w:rFonts w:eastAsia="MS Mincho" w:cs="Times New Roman"/>
          <w:sz w:val="26"/>
          <w:szCs w:val="26"/>
        </w:rPr>
      </w:pPr>
    </w:p>
    <w:p w:rsidR="00A02DD5" w:rsidRPr="00ED2AE7" w:rsidRDefault="00A02DD5" w:rsidP="00A02DD5">
      <w:pPr>
        <w:spacing w:after="120"/>
        <w:ind w:left="720"/>
        <w:jc w:val="both"/>
        <w:rPr>
          <w:rFonts w:eastAsia="MS Mincho" w:cs="Times New Roman"/>
          <w:sz w:val="26"/>
          <w:szCs w:val="26"/>
        </w:rPr>
      </w:pPr>
      <w:r w:rsidRPr="00ED2AE7">
        <w:rPr>
          <w:rFonts w:eastAsia="MS Mincho" w:cs="Times New Roman"/>
          <w:b/>
          <w:i/>
          <w:sz w:val="26"/>
          <w:szCs w:val="26"/>
        </w:rPr>
        <w:t>Finanšu ministrijas viedoklis</w:t>
      </w:r>
      <w:r w:rsidRPr="00ED2AE7">
        <w:rPr>
          <w:rFonts w:eastAsia="MS Mincho" w:cs="Times New Roman"/>
          <w:sz w:val="26"/>
          <w:szCs w:val="26"/>
        </w:rPr>
        <w:t>.</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 xml:space="preserve">Sākot ar 2012.gada 1.janvāri, Latvijas grāmatvedības jomu reglamentējošajos normatīvajos aktos pastāv divi atsevišķi dokumenti: attaisnojuma dokuments (rēķins) un preču piegādes dokuments. Attiecībā uz precēm preču piegādes dokumentā jānorāda preču nosaukums, mērvienība un daudzums. Preču piegādes dokumentu var nesagatavot, ja preču pārvietošana (kravas transportēšana) starptautiskajos vai iekšzemes darījumos notiek, pamatojoties uz starptautiskajiem vai iekšzemes pārvadājumu dokumentiem, kuri noformēti atbilstoši attiecīgiem likumiem vai konvencijām. Tātad tikai tajos gadījumos, ja netiek formēts pārvadājuma dokuments, jānoformē preču piegādes dokuments. Ņemot vērā, ka nav iespējama situācija, ka starptautiskajos pārvadājumos varētu nenoformēt CMR vai citu pārvadājumu dokumentu, Latvijas regulējums attiecībā uz preču piegādes dokumentu nesarežģī prasības starptautiskos pārvadājumos. </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 xml:space="preserve">Attiecībā uz to, ka tiek prasīti papīra dokumenti – preču piegādes dokumentu ir atļauts nosūtīt elektroniski, nav noteikti nekādi ierobežojumi dokumentu elektroniskai </w:t>
      </w:r>
      <w:r w:rsidRPr="00ED2AE7">
        <w:rPr>
          <w:rFonts w:eastAsia="MS Mincho" w:cs="Times New Roman"/>
          <w:sz w:val="26"/>
          <w:szCs w:val="26"/>
        </w:rPr>
        <w:lastRenderedPageBreak/>
        <w:t xml:space="preserve">apritei. Turklāt ir atļauts šo dokumentus arī neparakstīt, ja tas sagatavots elektroniski un darījuma puses (preču nosūtītājs un preču saņēmējs) to apliecinājušas (autorizējušas) kārtībā, kāda noteikta preču nosūtītāja un preču saņēmēja noslēgtajā līgumā par elektronisko datu apmaiņu un tās formātu. Minēto apliecina Ministru kabineta 2003.gada 21.oktobra noteikumu Nr.585 “Noteikumi par grāmatvedības kārtošanu un organizāciju” (turpmāk – noteikumi Nr.585) regulējums, tajā ir ietverts arī nosacījumi, ka preču piegādes dokumentam var būt ne tikai papīra formā. Tā ir darījuma partneru brīva izvēlē, kādā formā (papīra vai elektroniskā) sagatavo šo dokumentu, </w:t>
      </w:r>
      <w:proofErr w:type="spellStart"/>
      <w:r w:rsidRPr="00ED2AE7">
        <w:rPr>
          <w:rFonts w:eastAsia="MS Mincho" w:cs="Times New Roman"/>
          <w:sz w:val="26"/>
          <w:szCs w:val="26"/>
        </w:rPr>
        <w:t>t.i</w:t>
      </w:r>
      <w:proofErr w:type="spellEnd"/>
      <w:r w:rsidRPr="00ED2AE7">
        <w:rPr>
          <w:rFonts w:eastAsia="MS Mincho" w:cs="Times New Roman"/>
          <w:sz w:val="26"/>
          <w:szCs w:val="26"/>
        </w:rPr>
        <w:t>., šo noteikumu 35.14 punkts nosaka, ka “Preču piegādes dokumentu var neparakstīt, ja tas sagatavots elektroniski un darījuma puses (preču nosūtītājs un preču saņēmējs) to apliecinājušas (autorizējušas) kārtībā, kāda noteikta preču nosūtītāja un preču saņēmēja noslēgtajā līgumā par elektronisko datu apmaiņu un tās formātu”.</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 xml:space="preserve">Attiecībā uz prasību norādīt preču artikulus iepriekš minēto noteikumu 35.117.punkts bez citas iekļautās informācijas (preču nosūtītājs un saņēmēja dati </w:t>
      </w:r>
      <w:proofErr w:type="spellStart"/>
      <w:r w:rsidRPr="00ED2AE7">
        <w:rPr>
          <w:rFonts w:eastAsia="MS Mincho" w:cs="Times New Roman"/>
          <w:sz w:val="26"/>
          <w:szCs w:val="26"/>
        </w:rPr>
        <w:t>u.c</w:t>
      </w:r>
      <w:proofErr w:type="spellEnd"/>
      <w:r w:rsidRPr="00ED2AE7">
        <w:rPr>
          <w:rFonts w:eastAsia="MS Mincho" w:cs="Times New Roman"/>
          <w:sz w:val="26"/>
          <w:szCs w:val="26"/>
        </w:rPr>
        <w:t>. identificējošā informācija) prasa norādīt tikai preču nosaukumu, mērvienību un daudzumu. Tādējādi norādām, ka Latvijas grāmatvedības normatīvajos aktos nav prasības norādīt preču artikulus.</w:t>
      </w:r>
    </w:p>
    <w:p w:rsidR="00A02DD5" w:rsidRPr="00ED2AE7" w:rsidRDefault="00A02DD5" w:rsidP="00A02DD5">
      <w:pPr>
        <w:ind w:firstLine="720"/>
        <w:jc w:val="both"/>
        <w:rPr>
          <w:rFonts w:eastAsia="MS Mincho" w:cs="Times New Roman"/>
          <w:sz w:val="26"/>
          <w:szCs w:val="26"/>
        </w:rPr>
      </w:pPr>
      <w:r w:rsidRPr="00ED2AE7">
        <w:rPr>
          <w:rFonts w:eastAsia="MS Mincho" w:cs="Times New Roman"/>
          <w:sz w:val="26"/>
          <w:szCs w:val="26"/>
        </w:rPr>
        <w:t>Papildus minētajam norādām, ka akcīzes preču pārvietošanai Kopienas teritorijā, piemērojot akcīzes nodokļa atlikto maksāšanas režīmu, datorizētās sistēmas ietvaros (EMCS) tiek izmantots akcīzes preču elektroniskais administratīvais dokuments (e-AD).</w:t>
      </w:r>
    </w:p>
    <w:p w:rsidR="00A02DD5" w:rsidRDefault="00A02DD5" w:rsidP="00A02DD5">
      <w:pPr>
        <w:ind w:firstLine="720"/>
        <w:jc w:val="both"/>
        <w:rPr>
          <w:rFonts w:eastAsia="MS Mincho" w:cs="Times New Roman"/>
          <w:sz w:val="26"/>
          <w:szCs w:val="26"/>
        </w:rPr>
      </w:pPr>
      <w:r w:rsidRPr="00ED2AE7">
        <w:rPr>
          <w:rFonts w:eastAsia="MS Mincho" w:cs="Times New Roman"/>
          <w:sz w:val="26"/>
          <w:szCs w:val="26"/>
        </w:rPr>
        <w:t>Tāpat vēršam uzmanību, ka pavadzīmes saturu nosaka Autopārvadājumu likums.</w:t>
      </w:r>
    </w:p>
    <w:p w:rsidR="004F2F5C" w:rsidRPr="00ED2AE7" w:rsidRDefault="004F2F5C" w:rsidP="00A02DD5">
      <w:pPr>
        <w:ind w:firstLine="720"/>
        <w:jc w:val="both"/>
        <w:rPr>
          <w:rFonts w:eastAsia="MS Mincho" w:cs="Times New Roman"/>
          <w:sz w:val="26"/>
          <w:szCs w:val="26"/>
        </w:rPr>
      </w:pPr>
    </w:p>
    <w:p w:rsidR="00A02DD5" w:rsidRPr="00ED2AE7" w:rsidRDefault="00A02DD5" w:rsidP="00A02DD5">
      <w:pPr>
        <w:jc w:val="both"/>
        <w:rPr>
          <w:rFonts w:eastAsia="MS Mincho" w:cs="Times New Roman"/>
          <w:sz w:val="26"/>
          <w:szCs w:val="26"/>
        </w:rPr>
      </w:pPr>
    </w:p>
    <w:p w:rsidR="004F2F5C" w:rsidRPr="004F2F5C" w:rsidRDefault="004F2F5C" w:rsidP="004F2F5C">
      <w:pPr>
        <w:rPr>
          <w:sz w:val="26"/>
          <w:szCs w:val="26"/>
        </w:rPr>
      </w:pPr>
      <w:r w:rsidRPr="004F2F5C">
        <w:rPr>
          <w:sz w:val="26"/>
          <w:szCs w:val="26"/>
        </w:rPr>
        <w:t>Ministru prezidents</w:t>
      </w:r>
      <w:r w:rsidRPr="004F2F5C">
        <w:rPr>
          <w:sz w:val="26"/>
          <w:szCs w:val="26"/>
        </w:rPr>
        <w:tab/>
      </w:r>
      <w:r w:rsidRPr="004F2F5C">
        <w:rPr>
          <w:sz w:val="26"/>
          <w:szCs w:val="26"/>
        </w:rPr>
        <w:tab/>
      </w:r>
      <w:r w:rsidRPr="004F2F5C">
        <w:rPr>
          <w:sz w:val="26"/>
          <w:szCs w:val="26"/>
        </w:rPr>
        <w:tab/>
      </w:r>
      <w:r w:rsidRPr="004F2F5C">
        <w:rPr>
          <w:sz w:val="26"/>
          <w:szCs w:val="26"/>
        </w:rPr>
        <w:tab/>
      </w:r>
      <w:r w:rsidRPr="004F2F5C">
        <w:rPr>
          <w:sz w:val="26"/>
          <w:szCs w:val="26"/>
        </w:rPr>
        <w:tab/>
      </w:r>
      <w:r w:rsidRPr="004F2F5C">
        <w:rPr>
          <w:sz w:val="26"/>
          <w:szCs w:val="26"/>
        </w:rPr>
        <w:tab/>
      </w:r>
      <w:r w:rsidRPr="004F2F5C">
        <w:rPr>
          <w:sz w:val="26"/>
          <w:szCs w:val="26"/>
        </w:rPr>
        <w:tab/>
      </w:r>
      <w:r>
        <w:rPr>
          <w:sz w:val="26"/>
          <w:szCs w:val="26"/>
        </w:rPr>
        <w:tab/>
        <w:t xml:space="preserve">        </w:t>
      </w:r>
      <w:r w:rsidRPr="004F2F5C">
        <w:rPr>
          <w:sz w:val="26"/>
          <w:szCs w:val="26"/>
        </w:rPr>
        <w:t>L.Straujuma</w:t>
      </w:r>
    </w:p>
    <w:p w:rsidR="004F2F5C" w:rsidRPr="004F2F5C" w:rsidRDefault="004F2F5C" w:rsidP="004F2F5C">
      <w:pPr>
        <w:rPr>
          <w:sz w:val="26"/>
          <w:szCs w:val="26"/>
        </w:rPr>
      </w:pPr>
    </w:p>
    <w:p w:rsidR="004F2F5C" w:rsidRPr="004F2F5C" w:rsidRDefault="004F2F5C" w:rsidP="004F2F5C">
      <w:pPr>
        <w:tabs>
          <w:tab w:val="right" w:pos="9072"/>
        </w:tabs>
        <w:rPr>
          <w:sz w:val="26"/>
          <w:szCs w:val="26"/>
        </w:rPr>
      </w:pPr>
      <w:r w:rsidRPr="004F2F5C">
        <w:rPr>
          <w:sz w:val="26"/>
          <w:szCs w:val="26"/>
        </w:rPr>
        <w:t>Ekonomikas ministrs</w:t>
      </w:r>
      <w:r w:rsidRPr="004F2F5C">
        <w:rPr>
          <w:sz w:val="26"/>
          <w:szCs w:val="26"/>
        </w:rPr>
        <w:tab/>
      </w:r>
      <w:proofErr w:type="spellStart"/>
      <w:r w:rsidRPr="004F2F5C">
        <w:rPr>
          <w:sz w:val="26"/>
          <w:szCs w:val="26"/>
        </w:rPr>
        <w:t>V.Dombrovskis</w:t>
      </w:r>
      <w:proofErr w:type="spellEnd"/>
    </w:p>
    <w:p w:rsidR="004F2F5C" w:rsidRPr="004F2F5C" w:rsidRDefault="004F2F5C" w:rsidP="004F2F5C">
      <w:pPr>
        <w:tabs>
          <w:tab w:val="right" w:pos="9072"/>
        </w:tabs>
        <w:rPr>
          <w:sz w:val="26"/>
          <w:szCs w:val="26"/>
        </w:rPr>
      </w:pPr>
    </w:p>
    <w:p w:rsidR="004F2F5C" w:rsidRPr="004F2F5C" w:rsidRDefault="004F2F5C" w:rsidP="004F2F5C">
      <w:pPr>
        <w:tabs>
          <w:tab w:val="right" w:pos="9072"/>
        </w:tabs>
        <w:rPr>
          <w:sz w:val="26"/>
          <w:szCs w:val="26"/>
        </w:rPr>
      </w:pPr>
    </w:p>
    <w:p w:rsidR="004F2F5C" w:rsidRPr="004F2F5C" w:rsidRDefault="004F2F5C" w:rsidP="004F2F5C">
      <w:pPr>
        <w:tabs>
          <w:tab w:val="right" w:pos="9072"/>
        </w:tabs>
        <w:rPr>
          <w:sz w:val="26"/>
          <w:szCs w:val="26"/>
        </w:rPr>
      </w:pPr>
      <w:r w:rsidRPr="004F2F5C">
        <w:rPr>
          <w:sz w:val="26"/>
          <w:szCs w:val="26"/>
        </w:rPr>
        <w:t>Iesniedzējs:</w:t>
      </w:r>
    </w:p>
    <w:p w:rsidR="004F2F5C" w:rsidRPr="004F2F5C" w:rsidRDefault="004F2F5C" w:rsidP="004F2F5C">
      <w:pPr>
        <w:tabs>
          <w:tab w:val="right" w:pos="9072"/>
        </w:tabs>
        <w:rPr>
          <w:sz w:val="26"/>
          <w:szCs w:val="26"/>
        </w:rPr>
      </w:pPr>
      <w:r w:rsidRPr="004F2F5C">
        <w:rPr>
          <w:sz w:val="26"/>
          <w:szCs w:val="26"/>
        </w:rPr>
        <w:t>Ekonomikas ministrs</w:t>
      </w:r>
      <w:r w:rsidRPr="004F2F5C">
        <w:rPr>
          <w:sz w:val="26"/>
          <w:szCs w:val="26"/>
        </w:rPr>
        <w:tab/>
      </w:r>
      <w:proofErr w:type="spellStart"/>
      <w:r w:rsidRPr="004F2F5C">
        <w:rPr>
          <w:sz w:val="26"/>
          <w:szCs w:val="26"/>
        </w:rPr>
        <w:t>V.Dombrovskis</w:t>
      </w:r>
      <w:proofErr w:type="spellEnd"/>
    </w:p>
    <w:p w:rsidR="004F2F5C" w:rsidRPr="004F2F5C" w:rsidRDefault="004F2F5C" w:rsidP="004F2F5C">
      <w:pPr>
        <w:tabs>
          <w:tab w:val="right" w:pos="9639"/>
        </w:tabs>
        <w:jc w:val="both"/>
        <w:rPr>
          <w:sz w:val="26"/>
          <w:szCs w:val="26"/>
        </w:rPr>
      </w:pPr>
    </w:p>
    <w:p w:rsidR="004F2F5C" w:rsidRPr="004F2F5C" w:rsidRDefault="004F2F5C" w:rsidP="004F2F5C">
      <w:pPr>
        <w:tabs>
          <w:tab w:val="right" w:pos="9639"/>
        </w:tabs>
        <w:jc w:val="both"/>
        <w:rPr>
          <w:sz w:val="26"/>
          <w:szCs w:val="26"/>
        </w:rPr>
      </w:pPr>
      <w:r w:rsidRPr="004F2F5C">
        <w:rPr>
          <w:sz w:val="26"/>
          <w:szCs w:val="26"/>
        </w:rPr>
        <w:t>Vīza:</w:t>
      </w:r>
    </w:p>
    <w:p w:rsidR="004F2F5C" w:rsidRPr="004F2F5C" w:rsidRDefault="004F2F5C" w:rsidP="004F2F5C">
      <w:pPr>
        <w:tabs>
          <w:tab w:val="right" w:pos="9072"/>
        </w:tabs>
        <w:rPr>
          <w:sz w:val="26"/>
          <w:szCs w:val="26"/>
        </w:rPr>
      </w:pPr>
      <w:r>
        <w:rPr>
          <w:sz w:val="26"/>
          <w:szCs w:val="26"/>
        </w:rPr>
        <w:t>Valsts sekretārs</w:t>
      </w:r>
      <w:r>
        <w:rPr>
          <w:sz w:val="26"/>
          <w:szCs w:val="26"/>
        </w:rPr>
        <w:tab/>
        <w:t>M.Lazdovskis</w:t>
      </w:r>
    </w:p>
    <w:p w:rsidR="004F2F5C" w:rsidRPr="004F2F5C" w:rsidRDefault="004F2F5C" w:rsidP="004F2F5C">
      <w:pPr>
        <w:rPr>
          <w:sz w:val="26"/>
          <w:szCs w:val="26"/>
        </w:rPr>
      </w:pPr>
      <w:r w:rsidRPr="004F2F5C">
        <w:rPr>
          <w:sz w:val="26"/>
          <w:szCs w:val="26"/>
        </w:rPr>
        <w:tab/>
      </w:r>
      <w:r w:rsidRPr="004F2F5C">
        <w:rPr>
          <w:sz w:val="26"/>
          <w:szCs w:val="26"/>
        </w:rPr>
        <w:tab/>
      </w:r>
      <w:r w:rsidRPr="004F2F5C">
        <w:rPr>
          <w:sz w:val="26"/>
          <w:szCs w:val="26"/>
        </w:rPr>
        <w:tab/>
      </w:r>
      <w:r w:rsidRPr="004F2F5C">
        <w:rPr>
          <w:sz w:val="26"/>
          <w:szCs w:val="26"/>
        </w:rPr>
        <w:tab/>
      </w:r>
      <w:r w:rsidRPr="004F2F5C">
        <w:rPr>
          <w:sz w:val="26"/>
          <w:szCs w:val="26"/>
        </w:rPr>
        <w:tab/>
      </w:r>
      <w:r w:rsidRPr="004F2F5C">
        <w:rPr>
          <w:sz w:val="26"/>
          <w:szCs w:val="26"/>
        </w:rPr>
        <w:tab/>
      </w:r>
      <w:r w:rsidRPr="004F2F5C">
        <w:rPr>
          <w:sz w:val="26"/>
          <w:szCs w:val="26"/>
        </w:rPr>
        <w:tab/>
      </w:r>
      <w:r w:rsidRPr="004F2F5C">
        <w:rPr>
          <w:sz w:val="26"/>
          <w:szCs w:val="26"/>
        </w:rPr>
        <w:tab/>
      </w:r>
    </w:p>
    <w:p w:rsidR="004F2F5C" w:rsidRPr="004F2F5C" w:rsidRDefault="004F2F5C" w:rsidP="004F2F5C">
      <w:pPr>
        <w:pStyle w:val="Subtitle"/>
        <w:keepNext w:val="0"/>
        <w:keepLines w:val="0"/>
        <w:widowControl/>
        <w:spacing w:before="0" w:after="0"/>
        <w:rPr>
          <w:b w:val="0"/>
          <w:szCs w:val="26"/>
          <w:lang w:val="lv-LV"/>
        </w:rPr>
      </w:pPr>
    </w:p>
    <w:p w:rsidR="004F2F5C" w:rsidRPr="003157DD" w:rsidRDefault="004F2F5C" w:rsidP="004F2F5C"/>
    <w:p w:rsidR="004F2F5C" w:rsidRPr="008D2837" w:rsidRDefault="004F2F5C" w:rsidP="004F2F5C">
      <w:pPr>
        <w:pStyle w:val="Subtitle"/>
        <w:keepNext w:val="0"/>
        <w:keepLines w:val="0"/>
        <w:widowControl/>
        <w:spacing w:before="0" w:after="0"/>
        <w:rPr>
          <w:b w:val="0"/>
          <w:sz w:val="20"/>
          <w:szCs w:val="22"/>
          <w:lang w:val="lv-LV"/>
        </w:rPr>
      </w:pPr>
      <w:r>
        <w:rPr>
          <w:b w:val="0"/>
          <w:sz w:val="20"/>
          <w:szCs w:val="22"/>
          <w:lang w:val="lv-LV"/>
        </w:rPr>
        <w:t xml:space="preserve">Andris </w:t>
      </w:r>
      <w:proofErr w:type="spellStart"/>
      <w:r>
        <w:rPr>
          <w:b w:val="0"/>
          <w:sz w:val="20"/>
          <w:szCs w:val="22"/>
          <w:lang w:val="lv-LV"/>
        </w:rPr>
        <w:t>Maldups</w:t>
      </w:r>
      <w:proofErr w:type="spellEnd"/>
      <w:r w:rsidRPr="008D2837">
        <w:rPr>
          <w:b w:val="0"/>
          <w:sz w:val="20"/>
          <w:szCs w:val="22"/>
          <w:lang w:val="lv-LV"/>
        </w:rPr>
        <w:t xml:space="preserve">, </w:t>
      </w:r>
      <w:r w:rsidRPr="00151373">
        <w:rPr>
          <w:b w:val="0"/>
          <w:sz w:val="20"/>
          <w:szCs w:val="22"/>
          <w:lang w:val="lv-LV"/>
        </w:rPr>
        <w:t>67028320</w:t>
      </w:r>
    </w:p>
    <w:p w:rsidR="004F2F5C" w:rsidRDefault="004F2F5C" w:rsidP="004F2F5C">
      <w:pPr>
        <w:pStyle w:val="Subtitle"/>
        <w:keepNext w:val="0"/>
        <w:keepLines w:val="0"/>
        <w:widowControl/>
        <w:spacing w:before="0" w:after="0"/>
        <w:rPr>
          <w:rStyle w:val="Hyperlink"/>
          <w:b w:val="0"/>
          <w:color w:val="auto"/>
          <w:sz w:val="20"/>
          <w:szCs w:val="22"/>
          <w:lang w:val="lv-LV"/>
        </w:rPr>
      </w:pPr>
      <w:hyperlink r:id="rId10" w:history="1">
        <w:r w:rsidRPr="005E128F">
          <w:rPr>
            <w:rStyle w:val="Hyperlink"/>
            <w:b w:val="0"/>
            <w:sz w:val="20"/>
            <w:szCs w:val="22"/>
            <w:lang w:val="lv-LV"/>
          </w:rPr>
          <w:t>Andris.Maldups@sam.gov.lv</w:t>
        </w:r>
      </w:hyperlink>
      <w:r>
        <w:rPr>
          <w:rStyle w:val="Hyperlink"/>
          <w:b w:val="0"/>
          <w:color w:val="auto"/>
          <w:sz w:val="20"/>
          <w:szCs w:val="22"/>
          <w:lang w:val="lv-LV"/>
        </w:rPr>
        <w:t xml:space="preserve"> </w:t>
      </w:r>
    </w:p>
    <w:p w:rsidR="004F2F5C" w:rsidRPr="00ED2AE7" w:rsidRDefault="004F2F5C" w:rsidP="004F2F5C">
      <w:pPr>
        <w:rPr>
          <w:rFonts w:cs="Times New Roman"/>
          <w:sz w:val="26"/>
          <w:szCs w:val="26"/>
        </w:rPr>
      </w:pPr>
    </w:p>
    <w:p w:rsidR="004F2F5C" w:rsidRPr="00A8293A" w:rsidRDefault="004F2F5C" w:rsidP="004F2F5C"/>
    <w:p w:rsidR="004F2F5C" w:rsidRDefault="004F2F5C" w:rsidP="004F2F5C">
      <w:pPr>
        <w:pStyle w:val="Subtitle"/>
        <w:keepNext w:val="0"/>
        <w:keepLines w:val="0"/>
        <w:widowControl/>
        <w:spacing w:before="0" w:after="0"/>
        <w:rPr>
          <w:b w:val="0"/>
          <w:sz w:val="20"/>
          <w:lang w:val="lv-LV"/>
        </w:rPr>
      </w:pPr>
      <w:r>
        <w:rPr>
          <w:b w:val="0"/>
          <w:sz w:val="20"/>
          <w:lang w:val="lv-LV"/>
        </w:rPr>
        <w:t>26</w:t>
      </w:r>
      <w:r>
        <w:rPr>
          <w:b w:val="0"/>
          <w:sz w:val="20"/>
          <w:lang w:val="lv-LV"/>
        </w:rPr>
        <w:t xml:space="preserve">.08.2014 </w:t>
      </w:r>
      <w:r>
        <w:rPr>
          <w:b w:val="0"/>
          <w:sz w:val="20"/>
          <w:lang w:val="lv-LV"/>
        </w:rPr>
        <w:t>09</w:t>
      </w:r>
      <w:r>
        <w:rPr>
          <w:b w:val="0"/>
          <w:sz w:val="20"/>
          <w:lang w:val="lv-LV"/>
        </w:rPr>
        <w:t>:0</w:t>
      </w:r>
      <w:r>
        <w:rPr>
          <w:b w:val="0"/>
          <w:sz w:val="20"/>
          <w:lang w:val="lv-LV"/>
        </w:rPr>
        <w:t>6</w:t>
      </w:r>
    </w:p>
    <w:p w:rsidR="004F2F5C" w:rsidRPr="00A54FC4" w:rsidRDefault="004F2F5C" w:rsidP="004F2F5C">
      <w:pPr>
        <w:pStyle w:val="Subtitle"/>
        <w:keepNext w:val="0"/>
        <w:keepLines w:val="0"/>
        <w:widowControl/>
        <w:spacing w:before="0" w:after="0"/>
        <w:rPr>
          <w:b w:val="0"/>
          <w:sz w:val="20"/>
          <w:lang w:val="lv-LV"/>
        </w:rPr>
      </w:pPr>
      <w:r>
        <w:rPr>
          <w:b w:val="0"/>
          <w:sz w:val="20"/>
          <w:lang w:val="lv-LV"/>
        </w:rPr>
        <w:t>7862</w:t>
      </w:r>
      <w:r w:rsidRPr="00A54FC4">
        <w:rPr>
          <w:b w:val="0"/>
          <w:sz w:val="20"/>
          <w:lang w:val="lv-LV"/>
        </w:rPr>
        <w:br/>
        <w:t>Ilze Beināre, 67013151</w:t>
      </w:r>
    </w:p>
    <w:p w:rsidR="00151373" w:rsidRPr="00ED2AE7" w:rsidRDefault="004F2F5C" w:rsidP="003061B4">
      <w:pPr>
        <w:pStyle w:val="Subtitle"/>
        <w:keepNext w:val="0"/>
        <w:keepLines w:val="0"/>
        <w:widowControl/>
        <w:spacing w:before="0" w:after="0"/>
        <w:rPr>
          <w:szCs w:val="26"/>
        </w:rPr>
      </w:pPr>
      <w:hyperlink r:id="rId11" w:history="1">
        <w:r w:rsidRPr="00A54FC4">
          <w:rPr>
            <w:rStyle w:val="Hyperlink"/>
            <w:b w:val="0"/>
            <w:color w:val="auto"/>
            <w:sz w:val="20"/>
            <w:lang w:val="lv-LV"/>
          </w:rPr>
          <w:t>Ilze.Beinare@em.gov.lv</w:t>
        </w:r>
      </w:hyperlink>
      <w:bookmarkStart w:id="15" w:name="_GoBack"/>
      <w:bookmarkEnd w:id="15"/>
    </w:p>
    <w:sectPr w:rsidR="00151373" w:rsidRPr="00ED2AE7" w:rsidSect="003F387E">
      <w:footerReference w:type="default" r:id="rId12"/>
      <w:headerReference w:type="first" r:id="rId13"/>
      <w:footerReference w:type="first" r:id="rId14"/>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759" w:rsidRDefault="004B4759" w:rsidP="000B4320">
      <w:r>
        <w:separator/>
      </w:r>
    </w:p>
  </w:endnote>
  <w:endnote w:type="continuationSeparator" w:id="0">
    <w:p w:rsidR="004B4759" w:rsidRDefault="004B4759" w:rsidP="000B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966638"/>
      <w:docPartObj>
        <w:docPartGallery w:val="Page Numbers (Bottom of Page)"/>
        <w:docPartUnique/>
      </w:docPartObj>
    </w:sdtPr>
    <w:sdtEndPr>
      <w:rPr>
        <w:noProof/>
        <w:sz w:val="24"/>
      </w:rPr>
    </w:sdtEndPr>
    <w:sdtContent>
      <w:p w:rsidR="003730C5" w:rsidRPr="00ED2AE7" w:rsidRDefault="003730C5">
        <w:pPr>
          <w:pStyle w:val="Footer"/>
          <w:jc w:val="right"/>
          <w:rPr>
            <w:sz w:val="24"/>
          </w:rPr>
        </w:pPr>
        <w:r w:rsidRPr="00ED2AE7">
          <w:rPr>
            <w:sz w:val="24"/>
          </w:rPr>
          <w:fldChar w:fldCharType="begin"/>
        </w:r>
        <w:r w:rsidRPr="00ED2AE7">
          <w:rPr>
            <w:sz w:val="24"/>
          </w:rPr>
          <w:instrText xml:space="preserve"> PAGE   \* MERGEFORMAT </w:instrText>
        </w:r>
        <w:r w:rsidRPr="00ED2AE7">
          <w:rPr>
            <w:sz w:val="24"/>
          </w:rPr>
          <w:fldChar w:fldCharType="separate"/>
        </w:r>
        <w:r w:rsidR="003061B4">
          <w:rPr>
            <w:noProof/>
            <w:sz w:val="24"/>
          </w:rPr>
          <w:t>26</w:t>
        </w:r>
        <w:r w:rsidRPr="00ED2AE7">
          <w:rPr>
            <w:noProof/>
            <w:sz w:val="24"/>
          </w:rPr>
          <w:fldChar w:fldCharType="end"/>
        </w:r>
      </w:p>
    </w:sdtContent>
  </w:sdt>
  <w:p w:rsidR="003730C5" w:rsidRPr="00A50DBC" w:rsidRDefault="003730C5" w:rsidP="00A50DBC">
    <w:pPr>
      <w:pStyle w:val="Footer"/>
      <w:tabs>
        <w:tab w:val="center" w:pos="2835"/>
        <w:tab w:val="center" w:pos="4536"/>
        <w:tab w:val="right" w:pos="8789"/>
      </w:tabs>
      <w:spacing w:before="240"/>
      <w:rPr>
        <w:sz w:val="24"/>
        <w:szCs w:val="24"/>
      </w:rPr>
    </w:pPr>
    <w:r w:rsidRPr="00A50DBC">
      <w:rPr>
        <w:sz w:val="24"/>
        <w:szCs w:val="24"/>
      </w:rPr>
      <w:t>EMZino_250814_eksports; Informatīvais ziņojums „Par paveikto Krievijas ekonomisko sankciju negatīvo seku mazināšanai un veicamajām eksporta veicināšanas aktivitātēm”</w:t>
    </w:r>
  </w:p>
  <w:p w:rsidR="003730C5" w:rsidRPr="005F0BA2" w:rsidRDefault="003730C5" w:rsidP="005F0BA2">
    <w:pPr>
      <w:pStyle w:val="Footer"/>
      <w:ind w:right="360"/>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C5" w:rsidRPr="00A50DBC" w:rsidRDefault="003730C5" w:rsidP="00A50DBC">
    <w:pPr>
      <w:pStyle w:val="Footer"/>
      <w:tabs>
        <w:tab w:val="center" w:pos="2835"/>
        <w:tab w:val="center" w:pos="4536"/>
        <w:tab w:val="right" w:pos="8789"/>
      </w:tabs>
      <w:spacing w:before="240"/>
      <w:rPr>
        <w:sz w:val="24"/>
        <w:szCs w:val="24"/>
      </w:rPr>
    </w:pPr>
    <w:r w:rsidRPr="00A50DBC">
      <w:rPr>
        <w:sz w:val="24"/>
        <w:szCs w:val="24"/>
      </w:rPr>
      <w:t>EMZino_250814_eksports; Informatīvais ziņojums „Par paveikto Krievijas ekonomisko sankciju negatīvo seku mazināšanai un veicamajām eksporta veicināšanas aktivitātēm”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759" w:rsidRDefault="004B4759" w:rsidP="000B4320">
      <w:r>
        <w:separator/>
      </w:r>
    </w:p>
  </w:footnote>
  <w:footnote w:type="continuationSeparator" w:id="0">
    <w:p w:rsidR="004B4759" w:rsidRDefault="004B4759" w:rsidP="000B4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C5" w:rsidRPr="00031E81" w:rsidRDefault="003730C5" w:rsidP="0027282D">
    <w:pPr>
      <w:pStyle w:val="Footer"/>
      <w:tabs>
        <w:tab w:val="clear" w:pos="4153"/>
        <w:tab w:val="clear" w:pos="8306"/>
        <w:tab w:val="center" w:pos="2835"/>
        <w:tab w:val="center" w:pos="4536"/>
        <w:tab w:val="right" w:pos="8789"/>
      </w:tabs>
      <w:spacing w:before="240"/>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E82"/>
    <w:multiLevelType w:val="hybridMultilevel"/>
    <w:tmpl w:val="B19C51D4"/>
    <w:lvl w:ilvl="0" w:tplc="E294C2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4252BBA"/>
    <w:multiLevelType w:val="hybridMultilevel"/>
    <w:tmpl w:val="4E405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7226141"/>
    <w:multiLevelType w:val="hybridMultilevel"/>
    <w:tmpl w:val="6AD041FC"/>
    <w:lvl w:ilvl="0" w:tplc="247C115A">
      <w:start w:val="1"/>
      <w:numFmt w:val="decimal"/>
      <w:lvlText w:val="%1)"/>
      <w:lvlJc w:val="left"/>
      <w:pPr>
        <w:ind w:left="1924" w:hanging="49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nsid w:val="1662684A"/>
    <w:multiLevelType w:val="hybridMultilevel"/>
    <w:tmpl w:val="32B0D2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6CA6CA9"/>
    <w:multiLevelType w:val="hybridMultilevel"/>
    <w:tmpl w:val="A39E8ED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1CFE0498"/>
    <w:multiLevelType w:val="hybridMultilevel"/>
    <w:tmpl w:val="EEF01AE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12D012E"/>
    <w:multiLevelType w:val="hybridMultilevel"/>
    <w:tmpl w:val="DAF2031C"/>
    <w:lvl w:ilvl="0" w:tplc="99CA4D22">
      <w:start w:val="1"/>
      <w:numFmt w:val="bullet"/>
      <w:lvlText w:val=""/>
      <w:lvlJc w:val="left"/>
      <w:pPr>
        <w:tabs>
          <w:tab w:val="num" w:pos="720"/>
        </w:tabs>
        <w:ind w:left="720" w:hanging="360"/>
      </w:pPr>
      <w:rPr>
        <w:rFonts w:ascii="Wingdings" w:hAnsi="Wingdings" w:hint="default"/>
      </w:rPr>
    </w:lvl>
    <w:lvl w:ilvl="1" w:tplc="A5123B74" w:tentative="1">
      <w:start w:val="1"/>
      <w:numFmt w:val="bullet"/>
      <w:lvlText w:val=""/>
      <w:lvlJc w:val="left"/>
      <w:pPr>
        <w:tabs>
          <w:tab w:val="num" w:pos="1440"/>
        </w:tabs>
        <w:ind w:left="1440" w:hanging="360"/>
      </w:pPr>
      <w:rPr>
        <w:rFonts w:ascii="Wingdings" w:hAnsi="Wingdings" w:hint="default"/>
      </w:rPr>
    </w:lvl>
    <w:lvl w:ilvl="2" w:tplc="28A84356" w:tentative="1">
      <w:start w:val="1"/>
      <w:numFmt w:val="bullet"/>
      <w:lvlText w:val=""/>
      <w:lvlJc w:val="left"/>
      <w:pPr>
        <w:tabs>
          <w:tab w:val="num" w:pos="2160"/>
        </w:tabs>
        <w:ind w:left="2160" w:hanging="360"/>
      </w:pPr>
      <w:rPr>
        <w:rFonts w:ascii="Wingdings" w:hAnsi="Wingdings" w:hint="default"/>
      </w:rPr>
    </w:lvl>
    <w:lvl w:ilvl="3" w:tplc="B70CCCDE" w:tentative="1">
      <w:start w:val="1"/>
      <w:numFmt w:val="bullet"/>
      <w:lvlText w:val=""/>
      <w:lvlJc w:val="left"/>
      <w:pPr>
        <w:tabs>
          <w:tab w:val="num" w:pos="2880"/>
        </w:tabs>
        <w:ind w:left="2880" w:hanging="360"/>
      </w:pPr>
      <w:rPr>
        <w:rFonts w:ascii="Wingdings" w:hAnsi="Wingdings" w:hint="default"/>
      </w:rPr>
    </w:lvl>
    <w:lvl w:ilvl="4" w:tplc="18B2E196" w:tentative="1">
      <w:start w:val="1"/>
      <w:numFmt w:val="bullet"/>
      <w:lvlText w:val=""/>
      <w:lvlJc w:val="left"/>
      <w:pPr>
        <w:tabs>
          <w:tab w:val="num" w:pos="3600"/>
        </w:tabs>
        <w:ind w:left="3600" w:hanging="360"/>
      </w:pPr>
      <w:rPr>
        <w:rFonts w:ascii="Wingdings" w:hAnsi="Wingdings" w:hint="default"/>
      </w:rPr>
    </w:lvl>
    <w:lvl w:ilvl="5" w:tplc="DA1CE8D6" w:tentative="1">
      <w:start w:val="1"/>
      <w:numFmt w:val="bullet"/>
      <w:lvlText w:val=""/>
      <w:lvlJc w:val="left"/>
      <w:pPr>
        <w:tabs>
          <w:tab w:val="num" w:pos="4320"/>
        </w:tabs>
        <w:ind w:left="4320" w:hanging="360"/>
      </w:pPr>
      <w:rPr>
        <w:rFonts w:ascii="Wingdings" w:hAnsi="Wingdings" w:hint="default"/>
      </w:rPr>
    </w:lvl>
    <w:lvl w:ilvl="6" w:tplc="FAE6E6E8" w:tentative="1">
      <w:start w:val="1"/>
      <w:numFmt w:val="bullet"/>
      <w:lvlText w:val=""/>
      <w:lvlJc w:val="left"/>
      <w:pPr>
        <w:tabs>
          <w:tab w:val="num" w:pos="5040"/>
        </w:tabs>
        <w:ind w:left="5040" w:hanging="360"/>
      </w:pPr>
      <w:rPr>
        <w:rFonts w:ascii="Wingdings" w:hAnsi="Wingdings" w:hint="default"/>
      </w:rPr>
    </w:lvl>
    <w:lvl w:ilvl="7" w:tplc="E67A7EE6" w:tentative="1">
      <w:start w:val="1"/>
      <w:numFmt w:val="bullet"/>
      <w:lvlText w:val=""/>
      <w:lvlJc w:val="left"/>
      <w:pPr>
        <w:tabs>
          <w:tab w:val="num" w:pos="5760"/>
        </w:tabs>
        <w:ind w:left="5760" w:hanging="360"/>
      </w:pPr>
      <w:rPr>
        <w:rFonts w:ascii="Wingdings" w:hAnsi="Wingdings" w:hint="default"/>
      </w:rPr>
    </w:lvl>
    <w:lvl w:ilvl="8" w:tplc="DF148044" w:tentative="1">
      <w:start w:val="1"/>
      <w:numFmt w:val="bullet"/>
      <w:lvlText w:val=""/>
      <w:lvlJc w:val="left"/>
      <w:pPr>
        <w:tabs>
          <w:tab w:val="num" w:pos="6480"/>
        </w:tabs>
        <w:ind w:left="6480" w:hanging="360"/>
      </w:pPr>
      <w:rPr>
        <w:rFonts w:ascii="Wingdings" w:hAnsi="Wingdings" w:hint="default"/>
      </w:rPr>
    </w:lvl>
  </w:abstractNum>
  <w:abstractNum w:abstractNumId="7">
    <w:nsid w:val="282D7C84"/>
    <w:multiLevelType w:val="hybridMultilevel"/>
    <w:tmpl w:val="2DB4BF00"/>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8">
    <w:nsid w:val="2FF32CC5"/>
    <w:multiLevelType w:val="hybridMultilevel"/>
    <w:tmpl w:val="74845D2E"/>
    <w:lvl w:ilvl="0" w:tplc="3E5CB4F6">
      <w:start w:val="1"/>
      <w:numFmt w:val="bullet"/>
      <w:lvlText w:val=""/>
      <w:lvlJc w:val="left"/>
      <w:pPr>
        <w:tabs>
          <w:tab w:val="num" w:pos="720"/>
        </w:tabs>
        <w:ind w:left="720" w:hanging="360"/>
      </w:pPr>
      <w:rPr>
        <w:rFonts w:ascii="Wingdings" w:hAnsi="Wingdings" w:hint="default"/>
      </w:rPr>
    </w:lvl>
    <w:lvl w:ilvl="1" w:tplc="B1C43D0C">
      <w:start w:val="1"/>
      <w:numFmt w:val="bullet"/>
      <w:lvlText w:val=""/>
      <w:lvlJc w:val="left"/>
      <w:pPr>
        <w:tabs>
          <w:tab w:val="num" w:pos="1440"/>
        </w:tabs>
        <w:ind w:left="1440" w:hanging="360"/>
      </w:pPr>
      <w:rPr>
        <w:rFonts w:ascii="Wingdings" w:hAnsi="Wingdings" w:hint="default"/>
      </w:rPr>
    </w:lvl>
    <w:lvl w:ilvl="2" w:tplc="4D8ED948">
      <w:start w:val="1"/>
      <w:numFmt w:val="bullet"/>
      <w:lvlText w:val=""/>
      <w:lvlJc w:val="left"/>
      <w:pPr>
        <w:tabs>
          <w:tab w:val="num" w:pos="2160"/>
        </w:tabs>
        <w:ind w:left="2160" w:hanging="360"/>
      </w:pPr>
      <w:rPr>
        <w:rFonts w:ascii="Wingdings" w:hAnsi="Wingdings" w:hint="default"/>
      </w:rPr>
    </w:lvl>
    <w:lvl w:ilvl="3" w:tplc="2D96182A">
      <w:start w:val="1"/>
      <w:numFmt w:val="bullet"/>
      <w:lvlText w:val=""/>
      <w:lvlJc w:val="left"/>
      <w:pPr>
        <w:tabs>
          <w:tab w:val="num" w:pos="2880"/>
        </w:tabs>
        <w:ind w:left="2880" w:hanging="360"/>
      </w:pPr>
      <w:rPr>
        <w:rFonts w:ascii="Wingdings" w:hAnsi="Wingdings" w:hint="default"/>
      </w:rPr>
    </w:lvl>
    <w:lvl w:ilvl="4" w:tplc="80E0A91C">
      <w:start w:val="1"/>
      <w:numFmt w:val="bullet"/>
      <w:lvlText w:val=""/>
      <w:lvlJc w:val="left"/>
      <w:pPr>
        <w:tabs>
          <w:tab w:val="num" w:pos="3600"/>
        </w:tabs>
        <w:ind w:left="3600" w:hanging="360"/>
      </w:pPr>
      <w:rPr>
        <w:rFonts w:ascii="Wingdings" w:hAnsi="Wingdings" w:hint="default"/>
      </w:rPr>
    </w:lvl>
    <w:lvl w:ilvl="5" w:tplc="42AC534A">
      <w:start w:val="1"/>
      <w:numFmt w:val="bullet"/>
      <w:lvlText w:val=""/>
      <w:lvlJc w:val="left"/>
      <w:pPr>
        <w:tabs>
          <w:tab w:val="num" w:pos="4320"/>
        </w:tabs>
        <w:ind w:left="4320" w:hanging="360"/>
      </w:pPr>
      <w:rPr>
        <w:rFonts w:ascii="Wingdings" w:hAnsi="Wingdings" w:hint="default"/>
      </w:rPr>
    </w:lvl>
    <w:lvl w:ilvl="6" w:tplc="A39AFE2E">
      <w:start w:val="1"/>
      <w:numFmt w:val="bullet"/>
      <w:lvlText w:val=""/>
      <w:lvlJc w:val="left"/>
      <w:pPr>
        <w:tabs>
          <w:tab w:val="num" w:pos="5040"/>
        </w:tabs>
        <w:ind w:left="5040" w:hanging="360"/>
      </w:pPr>
      <w:rPr>
        <w:rFonts w:ascii="Wingdings" w:hAnsi="Wingdings" w:hint="default"/>
      </w:rPr>
    </w:lvl>
    <w:lvl w:ilvl="7" w:tplc="BF469A8C">
      <w:start w:val="1"/>
      <w:numFmt w:val="bullet"/>
      <w:lvlText w:val=""/>
      <w:lvlJc w:val="left"/>
      <w:pPr>
        <w:tabs>
          <w:tab w:val="num" w:pos="5760"/>
        </w:tabs>
        <w:ind w:left="5760" w:hanging="360"/>
      </w:pPr>
      <w:rPr>
        <w:rFonts w:ascii="Wingdings" w:hAnsi="Wingdings" w:hint="default"/>
      </w:rPr>
    </w:lvl>
    <w:lvl w:ilvl="8" w:tplc="5D3637FC">
      <w:start w:val="1"/>
      <w:numFmt w:val="bullet"/>
      <w:lvlText w:val=""/>
      <w:lvlJc w:val="left"/>
      <w:pPr>
        <w:tabs>
          <w:tab w:val="num" w:pos="6480"/>
        </w:tabs>
        <w:ind w:left="6480" w:hanging="360"/>
      </w:pPr>
      <w:rPr>
        <w:rFonts w:ascii="Wingdings" w:hAnsi="Wingdings" w:hint="default"/>
      </w:rPr>
    </w:lvl>
  </w:abstractNum>
  <w:abstractNum w:abstractNumId="9">
    <w:nsid w:val="30FA183A"/>
    <w:multiLevelType w:val="hybridMultilevel"/>
    <w:tmpl w:val="2216E8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1B82DBD"/>
    <w:multiLevelType w:val="hybridMultilevel"/>
    <w:tmpl w:val="CD56FB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320C44F3"/>
    <w:multiLevelType w:val="hybridMultilevel"/>
    <w:tmpl w:val="B1E093B4"/>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2BD3891"/>
    <w:multiLevelType w:val="hybridMultilevel"/>
    <w:tmpl w:val="CD8C0872"/>
    <w:lvl w:ilvl="0" w:tplc="04260011">
      <w:start w:val="1"/>
      <w:numFmt w:val="decimal"/>
      <w:lvlText w:val="%1)"/>
      <w:lvlJc w:val="left"/>
      <w:pPr>
        <w:ind w:left="2858" w:hanging="360"/>
      </w:pPr>
    </w:lvl>
    <w:lvl w:ilvl="1" w:tplc="04260019" w:tentative="1">
      <w:start w:val="1"/>
      <w:numFmt w:val="lowerLetter"/>
      <w:lvlText w:val="%2."/>
      <w:lvlJc w:val="left"/>
      <w:pPr>
        <w:ind w:left="3578" w:hanging="360"/>
      </w:pPr>
    </w:lvl>
    <w:lvl w:ilvl="2" w:tplc="0426001B" w:tentative="1">
      <w:start w:val="1"/>
      <w:numFmt w:val="lowerRoman"/>
      <w:lvlText w:val="%3."/>
      <w:lvlJc w:val="right"/>
      <w:pPr>
        <w:ind w:left="4298" w:hanging="180"/>
      </w:pPr>
    </w:lvl>
    <w:lvl w:ilvl="3" w:tplc="0426000F" w:tentative="1">
      <w:start w:val="1"/>
      <w:numFmt w:val="decimal"/>
      <w:lvlText w:val="%4."/>
      <w:lvlJc w:val="left"/>
      <w:pPr>
        <w:ind w:left="5018" w:hanging="360"/>
      </w:pPr>
    </w:lvl>
    <w:lvl w:ilvl="4" w:tplc="04260019" w:tentative="1">
      <w:start w:val="1"/>
      <w:numFmt w:val="lowerLetter"/>
      <w:lvlText w:val="%5."/>
      <w:lvlJc w:val="left"/>
      <w:pPr>
        <w:ind w:left="5738" w:hanging="360"/>
      </w:pPr>
    </w:lvl>
    <w:lvl w:ilvl="5" w:tplc="0426001B" w:tentative="1">
      <w:start w:val="1"/>
      <w:numFmt w:val="lowerRoman"/>
      <w:lvlText w:val="%6."/>
      <w:lvlJc w:val="right"/>
      <w:pPr>
        <w:ind w:left="6458" w:hanging="180"/>
      </w:pPr>
    </w:lvl>
    <w:lvl w:ilvl="6" w:tplc="0426000F" w:tentative="1">
      <w:start w:val="1"/>
      <w:numFmt w:val="decimal"/>
      <w:lvlText w:val="%7."/>
      <w:lvlJc w:val="left"/>
      <w:pPr>
        <w:ind w:left="7178" w:hanging="360"/>
      </w:pPr>
    </w:lvl>
    <w:lvl w:ilvl="7" w:tplc="04260019" w:tentative="1">
      <w:start w:val="1"/>
      <w:numFmt w:val="lowerLetter"/>
      <w:lvlText w:val="%8."/>
      <w:lvlJc w:val="left"/>
      <w:pPr>
        <w:ind w:left="7898" w:hanging="360"/>
      </w:pPr>
    </w:lvl>
    <w:lvl w:ilvl="8" w:tplc="0426001B" w:tentative="1">
      <w:start w:val="1"/>
      <w:numFmt w:val="lowerRoman"/>
      <w:lvlText w:val="%9."/>
      <w:lvlJc w:val="right"/>
      <w:pPr>
        <w:ind w:left="8618" w:hanging="180"/>
      </w:pPr>
    </w:lvl>
  </w:abstractNum>
  <w:abstractNum w:abstractNumId="13">
    <w:nsid w:val="33BF76A1"/>
    <w:multiLevelType w:val="hybridMultilevel"/>
    <w:tmpl w:val="7EA8654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nsid w:val="359130C9"/>
    <w:multiLevelType w:val="hybridMultilevel"/>
    <w:tmpl w:val="76CE16DC"/>
    <w:lvl w:ilvl="0" w:tplc="74045C68">
      <w:start w:val="1"/>
      <w:numFmt w:val="bullet"/>
      <w:lvlText w:val="•"/>
      <w:lvlJc w:val="left"/>
      <w:pPr>
        <w:tabs>
          <w:tab w:val="num" w:pos="720"/>
        </w:tabs>
        <w:ind w:left="720" w:hanging="360"/>
      </w:pPr>
      <w:rPr>
        <w:rFonts w:ascii="Times New Roman" w:hAnsi="Times New Roman" w:hint="default"/>
      </w:rPr>
    </w:lvl>
    <w:lvl w:ilvl="1" w:tplc="9E163352" w:tentative="1">
      <w:start w:val="1"/>
      <w:numFmt w:val="bullet"/>
      <w:lvlText w:val="•"/>
      <w:lvlJc w:val="left"/>
      <w:pPr>
        <w:tabs>
          <w:tab w:val="num" w:pos="1440"/>
        </w:tabs>
        <w:ind w:left="1440" w:hanging="360"/>
      </w:pPr>
      <w:rPr>
        <w:rFonts w:ascii="Times New Roman" w:hAnsi="Times New Roman" w:hint="default"/>
      </w:rPr>
    </w:lvl>
    <w:lvl w:ilvl="2" w:tplc="1FD0C6AA" w:tentative="1">
      <w:start w:val="1"/>
      <w:numFmt w:val="bullet"/>
      <w:lvlText w:val="•"/>
      <w:lvlJc w:val="left"/>
      <w:pPr>
        <w:tabs>
          <w:tab w:val="num" w:pos="2160"/>
        </w:tabs>
        <w:ind w:left="2160" w:hanging="360"/>
      </w:pPr>
      <w:rPr>
        <w:rFonts w:ascii="Times New Roman" w:hAnsi="Times New Roman" w:hint="default"/>
      </w:rPr>
    </w:lvl>
    <w:lvl w:ilvl="3" w:tplc="149CE708" w:tentative="1">
      <w:start w:val="1"/>
      <w:numFmt w:val="bullet"/>
      <w:lvlText w:val="•"/>
      <w:lvlJc w:val="left"/>
      <w:pPr>
        <w:tabs>
          <w:tab w:val="num" w:pos="2880"/>
        </w:tabs>
        <w:ind w:left="2880" w:hanging="360"/>
      </w:pPr>
      <w:rPr>
        <w:rFonts w:ascii="Times New Roman" w:hAnsi="Times New Roman" w:hint="default"/>
      </w:rPr>
    </w:lvl>
    <w:lvl w:ilvl="4" w:tplc="CD76C13C" w:tentative="1">
      <w:start w:val="1"/>
      <w:numFmt w:val="bullet"/>
      <w:lvlText w:val="•"/>
      <w:lvlJc w:val="left"/>
      <w:pPr>
        <w:tabs>
          <w:tab w:val="num" w:pos="3600"/>
        </w:tabs>
        <w:ind w:left="3600" w:hanging="360"/>
      </w:pPr>
      <w:rPr>
        <w:rFonts w:ascii="Times New Roman" w:hAnsi="Times New Roman" w:hint="default"/>
      </w:rPr>
    </w:lvl>
    <w:lvl w:ilvl="5" w:tplc="AB962228" w:tentative="1">
      <w:start w:val="1"/>
      <w:numFmt w:val="bullet"/>
      <w:lvlText w:val="•"/>
      <w:lvlJc w:val="left"/>
      <w:pPr>
        <w:tabs>
          <w:tab w:val="num" w:pos="4320"/>
        </w:tabs>
        <w:ind w:left="4320" w:hanging="360"/>
      </w:pPr>
      <w:rPr>
        <w:rFonts w:ascii="Times New Roman" w:hAnsi="Times New Roman" w:hint="default"/>
      </w:rPr>
    </w:lvl>
    <w:lvl w:ilvl="6" w:tplc="DD68767C" w:tentative="1">
      <w:start w:val="1"/>
      <w:numFmt w:val="bullet"/>
      <w:lvlText w:val="•"/>
      <w:lvlJc w:val="left"/>
      <w:pPr>
        <w:tabs>
          <w:tab w:val="num" w:pos="5040"/>
        </w:tabs>
        <w:ind w:left="5040" w:hanging="360"/>
      </w:pPr>
      <w:rPr>
        <w:rFonts w:ascii="Times New Roman" w:hAnsi="Times New Roman" w:hint="default"/>
      </w:rPr>
    </w:lvl>
    <w:lvl w:ilvl="7" w:tplc="D5C0BCC4" w:tentative="1">
      <w:start w:val="1"/>
      <w:numFmt w:val="bullet"/>
      <w:lvlText w:val="•"/>
      <w:lvlJc w:val="left"/>
      <w:pPr>
        <w:tabs>
          <w:tab w:val="num" w:pos="5760"/>
        </w:tabs>
        <w:ind w:left="5760" w:hanging="360"/>
      </w:pPr>
      <w:rPr>
        <w:rFonts w:ascii="Times New Roman" w:hAnsi="Times New Roman" w:hint="default"/>
      </w:rPr>
    </w:lvl>
    <w:lvl w:ilvl="8" w:tplc="1AAE009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AB852A2"/>
    <w:multiLevelType w:val="hybridMultilevel"/>
    <w:tmpl w:val="67C0A93C"/>
    <w:lvl w:ilvl="0" w:tplc="0426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6">
    <w:nsid w:val="42D52326"/>
    <w:multiLevelType w:val="hybridMultilevel"/>
    <w:tmpl w:val="41BA022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45A501B8"/>
    <w:multiLevelType w:val="hybridMultilevel"/>
    <w:tmpl w:val="19A2C4B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nsid w:val="46B434E9"/>
    <w:multiLevelType w:val="hybridMultilevel"/>
    <w:tmpl w:val="B6DE094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nsid w:val="4C565527"/>
    <w:multiLevelType w:val="hybridMultilevel"/>
    <w:tmpl w:val="0338D9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E4C7B03"/>
    <w:multiLevelType w:val="multilevel"/>
    <w:tmpl w:val="F73C70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1917825"/>
    <w:multiLevelType w:val="hybridMultilevel"/>
    <w:tmpl w:val="F0B261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32456B2"/>
    <w:multiLevelType w:val="hybridMultilevel"/>
    <w:tmpl w:val="7FEAB290"/>
    <w:lvl w:ilvl="0" w:tplc="2CA04DE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54230E9A"/>
    <w:multiLevelType w:val="hybridMultilevel"/>
    <w:tmpl w:val="ADAC1BE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nsid w:val="586560D2"/>
    <w:multiLevelType w:val="hybridMultilevel"/>
    <w:tmpl w:val="39FE1E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A7F0DBF"/>
    <w:multiLevelType w:val="multilevel"/>
    <w:tmpl w:val="0020255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26">
    <w:nsid w:val="627735D7"/>
    <w:multiLevelType w:val="hybridMultilevel"/>
    <w:tmpl w:val="6F7433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7D51171"/>
    <w:multiLevelType w:val="hybridMultilevel"/>
    <w:tmpl w:val="8702C924"/>
    <w:lvl w:ilvl="0" w:tplc="0426000B">
      <w:start w:val="1"/>
      <w:numFmt w:val="bullet"/>
      <w:lvlText w:val=""/>
      <w:lvlJc w:val="left"/>
      <w:pPr>
        <w:ind w:left="720" w:hanging="360"/>
      </w:pPr>
      <w:rPr>
        <w:rFonts w:ascii="Wingdings" w:hAnsi="Wingding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8">
    <w:nsid w:val="6CE14C9A"/>
    <w:multiLevelType w:val="multilevel"/>
    <w:tmpl w:val="D6BA56F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1174C0C"/>
    <w:multiLevelType w:val="hybridMultilevel"/>
    <w:tmpl w:val="6E0ACF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nsid w:val="75453AF5"/>
    <w:multiLevelType w:val="multilevel"/>
    <w:tmpl w:val="AF7820D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76573DEA"/>
    <w:multiLevelType w:val="hybridMultilevel"/>
    <w:tmpl w:val="64CC64D2"/>
    <w:lvl w:ilvl="0" w:tplc="9766C2B4">
      <w:start w:val="1"/>
      <w:numFmt w:val="lowerLetter"/>
      <w:lvlText w:val="%1)"/>
      <w:lvlJc w:val="left"/>
      <w:pPr>
        <w:ind w:left="1080" w:hanging="360"/>
      </w:pPr>
      <w:rPr>
        <w:rFonts w:hint="default"/>
      </w:rPr>
    </w:lvl>
    <w:lvl w:ilvl="1" w:tplc="04260001">
      <w:start w:val="1"/>
      <w:numFmt w:val="bullet"/>
      <w:lvlText w:val=""/>
      <w:lvlJc w:val="left"/>
      <w:pPr>
        <w:ind w:left="1800" w:hanging="360"/>
      </w:pPr>
      <w:rPr>
        <w:rFonts w:ascii="Symbol" w:hAnsi="Symbol"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791D2203"/>
    <w:multiLevelType w:val="multilevel"/>
    <w:tmpl w:val="39E0BFB8"/>
    <w:lvl w:ilvl="0">
      <w:start w:val="2"/>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CE22B32"/>
    <w:multiLevelType w:val="hybridMultilevel"/>
    <w:tmpl w:val="6A5CCA7A"/>
    <w:lvl w:ilvl="0" w:tplc="FA3EDF3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DBF5138"/>
    <w:multiLevelType w:val="hybridMultilevel"/>
    <w:tmpl w:val="1056022E"/>
    <w:lvl w:ilvl="0" w:tplc="0C9E692E">
      <w:start w:val="1"/>
      <w:numFmt w:val="bullet"/>
      <w:lvlText w:val="•"/>
      <w:lvlJc w:val="left"/>
      <w:pPr>
        <w:tabs>
          <w:tab w:val="num" w:pos="720"/>
        </w:tabs>
        <w:ind w:left="720" w:hanging="360"/>
      </w:pPr>
      <w:rPr>
        <w:rFonts w:ascii="Times New Roman" w:hAnsi="Times New Roman" w:hint="default"/>
      </w:rPr>
    </w:lvl>
    <w:lvl w:ilvl="1" w:tplc="975077FA" w:tentative="1">
      <w:start w:val="1"/>
      <w:numFmt w:val="bullet"/>
      <w:lvlText w:val="•"/>
      <w:lvlJc w:val="left"/>
      <w:pPr>
        <w:tabs>
          <w:tab w:val="num" w:pos="1440"/>
        </w:tabs>
        <w:ind w:left="1440" w:hanging="360"/>
      </w:pPr>
      <w:rPr>
        <w:rFonts w:ascii="Times New Roman" w:hAnsi="Times New Roman" w:hint="default"/>
      </w:rPr>
    </w:lvl>
    <w:lvl w:ilvl="2" w:tplc="45567C4A" w:tentative="1">
      <w:start w:val="1"/>
      <w:numFmt w:val="bullet"/>
      <w:lvlText w:val="•"/>
      <w:lvlJc w:val="left"/>
      <w:pPr>
        <w:tabs>
          <w:tab w:val="num" w:pos="2160"/>
        </w:tabs>
        <w:ind w:left="2160" w:hanging="360"/>
      </w:pPr>
      <w:rPr>
        <w:rFonts w:ascii="Times New Roman" w:hAnsi="Times New Roman" w:hint="default"/>
      </w:rPr>
    </w:lvl>
    <w:lvl w:ilvl="3" w:tplc="9F701358" w:tentative="1">
      <w:start w:val="1"/>
      <w:numFmt w:val="bullet"/>
      <w:lvlText w:val="•"/>
      <w:lvlJc w:val="left"/>
      <w:pPr>
        <w:tabs>
          <w:tab w:val="num" w:pos="2880"/>
        </w:tabs>
        <w:ind w:left="2880" w:hanging="360"/>
      </w:pPr>
      <w:rPr>
        <w:rFonts w:ascii="Times New Roman" w:hAnsi="Times New Roman" w:hint="default"/>
      </w:rPr>
    </w:lvl>
    <w:lvl w:ilvl="4" w:tplc="6A06EE8C" w:tentative="1">
      <w:start w:val="1"/>
      <w:numFmt w:val="bullet"/>
      <w:lvlText w:val="•"/>
      <w:lvlJc w:val="left"/>
      <w:pPr>
        <w:tabs>
          <w:tab w:val="num" w:pos="3600"/>
        </w:tabs>
        <w:ind w:left="3600" w:hanging="360"/>
      </w:pPr>
      <w:rPr>
        <w:rFonts w:ascii="Times New Roman" w:hAnsi="Times New Roman" w:hint="default"/>
      </w:rPr>
    </w:lvl>
    <w:lvl w:ilvl="5" w:tplc="250C9230" w:tentative="1">
      <w:start w:val="1"/>
      <w:numFmt w:val="bullet"/>
      <w:lvlText w:val="•"/>
      <w:lvlJc w:val="left"/>
      <w:pPr>
        <w:tabs>
          <w:tab w:val="num" w:pos="4320"/>
        </w:tabs>
        <w:ind w:left="4320" w:hanging="360"/>
      </w:pPr>
      <w:rPr>
        <w:rFonts w:ascii="Times New Roman" w:hAnsi="Times New Roman" w:hint="default"/>
      </w:rPr>
    </w:lvl>
    <w:lvl w:ilvl="6" w:tplc="CE4497E2" w:tentative="1">
      <w:start w:val="1"/>
      <w:numFmt w:val="bullet"/>
      <w:lvlText w:val="•"/>
      <w:lvlJc w:val="left"/>
      <w:pPr>
        <w:tabs>
          <w:tab w:val="num" w:pos="5040"/>
        </w:tabs>
        <w:ind w:left="5040" w:hanging="360"/>
      </w:pPr>
      <w:rPr>
        <w:rFonts w:ascii="Times New Roman" w:hAnsi="Times New Roman" w:hint="default"/>
      </w:rPr>
    </w:lvl>
    <w:lvl w:ilvl="7" w:tplc="56D0BCB6" w:tentative="1">
      <w:start w:val="1"/>
      <w:numFmt w:val="bullet"/>
      <w:lvlText w:val="•"/>
      <w:lvlJc w:val="left"/>
      <w:pPr>
        <w:tabs>
          <w:tab w:val="num" w:pos="5760"/>
        </w:tabs>
        <w:ind w:left="5760" w:hanging="360"/>
      </w:pPr>
      <w:rPr>
        <w:rFonts w:ascii="Times New Roman" w:hAnsi="Times New Roman" w:hint="default"/>
      </w:rPr>
    </w:lvl>
    <w:lvl w:ilvl="8" w:tplc="231677DA"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F780340"/>
    <w:multiLevelType w:val="hybridMultilevel"/>
    <w:tmpl w:val="FF8EB2A2"/>
    <w:lvl w:ilvl="0" w:tplc="247C115A">
      <w:start w:val="1"/>
      <w:numFmt w:val="decimal"/>
      <w:lvlText w:val="%1)"/>
      <w:lvlJc w:val="left"/>
      <w:pPr>
        <w:ind w:left="1215" w:hanging="49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nsid w:val="7F9C502E"/>
    <w:multiLevelType w:val="hybridMultilevel"/>
    <w:tmpl w:val="91E8DE1A"/>
    <w:lvl w:ilvl="0" w:tplc="0426000F">
      <w:start w:val="1"/>
      <w:numFmt w:val="decimal"/>
      <w:lvlText w:val="%1."/>
      <w:lvlJc w:val="left"/>
      <w:pPr>
        <w:ind w:left="2520" w:hanging="360"/>
      </w:p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num w:numId="1">
    <w:abstractNumId w:val="20"/>
  </w:num>
  <w:num w:numId="2">
    <w:abstractNumId w:val="17"/>
  </w:num>
  <w:num w:numId="3">
    <w:abstractNumId w:val="3"/>
  </w:num>
  <w:num w:numId="4">
    <w:abstractNumId w:val="1"/>
  </w:num>
  <w:num w:numId="5">
    <w:abstractNumId w:val="10"/>
  </w:num>
  <w:num w:numId="6">
    <w:abstractNumId w:val="29"/>
  </w:num>
  <w:num w:numId="7">
    <w:abstractNumId w:val="23"/>
  </w:num>
  <w:num w:numId="8">
    <w:abstractNumId w:val="24"/>
  </w:num>
  <w:num w:numId="9">
    <w:abstractNumId w:val="11"/>
  </w:num>
  <w:num w:numId="10">
    <w:abstractNumId w:val="5"/>
  </w:num>
  <w:num w:numId="11">
    <w:abstractNumId w:val="22"/>
  </w:num>
  <w:num w:numId="12">
    <w:abstractNumId w:val="26"/>
  </w:num>
  <w:num w:numId="13">
    <w:abstractNumId w:val="30"/>
  </w:num>
  <w:num w:numId="14">
    <w:abstractNumId w:val="28"/>
  </w:num>
  <w:num w:numId="15">
    <w:abstractNumId w:val="4"/>
  </w:num>
  <w:num w:numId="16">
    <w:abstractNumId w:val="21"/>
  </w:num>
  <w:num w:numId="17">
    <w:abstractNumId w:val="34"/>
  </w:num>
  <w:num w:numId="18">
    <w:abstractNumId w:val="14"/>
  </w:num>
  <w:num w:numId="19">
    <w:abstractNumId w:val="15"/>
  </w:num>
  <w:num w:numId="20">
    <w:abstractNumId w:val="27"/>
  </w:num>
  <w:num w:numId="21">
    <w:abstractNumId w:val="19"/>
  </w:num>
  <w:num w:numId="22">
    <w:abstractNumId w:val="13"/>
  </w:num>
  <w:num w:numId="23">
    <w:abstractNumId w:val="25"/>
  </w:num>
  <w:num w:numId="24">
    <w:abstractNumId w:val="36"/>
  </w:num>
  <w:num w:numId="25">
    <w:abstractNumId w:val="32"/>
  </w:num>
  <w:num w:numId="26">
    <w:abstractNumId w:val="6"/>
  </w:num>
  <w:num w:numId="27">
    <w:abstractNumId w:val="33"/>
  </w:num>
  <w:num w:numId="28">
    <w:abstractNumId w:val="0"/>
  </w:num>
  <w:num w:numId="29">
    <w:abstractNumId w:val="31"/>
  </w:num>
  <w:num w:numId="30">
    <w:abstractNumId w:val="16"/>
  </w:num>
  <w:num w:numId="31">
    <w:abstractNumId w:val="18"/>
  </w:num>
  <w:num w:numId="32">
    <w:abstractNumId w:val="9"/>
  </w:num>
  <w:num w:numId="33">
    <w:abstractNumId w:val="12"/>
  </w:num>
  <w:num w:numId="34">
    <w:abstractNumId w:val="35"/>
  </w:num>
  <w:num w:numId="35">
    <w:abstractNumId w:val="2"/>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7"/>
  </w:num>
  <w:num w:numId="4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6E4"/>
    <w:rsid w:val="00011B9F"/>
    <w:rsid w:val="00021A58"/>
    <w:rsid w:val="00031E81"/>
    <w:rsid w:val="0003669C"/>
    <w:rsid w:val="000412F0"/>
    <w:rsid w:val="00050004"/>
    <w:rsid w:val="00050DA6"/>
    <w:rsid w:val="000517FB"/>
    <w:rsid w:val="00053610"/>
    <w:rsid w:val="00055489"/>
    <w:rsid w:val="00057EC4"/>
    <w:rsid w:val="00061223"/>
    <w:rsid w:val="00070BE8"/>
    <w:rsid w:val="00074515"/>
    <w:rsid w:val="00075FB8"/>
    <w:rsid w:val="00090A11"/>
    <w:rsid w:val="000958C1"/>
    <w:rsid w:val="00095BE1"/>
    <w:rsid w:val="000977B8"/>
    <w:rsid w:val="000A700E"/>
    <w:rsid w:val="000B1407"/>
    <w:rsid w:val="000B4320"/>
    <w:rsid w:val="000C191C"/>
    <w:rsid w:val="000C2E96"/>
    <w:rsid w:val="000C50F5"/>
    <w:rsid w:val="000D7C19"/>
    <w:rsid w:val="000E3638"/>
    <w:rsid w:val="000F18E9"/>
    <w:rsid w:val="000F26C7"/>
    <w:rsid w:val="000F41C5"/>
    <w:rsid w:val="000F4D5B"/>
    <w:rsid w:val="000F5A18"/>
    <w:rsid w:val="000F7095"/>
    <w:rsid w:val="00100E29"/>
    <w:rsid w:val="0010667E"/>
    <w:rsid w:val="00107B61"/>
    <w:rsid w:val="0011170C"/>
    <w:rsid w:val="00116192"/>
    <w:rsid w:val="00116672"/>
    <w:rsid w:val="001233EC"/>
    <w:rsid w:val="00124A12"/>
    <w:rsid w:val="00124A33"/>
    <w:rsid w:val="0012711A"/>
    <w:rsid w:val="001275F2"/>
    <w:rsid w:val="0013368C"/>
    <w:rsid w:val="00150F4F"/>
    <w:rsid w:val="00151373"/>
    <w:rsid w:val="001524DB"/>
    <w:rsid w:val="00154FC5"/>
    <w:rsid w:val="00157801"/>
    <w:rsid w:val="00161D44"/>
    <w:rsid w:val="001650AF"/>
    <w:rsid w:val="001657CB"/>
    <w:rsid w:val="00170883"/>
    <w:rsid w:val="00173997"/>
    <w:rsid w:val="00175460"/>
    <w:rsid w:val="00187068"/>
    <w:rsid w:val="00194F34"/>
    <w:rsid w:val="00195866"/>
    <w:rsid w:val="00197997"/>
    <w:rsid w:val="001B0111"/>
    <w:rsid w:val="001C2162"/>
    <w:rsid w:val="001D3C03"/>
    <w:rsid w:val="001D68A6"/>
    <w:rsid w:val="001E53B1"/>
    <w:rsid w:val="00207F7C"/>
    <w:rsid w:val="00224602"/>
    <w:rsid w:val="00226E11"/>
    <w:rsid w:val="00240AD5"/>
    <w:rsid w:val="00245403"/>
    <w:rsid w:val="00250EC7"/>
    <w:rsid w:val="00254F86"/>
    <w:rsid w:val="00263F0B"/>
    <w:rsid w:val="0027282D"/>
    <w:rsid w:val="00272B0E"/>
    <w:rsid w:val="00272CE3"/>
    <w:rsid w:val="002829C3"/>
    <w:rsid w:val="002918B8"/>
    <w:rsid w:val="00296CA6"/>
    <w:rsid w:val="002A793B"/>
    <w:rsid w:val="002B328B"/>
    <w:rsid w:val="002B6095"/>
    <w:rsid w:val="002D689B"/>
    <w:rsid w:val="002D7EEF"/>
    <w:rsid w:val="002E487D"/>
    <w:rsid w:val="002F60DA"/>
    <w:rsid w:val="003061B4"/>
    <w:rsid w:val="00311D47"/>
    <w:rsid w:val="00336923"/>
    <w:rsid w:val="00341F2F"/>
    <w:rsid w:val="0034420B"/>
    <w:rsid w:val="00347123"/>
    <w:rsid w:val="00353A25"/>
    <w:rsid w:val="003550C6"/>
    <w:rsid w:val="00357140"/>
    <w:rsid w:val="00357EC3"/>
    <w:rsid w:val="00371A46"/>
    <w:rsid w:val="0037283C"/>
    <w:rsid w:val="0037291F"/>
    <w:rsid w:val="003730C5"/>
    <w:rsid w:val="0037748E"/>
    <w:rsid w:val="00381AD2"/>
    <w:rsid w:val="003825E1"/>
    <w:rsid w:val="00392FD3"/>
    <w:rsid w:val="003965FC"/>
    <w:rsid w:val="003A61B2"/>
    <w:rsid w:val="003A711B"/>
    <w:rsid w:val="003B4189"/>
    <w:rsid w:val="003C15F8"/>
    <w:rsid w:val="003C1862"/>
    <w:rsid w:val="003C2A55"/>
    <w:rsid w:val="003D0BD5"/>
    <w:rsid w:val="003E00D0"/>
    <w:rsid w:val="003E1C31"/>
    <w:rsid w:val="003E76E3"/>
    <w:rsid w:val="003F387E"/>
    <w:rsid w:val="00405E37"/>
    <w:rsid w:val="00412933"/>
    <w:rsid w:val="00415560"/>
    <w:rsid w:val="00417BE8"/>
    <w:rsid w:val="00431A5E"/>
    <w:rsid w:val="00450814"/>
    <w:rsid w:val="00451671"/>
    <w:rsid w:val="00455CFF"/>
    <w:rsid w:val="0046113E"/>
    <w:rsid w:val="00463CB8"/>
    <w:rsid w:val="00467F50"/>
    <w:rsid w:val="00474EAC"/>
    <w:rsid w:val="00486FF6"/>
    <w:rsid w:val="00492704"/>
    <w:rsid w:val="0049460A"/>
    <w:rsid w:val="004A1096"/>
    <w:rsid w:val="004A2E9B"/>
    <w:rsid w:val="004A3D86"/>
    <w:rsid w:val="004A6A0D"/>
    <w:rsid w:val="004B17EE"/>
    <w:rsid w:val="004B4759"/>
    <w:rsid w:val="004E02D5"/>
    <w:rsid w:val="004E1415"/>
    <w:rsid w:val="004E44B9"/>
    <w:rsid w:val="004F28FA"/>
    <w:rsid w:val="004F2F5C"/>
    <w:rsid w:val="004F371F"/>
    <w:rsid w:val="004F683D"/>
    <w:rsid w:val="00507E1C"/>
    <w:rsid w:val="005135AE"/>
    <w:rsid w:val="005429C0"/>
    <w:rsid w:val="00545931"/>
    <w:rsid w:val="00552A04"/>
    <w:rsid w:val="00553FD7"/>
    <w:rsid w:val="00560E4B"/>
    <w:rsid w:val="00562101"/>
    <w:rsid w:val="005662F8"/>
    <w:rsid w:val="0056781E"/>
    <w:rsid w:val="005707D5"/>
    <w:rsid w:val="005739E7"/>
    <w:rsid w:val="00573D28"/>
    <w:rsid w:val="00575160"/>
    <w:rsid w:val="00580E4B"/>
    <w:rsid w:val="0058372C"/>
    <w:rsid w:val="00596FA7"/>
    <w:rsid w:val="005A1814"/>
    <w:rsid w:val="005A6E69"/>
    <w:rsid w:val="005A7245"/>
    <w:rsid w:val="005B0818"/>
    <w:rsid w:val="005B1A1A"/>
    <w:rsid w:val="005B6F57"/>
    <w:rsid w:val="005C05FE"/>
    <w:rsid w:val="005C3AFE"/>
    <w:rsid w:val="005C624F"/>
    <w:rsid w:val="005C6B0F"/>
    <w:rsid w:val="005D42C4"/>
    <w:rsid w:val="005D4CE2"/>
    <w:rsid w:val="005D6AC0"/>
    <w:rsid w:val="005D7231"/>
    <w:rsid w:val="005E2771"/>
    <w:rsid w:val="005E6FD1"/>
    <w:rsid w:val="005F0BA2"/>
    <w:rsid w:val="005F6634"/>
    <w:rsid w:val="005F733E"/>
    <w:rsid w:val="00602A4F"/>
    <w:rsid w:val="00603252"/>
    <w:rsid w:val="006107CF"/>
    <w:rsid w:val="0061142F"/>
    <w:rsid w:val="00615209"/>
    <w:rsid w:val="00621024"/>
    <w:rsid w:val="00630BDD"/>
    <w:rsid w:val="0064266A"/>
    <w:rsid w:val="00647951"/>
    <w:rsid w:val="00651FF6"/>
    <w:rsid w:val="0066313C"/>
    <w:rsid w:val="00670B48"/>
    <w:rsid w:val="00683467"/>
    <w:rsid w:val="0068595A"/>
    <w:rsid w:val="00690A63"/>
    <w:rsid w:val="006921EA"/>
    <w:rsid w:val="0069253A"/>
    <w:rsid w:val="006A7771"/>
    <w:rsid w:val="006B21C7"/>
    <w:rsid w:val="006B226D"/>
    <w:rsid w:val="006C3E5B"/>
    <w:rsid w:val="006D1552"/>
    <w:rsid w:val="006E0E0B"/>
    <w:rsid w:val="006E4707"/>
    <w:rsid w:val="006E78F3"/>
    <w:rsid w:val="00724426"/>
    <w:rsid w:val="00724F5B"/>
    <w:rsid w:val="00731795"/>
    <w:rsid w:val="007366B6"/>
    <w:rsid w:val="00755713"/>
    <w:rsid w:val="0076212A"/>
    <w:rsid w:val="00770CF6"/>
    <w:rsid w:val="0078507F"/>
    <w:rsid w:val="00792F03"/>
    <w:rsid w:val="00797A95"/>
    <w:rsid w:val="007A0EEE"/>
    <w:rsid w:val="007A25AE"/>
    <w:rsid w:val="007A3278"/>
    <w:rsid w:val="007B2520"/>
    <w:rsid w:val="007B3C83"/>
    <w:rsid w:val="007C1893"/>
    <w:rsid w:val="007C23D7"/>
    <w:rsid w:val="007C5F57"/>
    <w:rsid w:val="007C649F"/>
    <w:rsid w:val="007C7420"/>
    <w:rsid w:val="007E1B61"/>
    <w:rsid w:val="007F721F"/>
    <w:rsid w:val="007F7B62"/>
    <w:rsid w:val="00814996"/>
    <w:rsid w:val="00814E0D"/>
    <w:rsid w:val="008205DE"/>
    <w:rsid w:val="008278E6"/>
    <w:rsid w:val="00835570"/>
    <w:rsid w:val="00852DAF"/>
    <w:rsid w:val="00855422"/>
    <w:rsid w:val="00857788"/>
    <w:rsid w:val="00863515"/>
    <w:rsid w:val="00870544"/>
    <w:rsid w:val="00876B2F"/>
    <w:rsid w:val="00876F61"/>
    <w:rsid w:val="00877B13"/>
    <w:rsid w:val="00877B84"/>
    <w:rsid w:val="00880450"/>
    <w:rsid w:val="00884B76"/>
    <w:rsid w:val="00890A1C"/>
    <w:rsid w:val="008918EA"/>
    <w:rsid w:val="00892B6A"/>
    <w:rsid w:val="0089455A"/>
    <w:rsid w:val="00896573"/>
    <w:rsid w:val="008A5E14"/>
    <w:rsid w:val="008B0412"/>
    <w:rsid w:val="008B3A40"/>
    <w:rsid w:val="008C5C99"/>
    <w:rsid w:val="008D1586"/>
    <w:rsid w:val="008D2837"/>
    <w:rsid w:val="008D675F"/>
    <w:rsid w:val="008F5410"/>
    <w:rsid w:val="008F5E73"/>
    <w:rsid w:val="00915546"/>
    <w:rsid w:val="00921306"/>
    <w:rsid w:val="00922558"/>
    <w:rsid w:val="0092672E"/>
    <w:rsid w:val="009270CF"/>
    <w:rsid w:val="0093182A"/>
    <w:rsid w:val="00935561"/>
    <w:rsid w:val="009426E4"/>
    <w:rsid w:val="009469B2"/>
    <w:rsid w:val="00950B0B"/>
    <w:rsid w:val="0095570F"/>
    <w:rsid w:val="009562BB"/>
    <w:rsid w:val="009568D0"/>
    <w:rsid w:val="009677D7"/>
    <w:rsid w:val="00970AE4"/>
    <w:rsid w:val="00973C3B"/>
    <w:rsid w:val="0098194B"/>
    <w:rsid w:val="00985B42"/>
    <w:rsid w:val="00995AB7"/>
    <w:rsid w:val="00995E25"/>
    <w:rsid w:val="00997454"/>
    <w:rsid w:val="00997E3E"/>
    <w:rsid w:val="00997E55"/>
    <w:rsid w:val="009A097E"/>
    <w:rsid w:val="009A6B39"/>
    <w:rsid w:val="009B0CD1"/>
    <w:rsid w:val="009C4EE3"/>
    <w:rsid w:val="009D179D"/>
    <w:rsid w:val="009D456C"/>
    <w:rsid w:val="009D72FC"/>
    <w:rsid w:val="009E0FD7"/>
    <w:rsid w:val="009F00EF"/>
    <w:rsid w:val="009F5B56"/>
    <w:rsid w:val="00A02DD5"/>
    <w:rsid w:val="00A0337B"/>
    <w:rsid w:val="00A0582B"/>
    <w:rsid w:val="00A1125F"/>
    <w:rsid w:val="00A228B6"/>
    <w:rsid w:val="00A23F28"/>
    <w:rsid w:val="00A2438E"/>
    <w:rsid w:val="00A25D6E"/>
    <w:rsid w:val="00A36042"/>
    <w:rsid w:val="00A45E79"/>
    <w:rsid w:val="00A50DBC"/>
    <w:rsid w:val="00A54FC4"/>
    <w:rsid w:val="00A6749F"/>
    <w:rsid w:val="00A708C9"/>
    <w:rsid w:val="00A720E4"/>
    <w:rsid w:val="00A73323"/>
    <w:rsid w:val="00A75995"/>
    <w:rsid w:val="00A8293A"/>
    <w:rsid w:val="00A907CC"/>
    <w:rsid w:val="00AA16EC"/>
    <w:rsid w:val="00AA4DF0"/>
    <w:rsid w:val="00AB113C"/>
    <w:rsid w:val="00AB3AA7"/>
    <w:rsid w:val="00AB3D14"/>
    <w:rsid w:val="00AC3B37"/>
    <w:rsid w:val="00AD587D"/>
    <w:rsid w:val="00AD649A"/>
    <w:rsid w:val="00AF2191"/>
    <w:rsid w:val="00AF79F1"/>
    <w:rsid w:val="00B07CDB"/>
    <w:rsid w:val="00B113CC"/>
    <w:rsid w:val="00B11F3F"/>
    <w:rsid w:val="00B1458C"/>
    <w:rsid w:val="00B260BA"/>
    <w:rsid w:val="00B42EBD"/>
    <w:rsid w:val="00B44978"/>
    <w:rsid w:val="00B5355F"/>
    <w:rsid w:val="00B7383F"/>
    <w:rsid w:val="00B76C56"/>
    <w:rsid w:val="00BA38CC"/>
    <w:rsid w:val="00BB1D40"/>
    <w:rsid w:val="00BB4418"/>
    <w:rsid w:val="00BC33A3"/>
    <w:rsid w:val="00BC62BA"/>
    <w:rsid w:val="00BD3C3F"/>
    <w:rsid w:val="00BE2D78"/>
    <w:rsid w:val="00BE34EF"/>
    <w:rsid w:val="00BF443A"/>
    <w:rsid w:val="00BF591B"/>
    <w:rsid w:val="00BF6259"/>
    <w:rsid w:val="00C32612"/>
    <w:rsid w:val="00C37995"/>
    <w:rsid w:val="00C37F60"/>
    <w:rsid w:val="00C400B0"/>
    <w:rsid w:val="00C40D1E"/>
    <w:rsid w:val="00C4346D"/>
    <w:rsid w:val="00C43A4E"/>
    <w:rsid w:val="00C44AE7"/>
    <w:rsid w:val="00C45AD0"/>
    <w:rsid w:val="00C4755B"/>
    <w:rsid w:val="00C62A09"/>
    <w:rsid w:val="00C65AB1"/>
    <w:rsid w:val="00C75667"/>
    <w:rsid w:val="00C761EC"/>
    <w:rsid w:val="00C811F8"/>
    <w:rsid w:val="00C82D74"/>
    <w:rsid w:val="00C851A9"/>
    <w:rsid w:val="00CA6106"/>
    <w:rsid w:val="00CB77A1"/>
    <w:rsid w:val="00CB7F8E"/>
    <w:rsid w:val="00CC502E"/>
    <w:rsid w:val="00CD33DE"/>
    <w:rsid w:val="00CD4B63"/>
    <w:rsid w:val="00CD519F"/>
    <w:rsid w:val="00CD54D8"/>
    <w:rsid w:val="00CD63AE"/>
    <w:rsid w:val="00CF1063"/>
    <w:rsid w:val="00D07C76"/>
    <w:rsid w:val="00D12E37"/>
    <w:rsid w:val="00D13229"/>
    <w:rsid w:val="00D147A7"/>
    <w:rsid w:val="00D23DDD"/>
    <w:rsid w:val="00D25DA7"/>
    <w:rsid w:val="00D361FF"/>
    <w:rsid w:val="00D36DB2"/>
    <w:rsid w:val="00D37ED9"/>
    <w:rsid w:val="00D64654"/>
    <w:rsid w:val="00D73443"/>
    <w:rsid w:val="00D91CA3"/>
    <w:rsid w:val="00D97FC4"/>
    <w:rsid w:val="00DA3419"/>
    <w:rsid w:val="00DB26AD"/>
    <w:rsid w:val="00DB3D01"/>
    <w:rsid w:val="00DB65BE"/>
    <w:rsid w:val="00DD394F"/>
    <w:rsid w:val="00DD53B1"/>
    <w:rsid w:val="00DD7729"/>
    <w:rsid w:val="00DE3419"/>
    <w:rsid w:val="00DE5435"/>
    <w:rsid w:val="00DF17AE"/>
    <w:rsid w:val="00DF4407"/>
    <w:rsid w:val="00DF6570"/>
    <w:rsid w:val="00DF7A7A"/>
    <w:rsid w:val="00E22CAB"/>
    <w:rsid w:val="00E35C5D"/>
    <w:rsid w:val="00E46E51"/>
    <w:rsid w:val="00E66446"/>
    <w:rsid w:val="00E75BB3"/>
    <w:rsid w:val="00E771AB"/>
    <w:rsid w:val="00EA47E0"/>
    <w:rsid w:val="00EA4D5C"/>
    <w:rsid w:val="00EA61A5"/>
    <w:rsid w:val="00EA688F"/>
    <w:rsid w:val="00EB2E8D"/>
    <w:rsid w:val="00EB73B8"/>
    <w:rsid w:val="00ED0457"/>
    <w:rsid w:val="00ED2AE7"/>
    <w:rsid w:val="00ED3501"/>
    <w:rsid w:val="00ED5877"/>
    <w:rsid w:val="00EF247E"/>
    <w:rsid w:val="00EF3958"/>
    <w:rsid w:val="00F156EF"/>
    <w:rsid w:val="00F1586E"/>
    <w:rsid w:val="00F204C8"/>
    <w:rsid w:val="00F23BD6"/>
    <w:rsid w:val="00F24AE2"/>
    <w:rsid w:val="00F27A6F"/>
    <w:rsid w:val="00F32D99"/>
    <w:rsid w:val="00F3695F"/>
    <w:rsid w:val="00F428EE"/>
    <w:rsid w:val="00F4566F"/>
    <w:rsid w:val="00F51292"/>
    <w:rsid w:val="00F54619"/>
    <w:rsid w:val="00F55DC5"/>
    <w:rsid w:val="00F568E1"/>
    <w:rsid w:val="00F61E6A"/>
    <w:rsid w:val="00F64370"/>
    <w:rsid w:val="00F656FA"/>
    <w:rsid w:val="00F7361E"/>
    <w:rsid w:val="00F83442"/>
    <w:rsid w:val="00F85AEF"/>
    <w:rsid w:val="00F91DB8"/>
    <w:rsid w:val="00F927E2"/>
    <w:rsid w:val="00F95565"/>
    <w:rsid w:val="00F95C85"/>
    <w:rsid w:val="00F96EAE"/>
    <w:rsid w:val="00FA5877"/>
    <w:rsid w:val="00FB0A98"/>
    <w:rsid w:val="00FB0F57"/>
    <w:rsid w:val="00FB36FE"/>
    <w:rsid w:val="00FB74F3"/>
    <w:rsid w:val="00FB7800"/>
    <w:rsid w:val="00FC16C6"/>
    <w:rsid w:val="00FD0838"/>
    <w:rsid w:val="00FF11D7"/>
    <w:rsid w:val="00FF6B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A58"/>
  </w:style>
  <w:style w:type="paragraph" w:styleId="Heading1">
    <w:name w:val="heading 1"/>
    <w:basedOn w:val="Normal"/>
    <w:next w:val="Normal"/>
    <w:link w:val="Heading1Char"/>
    <w:uiPriority w:val="9"/>
    <w:qFormat/>
    <w:rsid w:val="00451671"/>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9"/>
    <w:qFormat/>
    <w:rsid w:val="000F7095"/>
    <w:pPr>
      <w:keepNext/>
      <w:keepLines/>
      <w:spacing w:before="200" w:line="276" w:lineRule="auto"/>
      <w:outlineLvl w:val="1"/>
    </w:pPr>
    <w:rPr>
      <w:rFonts w:ascii="Cambria" w:eastAsia="MS Gothic" w:hAnsi="Cambria" w:cs="Times New Roman"/>
      <w:b/>
      <w:bCs/>
      <w:color w:val="4F81BD"/>
      <w:sz w:val="26"/>
      <w:szCs w:val="26"/>
    </w:rPr>
  </w:style>
  <w:style w:type="paragraph" w:styleId="Heading3">
    <w:name w:val="heading 3"/>
    <w:basedOn w:val="Normal"/>
    <w:next w:val="Normal"/>
    <w:link w:val="Heading3Char"/>
    <w:uiPriority w:val="99"/>
    <w:qFormat/>
    <w:rsid w:val="000F7095"/>
    <w:pPr>
      <w:keepNext/>
      <w:keepLines/>
      <w:spacing w:before="200" w:line="276" w:lineRule="auto"/>
      <w:outlineLvl w:val="2"/>
    </w:pPr>
    <w:rPr>
      <w:rFonts w:ascii="Cambria" w:eastAsia="MS Gothic"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3D01"/>
    <w:pPr>
      <w:spacing w:line="276" w:lineRule="auto"/>
      <w:ind w:left="720"/>
      <w:contextualSpacing/>
    </w:pPr>
  </w:style>
  <w:style w:type="paragraph" w:styleId="Header">
    <w:name w:val="header"/>
    <w:basedOn w:val="Normal"/>
    <w:link w:val="HeaderChar"/>
    <w:uiPriority w:val="99"/>
    <w:unhideWhenUsed/>
    <w:rsid w:val="000B4320"/>
    <w:pPr>
      <w:tabs>
        <w:tab w:val="center" w:pos="4153"/>
        <w:tab w:val="right" w:pos="8306"/>
      </w:tabs>
    </w:pPr>
  </w:style>
  <w:style w:type="character" w:customStyle="1" w:styleId="HeaderChar">
    <w:name w:val="Header Char"/>
    <w:basedOn w:val="DefaultParagraphFont"/>
    <w:link w:val="Header"/>
    <w:uiPriority w:val="99"/>
    <w:rsid w:val="000B4320"/>
  </w:style>
  <w:style w:type="paragraph" w:styleId="Footer">
    <w:name w:val="footer"/>
    <w:basedOn w:val="Normal"/>
    <w:link w:val="FooterChar"/>
    <w:uiPriority w:val="99"/>
    <w:unhideWhenUsed/>
    <w:rsid w:val="000B4320"/>
    <w:pPr>
      <w:tabs>
        <w:tab w:val="center" w:pos="4153"/>
        <w:tab w:val="right" w:pos="8306"/>
      </w:tabs>
    </w:pPr>
  </w:style>
  <w:style w:type="character" w:customStyle="1" w:styleId="FooterChar">
    <w:name w:val="Footer Char"/>
    <w:basedOn w:val="DefaultParagraphFont"/>
    <w:link w:val="Footer"/>
    <w:uiPriority w:val="99"/>
    <w:rsid w:val="000B4320"/>
  </w:style>
  <w:style w:type="character" w:styleId="Hyperlink">
    <w:name w:val="Hyperlink"/>
    <w:basedOn w:val="DefaultParagraphFont"/>
    <w:uiPriority w:val="99"/>
    <w:unhideWhenUsed/>
    <w:rsid w:val="00347123"/>
    <w:rPr>
      <w:rFonts w:ascii="Times New Roman" w:hAnsi="Times New Roman" w:cs="Times New Roman" w:hint="default"/>
      <w:color w:val="0000FF"/>
      <w:u w:val="single"/>
    </w:rPr>
  </w:style>
  <w:style w:type="paragraph" w:styleId="Subtitle">
    <w:name w:val="Subtitle"/>
    <w:basedOn w:val="Normal"/>
    <w:next w:val="Normal"/>
    <w:link w:val="SubtitleChar"/>
    <w:uiPriority w:val="99"/>
    <w:qFormat/>
    <w:rsid w:val="00347123"/>
    <w:pPr>
      <w:keepNext/>
      <w:keepLines/>
      <w:widowControl w:val="0"/>
      <w:suppressAutoHyphens/>
      <w:spacing w:before="600" w:after="600"/>
      <w:ind w:right="4820"/>
    </w:pPr>
    <w:rPr>
      <w:rFonts w:eastAsia="Times New Roman" w:cs="Times New Roman"/>
      <w:b/>
      <w:sz w:val="26"/>
      <w:szCs w:val="20"/>
      <w:lang w:val="en-AU"/>
    </w:rPr>
  </w:style>
  <w:style w:type="character" w:customStyle="1" w:styleId="SubtitleChar">
    <w:name w:val="Subtitle Char"/>
    <w:basedOn w:val="DefaultParagraphFont"/>
    <w:link w:val="Subtitle"/>
    <w:uiPriority w:val="99"/>
    <w:rsid w:val="00347123"/>
    <w:rPr>
      <w:rFonts w:eastAsia="Times New Roman" w:cs="Times New Roman"/>
      <w:b/>
      <w:sz w:val="26"/>
      <w:szCs w:val="20"/>
      <w:lang w:val="en-AU"/>
    </w:rPr>
  </w:style>
  <w:style w:type="paragraph" w:styleId="BalloonText">
    <w:name w:val="Balloon Text"/>
    <w:basedOn w:val="Normal"/>
    <w:link w:val="BalloonTextChar"/>
    <w:uiPriority w:val="99"/>
    <w:semiHidden/>
    <w:unhideWhenUsed/>
    <w:rsid w:val="00C400B0"/>
    <w:rPr>
      <w:rFonts w:ascii="Tahoma" w:hAnsi="Tahoma" w:cs="Tahoma"/>
      <w:sz w:val="16"/>
      <w:szCs w:val="16"/>
    </w:rPr>
  </w:style>
  <w:style w:type="character" w:customStyle="1" w:styleId="BalloonTextChar">
    <w:name w:val="Balloon Text Char"/>
    <w:basedOn w:val="DefaultParagraphFont"/>
    <w:link w:val="BalloonText"/>
    <w:uiPriority w:val="99"/>
    <w:semiHidden/>
    <w:rsid w:val="00C400B0"/>
    <w:rPr>
      <w:rFonts w:ascii="Tahoma" w:hAnsi="Tahoma" w:cs="Tahoma"/>
      <w:sz w:val="16"/>
      <w:szCs w:val="16"/>
    </w:rPr>
  </w:style>
  <w:style w:type="character" w:styleId="CommentReference">
    <w:name w:val="annotation reference"/>
    <w:basedOn w:val="DefaultParagraphFont"/>
    <w:uiPriority w:val="99"/>
    <w:semiHidden/>
    <w:unhideWhenUsed/>
    <w:rsid w:val="008278E6"/>
    <w:rPr>
      <w:sz w:val="16"/>
      <w:szCs w:val="16"/>
    </w:rPr>
  </w:style>
  <w:style w:type="paragraph" w:styleId="CommentText">
    <w:name w:val="annotation text"/>
    <w:basedOn w:val="Normal"/>
    <w:link w:val="CommentTextChar"/>
    <w:uiPriority w:val="99"/>
    <w:semiHidden/>
    <w:unhideWhenUsed/>
    <w:rsid w:val="008278E6"/>
    <w:rPr>
      <w:sz w:val="20"/>
      <w:szCs w:val="20"/>
    </w:rPr>
  </w:style>
  <w:style w:type="character" w:customStyle="1" w:styleId="CommentTextChar">
    <w:name w:val="Comment Text Char"/>
    <w:basedOn w:val="DefaultParagraphFont"/>
    <w:link w:val="CommentText"/>
    <w:uiPriority w:val="99"/>
    <w:semiHidden/>
    <w:rsid w:val="008278E6"/>
    <w:rPr>
      <w:sz w:val="20"/>
      <w:szCs w:val="20"/>
    </w:rPr>
  </w:style>
  <w:style w:type="paragraph" w:styleId="CommentSubject">
    <w:name w:val="annotation subject"/>
    <w:basedOn w:val="CommentText"/>
    <w:next w:val="CommentText"/>
    <w:link w:val="CommentSubjectChar"/>
    <w:uiPriority w:val="99"/>
    <w:semiHidden/>
    <w:unhideWhenUsed/>
    <w:rsid w:val="008278E6"/>
    <w:rPr>
      <w:b/>
      <w:bCs/>
    </w:rPr>
  </w:style>
  <w:style w:type="character" w:customStyle="1" w:styleId="CommentSubjectChar">
    <w:name w:val="Comment Subject Char"/>
    <w:basedOn w:val="CommentTextChar"/>
    <w:link w:val="CommentSubject"/>
    <w:uiPriority w:val="99"/>
    <w:semiHidden/>
    <w:rsid w:val="008278E6"/>
    <w:rPr>
      <w:b/>
      <w:bCs/>
      <w:sz w:val="20"/>
      <w:szCs w:val="20"/>
    </w:rPr>
  </w:style>
  <w:style w:type="table" w:styleId="TableGrid">
    <w:name w:val="Table Grid"/>
    <w:basedOn w:val="TableNormal"/>
    <w:uiPriority w:val="59"/>
    <w:rsid w:val="00A708C9"/>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395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F7095"/>
    <w:rPr>
      <w:rFonts w:ascii="Cambria" w:eastAsia="MS Gothic" w:hAnsi="Cambria" w:cs="Times New Roman"/>
      <w:b/>
      <w:bCs/>
      <w:color w:val="4F81BD"/>
      <w:sz w:val="26"/>
      <w:szCs w:val="26"/>
    </w:rPr>
  </w:style>
  <w:style w:type="character" w:customStyle="1" w:styleId="Heading3Char">
    <w:name w:val="Heading 3 Char"/>
    <w:basedOn w:val="DefaultParagraphFont"/>
    <w:link w:val="Heading3"/>
    <w:uiPriority w:val="99"/>
    <w:rsid w:val="000F7095"/>
    <w:rPr>
      <w:rFonts w:ascii="Cambria" w:eastAsia="MS Gothic" w:hAnsi="Cambria" w:cs="Times New Roman"/>
      <w:b/>
      <w:bCs/>
      <w:color w:val="4F81BD"/>
    </w:rPr>
  </w:style>
  <w:style w:type="numbering" w:customStyle="1" w:styleId="NoList1">
    <w:name w:val="No List1"/>
    <w:next w:val="NoList"/>
    <w:uiPriority w:val="99"/>
    <w:semiHidden/>
    <w:unhideWhenUsed/>
    <w:rsid w:val="000F7095"/>
  </w:style>
  <w:style w:type="paragraph" w:styleId="NoSpacing">
    <w:name w:val="No Spacing"/>
    <w:uiPriority w:val="99"/>
    <w:qFormat/>
    <w:rsid w:val="000F7095"/>
    <w:rPr>
      <w:rFonts w:ascii="Calibri" w:eastAsia="Calibri" w:hAnsi="Calibri" w:cs="Times New Roman"/>
      <w:sz w:val="22"/>
    </w:rPr>
  </w:style>
  <w:style w:type="paragraph" w:styleId="Revision">
    <w:name w:val="Revision"/>
    <w:hidden/>
    <w:uiPriority w:val="99"/>
    <w:semiHidden/>
    <w:rsid w:val="000F7095"/>
    <w:rPr>
      <w:rFonts w:eastAsia="Calibri" w:cs="Times New Roman"/>
    </w:rPr>
  </w:style>
  <w:style w:type="paragraph" w:styleId="TOC1">
    <w:name w:val="toc 1"/>
    <w:basedOn w:val="Normal"/>
    <w:next w:val="Normal"/>
    <w:autoRedefine/>
    <w:uiPriority w:val="39"/>
    <w:rsid w:val="009D72FC"/>
    <w:pPr>
      <w:tabs>
        <w:tab w:val="left" w:pos="440"/>
        <w:tab w:val="right" w:leader="dot" w:pos="9072"/>
      </w:tabs>
      <w:spacing w:before="60" w:after="40"/>
    </w:pPr>
    <w:rPr>
      <w:rFonts w:eastAsia="MS Mincho" w:cs="Times New Roman"/>
      <w:b/>
      <w:noProof/>
      <w:szCs w:val="28"/>
    </w:rPr>
  </w:style>
  <w:style w:type="character" w:customStyle="1" w:styleId="Heading1Char">
    <w:name w:val="Heading 1 Char"/>
    <w:basedOn w:val="DefaultParagraphFont"/>
    <w:link w:val="Heading1"/>
    <w:uiPriority w:val="9"/>
    <w:rsid w:val="00451671"/>
    <w:rPr>
      <w:rFonts w:asciiTheme="majorHAnsi" w:eastAsiaTheme="majorEastAsia" w:hAnsiTheme="majorHAnsi" w:cstheme="majorBidi"/>
      <w:b/>
      <w:bCs/>
      <w:color w:val="365F91" w:themeColor="accent1" w:themeShade="BF"/>
      <w:szCs w:val="28"/>
    </w:rPr>
  </w:style>
  <w:style w:type="paragraph" w:styleId="TOCHeading">
    <w:name w:val="TOC Heading"/>
    <w:basedOn w:val="Heading1"/>
    <w:next w:val="Normal"/>
    <w:uiPriority w:val="39"/>
    <w:unhideWhenUsed/>
    <w:qFormat/>
    <w:rsid w:val="00B11F3F"/>
    <w:pPr>
      <w:spacing w:line="276" w:lineRule="auto"/>
      <w:outlineLvl w:val="9"/>
    </w:pPr>
    <w:rPr>
      <w:lang w:val="en-US" w:eastAsia="ja-JP"/>
    </w:rPr>
  </w:style>
  <w:style w:type="paragraph" w:styleId="TOC2">
    <w:name w:val="toc 2"/>
    <w:basedOn w:val="Normal"/>
    <w:next w:val="Normal"/>
    <w:autoRedefine/>
    <w:uiPriority w:val="39"/>
    <w:unhideWhenUsed/>
    <w:rsid w:val="00A54FC4"/>
    <w:pPr>
      <w:tabs>
        <w:tab w:val="left" w:pos="851"/>
        <w:tab w:val="right" w:leader="dot" w:pos="9061"/>
      </w:tabs>
      <w:spacing w:after="100"/>
      <w:ind w:left="280"/>
    </w:pPr>
  </w:style>
  <w:style w:type="character" w:customStyle="1" w:styleId="ListParagraphChar">
    <w:name w:val="List Paragraph Char"/>
    <w:link w:val="ListParagraph"/>
    <w:uiPriority w:val="34"/>
    <w:locked/>
    <w:rsid w:val="008918EA"/>
  </w:style>
  <w:style w:type="paragraph" w:customStyle="1" w:styleId="Taksts11">
    <w:name w:val="Taksts_11"/>
    <w:basedOn w:val="Normal"/>
    <w:rsid w:val="008918EA"/>
    <w:pPr>
      <w:ind w:firstLine="567"/>
      <w:jc w:val="both"/>
    </w:pPr>
    <w:rPr>
      <w:rFonts w:eastAsia="Times New Roman" w:cs="Times New Roman"/>
      <w:sz w:val="24"/>
      <w:szCs w:val="20"/>
      <w:lang w:val="en-US"/>
    </w:rPr>
  </w:style>
  <w:style w:type="paragraph" w:styleId="Quote">
    <w:name w:val="Quote"/>
    <w:basedOn w:val="Normal"/>
    <w:next w:val="Normal"/>
    <w:link w:val="QuoteChar"/>
    <w:uiPriority w:val="29"/>
    <w:qFormat/>
    <w:rsid w:val="007B2520"/>
    <w:pPr>
      <w:spacing w:after="200" w:line="276" w:lineRule="auto"/>
    </w:pPr>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7B2520"/>
    <w:rPr>
      <w:rFonts w:asciiTheme="minorHAnsi" w:hAnsiTheme="minorHAnsi"/>
      <w:i/>
      <w:iCs/>
      <w:color w:val="000000" w:themeColor="text1"/>
      <w:sz w:val="22"/>
    </w:rPr>
  </w:style>
  <w:style w:type="character" w:customStyle="1" w:styleId="spelle">
    <w:name w:val="spelle"/>
    <w:basedOn w:val="DefaultParagraphFont"/>
    <w:rsid w:val="00B1458C"/>
  </w:style>
  <w:style w:type="paragraph" w:styleId="BodyText2">
    <w:name w:val="Body Text 2"/>
    <w:basedOn w:val="Normal"/>
    <w:link w:val="BodyText2Char"/>
    <w:uiPriority w:val="99"/>
    <w:rsid w:val="00EF247E"/>
    <w:pPr>
      <w:spacing w:after="120" w:line="480" w:lineRule="auto"/>
    </w:pPr>
    <w:rPr>
      <w:rFonts w:eastAsia="Times New Roman" w:cs="Times New Roman"/>
      <w:sz w:val="24"/>
      <w:szCs w:val="24"/>
      <w:lang w:val="en-GB"/>
    </w:rPr>
  </w:style>
  <w:style w:type="character" w:customStyle="1" w:styleId="BodyText2Char">
    <w:name w:val="Body Text 2 Char"/>
    <w:basedOn w:val="DefaultParagraphFont"/>
    <w:link w:val="BodyText2"/>
    <w:uiPriority w:val="99"/>
    <w:rsid w:val="00EF247E"/>
    <w:rPr>
      <w:rFonts w:eastAsia="Times New Roman" w:cs="Times New Roman"/>
      <w:sz w:val="24"/>
      <w:szCs w:val="24"/>
      <w:lang w:val="en-GB"/>
    </w:rPr>
  </w:style>
  <w:style w:type="table" w:styleId="LightShading">
    <w:name w:val="Light Shading"/>
    <w:basedOn w:val="TableNormal"/>
    <w:uiPriority w:val="60"/>
    <w:rsid w:val="00EF247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
    <w:name w:val="Table Grid2"/>
    <w:basedOn w:val="TableNormal"/>
    <w:next w:val="TableGrid"/>
    <w:uiPriority w:val="59"/>
    <w:rsid w:val="00A1125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41F2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675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36042"/>
    <w:rPr>
      <w:sz w:val="20"/>
      <w:szCs w:val="20"/>
    </w:rPr>
  </w:style>
  <w:style w:type="character" w:customStyle="1" w:styleId="FootnoteTextChar">
    <w:name w:val="Footnote Text Char"/>
    <w:basedOn w:val="DefaultParagraphFont"/>
    <w:link w:val="FootnoteText"/>
    <w:uiPriority w:val="99"/>
    <w:semiHidden/>
    <w:rsid w:val="00A36042"/>
    <w:rPr>
      <w:sz w:val="20"/>
      <w:szCs w:val="20"/>
    </w:rPr>
  </w:style>
  <w:style w:type="character" w:styleId="FootnoteReference">
    <w:name w:val="footnote reference"/>
    <w:basedOn w:val="DefaultParagraphFont"/>
    <w:uiPriority w:val="99"/>
    <w:semiHidden/>
    <w:unhideWhenUsed/>
    <w:rsid w:val="00A360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A58"/>
  </w:style>
  <w:style w:type="paragraph" w:styleId="Heading1">
    <w:name w:val="heading 1"/>
    <w:basedOn w:val="Normal"/>
    <w:next w:val="Normal"/>
    <w:link w:val="Heading1Char"/>
    <w:uiPriority w:val="9"/>
    <w:qFormat/>
    <w:rsid w:val="00451671"/>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9"/>
    <w:qFormat/>
    <w:rsid w:val="000F7095"/>
    <w:pPr>
      <w:keepNext/>
      <w:keepLines/>
      <w:spacing w:before="200" w:line="276" w:lineRule="auto"/>
      <w:outlineLvl w:val="1"/>
    </w:pPr>
    <w:rPr>
      <w:rFonts w:ascii="Cambria" w:eastAsia="MS Gothic" w:hAnsi="Cambria" w:cs="Times New Roman"/>
      <w:b/>
      <w:bCs/>
      <w:color w:val="4F81BD"/>
      <w:sz w:val="26"/>
      <w:szCs w:val="26"/>
    </w:rPr>
  </w:style>
  <w:style w:type="paragraph" w:styleId="Heading3">
    <w:name w:val="heading 3"/>
    <w:basedOn w:val="Normal"/>
    <w:next w:val="Normal"/>
    <w:link w:val="Heading3Char"/>
    <w:uiPriority w:val="99"/>
    <w:qFormat/>
    <w:rsid w:val="000F7095"/>
    <w:pPr>
      <w:keepNext/>
      <w:keepLines/>
      <w:spacing w:before="200" w:line="276" w:lineRule="auto"/>
      <w:outlineLvl w:val="2"/>
    </w:pPr>
    <w:rPr>
      <w:rFonts w:ascii="Cambria" w:eastAsia="MS Gothic"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3D01"/>
    <w:pPr>
      <w:spacing w:line="276" w:lineRule="auto"/>
      <w:ind w:left="720"/>
      <w:contextualSpacing/>
    </w:pPr>
  </w:style>
  <w:style w:type="paragraph" w:styleId="Header">
    <w:name w:val="header"/>
    <w:basedOn w:val="Normal"/>
    <w:link w:val="HeaderChar"/>
    <w:uiPriority w:val="99"/>
    <w:unhideWhenUsed/>
    <w:rsid w:val="000B4320"/>
    <w:pPr>
      <w:tabs>
        <w:tab w:val="center" w:pos="4153"/>
        <w:tab w:val="right" w:pos="8306"/>
      </w:tabs>
    </w:pPr>
  </w:style>
  <w:style w:type="character" w:customStyle="1" w:styleId="HeaderChar">
    <w:name w:val="Header Char"/>
    <w:basedOn w:val="DefaultParagraphFont"/>
    <w:link w:val="Header"/>
    <w:uiPriority w:val="99"/>
    <w:rsid w:val="000B4320"/>
  </w:style>
  <w:style w:type="paragraph" w:styleId="Footer">
    <w:name w:val="footer"/>
    <w:basedOn w:val="Normal"/>
    <w:link w:val="FooterChar"/>
    <w:uiPriority w:val="99"/>
    <w:unhideWhenUsed/>
    <w:rsid w:val="000B4320"/>
    <w:pPr>
      <w:tabs>
        <w:tab w:val="center" w:pos="4153"/>
        <w:tab w:val="right" w:pos="8306"/>
      </w:tabs>
    </w:pPr>
  </w:style>
  <w:style w:type="character" w:customStyle="1" w:styleId="FooterChar">
    <w:name w:val="Footer Char"/>
    <w:basedOn w:val="DefaultParagraphFont"/>
    <w:link w:val="Footer"/>
    <w:uiPriority w:val="99"/>
    <w:rsid w:val="000B4320"/>
  </w:style>
  <w:style w:type="character" w:styleId="Hyperlink">
    <w:name w:val="Hyperlink"/>
    <w:basedOn w:val="DefaultParagraphFont"/>
    <w:uiPriority w:val="99"/>
    <w:unhideWhenUsed/>
    <w:rsid w:val="00347123"/>
    <w:rPr>
      <w:rFonts w:ascii="Times New Roman" w:hAnsi="Times New Roman" w:cs="Times New Roman" w:hint="default"/>
      <w:color w:val="0000FF"/>
      <w:u w:val="single"/>
    </w:rPr>
  </w:style>
  <w:style w:type="paragraph" w:styleId="Subtitle">
    <w:name w:val="Subtitle"/>
    <w:basedOn w:val="Normal"/>
    <w:next w:val="Normal"/>
    <w:link w:val="SubtitleChar"/>
    <w:uiPriority w:val="99"/>
    <w:qFormat/>
    <w:rsid w:val="00347123"/>
    <w:pPr>
      <w:keepNext/>
      <w:keepLines/>
      <w:widowControl w:val="0"/>
      <w:suppressAutoHyphens/>
      <w:spacing w:before="600" w:after="600"/>
      <w:ind w:right="4820"/>
    </w:pPr>
    <w:rPr>
      <w:rFonts w:eastAsia="Times New Roman" w:cs="Times New Roman"/>
      <w:b/>
      <w:sz w:val="26"/>
      <w:szCs w:val="20"/>
      <w:lang w:val="en-AU"/>
    </w:rPr>
  </w:style>
  <w:style w:type="character" w:customStyle="1" w:styleId="SubtitleChar">
    <w:name w:val="Subtitle Char"/>
    <w:basedOn w:val="DefaultParagraphFont"/>
    <w:link w:val="Subtitle"/>
    <w:uiPriority w:val="99"/>
    <w:rsid w:val="00347123"/>
    <w:rPr>
      <w:rFonts w:eastAsia="Times New Roman" w:cs="Times New Roman"/>
      <w:b/>
      <w:sz w:val="26"/>
      <w:szCs w:val="20"/>
      <w:lang w:val="en-AU"/>
    </w:rPr>
  </w:style>
  <w:style w:type="paragraph" w:styleId="BalloonText">
    <w:name w:val="Balloon Text"/>
    <w:basedOn w:val="Normal"/>
    <w:link w:val="BalloonTextChar"/>
    <w:uiPriority w:val="99"/>
    <w:semiHidden/>
    <w:unhideWhenUsed/>
    <w:rsid w:val="00C400B0"/>
    <w:rPr>
      <w:rFonts w:ascii="Tahoma" w:hAnsi="Tahoma" w:cs="Tahoma"/>
      <w:sz w:val="16"/>
      <w:szCs w:val="16"/>
    </w:rPr>
  </w:style>
  <w:style w:type="character" w:customStyle="1" w:styleId="BalloonTextChar">
    <w:name w:val="Balloon Text Char"/>
    <w:basedOn w:val="DefaultParagraphFont"/>
    <w:link w:val="BalloonText"/>
    <w:uiPriority w:val="99"/>
    <w:semiHidden/>
    <w:rsid w:val="00C400B0"/>
    <w:rPr>
      <w:rFonts w:ascii="Tahoma" w:hAnsi="Tahoma" w:cs="Tahoma"/>
      <w:sz w:val="16"/>
      <w:szCs w:val="16"/>
    </w:rPr>
  </w:style>
  <w:style w:type="character" w:styleId="CommentReference">
    <w:name w:val="annotation reference"/>
    <w:basedOn w:val="DefaultParagraphFont"/>
    <w:uiPriority w:val="99"/>
    <w:semiHidden/>
    <w:unhideWhenUsed/>
    <w:rsid w:val="008278E6"/>
    <w:rPr>
      <w:sz w:val="16"/>
      <w:szCs w:val="16"/>
    </w:rPr>
  </w:style>
  <w:style w:type="paragraph" w:styleId="CommentText">
    <w:name w:val="annotation text"/>
    <w:basedOn w:val="Normal"/>
    <w:link w:val="CommentTextChar"/>
    <w:uiPriority w:val="99"/>
    <w:semiHidden/>
    <w:unhideWhenUsed/>
    <w:rsid w:val="008278E6"/>
    <w:rPr>
      <w:sz w:val="20"/>
      <w:szCs w:val="20"/>
    </w:rPr>
  </w:style>
  <w:style w:type="character" w:customStyle="1" w:styleId="CommentTextChar">
    <w:name w:val="Comment Text Char"/>
    <w:basedOn w:val="DefaultParagraphFont"/>
    <w:link w:val="CommentText"/>
    <w:uiPriority w:val="99"/>
    <w:semiHidden/>
    <w:rsid w:val="008278E6"/>
    <w:rPr>
      <w:sz w:val="20"/>
      <w:szCs w:val="20"/>
    </w:rPr>
  </w:style>
  <w:style w:type="paragraph" w:styleId="CommentSubject">
    <w:name w:val="annotation subject"/>
    <w:basedOn w:val="CommentText"/>
    <w:next w:val="CommentText"/>
    <w:link w:val="CommentSubjectChar"/>
    <w:uiPriority w:val="99"/>
    <w:semiHidden/>
    <w:unhideWhenUsed/>
    <w:rsid w:val="008278E6"/>
    <w:rPr>
      <w:b/>
      <w:bCs/>
    </w:rPr>
  </w:style>
  <w:style w:type="character" w:customStyle="1" w:styleId="CommentSubjectChar">
    <w:name w:val="Comment Subject Char"/>
    <w:basedOn w:val="CommentTextChar"/>
    <w:link w:val="CommentSubject"/>
    <w:uiPriority w:val="99"/>
    <w:semiHidden/>
    <w:rsid w:val="008278E6"/>
    <w:rPr>
      <w:b/>
      <w:bCs/>
      <w:sz w:val="20"/>
      <w:szCs w:val="20"/>
    </w:rPr>
  </w:style>
  <w:style w:type="table" w:styleId="TableGrid">
    <w:name w:val="Table Grid"/>
    <w:basedOn w:val="TableNormal"/>
    <w:uiPriority w:val="59"/>
    <w:rsid w:val="00A708C9"/>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395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F7095"/>
    <w:rPr>
      <w:rFonts w:ascii="Cambria" w:eastAsia="MS Gothic" w:hAnsi="Cambria" w:cs="Times New Roman"/>
      <w:b/>
      <w:bCs/>
      <w:color w:val="4F81BD"/>
      <w:sz w:val="26"/>
      <w:szCs w:val="26"/>
    </w:rPr>
  </w:style>
  <w:style w:type="character" w:customStyle="1" w:styleId="Heading3Char">
    <w:name w:val="Heading 3 Char"/>
    <w:basedOn w:val="DefaultParagraphFont"/>
    <w:link w:val="Heading3"/>
    <w:uiPriority w:val="99"/>
    <w:rsid w:val="000F7095"/>
    <w:rPr>
      <w:rFonts w:ascii="Cambria" w:eastAsia="MS Gothic" w:hAnsi="Cambria" w:cs="Times New Roman"/>
      <w:b/>
      <w:bCs/>
      <w:color w:val="4F81BD"/>
    </w:rPr>
  </w:style>
  <w:style w:type="numbering" w:customStyle="1" w:styleId="NoList1">
    <w:name w:val="No List1"/>
    <w:next w:val="NoList"/>
    <w:uiPriority w:val="99"/>
    <w:semiHidden/>
    <w:unhideWhenUsed/>
    <w:rsid w:val="000F7095"/>
  </w:style>
  <w:style w:type="paragraph" w:styleId="NoSpacing">
    <w:name w:val="No Spacing"/>
    <w:uiPriority w:val="99"/>
    <w:qFormat/>
    <w:rsid w:val="000F7095"/>
    <w:rPr>
      <w:rFonts w:ascii="Calibri" w:eastAsia="Calibri" w:hAnsi="Calibri" w:cs="Times New Roman"/>
      <w:sz w:val="22"/>
    </w:rPr>
  </w:style>
  <w:style w:type="paragraph" w:styleId="Revision">
    <w:name w:val="Revision"/>
    <w:hidden/>
    <w:uiPriority w:val="99"/>
    <w:semiHidden/>
    <w:rsid w:val="000F7095"/>
    <w:rPr>
      <w:rFonts w:eastAsia="Calibri" w:cs="Times New Roman"/>
    </w:rPr>
  </w:style>
  <w:style w:type="paragraph" w:styleId="TOC1">
    <w:name w:val="toc 1"/>
    <w:basedOn w:val="Normal"/>
    <w:next w:val="Normal"/>
    <w:autoRedefine/>
    <w:uiPriority w:val="39"/>
    <w:rsid w:val="009D72FC"/>
    <w:pPr>
      <w:tabs>
        <w:tab w:val="left" w:pos="440"/>
        <w:tab w:val="right" w:leader="dot" w:pos="9072"/>
      </w:tabs>
      <w:spacing w:before="60" w:after="40"/>
    </w:pPr>
    <w:rPr>
      <w:rFonts w:eastAsia="MS Mincho" w:cs="Times New Roman"/>
      <w:b/>
      <w:noProof/>
      <w:szCs w:val="28"/>
    </w:rPr>
  </w:style>
  <w:style w:type="character" w:customStyle="1" w:styleId="Heading1Char">
    <w:name w:val="Heading 1 Char"/>
    <w:basedOn w:val="DefaultParagraphFont"/>
    <w:link w:val="Heading1"/>
    <w:uiPriority w:val="9"/>
    <w:rsid w:val="00451671"/>
    <w:rPr>
      <w:rFonts w:asciiTheme="majorHAnsi" w:eastAsiaTheme="majorEastAsia" w:hAnsiTheme="majorHAnsi" w:cstheme="majorBidi"/>
      <w:b/>
      <w:bCs/>
      <w:color w:val="365F91" w:themeColor="accent1" w:themeShade="BF"/>
      <w:szCs w:val="28"/>
    </w:rPr>
  </w:style>
  <w:style w:type="paragraph" w:styleId="TOCHeading">
    <w:name w:val="TOC Heading"/>
    <w:basedOn w:val="Heading1"/>
    <w:next w:val="Normal"/>
    <w:uiPriority w:val="39"/>
    <w:unhideWhenUsed/>
    <w:qFormat/>
    <w:rsid w:val="00B11F3F"/>
    <w:pPr>
      <w:spacing w:line="276" w:lineRule="auto"/>
      <w:outlineLvl w:val="9"/>
    </w:pPr>
    <w:rPr>
      <w:lang w:val="en-US" w:eastAsia="ja-JP"/>
    </w:rPr>
  </w:style>
  <w:style w:type="paragraph" w:styleId="TOC2">
    <w:name w:val="toc 2"/>
    <w:basedOn w:val="Normal"/>
    <w:next w:val="Normal"/>
    <w:autoRedefine/>
    <w:uiPriority w:val="39"/>
    <w:unhideWhenUsed/>
    <w:rsid w:val="00A54FC4"/>
    <w:pPr>
      <w:tabs>
        <w:tab w:val="left" w:pos="851"/>
        <w:tab w:val="right" w:leader="dot" w:pos="9061"/>
      </w:tabs>
      <w:spacing w:after="100"/>
      <w:ind w:left="280"/>
    </w:pPr>
  </w:style>
  <w:style w:type="character" w:customStyle="1" w:styleId="ListParagraphChar">
    <w:name w:val="List Paragraph Char"/>
    <w:link w:val="ListParagraph"/>
    <w:uiPriority w:val="34"/>
    <w:locked/>
    <w:rsid w:val="008918EA"/>
  </w:style>
  <w:style w:type="paragraph" w:customStyle="1" w:styleId="Taksts11">
    <w:name w:val="Taksts_11"/>
    <w:basedOn w:val="Normal"/>
    <w:rsid w:val="008918EA"/>
    <w:pPr>
      <w:ind w:firstLine="567"/>
      <w:jc w:val="both"/>
    </w:pPr>
    <w:rPr>
      <w:rFonts w:eastAsia="Times New Roman" w:cs="Times New Roman"/>
      <w:sz w:val="24"/>
      <w:szCs w:val="20"/>
      <w:lang w:val="en-US"/>
    </w:rPr>
  </w:style>
  <w:style w:type="paragraph" w:styleId="Quote">
    <w:name w:val="Quote"/>
    <w:basedOn w:val="Normal"/>
    <w:next w:val="Normal"/>
    <w:link w:val="QuoteChar"/>
    <w:uiPriority w:val="29"/>
    <w:qFormat/>
    <w:rsid w:val="007B2520"/>
    <w:pPr>
      <w:spacing w:after="200" w:line="276" w:lineRule="auto"/>
    </w:pPr>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7B2520"/>
    <w:rPr>
      <w:rFonts w:asciiTheme="minorHAnsi" w:hAnsiTheme="minorHAnsi"/>
      <w:i/>
      <w:iCs/>
      <w:color w:val="000000" w:themeColor="text1"/>
      <w:sz w:val="22"/>
    </w:rPr>
  </w:style>
  <w:style w:type="character" w:customStyle="1" w:styleId="spelle">
    <w:name w:val="spelle"/>
    <w:basedOn w:val="DefaultParagraphFont"/>
    <w:rsid w:val="00B1458C"/>
  </w:style>
  <w:style w:type="paragraph" w:styleId="BodyText2">
    <w:name w:val="Body Text 2"/>
    <w:basedOn w:val="Normal"/>
    <w:link w:val="BodyText2Char"/>
    <w:uiPriority w:val="99"/>
    <w:rsid w:val="00EF247E"/>
    <w:pPr>
      <w:spacing w:after="120" w:line="480" w:lineRule="auto"/>
    </w:pPr>
    <w:rPr>
      <w:rFonts w:eastAsia="Times New Roman" w:cs="Times New Roman"/>
      <w:sz w:val="24"/>
      <w:szCs w:val="24"/>
      <w:lang w:val="en-GB"/>
    </w:rPr>
  </w:style>
  <w:style w:type="character" w:customStyle="1" w:styleId="BodyText2Char">
    <w:name w:val="Body Text 2 Char"/>
    <w:basedOn w:val="DefaultParagraphFont"/>
    <w:link w:val="BodyText2"/>
    <w:uiPriority w:val="99"/>
    <w:rsid w:val="00EF247E"/>
    <w:rPr>
      <w:rFonts w:eastAsia="Times New Roman" w:cs="Times New Roman"/>
      <w:sz w:val="24"/>
      <w:szCs w:val="24"/>
      <w:lang w:val="en-GB"/>
    </w:rPr>
  </w:style>
  <w:style w:type="table" w:styleId="LightShading">
    <w:name w:val="Light Shading"/>
    <w:basedOn w:val="TableNormal"/>
    <w:uiPriority w:val="60"/>
    <w:rsid w:val="00EF247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
    <w:name w:val="Table Grid2"/>
    <w:basedOn w:val="TableNormal"/>
    <w:next w:val="TableGrid"/>
    <w:uiPriority w:val="59"/>
    <w:rsid w:val="00A1125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41F2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675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36042"/>
    <w:rPr>
      <w:sz w:val="20"/>
      <w:szCs w:val="20"/>
    </w:rPr>
  </w:style>
  <w:style w:type="character" w:customStyle="1" w:styleId="FootnoteTextChar">
    <w:name w:val="Footnote Text Char"/>
    <w:basedOn w:val="DefaultParagraphFont"/>
    <w:link w:val="FootnoteText"/>
    <w:uiPriority w:val="99"/>
    <w:semiHidden/>
    <w:rsid w:val="00A36042"/>
    <w:rPr>
      <w:sz w:val="20"/>
      <w:szCs w:val="20"/>
    </w:rPr>
  </w:style>
  <w:style w:type="character" w:styleId="FootnoteReference">
    <w:name w:val="footnote reference"/>
    <w:basedOn w:val="DefaultParagraphFont"/>
    <w:uiPriority w:val="99"/>
    <w:semiHidden/>
    <w:unhideWhenUsed/>
    <w:rsid w:val="00A360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9134">
      <w:bodyDiv w:val="1"/>
      <w:marLeft w:val="0"/>
      <w:marRight w:val="0"/>
      <w:marTop w:val="0"/>
      <w:marBottom w:val="0"/>
      <w:divBdr>
        <w:top w:val="none" w:sz="0" w:space="0" w:color="auto"/>
        <w:left w:val="none" w:sz="0" w:space="0" w:color="auto"/>
        <w:bottom w:val="none" w:sz="0" w:space="0" w:color="auto"/>
        <w:right w:val="none" w:sz="0" w:space="0" w:color="auto"/>
      </w:divBdr>
      <w:divsChild>
        <w:div w:id="1821269245">
          <w:marLeft w:val="0"/>
          <w:marRight w:val="0"/>
          <w:marTop w:val="0"/>
          <w:marBottom w:val="0"/>
          <w:divBdr>
            <w:top w:val="none" w:sz="0" w:space="0" w:color="auto"/>
            <w:left w:val="none" w:sz="0" w:space="0" w:color="auto"/>
            <w:bottom w:val="none" w:sz="0" w:space="0" w:color="auto"/>
            <w:right w:val="none" w:sz="0" w:space="0" w:color="auto"/>
          </w:divBdr>
        </w:div>
        <w:div w:id="1989439389">
          <w:marLeft w:val="0"/>
          <w:marRight w:val="0"/>
          <w:marTop w:val="0"/>
          <w:marBottom w:val="0"/>
          <w:divBdr>
            <w:top w:val="none" w:sz="0" w:space="0" w:color="auto"/>
            <w:left w:val="none" w:sz="0" w:space="0" w:color="auto"/>
            <w:bottom w:val="none" w:sz="0" w:space="0" w:color="auto"/>
            <w:right w:val="none" w:sz="0" w:space="0" w:color="auto"/>
          </w:divBdr>
        </w:div>
      </w:divsChild>
    </w:div>
    <w:div w:id="98186044">
      <w:bodyDiv w:val="1"/>
      <w:marLeft w:val="0"/>
      <w:marRight w:val="0"/>
      <w:marTop w:val="0"/>
      <w:marBottom w:val="0"/>
      <w:divBdr>
        <w:top w:val="none" w:sz="0" w:space="0" w:color="auto"/>
        <w:left w:val="none" w:sz="0" w:space="0" w:color="auto"/>
        <w:bottom w:val="none" w:sz="0" w:space="0" w:color="auto"/>
        <w:right w:val="none" w:sz="0" w:space="0" w:color="auto"/>
      </w:divBdr>
    </w:div>
    <w:div w:id="107552530">
      <w:bodyDiv w:val="1"/>
      <w:marLeft w:val="0"/>
      <w:marRight w:val="0"/>
      <w:marTop w:val="0"/>
      <w:marBottom w:val="0"/>
      <w:divBdr>
        <w:top w:val="none" w:sz="0" w:space="0" w:color="auto"/>
        <w:left w:val="none" w:sz="0" w:space="0" w:color="auto"/>
        <w:bottom w:val="none" w:sz="0" w:space="0" w:color="auto"/>
        <w:right w:val="none" w:sz="0" w:space="0" w:color="auto"/>
      </w:divBdr>
    </w:div>
    <w:div w:id="156188871">
      <w:bodyDiv w:val="1"/>
      <w:marLeft w:val="0"/>
      <w:marRight w:val="0"/>
      <w:marTop w:val="0"/>
      <w:marBottom w:val="0"/>
      <w:divBdr>
        <w:top w:val="none" w:sz="0" w:space="0" w:color="auto"/>
        <w:left w:val="none" w:sz="0" w:space="0" w:color="auto"/>
        <w:bottom w:val="none" w:sz="0" w:space="0" w:color="auto"/>
        <w:right w:val="none" w:sz="0" w:space="0" w:color="auto"/>
      </w:divBdr>
      <w:divsChild>
        <w:div w:id="74206831">
          <w:marLeft w:val="547"/>
          <w:marRight w:val="0"/>
          <w:marTop w:val="0"/>
          <w:marBottom w:val="0"/>
          <w:divBdr>
            <w:top w:val="none" w:sz="0" w:space="0" w:color="auto"/>
            <w:left w:val="none" w:sz="0" w:space="0" w:color="auto"/>
            <w:bottom w:val="none" w:sz="0" w:space="0" w:color="auto"/>
            <w:right w:val="none" w:sz="0" w:space="0" w:color="auto"/>
          </w:divBdr>
        </w:div>
        <w:div w:id="323169489">
          <w:marLeft w:val="547"/>
          <w:marRight w:val="0"/>
          <w:marTop w:val="0"/>
          <w:marBottom w:val="0"/>
          <w:divBdr>
            <w:top w:val="none" w:sz="0" w:space="0" w:color="auto"/>
            <w:left w:val="none" w:sz="0" w:space="0" w:color="auto"/>
            <w:bottom w:val="none" w:sz="0" w:space="0" w:color="auto"/>
            <w:right w:val="none" w:sz="0" w:space="0" w:color="auto"/>
          </w:divBdr>
        </w:div>
        <w:div w:id="417409901">
          <w:marLeft w:val="547"/>
          <w:marRight w:val="0"/>
          <w:marTop w:val="0"/>
          <w:marBottom w:val="0"/>
          <w:divBdr>
            <w:top w:val="none" w:sz="0" w:space="0" w:color="auto"/>
            <w:left w:val="none" w:sz="0" w:space="0" w:color="auto"/>
            <w:bottom w:val="none" w:sz="0" w:space="0" w:color="auto"/>
            <w:right w:val="none" w:sz="0" w:space="0" w:color="auto"/>
          </w:divBdr>
        </w:div>
        <w:div w:id="1326284162">
          <w:marLeft w:val="547"/>
          <w:marRight w:val="0"/>
          <w:marTop w:val="0"/>
          <w:marBottom w:val="0"/>
          <w:divBdr>
            <w:top w:val="none" w:sz="0" w:space="0" w:color="auto"/>
            <w:left w:val="none" w:sz="0" w:space="0" w:color="auto"/>
            <w:bottom w:val="none" w:sz="0" w:space="0" w:color="auto"/>
            <w:right w:val="none" w:sz="0" w:space="0" w:color="auto"/>
          </w:divBdr>
        </w:div>
      </w:divsChild>
    </w:div>
    <w:div w:id="226232610">
      <w:bodyDiv w:val="1"/>
      <w:marLeft w:val="0"/>
      <w:marRight w:val="0"/>
      <w:marTop w:val="0"/>
      <w:marBottom w:val="0"/>
      <w:divBdr>
        <w:top w:val="none" w:sz="0" w:space="0" w:color="auto"/>
        <w:left w:val="none" w:sz="0" w:space="0" w:color="auto"/>
        <w:bottom w:val="none" w:sz="0" w:space="0" w:color="auto"/>
        <w:right w:val="none" w:sz="0" w:space="0" w:color="auto"/>
      </w:divBdr>
    </w:div>
    <w:div w:id="311910033">
      <w:bodyDiv w:val="1"/>
      <w:marLeft w:val="0"/>
      <w:marRight w:val="0"/>
      <w:marTop w:val="0"/>
      <w:marBottom w:val="0"/>
      <w:divBdr>
        <w:top w:val="none" w:sz="0" w:space="0" w:color="auto"/>
        <w:left w:val="none" w:sz="0" w:space="0" w:color="auto"/>
        <w:bottom w:val="none" w:sz="0" w:space="0" w:color="auto"/>
        <w:right w:val="none" w:sz="0" w:space="0" w:color="auto"/>
      </w:divBdr>
    </w:div>
    <w:div w:id="314458015">
      <w:bodyDiv w:val="1"/>
      <w:marLeft w:val="0"/>
      <w:marRight w:val="0"/>
      <w:marTop w:val="0"/>
      <w:marBottom w:val="0"/>
      <w:divBdr>
        <w:top w:val="none" w:sz="0" w:space="0" w:color="auto"/>
        <w:left w:val="none" w:sz="0" w:space="0" w:color="auto"/>
        <w:bottom w:val="none" w:sz="0" w:space="0" w:color="auto"/>
        <w:right w:val="none" w:sz="0" w:space="0" w:color="auto"/>
      </w:divBdr>
    </w:div>
    <w:div w:id="317223232">
      <w:bodyDiv w:val="1"/>
      <w:marLeft w:val="0"/>
      <w:marRight w:val="0"/>
      <w:marTop w:val="0"/>
      <w:marBottom w:val="0"/>
      <w:divBdr>
        <w:top w:val="none" w:sz="0" w:space="0" w:color="auto"/>
        <w:left w:val="none" w:sz="0" w:space="0" w:color="auto"/>
        <w:bottom w:val="none" w:sz="0" w:space="0" w:color="auto"/>
        <w:right w:val="none" w:sz="0" w:space="0" w:color="auto"/>
      </w:divBdr>
    </w:div>
    <w:div w:id="321128540">
      <w:bodyDiv w:val="1"/>
      <w:marLeft w:val="0"/>
      <w:marRight w:val="0"/>
      <w:marTop w:val="0"/>
      <w:marBottom w:val="0"/>
      <w:divBdr>
        <w:top w:val="none" w:sz="0" w:space="0" w:color="auto"/>
        <w:left w:val="none" w:sz="0" w:space="0" w:color="auto"/>
        <w:bottom w:val="none" w:sz="0" w:space="0" w:color="auto"/>
        <w:right w:val="none" w:sz="0" w:space="0" w:color="auto"/>
      </w:divBdr>
    </w:div>
    <w:div w:id="405223857">
      <w:bodyDiv w:val="1"/>
      <w:marLeft w:val="0"/>
      <w:marRight w:val="0"/>
      <w:marTop w:val="0"/>
      <w:marBottom w:val="0"/>
      <w:divBdr>
        <w:top w:val="none" w:sz="0" w:space="0" w:color="auto"/>
        <w:left w:val="none" w:sz="0" w:space="0" w:color="auto"/>
        <w:bottom w:val="none" w:sz="0" w:space="0" w:color="auto"/>
        <w:right w:val="none" w:sz="0" w:space="0" w:color="auto"/>
      </w:divBdr>
    </w:div>
    <w:div w:id="447696842">
      <w:bodyDiv w:val="1"/>
      <w:marLeft w:val="0"/>
      <w:marRight w:val="0"/>
      <w:marTop w:val="0"/>
      <w:marBottom w:val="0"/>
      <w:divBdr>
        <w:top w:val="none" w:sz="0" w:space="0" w:color="auto"/>
        <w:left w:val="none" w:sz="0" w:space="0" w:color="auto"/>
        <w:bottom w:val="none" w:sz="0" w:space="0" w:color="auto"/>
        <w:right w:val="none" w:sz="0" w:space="0" w:color="auto"/>
      </w:divBdr>
    </w:div>
    <w:div w:id="482619961">
      <w:bodyDiv w:val="1"/>
      <w:marLeft w:val="0"/>
      <w:marRight w:val="0"/>
      <w:marTop w:val="0"/>
      <w:marBottom w:val="0"/>
      <w:divBdr>
        <w:top w:val="none" w:sz="0" w:space="0" w:color="auto"/>
        <w:left w:val="none" w:sz="0" w:space="0" w:color="auto"/>
        <w:bottom w:val="none" w:sz="0" w:space="0" w:color="auto"/>
        <w:right w:val="none" w:sz="0" w:space="0" w:color="auto"/>
      </w:divBdr>
      <w:divsChild>
        <w:div w:id="2098165223">
          <w:marLeft w:val="547"/>
          <w:marRight w:val="0"/>
          <w:marTop w:val="240"/>
          <w:marBottom w:val="0"/>
          <w:divBdr>
            <w:top w:val="none" w:sz="0" w:space="0" w:color="auto"/>
            <w:left w:val="none" w:sz="0" w:space="0" w:color="auto"/>
            <w:bottom w:val="none" w:sz="0" w:space="0" w:color="auto"/>
            <w:right w:val="none" w:sz="0" w:space="0" w:color="auto"/>
          </w:divBdr>
        </w:div>
        <w:div w:id="838928526">
          <w:marLeft w:val="547"/>
          <w:marRight w:val="0"/>
          <w:marTop w:val="240"/>
          <w:marBottom w:val="0"/>
          <w:divBdr>
            <w:top w:val="none" w:sz="0" w:space="0" w:color="auto"/>
            <w:left w:val="none" w:sz="0" w:space="0" w:color="auto"/>
            <w:bottom w:val="none" w:sz="0" w:space="0" w:color="auto"/>
            <w:right w:val="none" w:sz="0" w:space="0" w:color="auto"/>
          </w:divBdr>
        </w:div>
        <w:div w:id="2032337518">
          <w:marLeft w:val="547"/>
          <w:marRight w:val="0"/>
          <w:marTop w:val="240"/>
          <w:marBottom w:val="0"/>
          <w:divBdr>
            <w:top w:val="none" w:sz="0" w:space="0" w:color="auto"/>
            <w:left w:val="none" w:sz="0" w:space="0" w:color="auto"/>
            <w:bottom w:val="none" w:sz="0" w:space="0" w:color="auto"/>
            <w:right w:val="none" w:sz="0" w:space="0" w:color="auto"/>
          </w:divBdr>
        </w:div>
        <w:div w:id="1906716821">
          <w:marLeft w:val="547"/>
          <w:marRight w:val="0"/>
          <w:marTop w:val="240"/>
          <w:marBottom w:val="0"/>
          <w:divBdr>
            <w:top w:val="none" w:sz="0" w:space="0" w:color="auto"/>
            <w:left w:val="none" w:sz="0" w:space="0" w:color="auto"/>
            <w:bottom w:val="none" w:sz="0" w:space="0" w:color="auto"/>
            <w:right w:val="none" w:sz="0" w:space="0" w:color="auto"/>
          </w:divBdr>
        </w:div>
        <w:div w:id="142549780">
          <w:marLeft w:val="547"/>
          <w:marRight w:val="0"/>
          <w:marTop w:val="240"/>
          <w:marBottom w:val="0"/>
          <w:divBdr>
            <w:top w:val="none" w:sz="0" w:space="0" w:color="auto"/>
            <w:left w:val="none" w:sz="0" w:space="0" w:color="auto"/>
            <w:bottom w:val="none" w:sz="0" w:space="0" w:color="auto"/>
            <w:right w:val="none" w:sz="0" w:space="0" w:color="auto"/>
          </w:divBdr>
        </w:div>
        <w:div w:id="1409232626">
          <w:marLeft w:val="547"/>
          <w:marRight w:val="0"/>
          <w:marTop w:val="240"/>
          <w:marBottom w:val="0"/>
          <w:divBdr>
            <w:top w:val="none" w:sz="0" w:space="0" w:color="auto"/>
            <w:left w:val="none" w:sz="0" w:space="0" w:color="auto"/>
            <w:bottom w:val="none" w:sz="0" w:space="0" w:color="auto"/>
            <w:right w:val="none" w:sz="0" w:space="0" w:color="auto"/>
          </w:divBdr>
        </w:div>
      </w:divsChild>
    </w:div>
    <w:div w:id="600575231">
      <w:bodyDiv w:val="1"/>
      <w:marLeft w:val="0"/>
      <w:marRight w:val="0"/>
      <w:marTop w:val="0"/>
      <w:marBottom w:val="0"/>
      <w:divBdr>
        <w:top w:val="none" w:sz="0" w:space="0" w:color="auto"/>
        <w:left w:val="none" w:sz="0" w:space="0" w:color="auto"/>
        <w:bottom w:val="none" w:sz="0" w:space="0" w:color="auto"/>
        <w:right w:val="none" w:sz="0" w:space="0" w:color="auto"/>
      </w:divBdr>
    </w:div>
    <w:div w:id="715741749">
      <w:bodyDiv w:val="1"/>
      <w:marLeft w:val="0"/>
      <w:marRight w:val="0"/>
      <w:marTop w:val="0"/>
      <w:marBottom w:val="0"/>
      <w:divBdr>
        <w:top w:val="none" w:sz="0" w:space="0" w:color="auto"/>
        <w:left w:val="none" w:sz="0" w:space="0" w:color="auto"/>
        <w:bottom w:val="none" w:sz="0" w:space="0" w:color="auto"/>
        <w:right w:val="none" w:sz="0" w:space="0" w:color="auto"/>
      </w:divBdr>
    </w:div>
    <w:div w:id="740634769">
      <w:bodyDiv w:val="1"/>
      <w:marLeft w:val="0"/>
      <w:marRight w:val="0"/>
      <w:marTop w:val="0"/>
      <w:marBottom w:val="0"/>
      <w:divBdr>
        <w:top w:val="none" w:sz="0" w:space="0" w:color="auto"/>
        <w:left w:val="none" w:sz="0" w:space="0" w:color="auto"/>
        <w:bottom w:val="none" w:sz="0" w:space="0" w:color="auto"/>
        <w:right w:val="none" w:sz="0" w:space="0" w:color="auto"/>
      </w:divBdr>
    </w:div>
    <w:div w:id="775248898">
      <w:bodyDiv w:val="1"/>
      <w:marLeft w:val="0"/>
      <w:marRight w:val="0"/>
      <w:marTop w:val="0"/>
      <w:marBottom w:val="0"/>
      <w:divBdr>
        <w:top w:val="none" w:sz="0" w:space="0" w:color="auto"/>
        <w:left w:val="none" w:sz="0" w:space="0" w:color="auto"/>
        <w:bottom w:val="none" w:sz="0" w:space="0" w:color="auto"/>
        <w:right w:val="none" w:sz="0" w:space="0" w:color="auto"/>
      </w:divBdr>
    </w:div>
    <w:div w:id="802164191">
      <w:bodyDiv w:val="1"/>
      <w:marLeft w:val="0"/>
      <w:marRight w:val="0"/>
      <w:marTop w:val="0"/>
      <w:marBottom w:val="0"/>
      <w:divBdr>
        <w:top w:val="none" w:sz="0" w:space="0" w:color="auto"/>
        <w:left w:val="none" w:sz="0" w:space="0" w:color="auto"/>
        <w:bottom w:val="none" w:sz="0" w:space="0" w:color="auto"/>
        <w:right w:val="none" w:sz="0" w:space="0" w:color="auto"/>
      </w:divBdr>
    </w:div>
    <w:div w:id="831723387">
      <w:bodyDiv w:val="1"/>
      <w:marLeft w:val="0"/>
      <w:marRight w:val="0"/>
      <w:marTop w:val="0"/>
      <w:marBottom w:val="0"/>
      <w:divBdr>
        <w:top w:val="none" w:sz="0" w:space="0" w:color="auto"/>
        <w:left w:val="none" w:sz="0" w:space="0" w:color="auto"/>
        <w:bottom w:val="none" w:sz="0" w:space="0" w:color="auto"/>
        <w:right w:val="none" w:sz="0" w:space="0" w:color="auto"/>
      </w:divBdr>
    </w:div>
    <w:div w:id="851726281">
      <w:bodyDiv w:val="1"/>
      <w:marLeft w:val="0"/>
      <w:marRight w:val="0"/>
      <w:marTop w:val="0"/>
      <w:marBottom w:val="0"/>
      <w:divBdr>
        <w:top w:val="none" w:sz="0" w:space="0" w:color="auto"/>
        <w:left w:val="none" w:sz="0" w:space="0" w:color="auto"/>
        <w:bottom w:val="none" w:sz="0" w:space="0" w:color="auto"/>
        <w:right w:val="none" w:sz="0" w:space="0" w:color="auto"/>
      </w:divBdr>
      <w:divsChild>
        <w:div w:id="331303098">
          <w:marLeft w:val="547"/>
          <w:marRight w:val="0"/>
          <w:marTop w:val="240"/>
          <w:marBottom w:val="0"/>
          <w:divBdr>
            <w:top w:val="none" w:sz="0" w:space="0" w:color="auto"/>
            <w:left w:val="none" w:sz="0" w:space="0" w:color="auto"/>
            <w:bottom w:val="none" w:sz="0" w:space="0" w:color="auto"/>
            <w:right w:val="none" w:sz="0" w:space="0" w:color="auto"/>
          </w:divBdr>
        </w:div>
        <w:div w:id="150491361">
          <w:marLeft w:val="547"/>
          <w:marRight w:val="0"/>
          <w:marTop w:val="240"/>
          <w:marBottom w:val="0"/>
          <w:divBdr>
            <w:top w:val="none" w:sz="0" w:space="0" w:color="auto"/>
            <w:left w:val="none" w:sz="0" w:space="0" w:color="auto"/>
            <w:bottom w:val="none" w:sz="0" w:space="0" w:color="auto"/>
            <w:right w:val="none" w:sz="0" w:space="0" w:color="auto"/>
          </w:divBdr>
        </w:div>
        <w:div w:id="1818718504">
          <w:marLeft w:val="547"/>
          <w:marRight w:val="0"/>
          <w:marTop w:val="240"/>
          <w:marBottom w:val="0"/>
          <w:divBdr>
            <w:top w:val="none" w:sz="0" w:space="0" w:color="auto"/>
            <w:left w:val="none" w:sz="0" w:space="0" w:color="auto"/>
            <w:bottom w:val="none" w:sz="0" w:space="0" w:color="auto"/>
            <w:right w:val="none" w:sz="0" w:space="0" w:color="auto"/>
          </w:divBdr>
        </w:div>
        <w:div w:id="80488760">
          <w:marLeft w:val="547"/>
          <w:marRight w:val="0"/>
          <w:marTop w:val="240"/>
          <w:marBottom w:val="0"/>
          <w:divBdr>
            <w:top w:val="none" w:sz="0" w:space="0" w:color="auto"/>
            <w:left w:val="none" w:sz="0" w:space="0" w:color="auto"/>
            <w:bottom w:val="none" w:sz="0" w:space="0" w:color="auto"/>
            <w:right w:val="none" w:sz="0" w:space="0" w:color="auto"/>
          </w:divBdr>
        </w:div>
        <w:div w:id="403333160">
          <w:marLeft w:val="547"/>
          <w:marRight w:val="0"/>
          <w:marTop w:val="240"/>
          <w:marBottom w:val="0"/>
          <w:divBdr>
            <w:top w:val="none" w:sz="0" w:space="0" w:color="auto"/>
            <w:left w:val="none" w:sz="0" w:space="0" w:color="auto"/>
            <w:bottom w:val="none" w:sz="0" w:space="0" w:color="auto"/>
            <w:right w:val="none" w:sz="0" w:space="0" w:color="auto"/>
          </w:divBdr>
        </w:div>
        <w:div w:id="53897712">
          <w:marLeft w:val="547"/>
          <w:marRight w:val="0"/>
          <w:marTop w:val="240"/>
          <w:marBottom w:val="0"/>
          <w:divBdr>
            <w:top w:val="none" w:sz="0" w:space="0" w:color="auto"/>
            <w:left w:val="none" w:sz="0" w:space="0" w:color="auto"/>
            <w:bottom w:val="none" w:sz="0" w:space="0" w:color="auto"/>
            <w:right w:val="none" w:sz="0" w:space="0" w:color="auto"/>
          </w:divBdr>
        </w:div>
        <w:div w:id="1539396168">
          <w:marLeft w:val="547"/>
          <w:marRight w:val="0"/>
          <w:marTop w:val="240"/>
          <w:marBottom w:val="0"/>
          <w:divBdr>
            <w:top w:val="none" w:sz="0" w:space="0" w:color="auto"/>
            <w:left w:val="none" w:sz="0" w:space="0" w:color="auto"/>
            <w:bottom w:val="none" w:sz="0" w:space="0" w:color="auto"/>
            <w:right w:val="none" w:sz="0" w:space="0" w:color="auto"/>
          </w:divBdr>
        </w:div>
      </w:divsChild>
    </w:div>
    <w:div w:id="936254249">
      <w:bodyDiv w:val="1"/>
      <w:marLeft w:val="0"/>
      <w:marRight w:val="0"/>
      <w:marTop w:val="0"/>
      <w:marBottom w:val="0"/>
      <w:divBdr>
        <w:top w:val="none" w:sz="0" w:space="0" w:color="auto"/>
        <w:left w:val="none" w:sz="0" w:space="0" w:color="auto"/>
        <w:bottom w:val="none" w:sz="0" w:space="0" w:color="auto"/>
        <w:right w:val="none" w:sz="0" w:space="0" w:color="auto"/>
      </w:divBdr>
    </w:div>
    <w:div w:id="1050616118">
      <w:bodyDiv w:val="1"/>
      <w:marLeft w:val="0"/>
      <w:marRight w:val="0"/>
      <w:marTop w:val="0"/>
      <w:marBottom w:val="0"/>
      <w:divBdr>
        <w:top w:val="none" w:sz="0" w:space="0" w:color="auto"/>
        <w:left w:val="none" w:sz="0" w:space="0" w:color="auto"/>
        <w:bottom w:val="none" w:sz="0" w:space="0" w:color="auto"/>
        <w:right w:val="none" w:sz="0" w:space="0" w:color="auto"/>
      </w:divBdr>
    </w:div>
    <w:div w:id="1109859820">
      <w:bodyDiv w:val="1"/>
      <w:marLeft w:val="0"/>
      <w:marRight w:val="0"/>
      <w:marTop w:val="0"/>
      <w:marBottom w:val="0"/>
      <w:divBdr>
        <w:top w:val="none" w:sz="0" w:space="0" w:color="auto"/>
        <w:left w:val="none" w:sz="0" w:space="0" w:color="auto"/>
        <w:bottom w:val="none" w:sz="0" w:space="0" w:color="auto"/>
        <w:right w:val="none" w:sz="0" w:space="0" w:color="auto"/>
      </w:divBdr>
    </w:div>
    <w:div w:id="1131826126">
      <w:bodyDiv w:val="1"/>
      <w:marLeft w:val="0"/>
      <w:marRight w:val="0"/>
      <w:marTop w:val="0"/>
      <w:marBottom w:val="0"/>
      <w:divBdr>
        <w:top w:val="none" w:sz="0" w:space="0" w:color="auto"/>
        <w:left w:val="none" w:sz="0" w:space="0" w:color="auto"/>
        <w:bottom w:val="none" w:sz="0" w:space="0" w:color="auto"/>
        <w:right w:val="none" w:sz="0" w:space="0" w:color="auto"/>
      </w:divBdr>
    </w:div>
    <w:div w:id="1165633271">
      <w:bodyDiv w:val="1"/>
      <w:marLeft w:val="0"/>
      <w:marRight w:val="0"/>
      <w:marTop w:val="0"/>
      <w:marBottom w:val="0"/>
      <w:divBdr>
        <w:top w:val="none" w:sz="0" w:space="0" w:color="auto"/>
        <w:left w:val="none" w:sz="0" w:space="0" w:color="auto"/>
        <w:bottom w:val="none" w:sz="0" w:space="0" w:color="auto"/>
        <w:right w:val="none" w:sz="0" w:space="0" w:color="auto"/>
      </w:divBdr>
      <w:divsChild>
        <w:div w:id="2132166786">
          <w:marLeft w:val="547"/>
          <w:marRight w:val="0"/>
          <w:marTop w:val="120"/>
          <w:marBottom w:val="240"/>
          <w:divBdr>
            <w:top w:val="none" w:sz="0" w:space="0" w:color="auto"/>
            <w:left w:val="none" w:sz="0" w:space="0" w:color="auto"/>
            <w:bottom w:val="none" w:sz="0" w:space="0" w:color="auto"/>
            <w:right w:val="none" w:sz="0" w:space="0" w:color="auto"/>
          </w:divBdr>
        </w:div>
        <w:div w:id="574239053">
          <w:marLeft w:val="547"/>
          <w:marRight w:val="0"/>
          <w:marTop w:val="120"/>
          <w:marBottom w:val="240"/>
          <w:divBdr>
            <w:top w:val="none" w:sz="0" w:space="0" w:color="auto"/>
            <w:left w:val="none" w:sz="0" w:space="0" w:color="auto"/>
            <w:bottom w:val="none" w:sz="0" w:space="0" w:color="auto"/>
            <w:right w:val="none" w:sz="0" w:space="0" w:color="auto"/>
          </w:divBdr>
        </w:div>
        <w:div w:id="1439182956">
          <w:marLeft w:val="547"/>
          <w:marRight w:val="0"/>
          <w:marTop w:val="120"/>
          <w:marBottom w:val="240"/>
          <w:divBdr>
            <w:top w:val="none" w:sz="0" w:space="0" w:color="auto"/>
            <w:left w:val="none" w:sz="0" w:space="0" w:color="auto"/>
            <w:bottom w:val="none" w:sz="0" w:space="0" w:color="auto"/>
            <w:right w:val="none" w:sz="0" w:space="0" w:color="auto"/>
          </w:divBdr>
        </w:div>
      </w:divsChild>
    </w:div>
    <w:div w:id="1184898673">
      <w:bodyDiv w:val="1"/>
      <w:marLeft w:val="0"/>
      <w:marRight w:val="0"/>
      <w:marTop w:val="0"/>
      <w:marBottom w:val="0"/>
      <w:divBdr>
        <w:top w:val="none" w:sz="0" w:space="0" w:color="auto"/>
        <w:left w:val="none" w:sz="0" w:space="0" w:color="auto"/>
        <w:bottom w:val="none" w:sz="0" w:space="0" w:color="auto"/>
        <w:right w:val="none" w:sz="0" w:space="0" w:color="auto"/>
      </w:divBdr>
      <w:divsChild>
        <w:div w:id="1932230597">
          <w:marLeft w:val="0"/>
          <w:marRight w:val="0"/>
          <w:marTop w:val="0"/>
          <w:marBottom w:val="0"/>
          <w:divBdr>
            <w:top w:val="none" w:sz="0" w:space="0" w:color="auto"/>
            <w:left w:val="none" w:sz="0" w:space="0" w:color="auto"/>
            <w:bottom w:val="none" w:sz="0" w:space="0" w:color="auto"/>
            <w:right w:val="none" w:sz="0" w:space="0" w:color="auto"/>
          </w:divBdr>
        </w:div>
        <w:div w:id="1157068273">
          <w:marLeft w:val="0"/>
          <w:marRight w:val="0"/>
          <w:marTop w:val="0"/>
          <w:marBottom w:val="0"/>
          <w:divBdr>
            <w:top w:val="none" w:sz="0" w:space="0" w:color="auto"/>
            <w:left w:val="none" w:sz="0" w:space="0" w:color="auto"/>
            <w:bottom w:val="none" w:sz="0" w:space="0" w:color="auto"/>
            <w:right w:val="none" w:sz="0" w:space="0" w:color="auto"/>
          </w:divBdr>
        </w:div>
        <w:div w:id="1328559976">
          <w:marLeft w:val="0"/>
          <w:marRight w:val="0"/>
          <w:marTop w:val="0"/>
          <w:marBottom w:val="0"/>
          <w:divBdr>
            <w:top w:val="none" w:sz="0" w:space="0" w:color="auto"/>
            <w:left w:val="none" w:sz="0" w:space="0" w:color="auto"/>
            <w:bottom w:val="none" w:sz="0" w:space="0" w:color="auto"/>
            <w:right w:val="none" w:sz="0" w:space="0" w:color="auto"/>
          </w:divBdr>
        </w:div>
        <w:div w:id="975069088">
          <w:marLeft w:val="0"/>
          <w:marRight w:val="0"/>
          <w:marTop w:val="0"/>
          <w:marBottom w:val="0"/>
          <w:divBdr>
            <w:top w:val="none" w:sz="0" w:space="0" w:color="auto"/>
            <w:left w:val="none" w:sz="0" w:space="0" w:color="auto"/>
            <w:bottom w:val="none" w:sz="0" w:space="0" w:color="auto"/>
            <w:right w:val="none" w:sz="0" w:space="0" w:color="auto"/>
          </w:divBdr>
        </w:div>
        <w:div w:id="372190750">
          <w:marLeft w:val="0"/>
          <w:marRight w:val="0"/>
          <w:marTop w:val="0"/>
          <w:marBottom w:val="0"/>
          <w:divBdr>
            <w:top w:val="none" w:sz="0" w:space="0" w:color="auto"/>
            <w:left w:val="none" w:sz="0" w:space="0" w:color="auto"/>
            <w:bottom w:val="none" w:sz="0" w:space="0" w:color="auto"/>
            <w:right w:val="none" w:sz="0" w:space="0" w:color="auto"/>
          </w:divBdr>
        </w:div>
        <w:div w:id="1209955960">
          <w:marLeft w:val="0"/>
          <w:marRight w:val="0"/>
          <w:marTop w:val="0"/>
          <w:marBottom w:val="0"/>
          <w:divBdr>
            <w:top w:val="none" w:sz="0" w:space="0" w:color="auto"/>
            <w:left w:val="none" w:sz="0" w:space="0" w:color="auto"/>
            <w:bottom w:val="none" w:sz="0" w:space="0" w:color="auto"/>
            <w:right w:val="none" w:sz="0" w:space="0" w:color="auto"/>
          </w:divBdr>
        </w:div>
        <w:div w:id="1954021922">
          <w:marLeft w:val="0"/>
          <w:marRight w:val="0"/>
          <w:marTop w:val="0"/>
          <w:marBottom w:val="0"/>
          <w:divBdr>
            <w:top w:val="none" w:sz="0" w:space="0" w:color="auto"/>
            <w:left w:val="none" w:sz="0" w:space="0" w:color="auto"/>
            <w:bottom w:val="none" w:sz="0" w:space="0" w:color="auto"/>
            <w:right w:val="none" w:sz="0" w:space="0" w:color="auto"/>
          </w:divBdr>
        </w:div>
        <w:div w:id="1797676220">
          <w:marLeft w:val="0"/>
          <w:marRight w:val="0"/>
          <w:marTop w:val="0"/>
          <w:marBottom w:val="0"/>
          <w:divBdr>
            <w:top w:val="none" w:sz="0" w:space="0" w:color="auto"/>
            <w:left w:val="none" w:sz="0" w:space="0" w:color="auto"/>
            <w:bottom w:val="none" w:sz="0" w:space="0" w:color="auto"/>
            <w:right w:val="none" w:sz="0" w:space="0" w:color="auto"/>
          </w:divBdr>
        </w:div>
        <w:div w:id="741176060">
          <w:marLeft w:val="0"/>
          <w:marRight w:val="0"/>
          <w:marTop w:val="0"/>
          <w:marBottom w:val="0"/>
          <w:divBdr>
            <w:top w:val="none" w:sz="0" w:space="0" w:color="auto"/>
            <w:left w:val="none" w:sz="0" w:space="0" w:color="auto"/>
            <w:bottom w:val="none" w:sz="0" w:space="0" w:color="auto"/>
            <w:right w:val="none" w:sz="0" w:space="0" w:color="auto"/>
          </w:divBdr>
        </w:div>
        <w:div w:id="1191651109">
          <w:marLeft w:val="0"/>
          <w:marRight w:val="0"/>
          <w:marTop w:val="0"/>
          <w:marBottom w:val="0"/>
          <w:divBdr>
            <w:top w:val="none" w:sz="0" w:space="0" w:color="auto"/>
            <w:left w:val="none" w:sz="0" w:space="0" w:color="auto"/>
            <w:bottom w:val="none" w:sz="0" w:space="0" w:color="auto"/>
            <w:right w:val="none" w:sz="0" w:space="0" w:color="auto"/>
          </w:divBdr>
        </w:div>
        <w:div w:id="1109088772">
          <w:marLeft w:val="0"/>
          <w:marRight w:val="0"/>
          <w:marTop w:val="0"/>
          <w:marBottom w:val="0"/>
          <w:divBdr>
            <w:top w:val="none" w:sz="0" w:space="0" w:color="auto"/>
            <w:left w:val="none" w:sz="0" w:space="0" w:color="auto"/>
            <w:bottom w:val="none" w:sz="0" w:space="0" w:color="auto"/>
            <w:right w:val="none" w:sz="0" w:space="0" w:color="auto"/>
          </w:divBdr>
        </w:div>
        <w:div w:id="1952584717">
          <w:marLeft w:val="0"/>
          <w:marRight w:val="0"/>
          <w:marTop w:val="0"/>
          <w:marBottom w:val="0"/>
          <w:divBdr>
            <w:top w:val="none" w:sz="0" w:space="0" w:color="auto"/>
            <w:left w:val="none" w:sz="0" w:space="0" w:color="auto"/>
            <w:bottom w:val="none" w:sz="0" w:space="0" w:color="auto"/>
            <w:right w:val="none" w:sz="0" w:space="0" w:color="auto"/>
          </w:divBdr>
        </w:div>
        <w:div w:id="1271469070">
          <w:marLeft w:val="0"/>
          <w:marRight w:val="0"/>
          <w:marTop w:val="0"/>
          <w:marBottom w:val="0"/>
          <w:divBdr>
            <w:top w:val="none" w:sz="0" w:space="0" w:color="auto"/>
            <w:left w:val="none" w:sz="0" w:space="0" w:color="auto"/>
            <w:bottom w:val="none" w:sz="0" w:space="0" w:color="auto"/>
            <w:right w:val="none" w:sz="0" w:space="0" w:color="auto"/>
          </w:divBdr>
        </w:div>
        <w:div w:id="1597013230">
          <w:marLeft w:val="0"/>
          <w:marRight w:val="0"/>
          <w:marTop w:val="0"/>
          <w:marBottom w:val="0"/>
          <w:divBdr>
            <w:top w:val="none" w:sz="0" w:space="0" w:color="auto"/>
            <w:left w:val="none" w:sz="0" w:space="0" w:color="auto"/>
            <w:bottom w:val="none" w:sz="0" w:space="0" w:color="auto"/>
            <w:right w:val="none" w:sz="0" w:space="0" w:color="auto"/>
          </w:divBdr>
        </w:div>
        <w:div w:id="1528713551">
          <w:marLeft w:val="0"/>
          <w:marRight w:val="0"/>
          <w:marTop w:val="0"/>
          <w:marBottom w:val="0"/>
          <w:divBdr>
            <w:top w:val="none" w:sz="0" w:space="0" w:color="auto"/>
            <w:left w:val="none" w:sz="0" w:space="0" w:color="auto"/>
            <w:bottom w:val="none" w:sz="0" w:space="0" w:color="auto"/>
            <w:right w:val="none" w:sz="0" w:space="0" w:color="auto"/>
          </w:divBdr>
        </w:div>
        <w:div w:id="1637760767">
          <w:marLeft w:val="0"/>
          <w:marRight w:val="0"/>
          <w:marTop w:val="0"/>
          <w:marBottom w:val="0"/>
          <w:divBdr>
            <w:top w:val="none" w:sz="0" w:space="0" w:color="auto"/>
            <w:left w:val="none" w:sz="0" w:space="0" w:color="auto"/>
            <w:bottom w:val="none" w:sz="0" w:space="0" w:color="auto"/>
            <w:right w:val="none" w:sz="0" w:space="0" w:color="auto"/>
          </w:divBdr>
        </w:div>
        <w:div w:id="1321931392">
          <w:marLeft w:val="0"/>
          <w:marRight w:val="0"/>
          <w:marTop w:val="0"/>
          <w:marBottom w:val="0"/>
          <w:divBdr>
            <w:top w:val="none" w:sz="0" w:space="0" w:color="auto"/>
            <w:left w:val="none" w:sz="0" w:space="0" w:color="auto"/>
            <w:bottom w:val="none" w:sz="0" w:space="0" w:color="auto"/>
            <w:right w:val="none" w:sz="0" w:space="0" w:color="auto"/>
          </w:divBdr>
        </w:div>
      </w:divsChild>
    </w:div>
    <w:div w:id="1197086529">
      <w:bodyDiv w:val="1"/>
      <w:marLeft w:val="0"/>
      <w:marRight w:val="0"/>
      <w:marTop w:val="0"/>
      <w:marBottom w:val="0"/>
      <w:divBdr>
        <w:top w:val="none" w:sz="0" w:space="0" w:color="auto"/>
        <w:left w:val="none" w:sz="0" w:space="0" w:color="auto"/>
        <w:bottom w:val="none" w:sz="0" w:space="0" w:color="auto"/>
        <w:right w:val="none" w:sz="0" w:space="0" w:color="auto"/>
      </w:divBdr>
    </w:div>
    <w:div w:id="1250508298">
      <w:bodyDiv w:val="1"/>
      <w:marLeft w:val="0"/>
      <w:marRight w:val="0"/>
      <w:marTop w:val="0"/>
      <w:marBottom w:val="0"/>
      <w:divBdr>
        <w:top w:val="none" w:sz="0" w:space="0" w:color="auto"/>
        <w:left w:val="none" w:sz="0" w:space="0" w:color="auto"/>
        <w:bottom w:val="none" w:sz="0" w:space="0" w:color="auto"/>
        <w:right w:val="none" w:sz="0" w:space="0" w:color="auto"/>
      </w:divBdr>
    </w:div>
    <w:div w:id="1315838233">
      <w:bodyDiv w:val="1"/>
      <w:marLeft w:val="0"/>
      <w:marRight w:val="0"/>
      <w:marTop w:val="0"/>
      <w:marBottom w:val="0"/>
      <w:divBdr>
        <w:top w:val="none" w:sz="0" w:space="0" w:color="auto"/>
        <w:left w:val="none" w:sz="0" w:space="0" w:color="auto"/>
        <w:bottom w:val="none" w:sz="0" w:space="0" w:color="auto"/>
        <w:right w:val="none" w:sz="0" w:space="0" w:color="auto"/>
      </w:divBdr>
    </w:div>
    <w:div w:id="1531139582">
      <w:bodyDiv w:val="1"/>
      <w:marLeft w:val="0"/>
      <w:marRight w:val="0"/>
      <w:marTop w:val="0"/>
      <w:marBottom w:val="0"/>
      <w:divBdr>
        <w:top w:val="none" w:sz="0" w:space="0" w:color="auto"/>
        <w:left w:val="none" w:sz="0" w:space="0" w:color="auto"/>
        <w:bottom w:val="none" w:sz="0" w:space="0" w:color="auto"/>
        <w:right w:val="none" w:sz="0" w:space="0" w:color="auto"/>
      </w:divBdr>
    </w:div>
    <w:div w:id="1609386277">
      <w:bodyDiv w:val="1"/>
      <w:marLeft w:val="0"/>
      <w:marRight w:val="0"/>
      <w:marTop w:val="0"/>
      <w:marBottom w:val="0"/>
      <w:divBdr>
        <w:top w:val="none" w:sz="0" w:space="0" w:color="auto"/>
        <w:left w:val="none" w:sz="0" w:space="0" w:color="auto"/>
        <w:bottom w:val="none" w:sz="0" w:space="0" w:color="auto"/>
        <w:right w:val="none" w:sz="0" w:space="0" w:color="auto"/>
      </w:divBdr>
      <w:divsChild>
        <w:div w:id="1943222920">
          <w:marLeft w:val="0"/>
          <w:marRight w:val="0"/>
          <w:marTop w:val="0"/>
          <w:marBottom w:val="0"/>
          <w:divBdr>
            <w:top w:val="none" w:sz="0" w:space="0" w:color="auto"/>
            <w:left w:val="none" w:sz="0" w:space="0" w:color="auto"/>
            <w:bottom w:val="none" w:sz="0" w:space="0" w:color="auto"/>
            <w:right w:val="none" w:sz="0" w:space="0" w:color="auto"/>
          </w:divBdr>
        </w:div>
        <w:div w:id="410200039">
          <w:marLeft w:val="0"/>
          <w:marRight w:val="0"/>
          <w:marTop w:val="0"/>
          <w:marBottom w:val="0"/>
          <w:divBdr>
            <w:top w:val="none" w:sz="0" w:space="0" w:color="auto"/>
            <w:left w:val="none" w:sz="0" w:space="0" w:color="auto"/>
            <w:bottom w:val="none" w:sz="0" w:space="0" w:color="auto"/>
            <w:right w:val="none" w:sz="0" w:space="0" w:color="auto"/>
          </w:divBdr>
        </w:div>
        <w:div w:id="1444687761">
          <w:marLeft w:val="0"/>
          <w:marRight w:val="0"/>
          <w:marTop w:val="0"/>
          <w:marBottom w:val="0"/>
          <w:divBdr>
            <w:top w:val="none" w:sz="0" w:space="0" w:color="auto"/>
            <w:left w:val="none" w:sz="0" w:space="0" w:color="auto"/>
            <w:bottom w:val="none" w:sz="0" w:space="0" w:color="auto"/>
            <w:right w:val="none" w:sz="0" w:space="0" w:color="auto"/>
          </w:divBdr>
        </w:div>
        <w:div w:id="1634167362">
          <w:marLeft w:val="0"/>
          <w:marRight w:val="0"/>
          <w:marTop w:val="0"/>
          <w:marBottom w:val="0"/>
          <w:divBdr>
            <w:top w:val="none" w:sz="0" w:space="0" w:color="auto"/>
            <w:left w:val="none" w:sz="0" w:space="0" w:color="auto"/>
            <w:bottom w:val="none" w:sz="0" w:space="0" w:color="auto"/>
            <w:right w:val="none" w:sz="0" w:space="0" w:color="auto"/>
          </w:divBdr>
        </w:div>
        <w:div w:id="42289993">
          <w:marLeft w:val="0"/>
          <w:marRight w:val="0"/>
          <w:marTop w:val="0"/>
          <w:marBottom w:val="0"/>
          <w:divBdr>
            <w:top w:val="none" w:sz="0" w:space="0" w:color="auto"/>
            <w:left w:val="none" w:sz="0" w:space="0" w:color="auto"/>
            <w:bottom w:val="none" w:sz="0" w:space="0" w:color="auto"/>
            <w:right w:val="none" w:sz="0" w:space="0" w:color="auto"/>
          </w:divBdr>
        </w:div>
        <w:div w:id="1525440731">
          <w:marLeft w:val="0"/>
          <w:marRight w:val="0"/>
          <w:marTop w:val="0"/>
          <w:marBottom w:val="0"/>
          <w:divBdr>
            <w:top w:val="none" w:sz="0" w:space="0" w:color="auto"/>
            <w:left w:val="none" w:sz="0" w:space="0" w:color="auto"/>
            <w:bottom w:val="none" w:sz="0" w:space="0" w:color="auto"/>
            <w:right w:val="none" w:sz="0" w:space="0" w:color="auto"/>
          </w:divBdr>
        </w:div>
      </w:divsChild>
    </w:div>
    <w:div w:id="1663200593">
      <w:bodyDiv w:val="1"/>
      <w:marLeft w:val="0"/>
      <w:marRight w:val="0"/>
      <w:marTop w:val="0"/>
      <w:marBottom w:val="0"/>
      <w:divBdr>
        <w:top w:val="none" w:sz="0" w:space="0" w:color="auto"/>
        <w:left w:val="none" w:sz="0" w:space="0" w:color="auto"/>
        <w:bottom w:val="none" w:sz="0" w:space="0" w:color="auto"/>
        <w:right w:val="none" w:sz="0" w:space="0" w:color="auto"/>
      </w:divBdr>
    </w:div>
    <w:div w:id="1799907695">
      <w:bodyDiv w:val="1"/>
      <w:marLeft w:val="0"/>
      <w:marRight w:val="0"/>
      <w:marTop w:val="0"/>
      <w:marBottom w:val="0"/>
      <w:divBdr>
        <w:top w:val="none" w:sz="0" w:space="0" w:color="auto"/>
        <w:left w:val="none" w:sz="0" w:space="0" w:color="auto"/>
        <w:bottom w:val="none" w:sz="0" w:space="0" w:color="auto"/>
        <w:right w:val="none" w:sz="0" w:space="0" w:color="auto"/>
      </w:divBdr>
    </w:div>
    <w:div w:id="1808207754">
      <w:bodyDiv w:val="1"/>
      <w:marLeft w:val="0"/>
      <w:marRight w:val="0"/>
      <w:marTop w:val="0"/>
      <w:marBottom w:val="0"/>
      <w:divBdr>
        <w:top w:val="none" w:sz="0" w:space="0" w:color="auto"/>
        <w:left w:val="none" w:sz="0" w:space="0" w:color="auto"/>
        <w:bottom w:val="none" w:sz="0" w:space="0" w:color="auto"/>
        <w:right w:val="none" w:sz="0" w:space="0" w:color="auto"/>
      </w:divBdr>
    </w:div>
    <w:div w:id="202547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lze.Beinare@em.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dris.Maldups@sam.gov.lv" TargetMode="External"/><Relationship Id="rId4" Type="http://schemas.microsoft.com/office/2007/relationships/stylesWithEffects" Target="stylesWithEffects.xml"/><Relationship Id="rId9" Type="http://schemas.openxmlformats.org/officeDocument/2006/relationships/hyperlink" Target="mailto:Ilze.Beinare@e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35455-457C-4343-B652-03AD0E7A5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26</Pages>
  <Words>42364</Words>
  <Characters>24149</Characters>
  <Application>Microsoft Office Word</Application>
  <DocSecurity>0</DocSecurity>
  <Lines>201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 Piņķe</dc:creator>
  <cp:lastModifiedBy>Ilze Beināre</cp:lastModifiedBy>
  <cp:revision>7</cp:revision>
  <cp:lastPrinted>2014-08-26T06:07:00Z</cp:lastPrinted>
  <dcterms:created xsi:type="dcterms:W3CDTF">2014-08-25T21:17:00Z</dcterms:created>
  <dcterms:modified xsi:type="dcterms:W3CDTF">2014-08-26T06:35:00Z</dcterms:modified>
</cp:coreProperties>
</file>