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26" w:rsidRDefault="002A0826" w:rsidP="000C357D">
      <w:pPr>
        <w:tabs>
          <w:tab w:val="left" w:pos="3686"/>
        </w:tabs>
        <w:jc w:val="center"/>
        <w:rPr>
          <w:b/>
          <w:sz w:val="28"/>
          <w:szCs w:val="28"/>
        </w:rPr>
      </w:pPr>
      <w:bookmarkStart w:id="0" w:name="_GoBack"/>
      <w:bookmarkEnd w:id="0"/>
      <w:r>
        <w:rPr>
          <w:b/>
          <w:bCs/>
          <w:sz w:val="28"/>
          <w:szCs w:val="28"/>
          <w:lang w:eastAsia="en-US"/>
        </w:rPr>
        <w:t xml:space="preserve">Ministru kabineta noteikumu projekta „Grozījumi Ministru kabineta </w:t>
      </w:r>
      <w:r w:rsidRPr="00382157">
        <w:rPr>
          <w:b/>
          <w:bCs/>
          <w:sz w:val="28"/>
          <w:szCs w:val="28"/>
          <w:lang w:eastAsia="en-US"/>
        </w:rPr>
        <w:t>200</w:t>
      </w:r>
      <w:r>
        <w:rPr>
          <w:b/>
          <w:bCs/>
          <w:sz w:val="28"/>
          <w:szCs w:val="28"/>
          <w:lang w:eastAsia="en-US"/>
        </w:rPr>
        <w:t>3</w:t>
      </w:r>
      <w:r w:rsidRPr="00382157">
        <w:rPr>
          <w:b/>
          <w:bCs/>
          <w:sz w:val="28"/>
          <w:szCs w:val="28"/>
          <w:lang w:eastAsia="en-US"/>
        </w:rPr>
        <w:t>.gada 27.</w:t>
      </w:r>
      <w:r>
        <w:rPr>
          <w:b/>
          <w:bCs/>
          <w:sz w:val="28"/>
          <w:szCs w:val="28"/>
          <w:lang w:eastAsia="en-US"/>
        </w:rPr>
        <w:t>maija</w:t>
      </w:r>
      <w:r w:rsidRPr="00382157">
        <w:rPr>
          <w:b/>
          <w:bCs/>
          <w:sz w:val="28"/>
          <w:szCs w:val="28"/>
          <w:lang w:eastAsia="en-US"/>
        </w:rPr>
        <w:t xml:space="preserve"> </w:t>
      </w:r>
      <w:r>
        <w:rPr>
          <w:b/>
          <w:bCs/>
          <w:sz w:val="28"/>
          <w:szCs w:val="28"/>
          <w:lang w:eastAsia="en-US"/>
        </w:rPr>
        <w:t>noteikumos Nr.272</w:t>
      </w:r>
      <w:r w:rsidRPr="00382157">
        <w:rPr>
          <w:b/>
          <w:bCs/>
          <w:sz w:val="28"/>
          <w:szCs w:val="28"/>
          <w:lang w:eastAsia="en-US"/>
        </w:rPr>
        <w:t xml:space="preserve"> „</w:t>
      </w:r>
      <w:r>
        <w:rPr>
          <w:b/>
          <w:bCs/>
          <w:sz w:val="28"/>
          <w:szCs w:val="28"/>
          <w:lang w:eastAsia="en-US"/>
        </w:rPr>
        <w:t>Noteikumi par valsts fondēto pensiju shēmas darbību</w:t>
      </w:r>
      <w:r w:rsidRPr="00382157">
        <w:rPr>
          <w:b/>
          <w:bCs/>
          <w:sz w:val="28"/>
          <w:szCs w:val="28"/>
          <w:lang w:eastAsia="en-US"/>
        </w:rPr>
        <w:t>”</w:t>
      </w:r>
      <w:r>
        <w:rPr>
          <w:b/>
          <w:bCs/>
          <w:sz w:val="28"/>
          <w:szCs w:val="28"/>
          <w:lang w:eastAsia="en-US"/>
        </w:rPr>
        <w:t xml:space="preserve">” </w:t>
      </w:r>
      <w:r w:rsidRPr="00AC181D">
        <w:rPr>
          <w:b/>
          <w:sz w:val="28"/>
          <w:szCs w:val="28"/>
        </w:rPr>
        <w:t xml:space="preserve">sākotnējās ietekmes novērtējuma </w:t>
      </w:r>
      <w:smartTag w:uri="schemas-tilde-lv/tildestengine" w:element="veidnes">
        <w:smartTagPr>
          <w:attr w:name="baseform" w:val="ziņojum|s"/>
          <w:attr w:name="id" w:val="-1"/>
          <w:attr w:name="text" w:val="ziņojums"/>
        </w:smartTagPr>
        <w:r w:rsidRPr="00AC181D">
          <w:rPr>
            <w:b/>
            <w:sz w:val="28"/>
            <w:szCs w:val="28"/>
          </w:rPr>
          <w:t>ziņojums</w:t>
        </w:r>
      </w:smartTag>
      <w:r w:rsidRPr="00AC181D">
        <w:rPr>
          <w:b/>
          <w:sz w:val="28"/>
          <w:szCs w:val="28"/>
        </w:rPr>
        <w:t xml:space="preserve"> (anotācija)</w:t>
      </w:r>
    </w:p>
    <w:p w:rsidR="002A0826" w:rsidRDefault="002A0826" w:rsidP="002A0826">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2A0826" w:rsidRPr="00B76D85" w:rsidTr="00F844E4">
        <w:tc>
          <w:tcPr>
            <w:tcW w:w="5000" w:type="pct"/>
            <w:gridSpan w:val="3"/>
          </w:tcPr>
          <w:p w:rsidR="002A0826" w:rsidRPr="006A7D0B" w:rsidRDefault="002A0826" w:rsidP="00F844E4">
            <w:pPr>
              <w:jc w:val="center"/>
              <w:rPr>
                <w:b/>
              </w:rPr>
            </w:pPr>
            <w:r w:rsidRPr="006A7D0B">
              <w:rPr>
                <w:b/>
              </w:rPr>
              <w:t xml:space="preserve">I. Tiesību </w:t>
            </w:r>
            <w:smartTag w:uri="schemas-tilde-lv/tildestengine" w:element="veidnes">
              <w:smartTagPr>
                <w:attr w:name="baseform" w:val="akt|s"/>
                <w:attr w:name="id" w:val="-1"/>
                <w:attr w:name="text" w:val="akta"/>
              </w:smartTagPr>
              <w:r w:rsidRPr="006A7D0B">
                <w:rPr>
                  <w:b/>
                </w:rPr>
                <w:t>akta</w:t>
              </w:r>
            </w:smartTag>
            <w:r w:rsidRPr="006A7D0B">
              <w:rPr>
                <w:b/>
              </w:rPr>
              <w:t xml:space="preserve"> projekta izstrādes nepieciešamība</w:t>
            </w:r>
          </w:p>
        </w:tc>
      </w:tr>
      <w:tr w:rsidR="002A0826" w:rsidRPr="006A7D0B" w:rsidTr="00F844E4">
        <w:tc>
          <w:tcPr>
            <w:tcW w:w="213" w:type="pct"/>
          </w:tcPr>
          <w:p w:rsidR="002A0826" w:rsidRPr="006A7D0B" w:rsidRDefault="002A0826" w:rsidP="00F844E4">
            <w:r w:rsidRPr="006A7D0B">
              <w:rPr>
                <w:sz w:val="22"/>
                <w:szCs w:val="22"/>
              </w:rPr>
              <w:t>1.</w:t>
            </w:r>
          </w:p>
        </w:tc>
        <w:tc>
          <w:tcPr>
            <w:tcW w:w="1654" w:type="pct"/>
          </w:tcPr>
          <w:p w:rsidR="002A0826" w:rsidRPr="006A7D0B" w:rsidRDefault="002A0826" w:rsidP="00F844E4">
            <w:r w:rsidRPr="006A7D0B">
              <w:rPr>
                <w:sz w:val="22"/>
                <w:szCs w:val="22"/>
              </w:rPr>
              <w:t>Pamatojums</w:t>
            </w:r>
          </w:p>
        </w:tc>
        <w:tc>
          <w:tcPr>
            <w:tcW w:w="3133" w:type="pct"/>
          </w:tcPr>
          <w:p w:rsidR="002A0826" w:rsidRPr="00E66E95" w:rsidRDefault="002A0826" w:rsidP="006942E3">
            <w:pPr>
              <w:autoSpaceDE w:val="0"/>
              <w:autoSpaceDN w:val="0"/>
              <w:adjustRightInd w:val="0"/>
              <w:spacing w:after="120"/>
              <w:jc w:val="both"/>
            </w:pPr>
            <w:r w:rsidRPr="00E66E95">
              <w:t>Noteikumu projekts „</w:t>
            </w:r>
            <w:r w:rsidRPr="00E66E95">
              <w:rPr>
                <w:bCs/>
                <w:lang w:eastAsia="en-US"/>
              </w:rPr>
              <w:t>Grozījumi Ministru kabineta 2003.gada 27.maija noteikumos Nr.272 „Noteikumi par valsts fondēto pensiju shēmas darbību”</w:t>
            </w:r>
            <w:r>
              <w:rPr>
                <w:bCs/>
                <w:lang w:eastAsia="en-US"/>
              </w:rPr>
              <w:t xml:space="preserve">” (turpmāk noteikumu projekts) </w:t>
            </w:r>
            <w:r w:rsidRPr="00E66E95">
              <w:t xml:space="preserve">izstrādāts, </w:t>
            </w:r>
            <w:r>
              <w:t xml:space="preserve">lai saskaņotu noteikumus ar </w:t>
            </w:r>
            <w:r w:rsidRPr="00E66E95">
              <w:t>likumprojektu „Grozījumi Valsts fondēto pensiju likumā”</w:t>
            </w:r>
            <w:r>
              <w:t>(Nr.971/Lp11)</w:t>
            </w:r>
            <w:r w:rsidRPr="00E66E95">
              <w:t xml:space="preserve">, kas </w:t>
            </w:r>
            <w:r w:rsidRPr="00B1169B">
              <w:t>201</w:t>
            </w:r>
            <w:r>
              <w:t>4</w:t>
            </w:r>
            <w:r w:rsidRPr="00B1169B">
              <w:t xml:space="preserve">.gada </w:t>
            </w:r>
            <w:r w:rsidR="006942E3">
              <w:t>3.aprīlī pieņemts Saeimā un 2014.gada 29.aprīlī stājies spēkā.</w:t>
            </w:r>
          </w:p>
        </w:tc>
      </w:tr>
      <w:tr w:rsidR="002A0826" w:rsidRPr="00E66E95" w:rsidTr="00F844E4">
        <w:tc>
          <w:tcPr>
            <w:tcW w:w="213" w:type="pct"/>
          </w:tcPr>
          <w:p w:rsidR="002A0826" w:rsidRPr="006A7D0B" w:rsidRDefault="002A0826" w:rsidP="00F844E4">
            <w:r w:rsidRPr="006A7D0B">
              <w:rPr>
                <w:sz w:val="22"/>
                <w:szCs w:val="22"/>
              </w:rPr>
              <w:t xml:space="preserve">2. </w:t>
            </w:r>
          </w:p>
        </w:tc>
        <w:tc>
          <w:tcPr>
            <w:tcW w:w="1654" w:type="pct"/>
          </w:tcPr>
          <w:p w:rsidR="002A0826" w:rsidRPr="006A7D0B" w:rsidRDefault="002A0826" w:rsidP="00F844E4">
            <w:r w:rsidRPr="00DD49B6">
              <w:t>Pašreizējā situācija un problēmas, kuru risināšanai tiesību akta projekts izstrādāts, tiesiskā regulējuma mērķis un būtība</w:t>
            </w:r>
          </w:p>
        </w:tc>
        <w:tc>
          <w:tcPr>
            <w:tcW w:w="3133" w:type="pct"/>
          </w:tcPr>
          <w:p w:rsidR="002A0826" w:rsidRPr="00830427" w:rsidRDefault="002A0826" w:rsidP="00F844E4">
            <w:pPr>
              <w:spacing w:after="120"/>
              <w:jc w:val="both"/>
            </w:pPr>
            <w:r w:rsidRPr="00830427">
              <w:t>Valsts fondēto pensiju likums nosaka valsts fondēto pensiju shēmas līdzekļu iemaksāšanas, administrēšanas, pārvaldīšanas, ieguldīšanas un izmaksāšanas vispārīgos noteikumus. Valsts fondēto pensiju shēmas līdzekļu pārvaldīšanai Valsts sociālās apdrošināšanas aģentūra (turpmāk – Aģentūra) slēdz līgumus ar līdzekļu pārvaldītājiem. Fondēto pensiju shēmas līdzekļu pārvaldītājs izstrādā vienu vai vairākus fondēto pensiju shēmas līdzekļu ieguldījumu plānus — sistematizētu tādu noteikumu kopumus, pēc kuriem notiek fondēto pensiju shēmas līdzekļu pārvaldīšana un kuri ir izklāstīti katra attiecīgā ieguldījumu plāna prospektā. Ieguldījumu plāna prospekts (prospekti) ir Aģentūras un fondēto pensiju shēmas līdzekļu pārvaldītāja noslēgtā līguma neatņemama sastāvdaļa. Fondēto pensiju shēmas līdzekļu pārvaldīšanu atbilstoši ieguldījumu plānam fondēto pensiju shēmas līdzekļu pārvaldītājs ir tiesīgs veikt tikai pēc attiecīgā ieguldījumu plāna prospekta reģistrācijas Finanšu un kapitāla tirgus komisijā (turpmāk - Komisija). Ja ieguldījumu plāna prospekts neatbilst normatīvajos aktos noteiktajām prasībām, Komisija atsaka tā reģistrāciju.</w:t>
            </w:r>
          </w:p>
          <w:p w:rsidR="002A0826" w:rsidRPr="00830427" w:rsidRDefault="002A0826" w:rsidP="00F844E4">
            <w:pPr>
              <w:spacing w:after="120"/>
              <w:jc w:val="both"/>
            </w:pPr>
            <w:r w:rsidRPr="00830427">
              <w:rPr>
                <w:lang w:eastAsia="en-US"/>
              </w:rPr>
              <w:t xml:space="preserve">Lai nodrošinātu papildu risku samazināšanas mehānismu valsts fondēto pensiju sistēmas dalībnieku interešu aizsardzībai, kā viens no risinājumiem </w:t>
            </w:r>
            <w:r w:rsidR="00D22538" w:rsidRPr="00830427">
              <w:rPr>
                <w:lang w:eastAsia="en-US"/>
              </w:rPr>
              <w:t xml:space="preserve">Valsts fondēto pensiju likumā </w:t>
            </w:r>
            <w:r w:rsidRPr="00830427">
              <w:rPr>
                <w:lang w:eastAsia="en-US"/>
              </w:rPr>
              <w:t xml:space="preserve">piedāvāts - ieguldītāju papildu informēšana, izstrādājot īpašu dokumentu - dalībniekiem paredzētā pamatinformācija (turpmāk – pamatinformācija). </w:t>
            </w:r>
            <w:r w:rsidR="007C39F0" w:rsidRPr="00830427">
              <w:rPr>
                <w:lang w:eastAsia="en-US"/>
              </w:rPr>
              <w:t>Valsts fondēto pensiju likums</w:t>
            </w:r>
            <w:r w:rsidRPr="00830427">
              <w:rPr>
                <w:lang w:eastAsia="en-US"/>
              </w:rPr>
              <w:t xml:space="preserve"> nosaka</w:t>
            </w:r>
            <w:r w:rsidRPr="00830427">
              <w:t xml:space="preserve"> deleģējumu Komisijai izstrādāt detalizētu pamatinformācijas formātu un saturu katram ieguldījumu plānam, lai shēmas dalībnieki izprastu ieguldījumu būtiskākos aspektus, pārvaldes izmaksas un varētu pieņemt pamatotu lēmumu par piedāvāto ieguldījumu. </w:t>
            </w:r>
          </w:p>
          <w:p w:rsidR="002A0826" w:rsidRPr="00830427" w:rsidRDefault="002A0826" w:rsidP="00F844E4">
            <w:pPr>
              <w:spacing w:after="120"/>
              <w:jc w:val="both"/>
            </w:pPr>
            <w:r w:rsidRPr="00830427">
              <w:rPr>
                <w:lang w:eastAsia="en-US"/>
              </w:rPr>
              <w:t>Ministru kabineta 2003.gada 27.maija noteikumi Nr.272 „Noteikumi par valsts fondēto pensiju shēmas darbību” nosaka</w:t>
            </w:r>
            <w:r w:rsidRPr="00830427">
              <w:t xml:space="preserve"> </w:t>
            </w:r>
            <w:r w:rsidRPr="00830427">
              <w:rPr>
                <w:lang w:eastAsia="en-US"/>
              </w:rPr>
              <w:t xml:space="preserve">shēmas darbības pamatnoteikumus, t.sk. līdzekļu </w:t>
            </w:r>
            <w:r w:rsidRPr="00830427">
              <w:rPr>
                <w:lang w:eastAsia="en-US"/>
              </w:rPr>
              <w:lastRenderedPageBreak/>
              <w:t xml:space="preserve">pārvaldītāju līguma saturu, veidu un noslēgšanas kārtību. Attiecīgi noteikumu projekts paredz, ka </w:t>
            </w:r>
            <w:r w:rsidRPr="00830427">
              <w:t xml:space="preserve">ieguldījumu plāna prospekts (prospekti) un </w:t>
            </w:r>
            <w:r w:rsidRPr="00830427">
              <w:rPr>
                <w:b/>
              </w:rPr>
              <w:t>pamatinformācija</w:t>
            </w:r>
            <w:r w:rsidRPr="00830427">
              <w:t xml:space="preserve"> ir Aģentūras un fondēto pensiju shēmas līdzekļu pārvaldītāja noslēgtā līguma neatņemama sastāvdaļa, kā arī nosaka, ka noteikumi stājas spēkā 2015.gada 1.janvārī. </w:t>
            </w:r>
          </w:p>
          <w:p w:rsidR="006C2963" w:rsidRPr="00830427" w:rsidRDefault="00D22538" w:rsidP="00E25407">
            <w:pPr>
              <w:spacing w:before="240"/>
              <w:jc w:val="both"/>
            </w:pPr>
            <w:r w:rsidRPr="00830427">
              <w:t xml:space="preserve">Ņemot vērā, ka </w:t>
            </w:r>
            <w:r w:rsidR="006C2963" w:rsidRPr="00830427">
              <w:t>ir iespēja atsevišķos gadījumos sastādīt un iesniegt dokumentus arī elektroniskā veidā, noteikumu projekts papildināts</w:t>
            </w:r>
            <w:r w:rsidR="000D62C8" w:rsidRPr="00830427">
              <w:t>,</w:t>
            </w:r>
            <w:r w:rsidR="006C2963" w:rsidRPr="00830427">
              <w:t xml:space="preserve"> </w:t>
            </w:r>
            <w:r w:rsidR="000D62C8" w:rsidRPr="00830427">
              <w:t>paredzot,</w:t>
            </w:r>
            <w:r w:rsidR="006C2963" w:rsidRPr="00830427">
              <w:t xml:space="preserve"> ka prasība sagatavot dokumentus vairākos eksemplāros nav attiecināma uz gadījumiem, kad dokumenti tiek sagatavoti elektroniski atbilstoši normatīvajiem aktiem par ele</w:t>
            </w:r>
            <w:r w:rsidR="000D62C8" w:rsidRPr="00830427">
              <w:t>ktronisko dokumentu noformēšanu</w:t>
            </w:r>
            <w:r w:rsidR="00E25407" w:rsidRPr="00830427">
              <w:t xml:space="preserve"> (</w:t>
            </w:r>
            <w:r w:rsidR="009E658B">
              <w:t xml:space="preserve">noteikumu projekta </w:t>
            </w:r>
            <w:r w:rsidR="00E25407" w:rsidRPr="00830427">
              <w:t>1.1. punkts)</w:t>
            </w:r>
            <w:r w:rsidR="000D62C8" w:rsidRPr="00830427">
              <w:t>, jo elektroniskā apritē esošajam dokumentam ir pievienota vērtība - vienu ar elektronisko parakstu parakstītu dokumentu var nosūtīt, pavairot un saglabāt vai pārsūtīt nenoteiktam skaitam adresātiem, kur visi dokumenti būs oriģināli ar vienādu juridisku spēku</w:t>
            </w:r>
            <w:r w:rsidR="00C376C4">
              <w:t>,</w:t>
            </w:r>
            <w:r w:rsidR="000D62C8" w:rsidRPr="00830427">
              <w:t xml:space="preserve"> un tie saturēs drošu elektronisko parakstu un laika zīmogu, tāpēc to vairākos eksemplāros nav nepieciešams.</w:t>
            </w:r>
          </w:p>
          <w:p w:rsidR="000D62C8" w:rsidRPr="00830427" w:rsidRDefault="00AA5AF6" w:rsidP="00830427">
            <w:pPr>
              <w:spacing w:before="240"/>
              <w:jc w:val="both"/>
            </w:pPr>
            <w:r w:rsidRPr="00830427">
              <w:rPr>
                <w:lang w:eastAsia="en-US"/>
              </w:rPr>
              <w:t xml:space="preserve">Ministru kabineta 2003.gada 27.maija noteikumu Nr.272 „Noteikumi par valsts fondēto pensiju shēmas darbību” pielikuma 14.2. apakšpunkts nosaka, ka </w:t>
            </w:r>
            <w:r w:rsidR="00830427">
              <w:t>visus 14.1. apakšpunktā minētos dokumentus</w:t>
            </w:r>
            <w:r w:rsidRPr="00830427">
              <w:t xml:space="preserve"> </w:t>
            </w:r>
            <w:r w:rsidR="00830427">
              <w:t>L</w:t>
            </w:r>
            <w:r w:rsidRPr="00830427">
              <w:t>īdzekļu pārvaldītājs aģentūrā iesniedz arī elektroniski.</w:t>
            </w:r>
            <w:r w:rsidR="00830427" w:rsidRPr="00830427">
              <w:t xml:space="preserve"> Tā kā attiecīgie dokumenti aģentūrai nav nepieciešami ar elektronisko parakstu, bet gan kā papildus informācija elektroniski, tad vienlaikus </w:t>
            </w:r>
            <w:r w:rsidR="000D62C8" w:rsidRPr="00830427">
              <w:t>noteikumu projektā</w:t>
            </w:r>
            <w:r w:rsidR="00E25407" w:rsidRPr="00830427">
              <w:t xml:space="preserve"> redakcionāli</w:t>
            </w:r>
            <w:r w:rsidR="000D62C8" w:rsidRPr="00830427">
              <w:t xml:space="preserve"> </w:t>
            </w:r>
            <w:r w:rsidR="00830427" w:rsidRPr="00830427">
              <w:t>veikts precizējums</w:t>
            </w:r>
            <w:r w:rsidR="00C376C4">
              <w:t xml:space="preserve"> </w:t>
            </w:r>
            <w:r w:rsidR="00C376C4" w:rsidRPr="00830427">
              <w:t>(</w:t>
            </w:r>
            <w:r w:rsidR="00C376C4">
              <w:t xml:space="preserve">noteikumu projekta </w:t>
            </w:r>
            <w:r w:rsidR="00C376C4" w:rsidRPr="00830427">
              <w:t>1.1</w:t>
            </w:r>
            <w:r w:rsidR="00C376C4">
              <w:t>6</w:t>
            </w:r>
            <w:r w:rsidR="00C376C4" w:rsidRPr="00830427">
              <w:t>. punkts)</w:t>
            </w:r>
            <w:r w:rsidR="00830427" w:rsidRPr="00830427">
              <w:t xml:space="preserve">, paredzot, ka </w:t>
            </w:r>
            <w:r w:rsidR="00830427">
              <w:t>minētos dokumentus L</w:t>
            </w:r>
            <w:r w:rsidR="00830427" w:rsidRPr="00830427">
              <w:t>īdzekļu pārvaldītājs aģentūrā iesniedz arī elektroniski (bez droša elektroniskā paraksta)</w:t>
            </w:r>
            <w:r w:rsidR="009E658B">
              <w:t>.</w:t>
            </w:r>
          </w:p>
        </w:tc>
      </w:tr>
      <w:tr w:rsidR="002A0826" w:rsidRPr="006A7D0B" w:rsidTr="00F844E4">
        <w:tc>
          <w:tcPr>
            <w:tcW w:w="213" w:type="pct"/>
          </w:tcPr>
          <w:p w:rsidR="002A0826" w:rsidRPr="006A7D0B" w:rsidRDefault="002A0826" w:rsidP="00F844E4">
            <w:r w:rsidRPr="006A7D0B">
              <w:rPr>
                <w:sz w:val="22"/>
                <w:szCs w:val="22"/>
              </w:rPr>
              <w:lastRenderedPageBreak/>
              <w:t>3.</w:t>
            </w:r>
          </w:p>
        </w:tc>
        <w:tc>
          <w:tcPr>
            <w:tcW w:w="1654" w:type="pct"/>
          </w:tcPr>
          <w:p w:rsidR="002A0826" w:rsidRPr="006A7D0B" w:rsidRDefault="002A0826" w:rsidP="00F844E4">
            <w:r w:rsidRPr="006A7D0B">
              <w:rPr>
                <w:sz w:val="22"/>
                <w:szCs w:val="22"/>
              </w:rPr>
              <w:t>Projekta izstrādē iesaistītās institūcijas</w:t>
            </w:r>
          </w:p>
        </w:tc>
        <w:tc>
          <w:tcPr>
            <w:tcW w:w="3133" w:type="pct"/>
          </w:tcPr>
          <w:p w:rsidR="002A0826" w:rsidRPr="00FE2F47" w:rsidRDefault="002A0826" w:rsidP="00F844E4">
            <w:pPr>
              <w:jc w:val="both"/>
              <w:rPr>
                <w:color w:val="FF0000"/>
              </w:rPr>
            </w:pPr>
            <w:r w:rsidRPr="00FE2F47">
              <w:t>Komisija, Aģentūra.</w:t>
            </w:r>
          </w:p>
        </w:tc>
      </w:tr>
      <w:tr w:rsidR="002A0826" w:rsidRPr="006A7D0B" w:rsidTr="00F844E4">
        <w:tc>
          <w:tcPr>
            <w:tcW w:w="213" w:type="pct"/>
          </w:tcPr>
          <w:p w:rsidR="002A0826" w:rsidRPr="006A7D0B" w:rsidRDefault="002A0826" w:rsidP="00F844E4">
            <w:r w:rsidRPr="006A7D0B">
              <w:rPr>
                <w:sz w:val="22"/>
                <w:szCs w:val="22"/>
              </w:rPr>
              <w:t xml:space="preserve">4. </w:t>
            </w:r>
          </w:p>
        </w:tc>
        <w:tc>
          <w:tcPr>
            <w:tcW w:w="1654" w:type="pct"/>
          </w:tcPr>
          <w:p w:rsidR="002A0826" w:rsidRPr="006A7D0B" w:rsidRDefault="002A0826" w:rsidP="00F844E4">
            <w:r w:rsidRPr="006A7D0B">
              <w:rPr>
                <w:sz w:val="22"/>
                <w:szCs w:val="22"/>
              </w:rPr>
              <w:t>Cita informācija</w:t>
            </w:r>
          </w:p>
        </w:tc>
        <w:tc>
          <w:tcPr>
            <w:tcW w:w="3133" w:type="pct"/>
          </w:tcPr>
          <w:p w:rsidR="002A0826" w:rsidRDefault="002A0826" w:rsidP="00F844E4">
            <w:pPr>
              <w:spacing w:after="120"/>
              <w:jc w:val="both"/>
            </w:pPr>
            <w:r w:rsidRPr="00DA256A">
              <w:t>Ņemot vērā, ka pamatinformācija ir dokuments, kura izstrādes prasības ietver sarežģītus aprēķinus un kritērijus</w:t>
            </w:r>
            <w:r w:rsidR="007C39F0">
              <w:t>,</w:t>
            </w:r>
            <w:r>
              <w:t xml:space="preserve"> un tas būs liela apjoma dokuments</w:t>
            </w:r>
            <w:r w:rsidRPr="00DA256A">
              <w:t xml:space="preserve">, </w:t>
            </w:r>
            <w:r>
              <w:t xml:space="preserve">atbilstoši </w:t>
            </w:r>
            <w:r w:rsidR="007C39F0">
              <w:t>Valsts fondēto pensiju likumā</w:t>
            </w:r>
            <w:r>
              <w:t xml:space="preserve"> paredzētajam pamatinformācijas </w:t>
            </w:r>
            <w:r w:rsidRPr="00DA256A">
              <w:t xml:space="preserve">sagatavošanas </w:t>
            </w:r>
            <w:r>
              <w:t xml:space="preserve">prasības tiks </w:t>
            </w:r>
            <w:r w:rsidRPr="00DA256A">
              <w:t>sagatavot</w:t>
            </w:r>
            <w:r>
              <w:t>as</w:t>
            </w:r>
            <w:r w:rsidRPr="00DA256A">
              <w:t xml:space="preserve"> kā </w:t>
            </w:r>
            <w:r>
              <w:t xml:space="preserve">Komisijas </w:t>
            </w:r>
            <w:r w:rsidRPr="00DA256A">
              <w:t>normatīv</w:t>
            </w:r>
            <w:r>
              <w:t>ie</w:t>
            </w:r>
            <w:r w:rsidRPr="00DA256A">
              <w:t xml:space="preserve"> noteikum</w:t>
            </w:r>
            <w:r>
              <w:t>i</w:t>
            </w:r>
            <w:r w:rsidRPr="00DA256A">
              <w:t>. Līdzīga prakse ir izmantota ieguldījumu pārvaldes sabiedrību darbību regulējošajā jomā, kur arī fonda pamatdokumenti (prospekts, nolikums, ieguldītājiem paredzētā pamatinformācija (</w:t>
            </w:r>
            <w:r>
              <w:t>turpmāk – informācija ieguldītājiem</w:t>
            </w:r>
            <w:r w:rsidRPr="00DA256A">
              <w:t xml:space="preserve">) ir vienāda līmeņa dokumenti, bet prospekta un nolikuma sagatavošanas kārtība ir ietverti Ieguldījumu pārvaldes sabiedrību likumā, </w:t>
            </w:r>
            <w:r>
              <w:t xml:space="preserve">bet </w:t>
            </w:r>
            <w:r w:rsidRPr="00951B22">
              <w:t>informācija</w:t>
            </w:r>
            <w:r>
              <w:t>s</w:t>
            </w:r>
            <w:r w:rsidRPr="00951B22">
              <w:t xml:space="preserve"> ieguldītājiem </w:t>
            </w:r>
            <w:r>
              <w:t>sagatavošanas kārtība ir ietverta divos Komisijas normatīvos dokumentos:</w:t>
            </w:r>
          </w:p>
          <w:p w:rsidR="002A0826" w:rsidRPr="00EE6AE0" w:rsidRDefault="002A0826" w:rsidP="002A0826">
            <w:pPr>
              <w:pStyle w:val="ListParagraph"/>
              <w:numPr>
                <w:ilvl w:val="0"/>
                <w:numId w:val="1"/>
              </w:numPr>
              <w:autoSpaceDE w:val="0"/>
              <w:autoSpaceDN w:val="0"/>
              <w:adjustRightInd w:val="0"/>
              <w:spacing w:after="120"/>
              <w:ind w:left="317" w:hanging="283"/>
              <w:jc w:val="both"/>
            </w:pPr>
            <w:r>
              <w:lastRenderedPageBreak/>
              <w:t>Komisijas 2011.gada 11.novembra normatīvie noteikumi Nr.240 „</w:t>
            </w:r>
            <w:r w:rsidRPr="00EE6AE0">
              <w:t>Ieguldītājiem paredzētās pamatinformācijas sagatavošanas normatīvie noteikumi</w:t>
            </w:r>
            <w:r>
              <w:t>”</w:t>
            </w:r>
            <w:r w:rsidRPr="00EE6AE0">
              <w:t>;</w:t>
            </w:r>
          </w:p>
          <w:p w:rsidR="002A0826" w:rsidRPr="00B05B6D" w:rsidRDefault="002A0826" w:rsidP="002A0826">
            <w:pPr>
              <w:pStyle w:val="ListParagraph"/>
              <w:numPr>
                <w:ilvl w:val="0"/>
                <w:numId w:val="1"/>
              </w:numPr>
              <w:spacing w:after="120"/>
              <w:ind w:left="317" w:hanging="283"/>
              <w:jc w:val="both"/>
            </w:pPr>
            <w:r>
              <w:t>Komisijas 2011.gada 11.novembra ieteikumi Nr.248 „</w:t>
            </w:r>
            <w:r w:rsidRPr="00EE6AE0">
              <w:t>Ieguldītājiem paredzētās pamatinformācijas sagatavošanas ieteikumi</w:t>
            </w:r>
            <w:r>
              <w:t>”.</w:t>
            </w:r>
          </w:p>
          <w:p w:rsidR="002A0826" w:rsidRPr="006A7D0B" w:rsidRDefault="002A0826" w:rsidP="00F844E4">
            <w:pPr>
              <w:jc w:val="both"/>
              <w:rPr>
                <w:i/>
                <w:color w:val="FF0000"/>
              </w:rPr>
            </w:pPr>
            <w:r>
              <w:t>Ar Komisijas</w:t>
            </w:r>
            <w:r w:rsidRPr="00DA256A">
              <w:t xml:space="preserve"> normatīv</w:t>
            </w:r>
            <w:r>
              <w:t>ajiem</w:t>
            </w:r>
            <w:r w:rsidRPr="00DA256A">
              <w:t xml:space="preserve"> noteikum</w:t>
            </w:r>
            <w:r>
              <w:t>iem</w:t>
            </w:r>
            <w:r w:rsidRPr="00DA256A">
              <w:t xml:space="preserve"> tiek regulēta </w:t>
            </w:r>
            <w:r>
              <w:t xml:space="preserve">arī </w:t>
            </w:r>
            <w:r w:rsidRPr="00DA256A">
              <w:t>valsts fondēto pensiju shēmas ieguldījumu plānu pārskatu sagatavošanas kārtība.</w:t>
            </w:r>
          </w:p>
        </w:tc>
      </w:tr>
    </w:tbl>
    <w:p w:rsidR="002A0826" w:rsidRDefault="002A0826" w:rsidP="002A08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2A0826" w:rsidRPr="00B76D85" w:rsidTr="00F844E4">
        <w:tc>
          <w:tcPr>
            <w:tcW w:w="9287" w:type="dxa"/>
            <w:gridSpan w:val="3"/>
          </w:tcPr>
          <w:p w:rsidR="002A0826" w:rsidRPr="006A7D0B" w:rsidRDefault="002A0826" w:rsidP="00F844E4">
            <w:pPr>
              <w:pStyle w:val="naisnod"/>
              <w:spacing w:before="0" w:after="0"/>
              <w:ind w:left="57" w:right="57"/>
              <w:rPr>
                <w:b w:val="0"/>
              </w:rPr>
            </w:pPr>
            <w:r w:rsidRPr="00230730">
              <w:t>II</w:t>
            </w:r>
            <w:r>
              <w:t>.</w:t>
            </w:r>
            <w:r w:rsidRPr="006A7D0B">
              <w:rPr>
                <w:b w:val="0"/>
              </w:rPr>
              <w:t xml:space="preserve"> </w:t>
            </w:r>
            <w:r w:rsidRPr="00DD49B6">
              <w:t>Tiesību akta projekta ietekme uz sabiedrību, tautsaimniecības attīstību</w:t>
            </w:r>
          </w:p>
          <w:p w:rsidR="002A0826" w:rsidRPr="006A7D0B" w:rsidRDefault="002A0826" w:rsidP="00F844E4">
            <w:pPr>
              <w:jc w:val="center"/>
              <w:rPr>
                <w:b/>
              </w:rPr>
            </w:pPr>
            <w:r w:rsidRPr="006A7D0B">
              <w:rPr>
                <w:b/>
              </w:rPr>
              <w:t>un administratīvo slogu</w:t>
            </w:r>
          </w:p>
        </w:tc>
      </w:tr>
      <w:tr w:rsidR="002A0826" w:rsidRPr="006A7D0B" w:rsidTr="00F844E4">
        <w:tc>
          <w:tcPr>
            <w:tcW w:w="396" w:type="dxa"/>
          </w:tcPr>
          <w:p w:rsidR="002A0826" w:rsidRPr="006A7D0B" w:rsidRDefault="002A0826" w:rsidP="00F844E4">
            <w:r w:rsidRPr="006A7D0B">
              <w:rPr>
                <w:sz w:val="22"/>
                <w:szCs w:val="22"/>
              </w:rPr>
              <w:t>1.</w:t>
            </w:r>
          </w:p>
        </w:tc>
        <w:tc>
          <w:tcPr>
            <w:tcW w:w="3072" w:type="dxa"/>
          </w:tcPr>
          <w:p w:rsidR="002A0826" w:rsidRPr="006A7D0B" w:rsidRDefault="002A0826" w:rsidP="00F844E4">
            <w:r w:rsidRPr="00DD49B6">
              <w:t>Sabiedrības mērķgrupas, kuras tiesiskais regulējums ietekmē vai varētu ietekmēt</w:t>
            </w:r>
          </w:p>
        </w:tc>
        <w:tc>
          <w:tcPr>
            <w:tcW w:w="5819" w:type="dxa"/>
          </w:tcPr>
          <w:p w:rsidR="002A0826" w:rsidRPr="007C39F0" w:rsidRDefault="002A0826" w:rsidP="00F844E4">
            <w:pPr>
              <w:jc w:val="both"/>
              <w:rPr>
                <w:iCs/>
              </w:rPr>
            </w:pPr>
            <w:r w:rsidRPr="007C39F0">
              <w:rPr>
                <w:iCs/>
              </w:rPr>
              <w:t>Valsts fondēto pensiju shēmas dalībnieki.</w:t>
            </w:r>
          </w:p>
          <w:p w:rsidR="007C39F0" w:rsidRDefault="002A0826" w:rsidP="00F844E4">
            <w:pPr>
              <w:jc w:val="both"/>
              <w:rPr>
                <w:iCs/>
              </w:rPr>
            </w:pPr>
            <w:r w:rsidRPr="007C39F0">
              <w:rPr>
                <w:iCs/>
              </w:rPr>
              <w:t xml:space="preserve">Saskaņā ar Valsts fondēto pensiju likuma 3.panta pirmo un otro daļu tiem sociālo iemaksu veicējiem, kas dzimuši pēc 1971.gada 1.jūlija, līdzdalība valsts fondēto pensiju shēmā ir noteikta obligāta, savukārt tiem, kas dzimuši no 1951.gada 2.jūlija līdz 1971.gada 1.jūlijam (ieskaitot), - brīvprātīga. </w:t>
            </w:r>
          </w:p>
          <w:p w:rsidR="002A0826" w:rsidRPr="007C39F0" w:rsidRDefault="002A0826" w:rsidP="00F844E4">
            <w:pPr>
              <w:jc w:val="both"/>
              <w:rPr>
                <w:iCs/>
              </w:rPr>
            </w:pPr>
            <w:r w:rsidRPr="007C39F0">
              <w:rPr>
                <w:iCs/>
              </w:rPr>
              <w:t>2013.gada 31.decembrī valsts fondēto pensiju shēmā bija reģistrēti 1 225 tūkst. dalībnieku, no tiem kā obligātie shēmas dalībnieki bija reģistrēti 730 tūkst. personu un brīvprātīgie - 495 tūkst. personu.</w:t>
            </w:r>
          </w:p>
          <w:p w:rsidR="002A0826" w:rsidRPr="003D47C7" w:rsidRDefault="002A0826" w:rsidP="00F844E4">
            <w:pPr>
              <w:jc w:val="both"/>
            </w:pPr>
          </w:p>
        </w:tc>
      </w:tr>
      <w:tr w:rsidR="002A0826" w:rsidRPr="006A7D0B" w:rsidTr="00F844E4">
        <w:tc>
          <w:tcPr>
            <w:tcW w:w="396" w:type="dxa"/>
          </w:tcPr>
          <w:p w:rsidR="002A0826" w:rsidRPr="006A7D0B" w:rsidRDefault="002A0826" w:rsidP="00F844E4">
            <w:r w:rsidRPr="006A7D0B">
              <w:rPr>
                <w:sz w:val="22"/>
                <w:szCs w:val="22"/>
              </w:rPr>
              <w:t xml:space="preserve">2. </w:t>
            </w:r>
          </w:p>
        </w:tc>
        <w:tc>
          <w:tcPr>
            <w:tcW w:w="3072" w:type="dxa"/>
          </w:tcPr>
          <w:p w:rsidR="002A0826" w:rsidRPr="006A7D0B" w:rsidRDefault="002A0826" w:rsidP="00F844E4">
            <w:r w:rsidRPr="00DD49B6">
              <w:t>Tiesiskā regulējuma ietekme uz tautsaimniecību un administratīvo slogu</w:t>
            </w:r>
          </w:p>
        </w:tc>
        <w:tc>
          <w:tcPr>
            <w:tcW w:w="5819" w:type="dxa"/>
          </w:tcPr>
          <w:p w:rsidR="002A0826" w:rsidRPr="00434699" w:rsidRDefault="002A0826" w:rsidP="00F844E4">
            <w:pPr>
              <w:jc w:val="both"/>
              <w:rPr>
                <w:color w:val="FF0000"/>
              </w:rPr>
            </w:pPr>
            <w:r w:rsidRPr="00434699">
              <w:rPr>
                <w:sz w:val="22"/>
                <w:szCs w:val="22"/>
              </w:rPr>
              <w:t>Projekts šo jomu neskar.</w:t>
            </w:r>
          </w:p>
        </w:tc>
      </w:tr>
      <w:tr w:rsidR="002A0826" w:rsidRPr="006A7D0B" w:rsidTr="00F844E4">
        <w:tc>
          <w:tcPr>
            <w:tcW w:w="396" w:type="dxa"/>
          </w:tcPr>
          <w:p w:rsidR="002A0826" w:rsidRPr="006A7D0B" w:rsidRDefault="002A0826" w:rsidP="00F844E4">
            <w:r w:rsidRPr="006A7D0B">
              <w:rPr>
                <w:sz w:val="22"/>
                <w:szCs w:val="22"/>
              </w:rPr>
              <w:t>3.</w:t>
            </w:r>
          </w:p>
        </w:tc>
        <w:tc>
          <w:tcPr>
            <w:tcW w:w="3072" w:type="dxa"/>
          </w:tcPr>
          <w:p w:rsidR="002A0826" w:rsidRPr="006A7D0B" w:rsidRDefault="002A0826" w:rsidP="00F844E4">
            <w:r w:rsidRPr="006A7D0B">
              <w:rPr>
                <w:sz w:val="22"/>
                <w:szCs w:val="22"/>
              </w:rPr>
              <w:t>Administratīvo izmaksu monetārs novērtējums</w:t>
            </w:r>
          </w:p>
        </w:tc>
        <w:tc>
          <w:tcPr>
            <w:tcW w:w="5819" w:type="dxa"/>
          </w:tcPr>
          <w:p w:rsidR="002A0826" w:rsidRPr="00434699" w:rsidRDefault="002A0826" w:rsidP="00F844E4">
            <w:pPr>
              <w:jc w:val="both"/>
              <w:rPr>
                <w:color w:val="FF0000"/>
              </w:rPr>
            </w:pPr>
            <w:r w:rsidRPr="00434699">
              <w:rPr>
                <w:sz w:val="22"/>
                <w:szCs w:val="22"/>
              </w:rPr>
              <w:t>Projekts šo jomu neskar.</w:t>
            </w:r>
          </w:p>
        </w:tc>
      </w:tr>
      <w:tr w:rsidR="002A0826" w:rsidRPr="006A7D0B" w:rsidTr="00F844E4">
        <w:tc>
          <w:tcPr>
            <w:tcW w:w="396" w:type="dxa"/>
          </w:tcPr>
          <w:p w:rsidR="002A0826" w:rsidRPr="006A7D0B" w:rsidRDefault="002A0826" w:rsidP="00F844E4">
            <w:r w:rsidRPr="006A7D0B">
              <w:rPr>
                <w:sz w:val="22"/>
                <w:szCs w:val="22"/>
              </w:rPr>
              <w:t xml:space="preserve">4. </w:t>
            </w:r>
          </w:p>
        </w:tc>
        <w:tc>
          <w:tcPr>
            <w:tcW w:w="3072" w:type="dxa"/>
          </w:tcPr>
          <w:p w:rsidR="002A0826" w:rsidRPr="006A7D0B" w:rsidRDefault="002A0826" w:rsidP="00F844E4">
            <w:r w:rsidRPr="006A7D0B">
              <w:rPr>
                <w:sz w:val="22"/>
                <w:szCs w:val="22"/>
              </w:rPr>
              <w:t>Cita informācija</w:t>
            </w:r>
          </w:p>
        </w:tc>
        <w:tc>
          <w:tcPr>
            <w:tcW w:w="5819" w:type="dxa"/>
          </w:tcPr>
          <w:p w:rsidR="002A0826" w:rsidRPr="00434699" w:rsidRDefault="002A0826" w:rsidP="00F844E4">
            <w:pPr>
              <w:jc w:val="both"/>
              <w:rPr>
                <w:iCs/>
                <w:color w:val="FF0000"/>
              </w:rPr>
            </w:pPr>
            <w:r w:rsidRPr="00434699">
              <w:rPr>
                <w:iCs/>
                <w:sz w:val="22"/>
                <w:szCs w:val="22"/>
              </w:rPr>
              <w:t>Nav.</w:t>
            </w:r>
          </w:p>
        </w:tc>
      </w:tr>
    </w:tbl>
    <w:p w:rsidR="002A0826" w:rsidRDefault="002A0826" w:rsidP="002A0826"/>
    <w:p w:rsidR="002A0826" w:rsidRDefault="002A0826" w:rsidP="002A08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2A0826" w:rsidRPr="00B76D85" w:rsidTr="00F844E4">
        <w:tc>
          <w:tcPr>
            <w:tcW w:w="9287" w:type="dxa"/>
            <w:gridSpan w:val="3"/>
          </w:tcPr>
          <w:p w:rsidR="002A0826" w:rsidRPr="006A7D0B" w:rsidRDefault="002A0826" w:rsidP="00F844E4">
            <w:pPr>
              <w:jc w:val="center"/>
              <w:rPr>
                <w:b/>
              </w:rPr>
            </w:pPr>
            <w:r w:rsidRPr="006A7D0B">
              <w:rPr>
                <w:b/>
              </w:rPr>
              <w:t>IV. Tiesību akta projekta ietekme uz spēkā esošo tiesību normu sistēmu</w:t>
            </w:r>
          </w:p>
        </w:tc>
      </w:tr>
      <w:tr w:rsidR="002A0826" w:rsidRPr="00B76D85" w:rsidTr="00F844E4">
        <w:tc>
          <w:tcPr>
            <w:tcW w:w="396" w:type="dxa"/>
          </w:tcPr>
          <w:p w:rsidR="002A0826" w:rsidRPr="00B76D85" w:rsidRDefault="002A0826" w:rsidP="00F844E4">
            <w:r>
              <w:t>1.</w:t>
            </w:r>
          </w:p>
        </w:tc>
        <w:tc>
          <w:tcPr>
            <w:tcW w:w="3072" w:type="dxa"/>
          </w:tcPr>
          <w:p w:rsidR="002A0826" w:rsidRPr="00B76D85" w:rsidRDefault="002A0826" w:rsidP="00F844E4">
            <w:r>
              <w:t>Nepieciešamie saistītie tiesību aktu projekti</w:t>
            </w:r>
          </w:p>
        </w:tc>
        <w:tc>
          <w:tcPr>
            <w:tcW w:w="5819" w:type="dxa"/>
          </w:tcPr>
          <w:p w:rsidR="002A0826" w:rsidRPr="006942E3" w:rsidRDefault="002A0826" w:rsidP="00F844E4">
            <w:pPr>
              <w:pStyle w:val="naiskr"/>
              <w:tabs>
                <w:tab w:val="left" w:pos="2628"/>
              </w:tabs>
              <w:spacing w:before="0" w:after="0"/>
              <w:jc w:val="both"/>
              <w:rPr>
                <w:iCs/>
                <w:color w:val="FF0000"/>
              </w:rPr>
            </w:pPr>
            <w:r w:rsidRPr="00D61E4E">
              <w:t xml:space="preserve">Līdz 2015.gada 1.janvārim </w:t>
            </w:r>
            <w:r>
              <w:t>K</w:t>
            </w:r>
            <w:r w:rsidRPr="00D61E4E">
              <w:t>omisija izstrādās normatīvos noteikumus par fondēto pensiju shēmas dalībniekiem</w:t>
            </w:r>
            <w:r w:rsidRPr="00D61E4E" w:rsidDel="000B2C1E">
              <w:t xml:space="preserve"> </w:t>
            </w:r>
            <w:r w:rsidRPr="00D61E4E">
              <w:t>paredzētās pamatinformācijas formātu un saturu, kā arī tās sagatavošanas kārtību</w:t>
            </w:r>
            <w:r>
              <w:t>.</w:t>
            </w:r>
          </w:p>
        </w:tc>
      </w:tr>
      <w:tr w:rsidR="002A0826" w:rsidRPr="00B76D85" w:rsidTr="00F844E4">
        <w:tc>
          <w:tcPr>
            <w:tcW w:w="396" w:type="dxa"/>
          </w:tcPr>
          <w:p w:rsidR="002A0826" w:rsidRDefault="002A0826" w:rsidP="00F844E4">
            <w:r>
              <w:t>2.</w:t>
            </w:r>
          </w:p>
        </w:tc>
        <w:tc>
          <w:tcPr>
            <w:tcW w:w="3072" w:type="dxa"/>
          </w:tcPr>
          <w:p w:rsidR="002A0826" w:rsidRPr="00DD49B6" w:rsidRDefault="002A0826" w:rsidP="00F844E4">
            <w:pPr>
              <w:pStyle w:val="naiskr"/>
              <w:tabs>
                <w:tab w:val="left" w:pos="2628"/>
              </w:tabs>
              <w:spacing w:before="0" w:after="0"/>
              <w:jc w:val="both"/>
            </w:pPr>
            <w:r w:rsidRPr="00DD49B6">
              <w:t>Atbildīgā institūcija</w:t>
            </w:r>
          </w:p>
        </w:tc>
        <w:tc>
          <w:tcPr>
            <w:tcW w:w="5819" w:type="dxa"/>
          </w:tcPr>
          <w:p w:rsidR="002A0826" w:rsidRPr="000E56C0" w:rsidRDefault="002A0826" w:rsidP="00F844E4">
            <w:pPr>
              <w:pStyle w:val="naiskr"/>
              <w:tabs>
                <w:tab w:val="left" w:pos="2628"/>
              </w:tabs>
              <w:spacing w:before="0" w:after="0"/>
              <w:jc w:val="both"/>
              <w:rPr>
                <w:iCs/>
                <w:color w:val="FF0000"/>
              </w:rPr>
            </w:pPr>
            <w:r>
              <w:rPr>
                <w:iCs/>
                <w:sz w:val="22"/>
                <w:szCs w:val="22"/>
              </w:rPr>
              <w:t>Komisija.</w:t>
            </w:r>
          </w:p>
        </w:tc>
      </w:tr>
      <w:tr w:rsidR="002A0826" w:rsidRPr="00B76D85" w:rsidTr="00F844E4">
        <w:tc>
          <w:tcPr>
            <w:tcW w:w="396" w:type="dxa"/>
          </w:tcPr>
          <w:p w:rsidR="002A0826" w:rsidRPr="00B76D85" w:rsidRDefault="002A0826" w:rsidP="00F844E4">
            <w:r>
              <w:t>3.</w:t>
            </w:r>
          </w:p>
        </w:tc>
        <w:tc>
          <w:tcPr>
            <w:tcW w:w="3072" w:type="dxa"/>
          </w:tcPr>
          <w:p w:rsidR="002A0826" w:rsidRPr="00B76D85" w:rsidRDefault="002A0826" w:rsidP="00F844E4">
            <w:r>
              <w:t>Cita informācija</w:t>
            </w:r>
          </w:p>
        </w:tc>
        <w:tc>
          <w:tcPr>
            <w:tcW w:w="5819" w:type="dxa"/>
          </w:tcPr>
          <w:p w:rsidR="002A0826" w:rsidRPr="000E56C0" w:rsidRDefault="002A0826" w:rsidP="00F844E4">
            <w:pPr>
              <w:jc w:val="both"/>
              <w:rPr>
                <w:color w:val="FF0000"/>
              </w:rPr>
            </w:pPr>
            <w:r w:rsidRPr="000E56C0">
              <w:t>Nav</w:t>
            </w:r>
            <w:r>
              <w:t>.</w:t>
            </w:r>
          </w:p>
        </w:tc>
      </w:tr>
    </w:tbl>
    <w:p w:rsidR="002A0826" w:rsidRDefault="002A0826" w:rsidP="002A08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2A0826" w:rsidRPr="006A7D0B" w:rsidTr="00F844E4">
        <w:tc>
          <w:tcPr>
            <w:tcW w:w="9287" w:type="dxa"/>
            <w:gridSpan w:val="3"/>
          </w:tcPr>
          <w:p w:rsidR="002A0826" w:rsidRPr="006A7D0B" w:rsidRDefault="002A0826" w:rsidP="00F844E4">
            <w:pPr>
              <w:jc w:val="center"/>
              <w:rPr>
                <w:b/>
              </w:rPr>
            </w:pPr>
            <w:r w:rsidRPr="006A7D0B">
              <w:rPr>
                <w:b/>
              </w:rPr>
              <w:t>VI. Sabiedrības līdzdalība un komunikācijas aktivitātes</w:t>
            </w:r>
          </w:p>
        </w:tc>
      </w:tr>
      <w:tr w:rsidR="002A0826" w:rsidRPr="00B76D85" w:rsidTr="00F844E4">
        <w:tc>
          <w:tcPr>
            <w:tcW w:w="396" w:type="dxa"/>
          </w:tcPr>
          <w:p w:rsidR="002A0826" w:rsidRPr="00B76D85" w:rsidRDefault="002A0826" w:rsidP="00F844E4">
            <w:r>
              <w:t xml:space="preserve">1. </w:t>
            </w:r>
          </w:p>
        </w:tc>
        <w:tc>
          <w:tcPr>
            <w:tcW w:w="3072" w:type="dxa"/>
          </w:tcPr>
          <w:p w:rsidR="002A0826" w:rsidRPr="006A7D0B" w:rsidRDefault="002A0826" w:rsidP="00F844E4">
            <w:pPr>
              <w:pStyle w:val="naiskr"/>
              <w:spacing w:before="0" w:after="0"/>
              <w:ind w:left="57" w:right="57"/>
            </w:pPr>
            <w:r w:rsidRPr="00DD49B6">
              <w:t>Plānotās sabiedrības līdzdalības un komunikācijas aktivitātes saistībā ar projektu</w:t>
            </w:r>
          </w:p>
        </w:tc>
        <w:tc>
          <w:tcPr>
            <w:tcW w:w="5819" w:type="dxa"/>
          </w:tcPr>
          <w:p w:rsidR="002A0826" w:rsidRPr="004A76F0" w:rsidRDefault="002A0826" w:rsidP="00F844E4">
            <w:pPr>
              <w:jc w:val="both"/>
            </w:pPr>
            <w:r w:rsidRPr="004A76F0">
              <w:t xml:space="preserve">Noteikumu projekts pirms izsludināšanas Valsts sekretāru sanāksmē publicēts Labklājības ministrijas mājas lapā. </w:t>
            </w:r>
          </w:p>
          <w:p w:rsidR="002A0826" w:rsidRPr="004A76F0" w:rsidRDefault="002A0826" w:rsidP="00F844E4">
            <w:pPr>
              <w:jc w:val="both"/>
              <w:rPr>
                <w:i/>
                <w:color w:val="FF0000"/>
              </w:rPr>
            </w:pPr>
            <w:r w:rsidRPr="004A76F0">
              <w:t xml:space="preserve">Iedzīvotāji tika aicināti izteikt savus priekšlikumus un </w:t>
            </w:r>
            <w:r>
              <w:t xml:space="preserve">viedokļus par grozījumu būtību </w:t>
            </w:r>
            <w:r w:rsidRPr="004A76F0">
              <w:t>līdz 201</w:t>
            </w:r>
            <w:r>
              <w:t>4</w:t>
            </w:r>
            <w:r w:rsidRPr="004A76F0">
              <w:t xml:space="preserve">.gada </w:t>
            </w:r>
            <w:r>
              <w:t>28.februārim</w:t>
            </w:r>
            <w:r w:rsidRPr="004A76F0">
              <w:t>. Šajā laikā netika saņemts neviens iedzīvotāja komentārs.</w:t>
            </w:r>
          </w:p>
        </w:tc>
      </w:tr>
      <w:tr w:rsidR="002A0826" w:rsidRPr="00B76D85" w:rsidTr="00F844E4">
        <w:tc>
          <w:tcPr>
            <w:tcW w:w="396" w:type="dxa"/>
          </w:tcPr>
          <w:p w:rsidR="002A0826" w:rsidRPr="00B76D85" w:rsidRDefault="002A0826" w:rsidP="00F844E4">
            <w:r>
              <w:t xml:space="preserve">2. </w:t>
            </w:r>
          </w:p>
        </w:tc>
        <w:tc>
          <w:tcPr>
            <w:tcW w:w="3072" w:type="dxa"/>
          </w:tcPr>
          <w:p w:rsidR="002A0826" w:rsidRPr="006A7D0B" w:rsidRDefault="002A0826" w:rsidP="00F844E4">
            <w:pPr>
              <w:pStyle w:val="naiskr"/>
              <w:spacing w:before="0" w:after="0"/>
              <w:ind w:left="57" w:right="57"/>
            </w:pPr>
            <w:r w:rsidRPr="006A7D0B">
              <w:rPr>
                <w:sz w:val="22"/>
                <w:szCs w:val="22"/>
              </w:rPr>
              <w:t xml:space="preserve">Sabiedrības līdzdalība projekta izstrādē </w:t>
            </w:r>
          </w:p>
        </w:tc>
        <w:tc>
          <w:tcPr>
            <w:tcW w:w="5819" w:type="dxa"/>
          </w:tcPr>
          <w:p w:rsidR="002A0826" w:rsidRPr="006A7D0B" w:rsidRDefault="002A0826" w:rsidP="00F844E4">
            <w:pPr>
              <w:jc w:val="both"/>
              <w:rPr>
                <w:i/>
                <w:color w:val="FF0000"/>
              </w:rPr>
            </w:pPr>
            <w:r w:rsidRPr="000E56C0">
              <w:t>Projekts šo jomu neskar.</w:t>
            </w:r>
          </w:p>
        </w:tc>
      </w:tr>
      <w:tr w:rsidR="002A0826" w:rsidRPr="00B76D85" w:rsidTr="00F844E4">
        <w:tc>
          <w:tcPr>
            <w:tcW w:w="396" w:type="dxa"/>
          </w:tcPr>
          <w:p w:rsidR="002A0826" w:rsidRPr="00B76D85" w:rsidRDefault="002A0826" w:rsidP="00F844E4">
            <w:r>
              <w:lastRenderedPageBreak/>
              <w:t>3.</w:t>
            </w:r>
          </w:p>
        </w:tc>
        <w:tc>
          <w:tcPr>
            <w:tcW w:w="3072" w:type="dxa"/>
          </w:tcPr>
          <w:p w:rsidR="002A0826" w:rsidRPr="006A7D0B" w:rsidRDefault="002A0826" w:rsidP="00F844E4">
            <w:pPr>
              <w:pStyle w:val="naiskr"/>
              <w:spacing w:before="0" w:after="0"/>
              <w:ind w:left="57" w:right="57"/>
            </w:pPr>
            <w:r w:rsidRPr="006A7D0B">
              <w:rPr>
                <w:sz w:val="22"/>
                <w:szCs w:val="22"/>
              </w:rPr>
              <w:t xml:space="preserve">Sabiedrības līdzdalības rezultāti </w:t>
            </w:r>
          </w:p>
        </w:tc>
        <w:tc>
          <w:tcPr>
            <w:tcW w:w="5819" w:type="dxa"/>
          </w:tcPr>
          <w:p w:rsidR="002A0826" w:rsidRPr="000E56C0" w:rsidRDefault="002A0826" w:rsidP="00F844E4">
            <w:pPr>
              <w:jc w:val="both"/>
            </w:pPr>
            <w:r w:rsidRPr="000E56C0">
              <w:t>Projekts šo jomu neskar.</w:t>
            </w:r>
          </w:p>
        </w:tc>
      </w:tr>
      <w:tr w:rsidR="002A0826" w:rsidRPr="00B76D85" w:rsidTr="00F844E4">
        <w:tc>
          <w:tcPr>
            <w:tcW w:w="396" w:type="dxa"/>
          </w:tcPr>
          <w:p w:rsidR="002A0826" w:rsidRPr="00B76D85" w:rsidRDefault="002A0826" w:rsidP="00F844E4">
            <w:r>
              <w:t>4.</w:t>
            </w:r>
          </w:p>
        </w:tc>
        <w:tc>
          <w:tcPr>
            <w:tcW w:w="3072" w:type="dxa"/>
          </w:tcPr>
          <w:p w:rsidR="002A0826" w:rsidRPr="006A7D0B" w:rsidRDefault="002A0826" w:rsidP="00343636">
            <w:pPr>
              <w:pStyle w:val="naiskr"/>
              <w:spacing w:before="0" w:after="0"/>
              <w:ind w:left="57" w:right="57"/>
            </w:pPr>
            <w:r w:rsidRPr="006A7D0B">
              <w:rPr>
                <w:sz w:val="22"/>
                <w:szCs w:val="22"/>
              </w:rPr>
              <w:t>Cita informācija</w:t>
            </w:r>
          </w:p>
        </w:tc>
        <w:tc>
          <w:tcPr>
            <w:tcW w:w="5819" w:type="dxa"/>
          </w:tcPr>
          <w:p w:rsidR="002A0826" w:rsidRPr="000E56C0" w:rsidRDefault="002A0826" w:rsidP="00F844E4">
            <w:pPr>
              <w:jc w:val="both"/>
            </w:pPr>
            <w:r w:rsidRPr="000E56C0">
              <w:t>Nav.</w:t>
            </w:r>
          </w:p>
        </w:tc>
      </w:tr>
    </w:tbl>
    <w:p w:rsidR="002A0826" w:rsidRDefault="002A0826" w:rsidP="002A08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2A0826" w:rsidRPr="006A7D0B" w:rsidTr="00F844E4">
        <w:tc>
          <w:tcPr>
            <w:tcW w:w="9287" w:type="dxa"/>
            <w:gridSpan w:val="3"/>
          </w:tcPr>
          <w:p w:rsidR="002A0826" w:rsidRPr="006A7D0B" w:rsidRDefault="002A0826" w:rsidP="00F844E4">
            <w:pPr>
              <w:jc w:val="center"/>
              <w:rPr>
                <w:b/>
              </w:rPr>
            </w:pPr>
            <w:r w:rsidRPr="006A7D0B">
              <w:rPr>
                <w:b/>
              </w:rPr>
              <w:t>VII. Tiesību akta projekta izpildes nodrošināšana un tās ietekme uz institūcijām</w:t>
            </w:r>
          </w:p>
        </w:tc>
      </w:tr>
      <w:tr w:rsidR="002A0826" w:rsidRPr="00B76D85" w:rsidTr="00F844E4">
        <w:tc>
          <w:tcPr>
            <w:tcW w:w="396" w:type="dxa"/>
          </w:tcPr>
          <w:p w:rsidR="002A0826" w:rsidRPr="00B76D85" w:rsidRDefault="002A0826" w:rsidP="00F844E4">
            <w:r>
              <w:t xml:space="preserve">1. </w:t>
            </w:r>
          </w:p>
        </w:tc>
        <w:tc>
          <w:tcPr>
            <w:tcW w:w="3072" w:type="dxa"/>
          </w:tcPr>
          <w:p w:rsidR="002A0826" w:rsidRPr="006A7D0B" w:rsidRDefault="002A0826" w:rsidP="00F844E4">
            <w:r w:rsidRPr="006A7D0B">
              <w:rPr>
                <w:sz w:val="22"/>
                <w:szCs w:val="22"/>
              </w:rPr>
              <w:t>Projekta izpildē iesaistītās institūcijas</w:t>
            </w:r>
          </w:p>
        </w:tc>
        <w:tc>
          <w:tcPr>
            <w:tcW w:w="5819" w:type="dxa"/>
          </w:tcPr>
          <w:p w:rsidR="002A0826" w:rsidRPr="000E56C0" w:rsidRDefault="002A0826" w:rsidP="00F844E4">
            <w:pPr>
              <w:jc w:val="both"/>
              <w:rPr>
                <w:color w:val="FF0000"/>
              </w:rPr>
            </w:pPr>
            <w:r>
              <w:t>Komisija</w:t>
            </w:r>
            <w:r w:rsidRPr="000E56C0">
              <w:t>.</w:t>
            </w:r>
          </w:p>
        </w:tc>
      </w:tr>
      <w:tr w:rsidR="002A0826" w:rsidRPr="00B76D85" w:rsidTr="00F844E4">
        <w:tc>
          <w:tcPr>
            <w:tcW w:w="396" w:type="dxa"/>
          </w:tcPr>
          <w:p w:rsidR="002A0826" w:rsidRPr="00B76D85" w:rsidRDefault="002A0826" w:rsidP="00F844E4">
            <w:r>
              <w:t xml:space="preserve">2. </w:t>
            </w:r>
          </w:p>
        </w:tc>
        <w:tc>
          <w:tcPr>
            <w:tcW w:w="3072" w:type="dxa"/>
          </w:tcPr>
          <w:p w:rsidR="002A0826" w:rsidRPr="006A7D0B" w:rsidRDefault="002A0826" w:rsidP="00F844E4">
            <w:r w:rsidRPr="006A7D0B">
              <w:rPr>
                <w:sz w:val="22"/>
                <w:szCs w:val="22"/>
              </w:rPr>
              <w:t>Projekta izpildes ietekme uz pār</w:t>
            </w:r>
            <w:r w:rsidRPr="006A7D0B">
              <w:rPr>
                <w:sz w:val="22"/>
                <w:szCs w:val="22"/>
              </w:rPr>
              <w:softHyphen/>
              <w:t>valdes funkcijām un institucionālo struktūru.</w:t>
            </w:r>
          </w:p>
          <w:p w:rsidR="002A0826" w:rsidRPr="006A7D0B" w:rsidRDefault="002A0826" w:rsidP="00F844E4">
            <w:r w:rsidRPr="006A7D0B">
              <w:rPr>
                <w:sz w:val="22"/>
                <w:szCs w:val="22"/>
              </w:rPr>
              <w:t>Jaunu institūciju izveide, esošu institūciju likvidācija vai reorga</w:t>
            </w:r>
            <w:r w:rsidRPr="006A7D0B">
              <w:rPr>
                <w:sz w:val="22"/>
                <w:szCs w:val="22"/>
              </w:rPr>
              <w:softHyphen/>
              <w:t>nizācija, to ietekme uz institūcijas cilvēkresursiem</w:t>
            </w:r>
          </w:p>
        </w:tc>
        <w:tc>
          <w:tcPr>
            <w:tcW w:w="5819" w:type="dxa"/>
          </w:tcPr>
          <w:p w:rsidR="002A0826" w:rsidRPr="000E56C0" w:rsidRDefault="002A0826" w:rsidP="00F844E4">
            <w:pPr>
              <w:jc w:val="both"/>
              <w:rPr>
                <w:color w:val="FF0000"/>
              </w:rPr>
            </w:pPr>
            <w:r w:rsidRPr="000E56C0">
              <w:t>Projekts šo jomu neskar.</w:t>
            </w:r>
          </w:p>
        </w:tc>
      </w:tr>
      <w:tr w:rsidR="002A0826" w:rsidRPr="00B76D85" w:rsidTr="00F844E4">
        <w:tc>
          <w:tcPr>
            <w:tcW w:w="396" w:type="dxa"/>
          </w:tcPr>
          <w:p w:rsidR="002A0826" w:rsidRDefault="002A0826" w:rsidP="00F844E4">
            <w:r>
              <w:t xml:space="preserve">3. </w:t>
            </w:r>
          </w:p>
        </w:tc>
        <w:tc>
          <w:tcPr>
            <w:tcW w:w="3072" w:type="dxa"/>
          </w:tcPr>
          <w:p w:rsidR="002A0826" w:rsidRPr="006A7D0B" w:rsidRDefault="002A0826" w:rsidP="00F844E4">
            <w:r w:rsidRPr="006A7D0B">
              <w:rPr>
                <w:sz w:val="22"/>
                <w:szCs w:val="22"/>
              </w:rPr>
              <w:t>Cita informācija</w:t>
            </w:r>
          </w:p>
        </w:tc>
        <w:tc>
          <w:tcPr>
            <w:tcW w:w="5819" w:type="dxa"/>
          </w:tcPr>
          <w:p w:rsidR="002A0826" w:rsidRPr="000E56C0" w:rsidRDefault="002A0826" w:rsidP="00F844E4">
            <w:pPr>
              <w:jc w:val="both"/>
              <w:rPr>
                <w:color w:val="FF0000"/>
              </w:rPr>
            </w:pPr>
            <w:r w:rsidRPr="000E56C0">
              <w:t>Nav.</w:t>
            </w:r>
          </w:p>
        </w:tc>
      </w:tr>
    </w:tbl>
    <w:p w:rsidR="002A0826" w:rsidRDefault="002A0826" w:rsidP="002A0826">
      <w:pPr>
        <w:jc w:val="center"/>
      </w:pPr>
    </w:p>
    <w:p w:rsidR="002A0826" w:rsidRPr="00FE2F47" w:rsidRDefault="002A0826" w:rsidP="002A0826">
      <w:pPr>
        <w:jc w:val="center"/>
        <w:rPr>
          <w:i/>
        </w:rPr>
      </w:pPr>
      <w:r w:rsidRPr="00FE2F47">
        <w:rPr>
          <w:i/>
        </w:rPr>
        <w:t>Anotācijas III un V sadaļa - projekts šīs jomas neskar.</w:t>
      </w:r>
    </w:p>
    <w:p w:rsidR="002A0826" w:rsidRPr="00FE2F47" w:rsidRDefault="002A0826" w:rsidP="002A0826">
      <w:pPr>
        <w:jc w:val="center"/>
        <w:rPr>
          <w:i/>
        </w:rPr>
      </w:pPr>
    </w:p>
    <w:p w:rsidR="002A0826" w:rsidRDefault="002A0826" w:rsidP="002A0826"/>
    <w:p w:rsidR="002A0826" w:rsidRPr="008207C1" w:rsidRDefault="002A0826" w:rsidP="002A0826">
      <w:pPr>
        <w:rPr>
          <w:sz w:val="28"/>
          <w:szCs w:val="28"/>
        </w:rPr>
      </w:pPr>
      <w:r w:rsidRPr="008207C1">
        <w:rPr>
          <w:sz w:val="28"/>
          <w:szCs w:val="28"/>
        </w:rPr>
        <w:t>Labklājības ministr</w:t>
      </w:r>
      <w:r>
        <w:rPr>
          <w:sz w:val="28"/>
          <w:szCs w:val="28"/>
        </w:rPr>
        <w:t>s</w:t>
      </w:r>
      <w:r w:rsidRPr="008207C1">
        <w:rPr>
          <w:sz w:val="28"/>
          <w:szCs w:val="28"/>
        </w:rPr>
        <w:tab/>
      </w:r>
      <w:r w:rsidRPr="008207C1">
        <w:rPr>
          <w:sz w:val="28"/>
          <w:szCs w:val="28"/>
        </w:rPr>
        <w:tab/>
      </w:r>
      <w:r w:rsidRPr="008207C1">
        <w:rPr>
          <w:sz w:val="28"/>
          <w:szCs w:val="28"/>
        </w:rPr>
        <w:tab/>
      </w:r>
      <w:r w:rsidRPr="008207C1">
        <w:rPr>
          <w:sz w:val="28"/>
          <w:szCs w:val="28"/>
        </w:rPr>
        <w:tab/>
      </w:r>
      <w:r w:rsidRPr="008207C1">
        <w:rPr>
          <w:sz w:val="28"/>
          <w:szCs w:val="28"/>
        </w:rPr>
        <w:tab/>
      </w:r>
      <w:r>
        <w:rPr>
          <w:sz w:val="28"/>
          <w:szCs w:val="28"/>
        </w:rPr>
        <w:tab/>
        <w:t>U.Augulis</w:t>
      </w:r>
    </w:p>
    <w:p w:rsidR="002A0826" w:rsidRDefault="002A0826" w:rsidP="002A0826">
      <w:pPr>
        <w:pStyle w:val="Footer"/>
      </w:pPr>
    </w:p>
    <w:p w:rsidR="00C0687B" w:rsidRDefault="00C0687B" w:rsidP="002A0826">
      <w:pPr>
        <w:pStyle w:val="Footer"/>
        <w:tabs>
          <w:tab w:val="clear" w:pos="4153"/>
          <w:tab w:val="clear" w:pos="8306"/>
        </w:tabs>
        <w:rPr>
          <w:sz w:val="20"/>
          <w:szCs w:val="20"/>
        </w:rPr>
      </w:pPr>
      <w:r>
        <w:rPr>
          <w:sz w:val="20"/>
          <w:szCs w:val="20"/>
        </w:rPr>
        <w:t>19.06.2014 13:35</w:t>
      </w:r>
    </w:p>
    <w:p w:rsidR="002A0826" w:rsidRDefault="00C376C4" w:rsidP="002A0826">
      <w:pPr>
        <w:pStyle w:val="Footer"/>
        <w:tabs>
          <w:tab w:val="clear" w:pos="4153"/>
          <w:tab w:val="clear" w:pos="8306"/>
        </w:tabs>
        <w:rPr>
          <w:sz w:val="20"/>
          <w:szCs w:val="20"/>
        </w:rPr>
      </w:pPr>
      <w:r>
        <w:rPr>
          <w:sz w:val="20"/>
          <w:szCs w:val="20"/>
        </w:rPr>
        <w:t>951</w:t>
      </w:r>
    </w:p>
    <w:p w:rsidR="002A0826" w:rsidRDefault="002A0826" w:rsidP="002A0826">
      <w:pPr>
        <w:pStyle w:val="Footer"/>
        <w:tabs>
          <w:tab w:val="clear" w:pos="4153"/>
          <w:tab w:val="clear" w:pos="8306"/>
        </w:tabs>
        <w:rPr>
          <w:sz w:val="20"/>
          <w:szCs w:val="20"/>
        </w:rPr>
      </w:pPr>
      <w:r w:rsidRPr="00033C23">
        <w:rPr>
          <w:sz w:val="20"/>
          <w:szCs w:val="20"/>
        </w:rPr>
        <w:t>I.Salmane</w:t>
      </w:r>
    </w:p>
    <w:p w:rsidR="002A0826" w:rsidRPr="00033C23" w:rsidRDefault="002A0826" w:rsidP="002A0826">
      <w:pPr>
        <w:pStyle w:val="Footer"/>
        <w:tabs>
          <w:tab w:val="clear" w:pos="4153"/>
          <w:tab w:val="clear" w:pos="8306"/>
        </w:tabs>
        <w:rPr>
          <w:sz w:val="20"/>
          <w:szCs w:val="20"/>
        </w:rPr>
      </w:pPr>
      <w:r w:rsidRPr="00033C23">
        <w:rPr>
          <w:sz w:val="20"/>
          <w:szCs w:val="20"/>
        </w:rPr>
        <w:t>Tālrunis 67021556</w:t>
      </w:r>
    </w:p>
    <w:p w:rsidR="002A0826" w:rsidRPr="00033C23" w:rsidRDefault="002A0826" w:rsidP="002A0826">
      <w:pPr>
        <w:rPr>
          <w:sz w:val="20"/>
          <w:szCs w:val="20"/>
        </w:rPr>
      </w:pPr>
      <w:r w:rsidRPr="00033C23">
        <w:rPr>
          <w:sz w:val="20"/>
          <w:szCs w:val="20"/>
        </w:rPr>
        <w:t>Fakss 67021560</w:t>
      </w:r>
    </w:p>
    <w:p w:rsidR="002B522F" w:rsidRPr="00343636" w:rsidRDefault="0084274D">
      <w:pPr>
        <w:rPr>
          <w:sz w:val="20"/>
          <w:szCs w:val="20"/>
        </w:rPr>
      </w:pPr>
      <w:hyperlink r:id="rId9" w:history="1">
        <w:r w:rsidR="002A0826" w:rsidRPr="003B2916">
          <w:rPr>
            <w:rStyle w:val="Hyperlink"/>
            <w:sz w:val="20"/>
            <w:szCs w:val="20"/>
          </w:rPr>
          <w:t>Irena.Salmane@lm.gov.lv</w:t>
        </w:r>
      </w:hyperlink>
    </w:p>
    <w:sectPr w:rsidR="002B522F" w:rsidRPr="00343636" w:rsidSect="004373E9">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4D" w:rsidRDefault="0084274D" w:rsidP="002A0826">
      <w:r>
        <w:separator/>
      </w:r>
    </w:p>
  </w:endnote>
  <w:endnote w:type="continuationSeparator" w:id="0">
    <w:p w:rsidR="0084274D" w:rsidRDefault="0084274D" w:rsidP="002A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Pr="005E3B70" w:rsidRDefault="00B345A9" w:rsidP="005E3B70">
    <w:pPr>
      <w:pStyle w:val="Footer"/>
      <w:rPr>
        <w:sz w:val="20"/>
        <w:szCs w:val="20"/>
      </w:rPr>
    </w:pPr>
    <w:r w:rsidRPr="005E3B70">
      <w:rPr>
        <w:sz w:val="20"/>
        <w:szCs w:val="20"/>
      </w:rPr>
      <w:t>LManot_</w:t>
    </w:r>
    <w:r w:rsidR="000C357D">
      <w:rPr>
        <w:sz w:val="20"/>
        <w:szCs w:val="20"/>
      </w:rPr>
      <w:t>1906</w:t>
    </w:r>
    <w:r>
      <w:rPr>
        <w:sz w:val="20"/>
        <w:szCs w:val="20"/>
      </w:rPr>
      <w:t>14_272</w:t>
    </w:r>
    <w:r w:rsidRPr="005E3B70">
      <w:rPr>
        <w:sz w:val="20"/>
        <w:szCs w:val="20"/>
      </w:rPr>
      <w:t xml:space="preserve">; </w:t>
    </w:r>
    <w:r w:rsidRPr="005E3B70">
      <w:rPr>
        <w:bCs/>
        <w:sz w:val="20"/>
        <w:szCs w:val="20"/>
        <w:lang w:eastAsia="en-US"/>
      </w:rPr>
      <w:t>Grozījumi Ministru kabineta 2003.gada 27.maija noteikumos Nr.272 „Noteikumi par valsts fondēto pensiju shēmas darbību”</w:t>
    </w:r>
  </w:p>
  <w:p w:rsidR="001E3B5D" w:rsidRPr="005E3B70" w:rsidRDefault="0084274D" w:rsidP="005E3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Pr="005E3B70" w:rsidRDefault="00B345A9">
    <w:pPr>
      <w:pStyle w:val="Footer"/>
      <w:rPr>
        <w:sz w:val="20"/>
        <w:szCs w:val="20"/>
      </w:rPr>
    </w:pPr>
    <w:r w:rsidRPr="005E3B70">
      <w:rPr>
        <w:sz w:val="20"/>
        <w:szCs w:val="20"/>
      </w:rPr>
      <w:t>LManot_</w:t>
    </w:r>
    <w:r w:rsidR="000C357D">
      <w:rPr>
        <w:sz w:val="20"/>
        <w:szCs w:val="20"/>
      </w:rPr>
      <w:t>1906</w:t>
    </w:r>
    <w:r>
      <w:rPr>
        <w:sz w:val="20"/>
        <w:szCs w:val="20"/>
      </w:rPr>
      <w:t>14_272</w:t>
    </w:r>
    <w:r w:rsidRPr="005E3B70">
      <w:rPr>
        <w:sz w:val="20"/>
        <w:szCs w:val="20"/>
      </w:rPr>
      <w:t xml:space="preserve">; </w:t>
    </w:r>
    <w:r w:rsidRPr="005E3B70">
      <w:rPr>
        <w:bCs/>
        <w:sz w:val="20"/>
        <w:szCs w:val="20"/>
        <w:lang w:eastAsia="en-US"/>
      </w:rPr>
      <w:t>Grozījumi Ministru kabineta 2003.gada 27.maija noteikumos Nr.272 „Noteikumi par valsts fondēto pensiju shēmas darbību”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4D" w:rsidRDefault="0084274D" w:rsidP="002A0826">
      <w:r>
        <w:separator/>
      </w:r>
    </w:p>
  </w:footnote>
  <w:footnote w:type="continuationSeparator" w:id="0">
    <w:p w:rsidR="0084274D" w:rsidRDefault="0084274D" w:rsidP="002A0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B345A9"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B5D" w:rsidRDefault="00842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B345A9"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783">
      <w:rPr>
        <w:rStyle w:val="PageNumber"/>
        <w:noProof/>
      </w:rPr>
      <w:t>4</w:t>
    </w:r>
    <w:r>
      <w:rPr>
        <w:rStyle w:val="PageNumber"/>
      </w:rPr>
      <w:fldChar w:fldCharType="end"/>
    </w:r>
  </w:p>
  <w:p w:rsidR="001E3B5D" w:rsidRDefault="00842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61E51"/>
    <w:multiLevelType w:val="hybridMultilevel"/>
    <w:tmpl w:val="CB3C68D8"/>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26"/>
    <w:rsid w:val="00043EC3"/>
    <w:rsid w:val="000C357D"/>
    <w:rsid w:val="000D62C8"/>
    <w:rsid w:val="00182456"/>
    <w:rsid w:val="001D0446"/>
    <w:rsid w:val="001E5783"/>
    <w:rsid w:val="00253776"/>
    <w:rsid w:val="002A0826"/>
    <w:rsid w:val="002B522F"/>
    <w:rsid w:val="00343636"/>
    <w:rsid w:val="00453B6C"/>
    <w:rsid w:val="005F5D05"/>
    <w:rsid w:val="006845B0"/>
    <w:rsid w:val="00686D44"/>
    <w:rsid w:val="006942E3"/>
    <w:rsid w:val="006C2963"/>
    <w:rsid w:val="007C39F0"/>
    <w:rsid w:val="00830427"/>
    <w:rsid w:val="0084274D"/>
    <w:rsid w:val="009126B3"/>
    <w:rsid w:val="009971B7"/>
    <w:rsid w:val="009E658B"/>
    <w:rsid w:val="00AA5AF6"/>
    <w:rsid w:val="00B345A9"/>
    <w:rsid w:val="00C0687B"/>
    <w:rsid w:val="00C376C4"/>
    <w:rsid w:val="00CE2305"/>
    <w:rsid w:val="00D22538"/>
    <w:rsid w:val="00D30C59"/>
    <w:rsid w:val="00E164D9"/>
    <w:rsid w:val="00E25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2A0826"/>
    <w:pPr>
      <w:spacing w:before="75" w:after="75"/>
    </w:pPr>
  </w:style>
  <w:style w:type="paragraph" w:styleId="Header">
    <w:name w:val="header"/>
    <w:basedOn w:val="Normal"/>
    <w:link w:val="HeaderChar"/>
    <w:uiPriority w:val="99"/>
    <w:rsid w:val="002A0826"/>
    <w:pPr>
      <w:tabs>
        <w:tab w:val="center" w:pos="4153"/>
        <w:tab w:val="right" w:pos="8306"/>
      </w:tabs>
    </w:pPr>
  </w:style>
  <w:style w:type="character" w:customStyle="1" w:styleId="HeaderChar">
    <w:name w:val="Header Char"/>
    <w:basedOn w:val="DefaultParagraphFont"/>
    <w:link w:val="Header"/>
    <w:uiPriority w:val="99"/>
    <w:rsid w:val="002A0826"/>
    <w:rPr>
      <w:rFonts w:ascii="Times New Roman" w:eastAsia="Times New Roman" w:hAnsi="Times New Roman" w:cs="Times New Roman"/>
      <w:sz w:val="24"/>
      <w:szCs w:val="24"/>
      <w:lang w:eastAsia="lv-LV"/>
    </w:rPr>
  </w:style>
  <w:style w:type="character" w:styleId="PageNumber">
    <w:name w:val="page number"/>
    <w:uiPriority w:val="99"/>
    <w:rsid w:val="002A0826"/>
    <w:rPr>
      <w:rFonts w:cs="Times New Roman"/>
    </w:rPr>
  </w:style>
  <w:style w:type="paragraph" w:styleId="Footer">
    <w:name w:val="footer"/>
    <w:basedOn w:val="Normal"/>
    <w:link w:val="FooterChar"/>
    <w:uiPriority w:val="99"/>
    <w:rsid w:val="002A0826"/>
    <w:pPr>
      <w:tabs>
        <w:tab w:val="center" w:pos="4153"/>
        <w:tab w:val="right" w:pos="8306"/>
      </w:tabs>
    </w:pPr>
  </w:style>
  <w:style w:type="character" w:customStyle="1" w:styleId="FooterChar">
    <w:name w:val="Footer Char"/>
    <w:basedOn w:val="DefaultParagraphFont"/>
    <w:link w:val="Footer"/>
    <w:uiPriority w:val="99"/>
    <w:rsid w:val="002A0826"/>
    <w:rPr>
      <w:rFonts w:ascii="Times New Roman" w:eastAsia="Times New Roman" w:hAnsi="Times New Roman" w:cs="Times New Roman"/>
      <w:sz w:val="24"/>
      <w:szCs w:val="24"/>
      <w:lang w:eastAsia="lv-LV"/>
    </w:rPr>
  </w:style>
  <w:style w:type="paragraph" w:customStyle="1" w:styleId="naisnod">
    <w:name w:val="naisnod"/>
    <w:basedOn w:val="Normal"/>
    <w:uiPriority w:val="99"/>
    <w:rsid w:val="002A0826"/>
    <w:pPr>
      <w:spacing w:before="150" w:after="150"/>
      <w:jc w:val="center"/>
    </w:pPr>
    <w:rPr>
      <w:b/>
      <w:bCs/>
    </w:rPr>
  </w:style>
  <w:style w:type="paragraph" w:styleId="ListParagraph">
    <w:name w:val="List Paragraph"/>
    <w:basedOn w:val="Normal"/>
    <w:uiPriority w:val="99"/>
    <w:qFormat/>
    <w:rsid w:val="002A0826"/>
    <w:pPr>
      <w:ind w:left="720"/>
      <w:contextualSpacing/>
    </w:pPr>
  </w:style>
  <w:style w:type="character" w:styleId="Hyperlink">
    <w:name w:val="Hyperlink"/>
    <w:uiPriority w:val="99"/>
    <w:rsid w:val="002A0826"/>
    <w:rPr>
      <w:rFonts w:cs="Times New Roman"/>
      <w:color w:val="0000FF"/>
      <w:u w:val="single"/>
    </w:rPr>
  </w:style>
  <w:style w:type="paragraph" w:styleId="BalloonText">
    <w:name w:val="Balloon Text"/>
    <w:basedOn w:val="Normal"/>
    <w:link w:val="BalloonTextChar"/>
    <w:uiPriority w:val="99"/>
    <w:semiHidden/>
    <w:unhideWhenUsed/>
    <w:rsid w:val="002A0826"/>
    <w:rPr>
      <w:rFonts w:ascii="Tahoma" w:hAnsi="Tahoma" w:cs="Tahoma"/>
      <w:sz w:val="16"/>
      <w:szCs w:val="16"/>
    </w:rPr>
  </w:style>
  <w:style w:type="character" w:customStyle="1" w:styleId="BalloonTextChar">
    <w:name w:val="Balloon Text Char"/>
    <w:basedOn w:val="DefaultParagraphFont"/>
    <w:link w:val="BalloonText"/>
    <w:uiPriority w:val="99"/>
    <w:semiHidden/>
    <w:rsid w:val="002A082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2A0826"/>
    <w:pPr>
      <w:spacing w:before="75" w:after="75"/>
    </w:pPr>
  </w:style>
  <w:style w:type="paragraph" w:styleId="Header">
    <w:name w:val="header"/>
    <w:basedOn w:val="Normal"/>
    <w:link w:val="HeaderChar"/>
    <w:uiPriority w:val="99"/>
    <w:rsid w:val="002A0826"/>
    <w:pPr>
      <w:tabs>
        <w:tab w:val="center" w:pos="4153"/>
        <w:tab w:val="right" w:pos="8306"/>
      </w:tabs>
    </w:pPr>
  </w:style>
  <w:style w:type="character" w:customStyle="1" w:styleId="HeaderChar">
    <w:name w:val="Header Char"/>
    <w:basedOn w:val="DefaultParagraphFont"/>
    <w:link w:val="Header"/>
    <w:uiPriority w:val="99"/>
    <w:rsid w:val="002A0826"/>
    <w:rPr>
      <w:rFonts w:ascii="Times New Roman" w:eastAsia="Times New Roman" w:hAnsi="Times New Roman" w:cs="Times New Roman"/>
      <w:sz w:val="24"/>
      <w:szCs w:val="24"/>
      <w:lang w:eastAsia="lv-LV"/>
    </w:rPr>
  </w:style>
  <w:style w:type="character" w:styleId="PageNumber">
    <w:name w:val="page number"/>
    <w:uiPriority w:val="99"/>
    <w:rsid w:val="002A0826"/>
    <w:rPr>
      <w:rFonts w:cs="Times New Roman"/>
    </w:rPr>
  </w:style>
  <w:style w:type="paragraph" w:styleId="Footer">
    <w:name w:val="footer"/>
    <w:basedOn w:val="Normal"/>
    <w:link w:val="FooterChar"/>
    <w:uiPriority w:val="99"/>
    <w:rsid w:val="002A0826"/>
    <w:pPr>
      <w:tabs>
        <w:tab w:val="center" w:pos="4153"/>
        <w:tab w:val="right" w:pos="8306"/>
      </w:tabs>
    </w:pPr>
  </w:style>
  <w:style w:type="character" w:customStyle="1" w:styleId="FooterChar">
    <w:name w:val="Footer Char"/>
    <w:basedOn w:val="DefaultParagraphFont"/>
    <w:link w:val="Footer"/>
    <w:uiPriority w:val="99"/>
    <w:rsid w:val="002A0826"/>
    <w:rPr>
      <w:rFonts w:ascii="Times New Roman" w:eastAsia="Times New Roman" w:hAnsi="Times New Roman" w:cs="Times New Roman"/>
      <w:sz w:val="24"/>
      <w:szCs w:val="24"/>
      <w:lang w:eastAsia="lv-LV"/>
    </w:rPr>
  </w:style>
  <w:style w:type="paragraph" w:customStyle="1" w:styleId="naisnod">
    <w:name w:val="naisnod"/>
    <w:basedOn w:val="Normal"/>
    <w:uiPriority w:val="99"/>
    <w:rsid w:val="002A0826"/>
    <w:pPr>
      <w:spacing w:before="150" w:after="150"/>
      <w:jc w:val="center"/>
    </w:pPr>
    <w:rPr>
      <w:b/>
      <w:bCs/>
    </w:rPr>
  </w:style>
  <w:style w:type="paragraph" w:styleId="ListParagraph">
    <w:name w:val="List Paragraph"/>
    <w:basedOn w:val="Normal"/>
    <w:uiPriority w:val="99"/>
    <w:qFormat/>
    <w:rsid w:val="002A0826"/>
    <w:pPr>
      <w:ind w:left="720"/>
      <w:contextualSpacing/>
    </w:pPr>
  </w:style>
  <w:style w:type="character" w:styleId="Hyperlink">
    <w:name w:val="Hyperlink"/>
    <w:uiPriority w:val="99"/>
    <w:rsid w:val="002A0826"/>
    <w:rPr>
      <w:rFonts w:cs="Times New Roman"/>
      <w:color w:val="0000FF"/>
      <w:u w:val="single"/>
    </w:rPr>
  </w:style>
  <w:style w:type="paragraph" w:styleId="BalloonText">
    <w:name w:val="Balloon Text"/>
    <w:basedOn w:val="Normal"/>
    <w:link w:val="BalloonTextChar"/>
    <w:uiPriority w:val="99"/>
    <w:semiHidden/>
    <w:unhideWhenUsed/>
    <w:rsid w:val="002A0826"/>
    <w:rPr>
      <w:rFonts w:ascii="Tahoma" w:hAnsi="Tahoma" w:cs="Tahoma"/>
      <w:sz w:val="16"/>
      <w:szCs w:val="16"/>
    </w:rPr>
  </w:style>
  <w:style w:type="character" w:customStyle="1" w:styleId="BalloonTextChar">
    <w:name w:val="Balloon Text Char"/>
    <w:basedOn w:val="DefaultParagraphFont"/>
    <w:link w:val="BalloonText"/>
    <w:uiPriority w:val="99"/>
    <w:semiHidden/>
    <w:rsid w:val="002A082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Salman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48DC-80FA-47B7-8F09-3EFBE4A3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5157</Words>
  <Characters>2941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Grozījumi Ministru kabineta 2003.gada 27.maija noteikumos Nr.272 „Noteikumi par valsts fondēto pensiju shēmas darbību”</vt:lpstr>
    </vt:vector>
  </TitlesOfParts>
  <Company>LM</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27.maija noteikumos Nr.272 „Noteikumi par valsts fondēto pensiju shēmas darbību”</dc:title>
  <dc:subject>Anotācija</dc:subject>
  <dc:creator>Irena Salmane</dc:creator>
  <dc:description>I.Salmane_x000d_
tālr.67021556, fakss 67021560_x000d_
irena.salmane@lm.gov.lv</dc:description>
  <cp:lastModifiedBy>Laimdota Adlere</cp:lastModifiedBy>
  <cp:revision>4</cp:revision>
  <cp:lastPrinted>2014-05-23T13:01:00Z</cp:lastPrinted>
  <dcterms:created xsi:type="dcterms:W3CDTF">2014-06-20T06:43:00Z</dcterms:created>
  <dcterms:modified xsi:type="dcterms:W3CDTF">2014-06-20T06:43:00Z</dcterms:modified>
</cp:coreProperties>
</file>