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54" w:rsidRPr="00D05E09" w:rsidRDefault="00BE2854" w:rsidP="00BE285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Likumprojekts</w:t>
      </w:r>
      <w:r w:rsidRPr="00D05E0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„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Aizsargjoslu likumā”</w:t>
      </w:r>
      <w:r w:rsidRPr="00D05E0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D05E09">
          <w:rPr>
            <w:rFonts w:ascii="Times New Roman" w:eastAsia="Times New Roman" w:hAnsi="Times New Roman"/>
            <w:b/>
            <w:bCs/>
            <w:sz w:val="28"/>
            <w:szCs w:val="28"/>
            <w:lang w:eastAsia="lv-LV"/>
          </w:rPr>
          <w:t>ziņojums</w:t>
        </w:r>
      </w:smartTag>
      <w:r w:rsidRPr="00D05E0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(anotācija)</w:t>
      </w:r>
    </w:p>
    <w:p w:rsidR="00BE2854" w:rsidRPr="00BC331E" w:rsidRDefault="00BE2854" w:rsidP="00BE285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lv-LV"/>
        </w:rPr>
      </w:pPr>
    </w:p>
    <w:tbl>
      <w:tblPr>
        <w:tblW w:w="896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794"/>
        <w:gridCol w:w="5778"/>
      </w:tblGrid>
      <w:tr w:rsidR="00BE2854" w:rsidRPr="00BC331E" w:rsidTr="007555E8">
        <w:tc>
          <w:tcPr>
            <w:tcW w:w="8968" w:type="dxa"/>
            <w:gridSpan w:val="3"/>
          </w:tcPr>
          <w:p w:rsidR="00BE2854" w:rsidRPr="00BC331E" w:rsidRDefault="00BE2854" w:rsidP="007555E8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331E">
              <w:rPr>
                <w:rFonts w:ascii="Times New Roman" w:eastAsia="Times New Roman" w:hAnsi="Times New Roman"/>
                <w:b/>
                <w:sz w:val="24"/>
                <w:szCs w:val="24"/>
              </w:rPr>
              <w:t>I. Tiesību akta projekta izstrādes nepieciešamība</w:t>
            </w:r>
          </w:p>
        </w:tc>
      </w:tr>
      <w:tr w:rsidR="00BE2854" w:rsidRPr="00BC331E" w:rsidTr="007555E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54" w:rsidRPr="00BC331E" w:rsidRDefault="00BE2854" w:rsidP="007555E8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54" w:rsidRPr="00BC331E" w:rsidRDefault="00BE2854" w:rsidP="007555E8">
            <w:pPr>
              <w:spacing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BE2854" w:rsidRPr="00617520" w:rsidRDefault="00395FAD" w:rsidP="00755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BE2854" w:rsidRPr="00BC331E" w:rsidTr="007555E8">
        <w:tc>
          <w:tcPr>
            <w:tcW w:w="396" w:type="dxa"/>
            <w:tcBorders>
              <w:top w:val="single" w:sz="4" w:space="0" w:color="auto"/>
            </w:tcBorders>
          </w:tcPr>
          <w:p w:rsidR="00BE2854" w:rsidRPr="00BC331E" w:rsidRDefault="00BE2854" w:rsidP="007555E8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BE2854" w:rsidRPr="00BC331E" w:rsidRDefault="00BE2854" w:rsidP="007555E8">
            <w:pPr>
              <w:tabs>
                <w:tab w:val="left" w:pos="-168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BE2854" w:rsidRPr="00BC331E" w:rsidRDefault="00BE2854" w:rsidP="007555E8">
            <w:pPr>
              <w:spacing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BE2854" w:rsidRDefault="00395FAD" w:rsidP="0075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Aizsargjoslu likuma 37.panta pirmās daļas 5.punkta 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apakšpunkt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</w:t>
            </w:r>
            <w:r w:rsidR="00A15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no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teikts</w:t>
            </w:r>
            <w:r w:rsidR="00A15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ka gar virszemes ūdensobjektiem 10 metru platā joslā aizliegts lietot mēslošanas līdzekļus un ķīmiskos augu aizsardzības līdzekļus.</w:t>
            </w:r>
          </w:p>
          <w:p w:rsidR="009B23FF" w:rsidRPr="006963B3" w:rsidRDefault="00924B5F" w:rsidP="00C85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Ja netiek </w:t>
            </w:r>
            <w:r w:rsidR="00C85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ti</w:t>
            </w:r>
            <w:r w:rsidR="00C85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mēslošanas un augu aizsardzības līdzekļ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</w:t>
            </w:r>
            <w:r w:rsidR="00C85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raža samazinā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  <w:r w:rsidR="00C85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apmēram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par </w:t>
            </w:r>
            <w:r w:rsidR="00C85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30%. Kontrolējošām iestādēm – Valsts Vides dienestam, Lauku atbalsta dienestam un Valsts Augu aizsardzības dienestam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– </w:t>
            </w:r>
            <w:r w:rsidR="00C85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likumā noteikto normu ir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sarežģīti</w:t>
            </w:r>
            <w:r w:rsidR="00C85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kontrolēt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</w:t>
            </w:r>
            <w:r w:rsidR="00C85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 lauksaimniekam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ir </w:t>
            </w:r>
            <w:r w:rsidR="00C85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grūti pierādīt, ka noteiktajā joslas platumā audzētajiem kultūraugiem nav lietoti mēslošanas un augu aizsardzības līdzekļi. </w:t>
            </w:r>
            <w:r w:rsidR="0078018F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Augu aizsardzības līdzekļ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</w:t>
            </w:r>
            <w:r w:rsidR="0078018F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lietošanai Latvijā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tiek </w:t>
            </w:r>
            <w:r w:rsidR="0078018F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izvērtē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ti</w:t>
            </w:r>
            <w:r w:rsidR="0078018F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 reģistrē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ti</w:t>
            </w:r>
            <w:r w:rsidR="0078018F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saskaņā ar Augu aizsardzības likumu.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Turklāt tiek </w:t>
            </w:r>
            <w:r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izvērtēts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 tikai</w:t>
            </w:r>
            <w:r w:rsidR="0078018F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pats </w:t>
            </w:r>
            <w:r w:rsidR="0078018F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augu aizsardzības līdzekli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  <w:r w:rsidR="0078018F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bet</w:t>
            </w:r>
            <w:r w:rsidR="0078018F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arī tā lietošanas attālums no virszemes ūdensobjektiem. </w:t>
            </w:r>
            <w:r w:rsidR="00AB13E7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Pašlaik minētais ierobežojums marķējumā ir noteikts tikai tiem augu aizsardzības līdzekļiem, 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  <w:r w:rsidR="00AB13E7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 šis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lietošanas </w:t>
            </w:r>
            <w:r w:rsidR="00AB13E7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attāluma ierobežojums pārsniedz Aizsargjoslu likumā noteiktos 10 metrus. </w:t>
            </w:r>
            <w:r w:rsidR="006963B3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Starptautisk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ajā</w:t>
            </w:r>
            <w:r w:rsidR="006963B3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praks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ē</w:t>
            </w:r>
            <w:r w:rsidR="006963B3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</w:t>
            </w:r>
            <w:r w:rsidR="006963B3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plānots ieviest,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ir pieņemts </w:t>
            </w:r>
            <w:r w:rsidR="006963B3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noteikt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</w:t>
            </w:r>
            <w:r w:rsidR="006963B3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lietošanas attāluma ierobežojum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</w:t>
            </w:r>
            <w:r w:rsidR="006963B3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norādīt katra augu aizsardzības līdzekļa marķējumā</w:t>
            </w:r>
            <w:r w:rsidR="006963B3" w:rsidRPr="0047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="00916036" w:rsidRPr="00475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:rsidR="00916036" w:rsidRDefault="00C85E98" w:rsidP="0091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Likumprojekta mērķis ir noteikt </w:t>
            </w:r>
            <w:r w:rsidR="008F03CB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etrus</w:t>
            </w:r>
            <w:r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platu joslu gar virszemes ūdensobjektiem</w:t>
            </w:r>
            <w:r w:rsidR="0078018F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kura netiek apstrādāta, 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kur</w:t>
            </w:r>
            <w:r w:rsidR="0078018F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 netiek audzēti lauksaimniecības kultūraugi un lietoti mēslošanas līdzekļi.</w:t>
            </w:r>
            <w:r w:rsidR="00AB13E7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Augu aizsardzības līdzekļi tik</w:t>
            </w:r>
            <w:r w:rsidR="006963B3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  <w:r w:rsidR="00AB13E7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lietoti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ievērojot</w:t>
            </w:r>
            <w:r w:rsidR="00AB13E7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marķējumā norādīto attālumu līdz virszemes ūdensobjektam. Ja marķējumā nav norādes par lietošanas attālumu, tad augu aizsardzības līdzekli n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av atļauts</w:t>
            </w:r>
            <w:r w:rsidR="00AB13E7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lietot 10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="00AB13E7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metru platā joslā </w:t>
            </w:r>
            <w:r w:rsidR="008F03CB" w:rsidRPr="00696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gar virszemes ūdensobjektu.</w:t>
            </w:r>
            <w:r w:rsidR="00916036" w:rsidRPr="006963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:rsidR="0078018F" w:rsidRDefault="0078018F" w:rsidP="008F0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F03CB" w:rsidRPr="00916036" w:rsidRDefault="009E740D" w:rsidP="00924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Saskaņā ar 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nosacījumiem 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Eiropas Parlamenta un Padomes 2013. gada 17. decembra Regul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(ES) Nr. 1307/2013, ar ko izveido noteikumus par lauksaimniekiem paredzētiem tiešajiem maksājumiem, kurus veic saskaņā ar kopējās lauksaimniecības politikas atbalsta shēmām, un ar ko atceļ Padomes Regulu (EK) Nr. 637/2008 un Padomes Regulu (EK) Nr. 73/2009 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2015. gad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spēkā stāsies jauna tiešā atbalsta sistēma lauksaimniekiem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Tā paredz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obligāti piešķir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amu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</w:t>
            </w:r>
            <w:r w:rsidRPr="009E74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aksājum</w:t>
            </w:r>
            <w:r w:rsidR="00924B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9E74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par klimatam un videi labvēlīg</w:t>
            </w:r>
            <w:r w:rsidR="00924B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9E74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lauksaimniecības praks</w:t>
            </w:r>
            <w:r w:rsidR="00924B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</w:t>
            </w:r>
            <w:r w:rsidRPr="009E74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(„zaļināšanas” maksājum</w:t>
            </w:r>
            <w:r w:rsidR="00924B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9E74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)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kas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ietver arī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ekoloģiskas nozīmes platību izveid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 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uzturēšan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saimniecībās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iens no pasākumiem, ar kuru lauksaimnieki varēs īstenot šo praksi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ir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etrus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plat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buferjoslu izveide gar ūdensobjektiem, 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tajās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nevei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cot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ražošan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Līdz ar to ar likumu noteikto buferjoslu </w:t>
            </w:r>
            <w:r w:rsidR="00924B5F"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lauksaimnieki va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rēs pieteikt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ekoloģiskas nozīmes platīb</w:t>
            </w:r>
            <w:r w:rsidR="00924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 statusam</w:t>
            </w:r>
            <w:r w:rsidRPr="009E74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lai par to saņemtu </w:t>
            </w:r>
            <w:r w:rsidRPr="009E74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„zaļināšanas” maksājumu.</w:t>
            </w:r>
          </w:p>
        </w:tc>
      </w:tr>
      <w:tr w:rsidR="00BE2854" w:rsidRPr="00BC331E" w:rsidTr="007555E8">
        <w:tc>
          <w:tcPr>
            <w:tcW w:w="396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4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5778" w:type="dxa"/>
          </w:tcPr>
          <w:p w:rsidR="00BE2854" w:rsidRPr="001E63E9" w:rsidRDefault="00BE2854" w:rsidP="00C35FC4">
            <w:pPr>
              <w:pStyle w:val="naiskr"/>
              <w:spacing w:before="0" w:after="0"/>
              <w:jc w:val="both"/>
              <w:rPr>
                <w:rFonts w:eastAsia="Times New Roman"/>
              </w:rPr>
            </w:pPr>
            <w:r>
              <w:t xml:space="preserve">Noteikumu projektā ir iesaistīta </w:t>
            </w:r>
            <w:r w:rsidRPr="00EC725E">
              <w:t>Zemkopības ministrija</w:t>
            </w:r>
            <w:r>
              <w:t>,</w:t>
            </w:r>
            <w:r w:rsidR="00C35FC4">
              <w:t xml:space="preserve"> Vides aizsardzības un reģionālās attīstības ministrija,</w:t>
            </w:r>
            <w:r w:rsidRPr="00EC725E">
              <w:t xml:space="preserve"> Valsts augu aizsardzības dienests</w:t>
            </w:r>
            <w:r w:rsidR="00924B5F">
              <w:t xml:space="preserve"> un</w:t>
            </w:r>
            <w:r>
              <w:t xml:space="preserve"> </w:t>
            </w:r>
            <w:r w:rsidR="001E160D">
              <w:t>Lauku atbalsta dienests.</w:t>
            </w:r>
          </w:p>
        </w:tc>
      </w:tr>
      <w:tr w:rsidR="00BE2854" w:rsidRPr="00BC331E" w:rsidTr="007555E8">
        <w:tc>
          <w:tcPr>
            <w:tcW w:w="396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4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5778" w:type="dxa"/>
          </w:tcPr>
          <w:p w:rsidR="00BE2854" w:rsidRPr="00BC331E" w:rsidRDefault="00BE2854" w:rsidP="00755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  <w:p w:rsidR="00BE2854" w:rsidRPr="00BC331E" w:rsidRDefault="00BE2854" w:rsidP="00755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2854" w:rsidRPr="00BC331E" w:rsidRDefault="00BE2854" w:rsidP="00BE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194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5811"/>
      </w:tblGrid>
      <w:tr w:rsidR="00BE2854" w:rsidRPr="00BC331E" w:rsidTr="007555E8">
        <w:trPr>
          <w:trHeight w:val="278"/>
        </w:trPr>
        <w:tc>
          <w:tcPr>
            <w:tcW w:w="9077" w:type="dxa"/>
            <w:gridSpan w:val="3"/>
            <w:vAlign w:val="center"/>
          </w:tcPr>
          <w:p w:rsidR="00BE2854" w:rsidRPr="00BC331E" w:rsidRDefault="00BE2854" w:rsidP="007555E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 Tiesību akta projekta ietekme uz sabiedrību</w:t>
            </w:r>
            <w:r w:rsidRPr="00BC331E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, tautsaimniecības attīstību</w:t>
            </w:r>
          </w:p>
          <w:p w:rsidR="00BE2854" w:rsidRPr="00BC331E" w:rsidRDefault="00BE2854" w:rsidP="00755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C331E">
              <w:rPr>
                <w:rFonts w:ascii="Times New Roman" w:hAnsi="Times New Roman"/>
                <w:b/>
                <w:sz w:val="24"/>
                <w:szCs w:val="24"/>
              </w:rPr>
              <w:t>un administratīvo slogu</w:t>
            </w:r>
          </w:p>
        </w:tc>
      </w:tr>
      <w:tr w:rsidR="00BE2854" w:rsidRPr="00BC331E" w:rsidTr="007555E8">
        <w:trPr>
          <w:trHeight w:val="482"/>
        </w:trPr>
        <w:tc>
          <w:tcPr>
            <w:tcW w:w="431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35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mērķgrupa</w:t>
            </w:r>
            <w:r w:rsidRPr="00BC331E">
              <w:rPr>
                <w:rFonts w:ascii="Times New Roman" w:hAnsi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5811" w:type="dxa"/>
          </w:tcPr>
          <w:p w:rsidR="00BE2854" w:rsidRPr="00072912" w:rsidRDefault="00363F1B" w:rsidP="00363F1B">
            <w:pPr>
              <w:spacing w:beforeAutospacing="1" w:after="0" w:afterAutospacing="1" w:line="240" w:lineRule="auto"/>
              <w:ind w:left="141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Likum</w:t>
            </w:r>
            <w:r w:rsidR="00BE2854">
              <w:rPr>
                <w:rFonts w:ascii="Times New Roman" w:hAnsi="Times New Roman"/>
                <w:iCs/>
                <w:sz w:val="24"/>
                <w:szCs w:val="24"/>
              </w:rPr>
              <w:t xml:space="preserve">projekts attiecas uz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lauksaimniekiem, k</w:t>
            </w:r>
            <w:r w:rsidR="00924B5F">
              <w:rPr>
                <w:rFonts w:ascii="Times New Roman" w:hAnsi="Times New Roman"/>
                <w:iCs/>
                <w:sz w:val="24"/>
                <w:szCs w:val="24"/>
              </w:rPr>
              <w:t>uri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ražo lauksaimniecības produkciju un </w:t>
            </w:r>
            <w:r w:rsidR="00924B5F">
              <w:rPr>
                <w:rFonts w:ascii="Times New Roman" w:hAnsi="Times New Roman"/>
                <w:iCs/>
                <w:sz w:val="24"/>
                <w:szCs w:val="24"/>
              </w:rPr>
              <w:t>kuru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īpašumā vai lietošanā ir lauksaimniecības zeme.</w:t>
            </w:r>
          </w:p>
        </w:tc>
      </w:tr>
      <w:tr w:rsidR="00BE2854" w:rsidRPr="00BC331E" w:rsidTr="007555E8">
        <w:trPr>
          <w:trHeight w:val="539"/>
        </w:trPr>
        <w:tc>
          <w:tcPr>
            <w:tcW w:w="431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35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5811" w:type="dxa"/>
          </w:tcPr>
          <w:p w:rsidR="00CE0D14" w:rsidRPr="00916036" w:rsidRDefault="00363F1B" w:rsidP="009E740D">
            <w:pPr>
              <w:spacing w:beforeAutospacing="1" w:after="0" w:afterAutospacing="1" w:line="240" w:lineRule="auto"/>
              <w:ind w:left="141"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</w:t>
            </w:r>
            <w:r w:rsidR="00BE2854">
              <w:rPr>
                <w:rFonts w:ascii="Times New Roman" w:hAnsi="Times New Roman"/>
                <w:sz w:val="24"/>
                <w:szCs w:val="24"/>
              </w:rPr>
              <w:t>projekta tiesiskais regulējums nemaina līdzšinējo administratīvo procedūru</w:t>
            </w:r>
            <w:r w:rsidR="00CE0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854" w:rsidRPr="00BC331E" w:rsidTr="007555E8">
        <w:trPr>
          <w:trHeight w:val="533"/>
        </w:trPr>
        <w:tc>
          <w:tcPr>
            <w:tcW w:w="431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35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5811" w:type="dxa"/>
          </w:tcPr>
          <w:p w:rsidR="00BE2854" w:rsidRPr="008860E4" w:rsidRDefault="00BE2854" w:rsidP="007555E8">
            <w:pPr>
              <w:spacing w:beforeAutospacing="1" w:after="0" w:afterAutospacing="1" w:line="240" w:lineRule="auto"/>
              <w:ind w:lef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60E4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BE2854" w:rsidRPr="00BC331E" w:rsidTr="007555E8">
        <w:trPr>
          <w:trHeight w:val="293"/>
        </w:trPr>
        <w:tc>
          <w:tcPr>
            <w:tcW w:w="431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35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11" w:type="dxa"/>
          </w:tcPr>
          <w:p w:rsidR="00BE2854" w:rsidRPr="008860E4" w:rsidRDefault="00BE2854" w:rsidP="007555E8">
            <w:pPr>
              <w:spacing w:beforeAutospacing="1" w:after="0" w:afterAutospacing="1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BE2854" w:rsidRPr="00233CD6" w:rsidRDefault="00BE2854" w:rsidP="00BE28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E2854" w:rsidRDefault="00BE2854" w:rsidP="00BE2854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lv-LV"/>
        </w:rPr>
      </w:pPr>
      <w:r w:rsidRPr="00BC331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Anotācijas </w:t>
      </w:r>
      <w:r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III,IV un </w:t>
      </w:r>
      <w:r w:rsidRPr="00BC331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V</w:t>
      </w:r>
      <w:r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 </w:t>
      </w:r>
      <w:r w:rsidRPr="00BC331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sadaļa – projekts šo jomu neskar.</w:t>
      </w:r>
    </w:p>
    <w:p w:rsidR="00BE2854" w:rsidRPr="00233CD6" w:rsidRDefault="00BE2854" w:rsidP="00BE285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lv-LV"/>
        </w:rPr>
      </w:pPr>
    </w:p>
    <w:p w:rsidR="00BE2854" w:rsidRPr="00BC331E" w:rsidRDefault="00BE2854" w:rsidP="00BE2854">
      <w:pPr>
        <w:keepNext/>
        <w:keepLines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4968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103"/>
        <w:gridCol w:w="5496"/>
      </w:tblGrid>
      <w:tr w:rsidR="00BE2854" w:rsidRPr="00BC331E" w:rsidTr="007555E8">
        <w:tc>
          <w:tcPr>
            <w:tcW w:w="9072" w:type="dxa"/>
            <w:gridSpan w:val="3"/>
          </w:tcPr>
          <w:p w:rsidR="00BE2854" w:rsidRPr="00BC331E" w:rsidRDefault="00BE2854" w:rsidP="007555E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VI. Sabiedrības līdzdalība un </w:t>
            </w:r>
            <w:r w:rsidRPr="00BC331E">
              <w:rPr>
                <w:rFonts w:ascii="Times New Roman" w:hAnsi="Times New Roman"/>
                <w:b/>
                <w:bCs/>
                <w:sz w:val="24"/>
                <w:szCs w:val="24"/>
              </w:rPr>
              <w:t>komunikācijas aktivitātes</w:t>
            </w:r>
          </w:p>
        </w:tc>
      </w:tr>
      <w:tr w:rsidR="00C35FC4" w:rsidRPr="00BC331E" w:rsidTr="007555E8">
        <w:trPr>
          <w:trHeight w:val="553"/>
        </w:trPr>
        <w:tc>
          <w:tcPr>
            <w:tcW w:w="426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8" w:type="dxa"/>
          </w:tcPr>
          <w:p w:rsidR="00BE2854" w:rsidRPr="00BC331E" w:rsidRDefault="00BE2854" w:rsidP="007555E8">
            <w:pPr>
              <w:tabs>
                <w:tab w:val="left" w:pos="170"/>
              </w:tabs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528" w:type="dxa"/>
          </w:tcPr>
          <w:p w:rsidR="00BE2854" w:rsidRPr="007D6A2A" w:rsidRDefault="00CE0D14" w:rsidP="00CE0D14">
            <w:pPr>
              <w:spacing w:beforeAutospacing="1" w:after="0" w:afterAutospacing="1" w:line="240" w:lineRule="auto"/>
              <w:ind w:right="57"/>
              <w:jc w:val="both"/>
              <w:rPr>
                <w:rFonts w:ascii="Times New Roman" w:eastAsia="Times New Roman" w:hAnsi="Times New Roman"/>
                <w:color w:val="D9D9D9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</w:t>
            </w:r>
            <w:r w:rsidR="00BE2854" w:rsidRPr="007D6A2A">
              <w:rPr>
                <w:rFonts w:ascii="Times New Roman" w:hAnsi="Times New Roman"/>
                <w:sz w:val="24"/>
                <w:szCs w:val="24"/>
              </w:rPr>
              <w:t xml:space="preserve">projekts 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  <w:r w:rsidR="00BE2854" w:rsidRPr="007D6A2A">
              <w:rPr>
                <w:rFonts w:ascii="Times New Roman" w:hAnsi="Times New Roman"/>
                <w:sz w:val="24"/>
                <w:szCs w:val="24"/>
              </w:rPr>
              <w:t xml:space="preserve"> ievietots Zemkopības ministrijas tīmekļa vietnē www.zm.gov.lv.</w:t>
            </w:r>
          </w:p>
        </w:tc>
      </w:tr>
      <w:tr w:rsidR="00C35FC4" w:rsidRPr="00BC331E" w:rsidTr="007555E8">
        <w:trPr>
          <w:trHeight w:val="339"/>
        </w:trPr>
        <w:tc>
          <w:tcPr>
            <w:tcW w:w="426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8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līdzdalība projekta izstrādē </w:t>
            </w:r>
          </w:p>
        </w:tc>
        <w:tc>
          <w:tcPr>
            <w:tcW w:w="5528" w:type="dxa"/>
          </w:tcPr>
          <w:p w:rsidR="00BE2854" w:rsidRPr="00C35FC4" w:rsidRDefault="00CE0D14" w:rsidP="00C35FC4">
            <w:pPr>
              <w:pStyle w:val="naiskr"/>
              <w:spacing w:before="0" w:after="0"/>
              <w:jc w:val="both"/>
              <w:rPr>
                <w:rFonts w:eastAsia="Times New Roman"/>
                <w:strike/>
              </w:rPr>
            </w:pPr>
            <w:r w:rsidRPr="00C35FC4">
              <w:t>Likum</w:t>
            </w:r>
            <w:r w:rsidR="00BE2854" w:rsidRPr="00C35FC4">
              <w:t>projekt</w:t>
            </w:r>
            <w:r w:rsidRPr="00C35FC4">
              <w:t xml:space="preserve">s ir apspriests ar </w:t>
            </w:r>
            <w:r w:rsidR="00C35FC4">
              <w:t xml:space="preserve">Lauksaimnieku organizāciju sadarbības padomi, </w:t>
            </w:r>
            <w:r w:rsidR="00924B5F">
              <w:t>biedrību „</w:t>
            </w:r>
            <w:r w:rsidR="00C35FC4">
              <w:t xml:space="preserve">Zemnieku </w:t>
            </w:r>
            <w:r w:rsidR="00924B5F">
              <w:t>s</w:t>
            </w:r>
            <w:r w:rsidR="00C35FC4">
              <w:t>aeim</w:t>
            </w:r>
            <w:r w:rsidR="00924B5F">
              <w:t>a”</w:t>
            </w:r>
            <w:r w:rsidR="00C35FC4">
              <w:t xml:space="preserve">, </w:t>
            </w:r>
            <w:r w:rsidR="00C35FC4" w:rsidRPr="00C35FC4">
              <w:t>Lauksaimniecības un vides aizsardzības konsultatīvo padomi, Latvijas dabas fondu</w:t>
            </w:r>
            <w:r w:rsidR="00924B5F">
              <w:t xml:space="preserve"> un</w:t>
            </w:r>
            <w:r w:rsidR="006D48B3">
              <w:t xml:space="preserve"> Latvijas Makšķernieku asociāciju</w:t>
            </w:r>
            <w:r w:rsidR="00C35FC4">
              <w:t>.</w:t>
            </w:r>
          </w:p>
        </w:tc>
      </w:tr>
      <w:tr w:rsidR="00C35FC4" w:rsidRPr="00BC331E" w:rsidTr="007555E8">
        <w:trPr>
          <w:trHeight w:val="375"/>
        </w:trPr>
        <w:tc>
          <w:tcPr>
            <w:tcW w:w="426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8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līdzdalības rezultāti </w:t>
            </w:r>
          </w:p>
        </w:tc>
        <w:tc>
          <w:tcPr>
            <w:tcW w:w="5528" w:type="dxa"/>
          </w:tcPr>
          <w:p w:rsidR="00216561" w:rsidRDefault="00924B5F" w:rsidP="007555E8">
            <w:pPr>
              <w:spacing w:beforeAutospacing="1" w:after="0" w:afterAutospacing="1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Biedrība „</w:t>
            </w:r>
            <w:r w:rsidR="0021656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Zemnieku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216561">
              <w:rPr>
                <w:rFonts w:ascii="Times New Roman" w:hAnsi="Times New Roman"/>
                <w:sz w:val="24"/>
                <w:szCs w:val="24"/>
                <w:lang w:eastAsia="lv-LV"/>
              </w:rPr>
              <w:t>aeima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”</w:t>
            </w:r>
            <w:r w:rsidR="0021656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piekrīt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sagatavo</w:t>
            </w:r>
            <w:r w:rsidR="0021656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tajam likumprojektam. </w:t>
            </w:r>
            <w:r w:rsidR="00216561" w:rsidRPr="00216561">
              <w:rPr>
                <w:rFonts w:ascii="Times New Roman" w:hAnsi="Times New Roman"/>
                <w:sz w:val="24"/>
                <w:szCs w:val="24"/>
              </w:rPr>
              <w:t>Lauksaimnieku organizāciju sadarb</w:t>
            </w:r>
            <w:r w:rsidR="00216561">
              <w:rPr>
                <w:rFonts w:ascii="Times New Roman" w:hAnsi="Times New Roman"/>
                <w:sz w:val="24"/>
                <w:szCs w:val="24"/>
              </w:rPr>
              <w:t>ības padomes</w:t>
            </w:r>
            <w:r w:rsidR="006D48B3">
              <w:rPr>
                <w:rFonts w:ascii="Times New Roman" w:hAnsi="Times New Roman"/>
                <w:sz w:val="24"/>
                <w:szCs w:val="24"/>
              </w:rPr>
              <w:t xml:space="preserve"> un Latvijas dabas fonda </w:t>
            </w:r>
            <w:r w:rsidR="006D48B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16561">
              <w:rPr>
                <w:rFonts w:ascii="Times New Roman" w:hAnsi="Times New Roman"/>
                <w:sz w:val="24"/>
                <w:szCs w:val="24"/>
              </w:rPr>
              <w:t xml:space="preserve">priekšlikums ir papildus noteikt </w:t>
            </w:r>
            <w:r>
              <w:rPr>
                <w:rFonts w:ascii="Times New Roman" w:hAnsi="Times New Roman"/>
                <w:sz w:val="24"/>
                <w:szCs w:val="24"/>
              </w:rPr>
              <w:t>vienu</w:t>
            </w:r>
            <w:r w:rsidR="00216561">
              <w:rPr>
                <w:rFonts w:ascii="Times New Roman" w:hAnsi="Times New Roman"/>
                <w:sz w:val="24"/>
                <w:szCs w:val="24"/>
              </w:rPr>
              <w:t xml:space="preserve"> metru platu aizsargjoslu arī gar ūdens notekām un novadgrāvjiem.</w:t>
            </w:r>
          </w:p>
          <w:p w:rsidR="00BE2854" w:rsidRDefault="006D48B3" w:rsidP="0091603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Priekšlikums noteikt </w:t>
            </w:r>
            <w:r w:rsidR="00924B5F">
              <w:rPr>
                <w:rFonts w:ascii="Times New Roman" w:hAnsi="Times New Roman"/>
                <w:sz w:val="24"/>
                <w:szCs w:val="24"/>
              </w:rPr>
              <w:t>vienu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metru platu aizsargjoslu arī gar ūdens notekām un novadgrāvjiem</w:t>
            </w:r>
            <w:r w:rsidR="00C034B7">
              <w:rPr>
                <w:rFonts w:ascii="Times New Roman" w:hAnsi="Times New Roman"/>
                <w:sz w:val="24"/>
                <w:szCs w:val="24"/>
              </w:rPr>
              <w:t xml:space="preserve"> nav ņemts vērā, jo:</w:t>
            </w:r>
          </w:p>
          <w:p w:rsidR="00C034B7" w:rsidRDefault="00C034B7" w:rsidP="0091603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spēkā esošajos normatīvajos aktos nav skaidri noteikta atšķirība starp virszemes ūdensobjektiem un novadgrāvjiem. Ministru kabineta 2010.gada 30.marta noteikumos Nr.318 „Noteikumi par ūdens saimniecisko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iecirkņu klasifikatoru” ir iekļautas visa veida ūdensteces, arī novadgrāvji,</w:t>
            </w:r>
            <w:r w:rsidR="009C73B0">
              <w:rPr>
                <w:rFonts w:ascii="Times New Roman" w:hAnsi="Times New Roman"/>
                <w:sz w:val="24"/>
                <w:szCs w:val="24"/>
              </w:rPr>
              <w:t xml:space="preserve"> kuru kopējais garums lielāks par 10 kilometriem vai sateces baseins lielāks par 25 kvadrātkilometriem;</w:t>
            </w:r>
          </w:p>
          <w:p w:rsidR="00C034B7" w:rsidRDefault="00C034B7" w:rsidP="0091603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9C73B0">
              <w:rPr>
                <w:rFonts w:ascii="Times New Roman" w:hAnsi="Times New Roman"/>
                <w:sz w:val="24"/>
                <w:szCs w:val="24"/>
              </w:rPr>
              <w:t>Lauku atbalsta dienests var veikt kontroles tikai par tiem virszemes ūdensobjektiem un novadgrāvjiem, kas iekļauti iepriekšminētajā klasifikatorā;</w:t>
            </w:r>
          </w:p>
          <w:p w:rsidR="00916036" w:rsidRPr="00E142C8" w:rsidRDefault="00E142C8" w:rsidP="009E740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E142C8">
              <w:rPr>
                <w:rFonts w:ascii="Times New Roman" w:hAnsi="Times New Roman"/>
                <w:sz w:val="24"/>
                <w:szCs w:val="24"/>
              </w:rPr>
              <w:t>3) Meliorācijas kadastrā vēl nav pabeigta meliorācijas sistēmu (</w:t>
            </w:r>
            <w:r w:rsidR="00924B5F">
              <w:rPr>
                <w:rFonts w:ascii="Times New Roman" w:hAnsi="Times New Roman"/>
                <w:sz w:val="24"/>
                <w:szCs w:val="24"/>
              </w:rPr>
              <w:t>arī</w:t>
            </w:r>
            <w:r w:rsidRPr="00E142C8">
              <w:rPr>
                <w:rFonts w:ascii="Times New Roman" w:hAnsi="Times New Roman"/>
                <w:sz w:val="24"/>
                <w:szCs w:val="24"/>
              </w:rPr>
              <w:t xml:space="preserve"> novadgrāvju) digitalizācija. Šī gada beigās </w:t>
            </w:r>
            <w:r w:rsidR="009E740D" w:rsidRPr="00E142C8">
              <w:rPr>
                <w:rFonts w:ascii="Times New Roman" w:hAnsi="Times New Roman"/>
                <w:sz w:val="24"/>
                <w:szCs w:val="24"/>
              </w:rPr>
              <w:t xml:space="preserve">meliorācijas sistēmas </w:t>
            </w:r>
            <w:r w:rsidRPr="00E142C8">
              <w:rPr>
                <w:rFonts w:ascii="Times New Roman" w:hAnsi="Times New Roman"/>
                <w:sz w:val="24"/>
                <w:szCs w:val="24"/>
              </w:rPr>
              <w:t>būs digitalizētas  68% ap</w:t>
            </w:r>
            <w:r w:rsidR="00924B5F">
              <w:rPr>
                <w:rFonts w:ascii="Times New Roman" w:hAnsi="Times New Roman"/>
                <w:sz w:val="24"/>
                <w:szCs w:val="24"/>
              </w:rPr>
              <w:t>jomā</w:t>
            </w:r>
            <w:r w:rsidRPr="00E142C8">
              <w:rPr>
                <w:rFonts w:ascii="Times New Roman" w:hAnsi="Times New Roman"/>
                <w:sz w:val="24"/>
                <w:szCs w:val="24"/>
              </w:rPr>
              <w:t xml:space="preserve"> no meliorētām lauksaimniecībā izmantojamām zemēm. </w:t>
            </w:r>
          </w:p>
        </w:tc>
      </w:tr>
      <w:tr w:rsidR="00C35FC4" w:rsidRPr="00BC331E" w:rsidTr="007555E8">
        <w:trPr>
          <w:trHeight w:val="298"/>
        </w:trPr>
        <w:tc>
          <w:tcPr>
            <w:tcW w:w="426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3118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528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BE2854" w:rsidRPr="00BC331E" w:rsidRDefault="00BE2854" w:rsidP="00BE2854"/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215"/>
        <w:gridCol w:w="5386"/>
      </w:tblGrid>
      <w:tr w:rsidR="00BE2854" w:rsidRPr="00BC331E" w:rsidTr="007555E8">
        <w:trPr>
          <w:trHeight w:val="279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BE2854" w:rsidRPr="00BC331E" w:rsidRDefault="00BE2854" w:rsidP="007555E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E2854" w:rsidRPr="00BC331E" w:rsidTr="007555E8">
        <w:trPr>
          <w:trHeight w:val="442"/>
        </w:trPr>
        <w:tc>
          <w:tcPr>
            <w:tcW w:w="471" w:type="dxa"/>
          </w:tcPr>
          <w:p w:rsidR="00BE2854" w:rsidRPr="00BC331E" w:rsidRDefault="00BE2854" w:rsidP="007555E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15" w:type="dxa"/>
          </w:tcPr>
          <w:p w:rsidR="00BE2854" w:rsidRPr="00BC331E" w:rsidRDefault="00BE2854" w:rsidP="007555E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izpildē iesaistītās institūcijas </w:t>
            </w:r>
          </w:p>
        </w:tc>
        <w:tc>
          <w:tcPr>
            <w:tcW w:w="5386" w:type="dxa"/>
          </w:tcPr>
          <w:p w:rsidR="00BE2854" w:rsidRPr="00D32676" w:rsidRDefault="000D7824" w:rsidP="00CE0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</w:t>
            </w:r>
            <w:r w:rsidR="00BE2854">
              <w:rPr>
                <w:rFonts w:ascii="Times New Roman" w:hAnsi="Times New Roman"/>
                <w:sz w:val="24"/>
                <w:szCs w:val="24"/>
              </w:rPr>
              <w:t>projekta</w:t>
            </w:r>
            <w:r w:rsidR="00BE2854" w:rsidRPr="00D32676">
              <w:rPr>
                <w:rFonts w:ascii="Times New Roman" w:hAnsi="Times New Roman"/>
                <w:sz w:val="24"/>
                <w:szCs w:val="24"/>
              </w:rPr>
              <w:t xml:space="preserve"> izpildi nodrošinās </w:t>
            </w:r>
            <w:r w:rsidR="00CE0D14">
              <w:rPr>
                <w:rFonts w:ascii="Times New Roman" w:hAnsi="Times New Roman"/>
                <w:sz w:val="24"/>
                <w:szCs w:val="24"/>
              </w:rPr>
              <w:t>Valsts Vides dienests, Lauku atbalsta dienests</w:t>
            </w:r>
            <w:r w:rsidR="00924B5F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CE0D14">
              <w:rPr>
                <w:rFonts w:ascii="Times New Roman" w:hAnsi="Times New Roman"/>
                <w:sz w:val="24"/>
                <w:szCs w:val="24"/>
              </w:rPr>
              <w:t xml:space="preserve"> Valsts Augu aizsardzības dienests.</w:t>
            </w:r>
          </w:p>
        </w:tc>
      </w:tr>
      <w:tr w:rsidR="00BE2854" w:rsidRPr="00BC331E" w:rsidTr="007555E8">
        <w:trPr>
          <w:trHeight w:val="478"/>
        </w:trPr>
        <w:tc>
          <w:tcPr>
            <w:tcW w:w="471" w:type="dxa"/>
          </w:tcPr>
          <w:p w:rsidR="00BE2854" w:rsidRPr="00BC331E" w:rsidRDefault="00BE2854" w:rsidP="007555E8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15" w:type="dxa"/>
          </w:tcPr>
          <w:p w:rsidR="00BE2854" w:rsidRPr="00BC331E" w:rsidRDefault="00BE2854" w:rsidP="0075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1E">
              <w:rPr>
                <w:rFonts w:ascii="Times New Roman" w:hAnsi="Times New Roman"/>
                <w:sz w:val="24"/>
                <w:szCs w:val="24"/>
              </w:rPr>
              <w:t xml:space="preserve">Projekta izpildes ietekme uz pārvaldes funkcijām un institucionālo struktūru. </w:t>
            </w:r>
          </w:p>
          <w:p w:rsidR="00BE2854" w:rsidRPr="00BC331E" w:rsidRDefault="00BE2854" w:rsidP="00755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86" w:type="dxa"/>
          </w:tcPr>
          <w:p w:rsidR="00BE2854" w:rsidRPr="00D32676" w:rsidRDefault="000D7824" w:rsidP="007555E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Likum</w:t>
            </w:r>
            <w:r w:rsidR="00BE2854">
              <w:rPr>
                <w:rFonts w:ascii="Times New Roman" w:hAnsi="Times New Roman"/>
                <w:color w:val="000000"/>
                <w:sz w:val="24"/>
                <w:szCs w:val="24"/>
              </w:rPr>
              <w:t>projekta</w:t>
            </w:r>
            <w:r w:rsidR="00BE2854" w:rsidRPr="00D32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izpilde tiks nodrošināta, pamatojoties uz esošo institūciju funkcijām.</w:t>
            </w:r>
          </w:p>
        </w:tc>
      </w:tr>
      <w:tr w:rsidR="00BE2854" w:rsidRPr="00BC331E" w:rsidTr="007555E8">
        <w:trPr>
          <w:trHeight w:val="199"/>
        </w:trPr>
        <w:tc>
          <w:tcPr>
            <w:tcW w:w="471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15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6" w:type="dxa"/>
          </w:tcPr>
          <w:p w:rsidR="00BE2854" w:rsidRPr="00BC331E" w:rsidRDefault="00BE2854" w:rsidP="007555E8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C33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BE2854" w:rsidRPr="00BC331E" w:rsidRDefault="00BE2854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E2854" w:rsidRPr="00BC331E" w:rsidRDefault="00BE2854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E2854" w:rsidRPr="00BC331E" w:rsidRDefault="00BE2854" w:rsidP="00E602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C331E">
        <w:rPr>
          <w:rFonts w:ascii="Times New Roman" w:eastAsia="Times New Roman" w:hAnsi="Times New Roman"/>
          <w:sz w:val="28"/>
          <w:szCs w:val="28"/>
          <w:lang w:val="x-none" w:eastAsia="x-none"/>
        </w:rPr>
        <w:t>Zemkopības ministrs</w:t>
      </w:r>
      <w:r w:rsidRPr="00BC331E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BC331E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BC331E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BC331E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BC331E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J.Dūklavs</w:t>
      </w:r>
    </w:p>
    <w:p w:rsidR="00BE2854" w:rsidRDefault="00BE2854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331E">
        <w:rPr>
          <w:rFonts w:ascii="Times New Roman" w:eastAsia="Times New Roman" w:hAnsi="Times New Roman"/>
          <w:sz w:val="28"/>
          <w:szCs w:val="28"/>
        </w:rPr>
        <w:tab/>
      </w:r>
    </w:p>
    <w:p w:rsidR="00E60240" w:rsidRDefault="00E60240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240" w:rsidRDefault="00E60240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240" w:rsidRDefault="00E60240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240" w:rsidRDefault="00E60240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240" w:rsidRDefault="00E60240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240" w:rsidRDefault="00E60240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240" w:rsidRDefault="00E60240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240" w:rsidRDefault="00E60240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240" w:rsidRDefault="00E60240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240" w:rsidRDefault="00E60240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240" w:rsidRPr="00BC331E" w:rsidRDefault="00E60240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2854" w:rsidRPr="00BC331E" w:rsidRDefault="00BE2854" w:rsidP="00BE2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60240" w:rsidRDefault="00E60240" w:rsidP="00BE2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2014.08.08. 14:16</w:t>
      </w:r>
    </w:p>
    <w:p w:rsidR="00E60240" w:rsidRDefault="00E60240" w:rsidP="00BE28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</w:rPr>
        <w:t>737</w:t>
      </w:r>
      <w:r>
        <w:rPr>
          <w:rFonts w:ascii="Times New Roman" w:eastAsia="Times New Roman" w:hAnsi="Times New Roman"/>
          <w:sz w:val="20"/>
          <w:szCs w:val="20"/>
        </w:rPr>
        <w:fldChar w:fldCharType="end"/>
      </w:r>
    </w:p>
    <w:p w:rsidR="00BE2854" w:rsidRPr="0039034E" w:rsidRDefault="00144B79" w:rsidP="00BE28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</w:rPr>
        <w:t>I.Ozolina</w:t>
      </w:r>
    </w:p>
    <w:p w:rsidR="00BE2854" w:rsidRDefault="00BE2854" w:rsidP="00BE2854">
      <w:pPr>
        <w:spacing w:after="0" w:line="240" w:lineRule="auto"/>
        <w:jc w:val="both"/>
      </w:pPr>
      <w:r w:rsidRPr="0039034E">
        <w:rPr>
          <w:rFonts w:ascii="Times New Roman" w:eastAsia="Times New Roman" w:hAnsi="Times New Roman"/>
          <w:sz w:val="20"/>
          <w:szCs w:val="20"/>
        </w:rPr>
        <w:t>670273</w:t>
      </w:r>
      <w:r w:rsidR="00144B79">
        <w:rPr>
          <w:rFonts w:ascii="Times New Roman" w:eastAsia="Times New Roman" w:hAnsi="Times New Roman"/>
          <w:sz w:val="20"/>
          <w:szCs w:val="20"/>
        </w:rPr>
        <w:t>4</w:t>
      </w:r>
      <w:r w:rsidRPr="0039034E">
        <w:rPr>
          <w:rFonts w:ascii="Times New Roman" w:eastAsia="Times New Roman" w:hAnsi="Times New Roman"/>
          <w:sz w:val="20"/>
          <w:szCs w:val="20"/>
        </w:rPr>
        <w:t xml:space="preserve">6, </w:t>
      </w:r>
      <w:r w:rsidR="00144B79" w:rsidRPr="00E60240">
        <w:rPr>
          <w:rFonts w:ascii="Times New Roman" w:eastAsia="Times New Roman" w:hAnsi="Times New Roman"/>
          <w:sz w:val="20"/>
          <w:szCs w:val="20"/>
        </w:rPr>
        <w:t>Iveta.Ozolina@zm.gov.lv</w:t>
      </w:r>
      <w:r w:rsidRPr="0039034E">
        <w:rPr>
          <w:rFonts w:ascii="Times New Roman" w:eastAsia="Times New Roman" w:hAnsi="Times New Roman"/>
          <w:sz w:val="20"/>
          <w:szCs w:val="20"/>
          <w:lang w:val="pl-PL"/>
        </w:rPr>
        <w:fldChar w:fldCharType="begin"/>
      </w:r>
      <w:r w:rsidRPr="0039034E">
        <w:rPr>
          <w:rFonts w:ascii="Times New Roman" w:eastAsia="Times New Roman" w:hAnsi="Times New Roman"/>
          <w:sz w:val="20"/>
          <w:szCs w:val="20"/>
          <w:lang w:val="pl-PL"/>
        </w:rPr>
        <w:instrText xml:space="preserve"> NUMWORDS  \# "0"  \* MERGEFORMAT </w:instrText>
      </w:r>
      <w:r w:rsidRPr="0039034E">
        <w:rPr>
          <w:rFonts w:ascii="Times New Roman" w:eastAsia="Times New Roman" w:hAnsi="Times New Roman"/>
          <w:sz w:val="20"/>
          <w:szCs w:val="20"/>
          <w:lang w:val="pl-PL"/>
        </w:rPr>
        <w:fldChar w:fldCharType="end"/>
      </w:r>
    </w:p>
    <w:p w:rsidR="008E69B4" w:rsidRDefault="00E60240"/>
    <w:sectPr w:rsidR="008E69B4" w:rsidSect="00561DE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E7" w:rsidRDefault="003B71E7">
      <w:pPr>
        <w:spacing w:after="0" w:line="240" w:lineRule="auto"/>
      </w:pPr>
      <w:r>
        <w:separator/>
      </w:r>
    </w:p>
  </w:endnote>
  <w:endnote w:type="continuationSeparator" w:id="0">
    <w:p w:rsidR="003B71E7" w:rsidRDefault="003B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40" w:rsidRPr="00E60240" w:rsidRDefault="00E60240" w:rsidP="00E60240">
    <w:pPr>
      <w:pStyle w:val="Kjene"/>
      <w:rPr>
        <w:sz w:val="20"/>
        <w:szCs w:val="20"/>
      </w:rPr>
    </w:pPr>
    <w:r w:rsidRPr="00E60240">
      <w:rPr>
        <w:sz w:val="20"/>
        <w:szCs w:val="20"/>
      </w:rPr>
      <w:t>ZMAnot</w:t>
    </w:r>
    <w:r w:rsidRPr="00E60240">
      <w:rPr>
        <w:sz w:val="20"/>
        <w:szCs w:val="20"/>
        <w:lang w:val="lv-LV"/>
      </w:rPr>
      <w:t>_050814_aizsargjoslas</w:t>
    </w:r>
    <w:r w:rsidRPr="00E60240">
      <w:rPr>
        <w:sz w:val="20"/>
        <w:szCs w:val="20"/>
      </w:rPr>
      <w:t xml:space="preserve">; </w:t>
    </w:r>
    <w:r w:rsidRPr="00E60240">
      <w:rPr>
        <w:sz w:val="20"/>
        <w:szCs w:val="20"/>
        <w:lang w:val="lv-LV"/>
      </w:rPr>
      <w:t>Likumprojekts</w:t>
    </w:r>
    <w:r w:rsidRPr="00E60240">
      <w:rPr>
        <w:sz w:val="20"/>
        <w:szCs w:val="20"/>
      </w:rPr>
      <w:t xml:space="preserve"> „</w:t>
    </w:r>
    <w:r w:rsidRPr="00E60240">
      <w:rPr>
        <w:sz w:val="20"/>
        <w:szCs w:val="20"/>
        <w:lang w:val="lv-LV"/>
      </w:rPr>
      <w:t>Grozījumi Aizsargjoslu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E60240" w:rsidRDefault="00144B79" w:rsidP="00E60240">
    <w:pPr>
      <w:pStyle w:val="Kjene"/>
      <w:rPr>
        <w:sz w:val="20"/>
        <w:szCs w:val="20"/>
      </w:rPr>
    </w:pPr>
    <w:r w:rsidRPr="00E60240">
      <w:rPr>
        <w:sz w:val="20"/>
        <w:szCs w:val="20"/>
      </w:rPr>
      <w:t>ZMAnot</w:t>
    </w:r>
    <w:r w:rsidRPr="00E60240">
      <w:rPr>
        <w:sz w:val="20"/>
        <w:szCs w:val="20"/>
        <w:lang w:val="lv-LV"/>
      </w:rPr>
      <w:t>_050814_aizsargjoslas</w:t>
    </w:r>
    <w:r w:rsidRPr="00E60240">
      <w:rPr>
        <w:sz w:val="20"/>
        <w:szCs w:val="20"/>
      </w:rPr>
      <w:t xml:space="preserve">; </w:t>
    </w:r>
    <w:r w:rsidRPr="00E60240">
      <w:rPr>
        <w:sz w:val="20"/>
        <w:szCs w:val="20"/>
        <w:lang w:val="lv-LV"/>
      </w:rPr>
      <w:t>Likumprojekts</w:t>
    </w:r>
    <w:r w:rsidRPr="00E60240">
      <w:rPr>
        <w:sz w:val="20"/>
        <w:szCs w:val="20"/>
      </w:rPr>
      <w:t xml:space="preserve"> „</w:t>
    </w:r>
    <w:r w:rsidRPr="00E60240">
      <w:rPr>
        <w:sz w:val="20"/>
        <w:szCs w:val="20"/>
        <w:lang w:val="lv-LV"/>
      </w:rPr>
      <w:t>Grozījumi Aizsargjoslu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E7" w:rsidRDefault="003B71E7">
      <w:pPr>
        <w:spacing w:after="0" w:line="240" w:lineRule="auto"/>
      </w:pPr>
      <w:r>
        <w:separator/>
      </w:r>
    </w:p>
  </w:footnote>
  <w:footnote w:type="continuationSeparator" w:id="0">
    <w:p w:rsidR="003B71E7" w:rsidRDefault="003B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B" w:rsidRDefault="000D782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61DEB" w:rsidRDefault="00E6024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B" w:rsidRDefault="000D782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60240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561DEB" w:rsidRDefault="00E6024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87F31"/>
    <w:multiLevelType w:val="multilevel"/>
    <w:tmpl w:val="94DA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54"/>
    <w:rsid w:val="000D7824"/>
    <w:rsid w:val="000E50C8"/>
    <w:rsid w:val="000F05A7"/>
    <w:rsid w:val="00144B79"/>
    <w:rsid w:val="001E160D"/>
    <w:rsid w:val="00216561"/>
    <w:rsid w:val="003419B0"/>
    <w:rsid w:val="00363F1B"/>
    <w:rsid w:val="003840B7"/>
    <w:rsid w:val="00395FAD"/>
    <w:rsid w:val="003B71E7"/>
    <w:rsid w:val="00475A0F"/>
    <w:rsid w:val="006963B3"/>
    <w:rsid w:val="006D2CB0"/>
    <w:rsid w:val="006D48B3"/>
    <w:rsid w:val="00773E7D"/>
    <w:rsid w:val="0078018F"/>
    <w:rsid w:val="008F03CB"/>
    <w:rsid w:val="00916036"/>
    <w:rsid w:val="00924B5F"/>
    <w:rsid w:val="009B23FF"/>
    <w:rsid w:val="009C73B0"/>
    <w:rsid w:val="009E740D"/>
    <w:rsid w:val="00A1504B"/>
    <w:rsid w:val="00AB13E7"/>
    <w:rsid w:val="00BE2854"/>
    <w:rsid w:val="00C034B7"/>
    <w:rsid w:val="00C35FC4"/>
    <w:rsid w:val="00C403E0"/>
    <w:rsid w:val="00C85E98"/>
    <w:rsid w:val="00CE0D14"/>
    <w:rsid w:val="00DA5277"/>
    <w:rsid w:val="00E142C8"/>
    <w:rsid w:val="00E33E54"/>
    <w:rsid w:val="00E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E341B82-6F80-4BE2-8FB7-94EBA9B1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2854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E28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rsid w:val="00BE2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jene">
    <w:name w:val="footer"/>
    <w:basedOn w:val="Parasts"/>
    <w:link w:val="KjeneRakstz"/>
    <w:rsid w:val="00BE28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KjeneRakstz">
    <w:name w:val="Kājene Rakstz."/>
    <w:basedOn w:val="Noklusjumarindkopasfonts"/>
    <w:link w:val="Kjene"/>
    <w:rsid w:val="00BE2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rsid w:val="00BE2854"/>
  </w:style>
  <w:style w:type="paragraph" w:customStyle="1" w:styleId="naiskr">
    <w:name w:val="naiskr"/>
    <w:basedOn w:val="Parasts"/>
    <w:rsid w:val="00BE2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BE285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034B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2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4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753</Words>
  <Characters>5407</Characters>
  <Application>Microsoft Office Word</Application>
  <DocSecurity>0</DocSecurity>
  <Lines>193</Lines>
  <Paragraphs>74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Ozolina</dc:creator>
  <cp:lastModifiedBy>ZM Lietvedibas nodala</cp:lastModifiedBy>
  <cp:revision>16</cp:revision>
  <dcterms:created xsi:type="dcterms:W3CDTF">2014-08-05T10:30:00Z</dcterms:created>
  <dcterms:modified xsi:type="dcterms:W3CDTF">2014-08-08T11:16:00Z</dcterms:modified>
</cp:coreProperties>
</file>