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9E" w:rsidRPr="004D499E" w:rsidRDefault="004D499E" w:rsidP="004D499E">
      <w:pPr>
        <w:jc w:val="right"/>
        <w:rPr>
          <w:sz w:val="24"/>
        </w:rPr>
      </w:pPr>
      <w:r w:rsidRPr="004D499E">
        <w:rPr>
          <w:sz w:val="24"/>
        </w:rPr>
        <w:t xml:space="preserve">Pielikums Ministru kabineta noteikumu projekta </w:t>
      </w:r>
    </w:p>
    <w:p w:rsidR="004D499E" w:rsidRPr="004D499E" w:rsidRDefault="004D499E" w:rsidP="004D499E">
      <w:pPr>
        <w:jc w:val="right"/>
        <w:rPr>
          <w:bCs/>
          <w:sz w:val="24"/>
        </w:rPr>
      </w:pPr>
      <w:r w:rsidRPr="004D499E">
        <w:rPr>
          <w:sz w:val="24"/>
        </w:rPr>
        <w:t>„</w:t>
      </w:r>
      <w:r w:rsidRPr="004D499E">
        <w:rPr>
          <w:bCs/>
          <w:sz w:val="24"/>
        </w:rPr>
        <w:t>Noteikumi par piesārņojošas darbības izraisītu smaku</w:t>
      </w:r>
    </w:p>
    <w:p w:rsidR="004D499E" w:rsidRPr="004D499E" w:rsidRDefault="004D499E" w:rsidP="004D499E">
      <w:pPr>
        <w:jc w:val="right"/>
        <w:rPr>
          <w:bCs/>
          <w:sz w:val="24"/>
        </w:rPr>
      </w:pPr>
      <w:r w:rsidRPr="004D499E">
        <w:rPr>
          <w:bCs/>
          <w:sz w:val="24"/>
        </w:rPr>
        <w:t xml:space="preserve"> noteikšanas metodēm, kā arī kārtību, </w:t>
      </w:r>
    </w:p>
    <w:p w:rsidR="004D499E" w:rsidRPr="004D499E" w:rsidRDefault="004D499E" w:rsidP="004D499E">
      <w:pPr>
        <w:jc w:val="right"/>
        <w:rPr>
          <w:bCs/>
          <w:sz w:val="22"/>
          <w:szCs w:val="22"/>
          <w:lang w:eastAsia="lv-LV"/>
        </w:rPr>
      </w:pPr>
      <w:r w:rsidRPr="004D499E">
        <w:rPr>
          <w:bCs/>
          <w:sz w:val="24"/>
        </w:rPr>
        <w:t xml:space="preserve">kādā </w:t>
      </w:r>
      <w:r w:rsidR="00300BEC">
        <w:rPr>
          <w:bCs/>
          <w:sz w:val="24"/>
        </w:rPr>
        <w:t>ierobežo šo smaku izplatīšanos”</w:t>
      </w:r>
      <w:r w:rsidRPr="004D499E">
        <w:rPr>
          <w:bCs/>
          <w:sz w:val="24"/>
        </w:rPr>
        <w:t xml:space="preserve"> </w:t>
      </w:r>
      <w:r w:rsidRPr="004D499E">
        <w:rPr>
          <w:bCs/>
          <w:sz w:val="24"/>
          <w:lang w:eastAsia="lv-LV"/>
        </w:rPr>
        <w:t>anotācijai</w:t>
      </w:r>
    </w:p>
    <w:p w:rsidR="007948A9" w:rsidRPr="007948A9" w:rsidRDefault="007948A9" w:rsidP="007948A9">
      <w:pPr>
        <w:ind w:left="540" w:hanging="540"/>
        <w:jc w:val="right"/>
        <w:rPr>
          <w:sz w:val="24"/>
        </w:rPr>
      </w:pPr>
    </w:p>
    <w:p w:rsidR="007948A9" w:rsidRDefault="007948A9" w:rsidP="006B351F">
      <w:pPr>
        <w:ind w:left="540" w:hanging="540"/>
        <w:jc w:val="center"/>
        <w:rPr>
          <w:b/>
        </w:rPr>
      </w:pPr>
    </w:p>
    <w:p w:rsidR="004D499E" w:rsidRDefault="004D499E" w:rsidP="006B351F">
      <w:pPr>
        <w:ind w:left="540" w:hanging="540"/>
        <w:jc w:val="center"/>
        <w:rPr>
          <w:b/>
        </w:rPr>
      </w:pPr>
    </w:p>
    <w:p w:rsidR="00F9252D" w:rsidRPr="00565A30" w:rsidRDefault="006B351F" w:rsidP="006B351F">
      <w:pPr>
        <w:ind w:left="540" w:hanging="540"/>
        <w:jc w:val="center"/>
        <w:rPr>
          <w:b/>
          <w:sz w:val="24"/>
        </w:rPr>
      </w:pPr>
      <w:r w:rsidRPr="00565A30">
        <w:rPr>
          <w:b/>
          <w:sz w:val="24"/>
        </w:rPr>
        <w:t>Citās E</w:t>
      </w:r>
      <w:r w:rsidR="00444C21">
        <w:rPr>
          <w:b/>
          <w:sz w:val="24"/>
        </w:rPr>
        <w:t xml:space="preserve">iropas </w:t>
      </w:r>
      <w:r w:rsidR="00F9252D" w:rsidRPr="00565A30">
        <w:rPr>
          <w:b/>
          <w:sz w:val="24"/>
        </w:rPr>
        <w:t>valstīs pieņemt</w:t>
      </w:r>
      <w:r w:rsidRPr="00565A30">
        <w:rPr>
          <w:b/>
          <w:sz w:val="24"/>
        </w:rPr>
        <w:t>ie smaku normatīvi</w:t>
      </w:r>
    </w:p>
    <w:p w:rsidR="003D1820" w:rsidRDefault="003D1820" w:rsidP="003D1820">
      <w:pPr>
        <w:jc w:val="center"/>
        <w:rPr>
          <w:b/>
        </w:rPr>
      </w:pPr>
    </w:p>
    <w:p w:rsidR="00F9252D" w:rsidRDefault="00134452" w:rsidP="004D499E">
      <w:pPr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S</w:t>
      </w:r>
      <w:r w:rsidR="00F9252D" w:rsidRPr="00852837">
        <w:rPr>
          <w:color w:val="000000"/>
          <w:sz w:val="24"/>
        </w:rPr>
        <w:t xml:space="preserve">tarp Eiropas valstīm smaku normatīvi nav harmonizēti. Harmonizētas tiek, galvenokārt, divas lietas – smaku mērījumu atskaites un dažādas smaku novērtēšanas metodes. </w:t>
      </w:r>
      <w:r w:rsidR="00223DC0">
        <w:rPr>
          <w:color w:val="000000"/>
          <w:sz w:val="24"/>
        </w:rPr>
        <w:t>Zemāk sniegtajā t</w:t>
      </w:r>
      <w:r w:rsidR="00F9252D" w:rsidRPr="00852837">
        <w:rPr>
          <w:color w:val="000000"/>
          <w:sz w:val="24"/>
        </w:rPr>
        <w:t xml:space="preserve">abulā apkopoti </w:t>
      </w:r>
      <w:proofErr w:type="spellStart"/>
      <w:r w:rsidR="00F9252D" w:rsidRPr="00852837">
        <w:rPr>
          <w:color w:val="000000"/>
          <w:sz w:val="24"/>
        </w:rPr>
        <w:t>mērķlielumi</w:t>
      </w:r>
      <w:proofErr w:type="spellEnd"/>
      <w:r w:rsidR="00F9252D" w:rsidRPr="00852837">
        <w:rPr>
          <w:color w:val="000000"/>
          <w:sz w:val="24"/>
        </w:rPr>
        <w:t xml:space="preserve"> smakām Eiropas valstīs. </w:t>
      </w:r>
    </w:p>
    <w:p w:rsidR="004D499E" w:rsidRPr="004D499E" w:rsidRDefault="004D499E" w:rsidP="004D499E">
      <w:pPr>
        <w:jc w:val="both"/>
        <w:rPr>
          <w:color w:val="000000"/>
          <w:sz w:val="24"/>
        </w:rPr>
      </w:pPr>
    </w:p>
    <w:tbl>
      <w:tblPr>
        <w:tblW w:w="9420" w:type="dxa"/>
        <w:tblInd w:w="-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620"/>
        <w:gridCol w:w="7800"/>
      </w:tblGrid>
      <w:tr w:rsidR="00F9252D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pct20" w:color="auto" w:fill="auto"/>
          </w:tcPr>
          <w:p w:rsidR="00F9252D" w:rsidRPr="00B96762" w:rsidRDefault="00F9252D" w:rsidP="006A48E1">
            <w:pPr>
              <w:spacing w:line="270" w:lineRule="atLeast"/>
              <w:jc w:val="center"/>
              <w:rPr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>Valsts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pct20" w:color="auto" w:fill="auto"/>
          </w:tcPr>
          <w:p w:rsidR="00F9252D" w:rsidRPr="00B96762" w:rsidRDefault="00F9252D" w:rsidP="006A48E1">
            <w:pPr>
              <w:spacing w:line="270" w:lineRule="atLeast"/>
              <w:jc w:val="center"/>
              <w:rPr>
                <w:color w:val="000000"/>
                <w:sz w:val="24"/>
              </w:rPr>
            </w:pPr>
            <w:proofErr w:type="spellStart"/>
            <w:r w:rsidRPr="00B96762">
              <w:rPr>
                <w:b/>
                <w:color w:val="000000"/>
                <w:sz w:val="24"/>
              </w:rPr>
              <w:t>Mērķlielums</w:t>
            </w:r>
            <w:proofErr w:type="spellEnd"/>
            <w:r w:rsidRPr="00B96762">
              <w:rPr>
                <w:b/>
                <w:color w:val="000000"/>
                <w:sz w:val="24"/>
              </w:rPr>
              <w:t xml:space="preserve"> un apraksts</w:t>
            </w:r>
          </w:p>
        </w:tc>
      </w:tr>
      <w:tr w:rsidR="007424D9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424D9" w:rsidRPr="00B96762" w:rsidRDefault="007424D9" w:rsidP="006A48E1">
            <w:pPr>
              <w:spacing w:line="27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Zviedrija, Spānija, Islande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424D9" w:rsidRPr="00B96762" w:rsidRDefault="007424D9" w:rsidP="006A48E1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 xml:space="preserve">Nav </w:t>
            </w:r>
            <w:proofErr w:type="spellStart"/>
            <w:r w:rsidRPr="00B96762">
              <w:rPr>
                <w:color w:val="000000"/>
                <w:sz w:val="24"/>
              </w:rPr>
              <w:t>mērķlielumu</w:t>
            </w:r>
            <w:proofErr w:type="spellEnd"/>
          </w:p>
        </w:tc>
      </w:tr>
      <w:tr w:rsidR="00F9252D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b/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 xml:space="preserve">Beļģija 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7424D9" w:rsidP="006A48E1">
            <w:pPr>
              <w:spacing w:line="270" w:lineRule="atLeast"/>
              <w:rPr>
                <w:color w:val="000000"/>
                <w:sz w:val="24"/>
              </w:rPr>
            </w:pPr>
            <w:r w:rsidRPr="007424D9">
              <w:rPr>
                <w:color w:val="000000"/>
                <w:sz w:val="24"/>
              </w:rPr>
              <w:t xml:space="preserve">Nav </w:t>
            </w:r>
            <w:proofErr w:type="spellStart"/>
            <w:r w:rsidRPr="007424D9">
              <w:rPr>
                <w:color w:val="000000"/>
                <w:sz w:val="24"/>
              </w:rPr>
              <w:t>mērķlieluma</w:t>
            </w:r>
            <w:proofErr w:type="spellEnd"/>
            <w:r w:rsidRPr="007424D9">
              <w:rPr>
                <w:color w:val="000000"/>
                <w:sz w:val="24"/>
              </w:rPr>
              <w:t>, bet valsts līmenī noteikts, ka jāsamazina smaku traucējumiem pakļauto iedzīvotāju skaits līdz 12% no kopējā valsts iedzīvotāju skaita</w:t>
            </w:r>
          </w:p>
        </w:tc>
      </w:tr>
      <w:tr w:rsidR="00F9252D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b/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>Dānija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424D9" w:rsidRDefault="007424D9" w:rsidP="007424D9">
            <w:pPr>
              <w:spacing w:line="27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Jāievēro 500 </w:t>
            </w:r>
            <w:r w:rsidR="00F9252D" w:rsidRPr="00B96762">
              <w:rPr>
                <w:color w:val="000000"/>
                <w:sz w:val="24"/>
              </w:rPr>
              <w:t>m attālums līdz tuvāk</w:t>
            </w:r>
            <w:r w:rsidR="003356B1" w:rsidRPr="00B96762">
              <w:rPr>
                <w:color w:val="000000"/>
                <w:sz w:val="24"/>
              </w:rPr>
              <w:t>aj</w:t>
            </w:r>
            <w:r>
              <w:rPr>
                <w:color w:val="000000"/>
                <w:sz w:val="24"/>
              </w:rPr>
              <w:t xml:space="preserve">iem kaimiņiem, </w:t>
            </w:r>
          </w:p>
          <w:p w:rsidR="007424D9" w:rsidRDefault="007424D9" w:rsidP="007424D9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>•</w:t>
            </w:r>
            <w:r>
              <w:rPr>
                <w:color w:val="000000"/>
                <w:sz w:val="24"/>
              </w:rPr>
              <w:t xml:space="preserve"> </w:t>
            </w:r>
            <w:r w:rsidR="00F9252D" w:rsidRPr="00B96762">
              <w:rPr>
                <w:color w:val="000000"/>
                <w:sz w:val="24"/>
              </w:rPr>
              <w:t xml:space="preserve">5 </w:t>
            </w:r>
            <w:r>
              <w:rPr>
                <w:color w:val="000000"/>
                <w:sz w:val="24"/>
              </w:rPr>
              <w:t>līdz</w:t>
            </w:r>
            <w:r w:rsidR="00F9252D" w:rsidRPr="00B96762">
              <w:rPr>
                <w:color w:val="000000"/>
                <w:sz w:val="24"/>
              </w:rPr>
              <w:t xml:space="preserve"> 10 OU</w:t>
            </w:r>
            <w:r w:rsidR="00F9252D" w:rsidRPr="00B96762">
              <w:rPr>
                <w:color w:val="000000"/>
                <w:sz w:val="24"/>
                <w:vertAlign w:val="subscript"/>
              </w:rPr>
              <w:t>E</w:t>
            </w:r>
            <w:r w:rsidR="00F9252D" w:rsidRPr="00B96762">
              <w:rPr>
                <w:color w:val="000000"/>
                <w:sz w:val="24"/>
              </w:rPr>
              <w:t xml:space="preserve"> /m³ tuvāko kaimiņu teritorijā</w:t>
            </w:r>
            <w:r>
              <w:rPr>
                <w:color w:val="000000"/>
                <w:sz w:val="24"/>
              </w:rPr>
              <w:t xml:space="preserve">, </w:t>
            </w:r>
          </w:p>
          <w:p w:rsidR="00F9252D" w:rsidRPr="00B96762" w:rsidRDefault="007424D9" w:rsidP="006A48E1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>•</w:t>
            </w:r>
            <w:r>
              <w:rPr>
                <w:color w:val="000000"/>
                <w:sz w:val="24"/>
              </w:rPr>
              <w:t xml:space="preserve"> </w:t>
            </w:r>
            <w:r w:rsidR="00E73124" w:rsidRPr="007424D9">
              <w:rPr>
                <w:color w:val="000000"/>
                <w:sz w:val="24"/>
              </w:rPr>
              <w:t xml:space="preserve">1 OUE /m³ - apdzīvotajās vietās; </w:t>
            </w:r>
          </w:p>
        </w:tc>
      </w:tr>
      <w:tr w:rsidR="00F9252D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b/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>Vācija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595E7F">
            <w:pPr>
              <w:spacing w:line="270" w:lineRule="atLeast"/>
              <w:jc w:val="both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>Biežums 10% (atļautais procentuālais stundu skaits gadā, kad drīkst būt ievērojami smaku traucējumi) apdzīvotās teritorijās. Rūpnieciskās teritorijās - 15%. Par smaku stundu tiek pieņemta jebkura stunda, kad smakas perio</w:t>
            </w:r>
            <w:r w:rsidR="00337F6D" w:rsidRPr="00B96762">
              <w:rPr>
                <w:color w:val="000000"/>
                <w:sz w:val="24"/>
              </w:rPr>
              <w:t xml:space="preserve">ds bijis 6 minūtes (Federālais </w:t>
            </w:r>
            <w:r w:rsidRPr="00B96762">
              <w:rPr>
                <w:color w:val="000000"/>
                <w:sz w:val="24"/>
              </w:rPr>
              <w:t xml:space="preserve">Standarts) </w:t>
            </w:r>
          </w:p>
        </w:tc>
      </w:tr>
      <w:tr w:rsidR="00F9252D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b/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 xml:space="preserve">Īrija 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 xml:space="preserve">Uz </w:t>
            </w:r>
            <w:proofErr w:type="spellStart"/>
            <w:r w:rsidRPr="00B96762">
              <w:rPr>
                <w:color w:val="000000"/>
                <w:sz w:val="24"/>
              </w:rPr>
              <w:t>olfaktometriju</w:t>
            </w:r>
            <w:proofErr w:type="spellEnd"/>
            <w:r w:rsidRPr="00B96762">
              <w:rPr>
                <w:color w:val="000000"/>
                <w:sz w:val="24"/>
              </w:rPr>
              <w:t xml:space="preserve"> balstīti </w:t>
            </w:r>
            <w:proofErr w:type="spellStart"/>
            <w:r w:rsidRPr="00B96762">
              <w:rPr>
                <w:color w:val="000000"/>
                <w:sz w:val="24"/>
              </w:rPr>
              <w:t>mērķlielumi</w:t>
            </w:r>
            <w:proofErr w:type="spellEnd"/>
            <w:r w:rsidR="00617EE5">
              <w:rPr>
                <w:color w:val="000000"/>
                <w:sz w:val="24"/>
              </w:rPr>
              <w:t>:</w:t>
            </w:r>
            <w:r w:rsidRPr="00B96762">
              <w:rPr>
                <w:color w:val="000000"/>
                <w:sz w:val="24"/>
              </w:rPr>
              <w:t xml:space="preserve"> </w:t>
            </w:r>
            <w:r w:rsidRPr="00B96762">
              <w:rPr>
                <w:color w:val="000000"/>
                <w:sz w:val="24"/>
              </w:rPr>
              <w:br/>
              <w:t>• 3 OU</w:t>
            </w:r>
            <w:r w:rsidRPr="00B96762">
              <w:rPr>
                <w:color w:val="000000"/>
                <w:sz w:val="24"/>
                <w:vertAlign w:val="subscript"/>
              </w:rPr>
              <w:t>E</w:t>
            </w:r>
            <w:r w:rsidRPr="00B96762">
              <w:rPr>
                <w:color w:val="000000"/>
                <w:sz w:val="24"/>
              </w:rPr>
              <w:t xml:space="preserve"> /m³ </w:t>
            </w:r>
            <w:proofErr w:type="spellStart"/>
            <w:r w:rsidRPr="00B96762">
              <w:rPr>
                <w:color w:val="000000"/>
                <w:sz w:val="24"/>
              </w:rPr>
              <w:t>ķā</w:t>
            </w:r>
            <w:proofErr w:type="spellEnd"/>
            <w:r w:rsidRPr="00B96762">
              <w:rPr>
                <w:color w:val="000000"/>
                <w:sz w:val="24"/>
              </w:rPr>
              <w:t xml:space="preserve"> 98 procentile jauniem uzņēmumiem</w:t>
            </w:r>
            <w:r w:rsidR="00617EE5">
              <w:rPr>
                <w:color w:val="000000"/>
                <w:sz w:val="24"/>
              </w:rPr>
              <w:t>;</w:t>
            </w:r>
            <w:r w:rsidRPr="00B96762">
              <w:rPr>
                <w:color w:val="000000"/>
                <w:sz w:val="24"/>
              </w:rPr>
              <w:t xml:space="preserve"> </w:t>
            </w:r>
            <w:r w:rsidRPr="00B96762">
              <w:rPr>
                <w:color w:val="000000"/>
                <w:sz w:val="24"/>
              </w:rPr>
              <w:br/>
              <w:t>• 6 OU</w:t>
            </w:r>
            <w:r w:rsidRPr="00B96762">
              <w:rPr>
                <w:color w:val="000000"/>
                <w:sz w:val="24"/>
                <w:vertAlign w:val="subscript"/>
              </w:rPr>
              <w:t>E</w:t>
            </w:r>
            <w:r w:rsidRPr="00B96762">
              <w:rPr>
                <w:color w:val="000000"/>
                <w:sz w:val="24"/>
              </w:rPr>
              <w:t xml:space="preserve"> /m³ kā 98 procentile eksistējošiem uzņēmumiem</w:t>
            </w:r>
            <w:r w:rsidR="00617EE5">
              <w:rPr>
                <w:color w:val="000000"/>
                <w:sz w:val="24"/>
              </w:rPr>
              <w:t>.</w:t>
            </w:r>
          </w:p>
        </w:tc>
      </w:tr>
      <w:tr w:rsidR="00F9252D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b/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 xml:space="preserve">Itālija 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 xml:space="preserve">Dažādi regulējošie noteikumi ķīmiskajām vielām: </w:t>
            </w:r>
            <w:r w:rsidRPr="00B96762">
              <w:rPr>
                <w:color w:val="000000"/>
                <w:sz w:val="24"/>
              </w:rPr>
              <w:br/>
              <w:t xml:space="preserve">• ķīmisko vielu noteikšana, ieskaitot </w:t>
            </w:r>
            <w:proofErr w:type="spellStart"/>
            <w:r w:rsidRPr="00B96762">
              <w:rPr>
                <w:color w:val="000000"/>
                <w:sz w:val="24"/>
              </w:rPr>
              <w:t>metilmerkaptānu</w:t>
            </w:r>
            <w:proofErr w:type="spellEnd"/>
            <w:r w:rsidRPr="00B96762">
              <w:rPr>
                <w:color w:val="000000"/>
                <w:sz w:val="24"/>
              </w:rPr>
              <w:t xml:space="preserve"> </w:t>
            </w:r>
            <w:r w:rsidRPr="00B96762">
              <w:rPr>
                <w:color w:val="000000"/>
                <w:sz w:val="24"/>
              </w:rPr>
              <w:br/>
              <w:t xml:space="preserve">• </w:t>
            </w:r>
            <w:r w:rsidR="00982EF7">
              <w:rPr>
                <w:color w:val="000000"/>
                <w:sz w:val="24"/>
              </w:rPr>
              <w:t>i</w:t>
            </w:r>
            <w:r w:rsidRPr="00B96762">
              <w:rPr>
                <w:color w:val="000000"/>
                <w:sz w:val="24"/>
              </w:rPr>
              <w:t xml:space="preserve">ntensīvi smakojošu procesu noslēgšana tvertnēs </w:t>
            </w:r>
            <w:r w:rsidRPr="00B96762">
              <w:rPr>
                <w:color w:val="000000"/>
                <w:sz w:val="24"/>
              </w:rPr>
              <w:br/>
              <w:t xml:space="preserve">• </w:t>
            </w:r>
            <w:proofErr w:type="spellStart"/>
            <w:r w:rsidR="00982EF7">
              <w:rPr>
                <w:color w:val="000000"/>
                <w:sz w:val="24"/>
              </w:rPr>
              <w:t>o</w:t>
            </w:r>
            <w:r w:rsidRPr="00B96762">
              <w:rPr>
                <w:color w:val="000000"/>
                <w:sz w:val="24"/>
              </w:rPr>
              <w:t>lfaktometrija</w:t>
            </w:r>
            <w:proofErr w:type="spellEnd"/>
          </w:p>
          <w:p w:rsidR="00F9252D" w:rsidRPr="00B96762" w:rsidRDefault="00F9252D" w:rsidP="00982EF7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 xml:space="preserve">• </w:t>
            </w:r>
            <w:proofErr w:type="spellStart"/>
            <w:r w:rsidR="00982EF7">
              <w:rPr>
                <w:color w:val="000000"/>
                <w:sz w:val="24"/>
              </w:rPr>
              <w:t>b</w:t>
            </w:r>
            <w:r w:rsidRPr="00B96762">
              <w:rPr>
                <w:color w:val="000000"/>
                <w:sz w:val="24"/>
              </w:rPr>
              <w:t>iofiltru</w:t>
            </w:r>
            <w:proofErr w:type="spellEnd"/>
            <w:r w:rsidRPr="00B96762">
              <w:rPr>
                <w:color w:val="000000"/>
                <w:sz w:val="24"/>
              </w:rPr>
              <w:t xml:space="preserve"> dažādi pielietojumi </w:t>
            </w:r>
          </w:p>
        </w:tc>
      </w:tr>
      <w:tr w:rsidR="00F9252D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b/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>Norvēģija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>5 līdz 10 OU</w:t>
            </w:r>
            <w:r w:rsidRPr="00B96762">
              <w:rPr>
                <w:color w:val="000000"/>
                <w:sz w:val="24"/>
                <w:vertAlign w:val="subscript"/>
              </w:rPr>
              <w:t>E</w:t>
            </w:r>
            <w:r w:rsidRPr="00B96762">
              <w:rPr>
                <w:color w:val="000000"/>
                <w:sz w:val="24"/>
              </w:rPr>
              <w:t xml:space="preserve"> /m³ tuvāko kaimiņu teritorijā </w:t>
            </w:r>
          </w:p>
        </w:tc>
      </w:tr>
      <w:tr w:rsidR="00F9252D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6A48E1">
            <w:pPr>
              <w:spacing w:line="270" w:lineRule="atLeast"/>
              <w:rPr>
                <w:b/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 xml:space="preserve">Anglija 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252D" w:rsidRPr="00B96762" w:rsidRDefault="00F9252D" w:rsidP="00982EF7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 xml:space="preserve">Nav </w:t>
            </w:r>
            <w:proofErr w:type="spellStart"/>
            <w:r w:rsidRPr="00B96762">
              <w:rPr>
                <w:color w:val="000000"/>
                <w:sz w:val="24"/>
              </w:rPr>
              <w:t>mērķlielumu</w:t>
            </w:r>
            <w:proofErr w:type="spellEnd"/>
            <w:r w:rsidR="007424D9">
              <w:rPr>
                <w:color w:val="000000"/>
                <w:sz w:val="24"/>
              </w:rPr>
              <w:t xml:space="preserve">, lieto sekojošus kritērijus: </w:t>
            </w:r>
            <w:r w:rsidRPr="00B96762">
              <w:rPr>
                <w:color w:val="000000"/>
                <w:sz w:val="24"/>
              </w:rPr>
              <w:br/>
              <w:t xml:space="preserve">• </w:t>
            </w:r>
            <w:r w:rsidR="00982EF7">
              <w:rPr>
                <w:color w:val="000000"/>
                <w:sz w:val="24"/>
              </w:rPr>
              <w:t>n</w:t>
            </w:r>
            <w:r w:rsidRPr="00B96762">
              <w:rPr>
                <w:color w:val="000000"/>
                <w:sz w:val="24"/>
              </w:rPr>
              <w:t xml:space="preserve">edrīkst būt smaka aiz uzņēmuma robežas </w:t>
            </w:r>
            <w:r w:rsidRPr="00B96762">
              <w:rPr>
                <w:color w:val="000000"/>
                <w:sz w:val="24"/>
              </w:rPr>
              <w:br/>
              <w:t>• 6 OU</w:t>
            </w:r>
            <w:r w:rsidRPr="00B96762">
              <w:rPr>
                <w:color w:val="000000"/>
                <w:sz w:val="24"/>
                <w:vertAlign w:val="subscript"/>
              </w:rPr>
              <w:t>E</w:t>
            </w:r>
            <w:r w:rsidRPr="00B96762">
              <w:rPr>
                <w:color w:val="000000"/>
                <w:sz w:val="24"/>
              </w:rPr>
              <w:t xml:space="preserve"> /m³ kā 98 procentile eksistējošiem uzņēmumiem. </w:t>
            </w:r>
          </w:p>
        </w:tc>
      </w:tr>
      <w:tr w:rsidR="007424D9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424D9" w:rsidRPr="00B96762" w:rsidRDefault="007424D9" w:rsidP="00D56586">
            <w:pPr>
              <w:spacing w:line="270" w:lineRule="atLeast"/>
              <w:rPr>
                <w:b/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>Nīderlande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424D9" w:rsidRPr="00B96762" w:rsidRDefault="007424D9" w:rsidP="00D56586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>• apdzīvotajās vietās – 2 - 3 OU</w:t>
            </w:r>
            <w:r w:rsidRPr="007424D9">
              <w:rPr>
                <w:color w:val="000000"/>
                <w:sz w:val="24"/>
              </w:rPr>
              <w:t>E</w:t>
            </w:r>
            <w:r w:rsidRPr="00B96762">
              <w:rPr>
                <w:color w:val="000000"/>
                <w:sz w:val="24"/>
              </w:rPr>
              <w:t xml:space="preserve"> /m³ kā 98 procentile</w:t>
            </w:r>
          </w:p>
          <w:p w:rsidR="007424D9" w:rsidRPr="00B96762" w:rsidRDefault="007424D9" w:rsidP="00D56586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>• ārpus apdzīvotajām vietām – 8-14 OU</w:t>
            </w:r>
            <w:r w:rsidRPr="007424D9">
              <w:rPr>
                <w:color w:val="000000"/>
                <w:sz w:val="24"/>
              </w:rPr>
              <w:t>E</w:t>
            </w:r>
            <w:r w:rsidRPr="00B96762">
              <w:rPr>
                <w:color w:val="000000"/>
                <w:sz w:val="24"/>
              </w:rPr>
              <w:t xml:space="preserve"> /m³ kā 98 procentile   </w:t>
            </w:r>
          </w:p>
        </w:tc>
      </w:tr>
      <w:tr w:rsidR="007424D9" w:rsidRPr="00B96762" w:rsidTr="00CF36C6"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424D9" w:rsidRPr="00B96762" w:rsidRDefault="007424D9" w:rsidP="00D56586">
            <w:pPr>
              <w:spacing w:line="270" w:lineRule="atLeast"/>
              <w:rPr>
                <w:b/>
                <w:color w:val="000000"/>
                <w:sz w:val="24"/>
              </w:rPr>
            </w:pPr>
            <w:r w:rsidRPr="00B96762">
              <w:rPr>
                <w:b/>
                <w:color w:val="000000"/>
                <w:sz w:val="24"/>
              </w:rPr>
              <w:t>Francija</w:t>
            </w:r>
          </w:p>
        </w:tc>
        <w:tc>
          <w:tcPr>
            <w:tcW w:w="7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424D9" w:rsidRPr="00B96762" w:rsidRDefault="007424D9" w:rsidP="00D56586">
            <w:pPr>
              <w:spacing w:line="270" w:lineRule="atLeast"/>
              <w:rPr>
                <w:color w:val="000000"/>
                <w:sz w:val="24"/>
              </w:rPr>
            </w:pPr>
            <w:r w:rsidRPr="00B96762">
              <w:rPr>
                <w:color w:val="000000"/>
                <w:sz w:val="24"/>
              </w:rPr>
              <w:t>• apdzīvotās vietās - 5 OU</w:t>
            </w:r>
            <w:r w:rsidRPr="007424D9">
              <w:rPr>
                <w:color w:val="000000"/>
                <w:sz w:val="24"/>
              </w:rPr>
              <w:t>E</w:t>
            </w:r>
            <w:r w:rsidRPr="00B96762">
              <w:rPr>
                <w:color w:val="000000"/>
                <w:sz w:val="24"/>
              </w:rPr>
              <w:t xml:space="preserve"> /m³, nedrīkst pārsniegt vairāk kā 175 stundas gada laikā esošām iekārtām un 44 stundas gada laikā jaunām iekārtām.</w:t>
            </w:r>
          </w:p>
        </w:tc>
      </w:tr>
    </w:tbl>
    <w:p w:rsidR="00090C81" w:rsidRDefault="00090C81" w:rsidP="00D64FE9"/>
    <w:p w:rsidR="00F14047" w:rsidRDefault="00F14047" w:rsidP="00D64FE9"/>
    <w:p w:rsidR="00072220" w:rsidRPr="00565A30" w:rsidRDefault="00134452" w:rsidP="00D64FE9">
      <w:pPr>
        <w:rPr>
          <w:b/>
          <w:sz w:val="20"/>
          <w:szCs w:val="20"/>
        </w:rPr>
      </w:pPr>
      <w:r w:rsidRPr="00565A30">
        <w:rPr>
          <w:b/>
          <w:sz w:val="20"/>
          <w:szCs w:val="20"/>
        </w:rPr>
        <w:t xml:space="preserve">Informācijas </w:t>
      </w:r>
      <w:r w:rsidR="00072220" w:rsidRPr="00565A30">
        <w:rPr>
          <w:b/>
          <w:sz w:val="20"/>
          <w:szCs w:val="20"/>
        </w:rPr>
        <w:t>sagatavota balstoties uz šādiem literatūras avotiem</w:t>
      </w:r>
      <w:r w:rsidRPr="00565A30">
        <w:rPr>
          <w:b/>
          <w:sz w:val="20"/>
          <w:szCs w:val="20"/>
        </w:rPr>
        <w:t xml:space="preserve">: </w:t>
      </w:r>
    </w:p>
    <w:p w:rsidR="00134452" w:rsidRPr="00565A30" w:rsidRDefault="001B69F8" w:rsidP="000722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 w:rsidR="00072220" w:rsidRPr="00565A30">
        <w:rPr>
          <w:sz w:val="20"/>
          <w:szCs w:val="20"/>
        </w:rPr>
        <w:t>Marghrete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Bongers</w:t>
      </w:r>
      <w:proofErr w:type="spellEnd"/>
      <w:r w:rsidR="00072220" w:rsidRPr="00565A30">
        <w:rPr>
          <w:sz w:val="20"/>
          <w:szCs w:val="20"/>
        </w:rPr>
        <w:t xml:space="preserve">. </w:t>
      </w:r>
      <w:proofErr w:type="spellStart"/>
      <w:r w:rsidR="00072220" w:rsidRPr="00565A30">
        <w:rPr>
          <w:sz w:val="20"/>
          <w:szCs w:val="20"/>
        </w:rPr>
        <w:t>Recent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developments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in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odour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nuisance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policy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from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livestock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farming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in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the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Netherlands</w:t>
      </w:r>
      <w:proofErr w:type="spellEnd"/>
      <w:r w:rsidR="00072220" w:rsidRPr="00565A30">
        <w:rPr>
          <w:sz w:val="20"/>
          <w:szCs w:val="20"/>
        </w:rPr>
        <w:t>.</w:t>
      </w:r>
      <w:r w:rsidR="00223DC0" w:rsidRPr="00565A30">
        <w:rPr>
          <w:sz w:val="20"/>
          <w:szCs w:val="20"/>
        </w:rPr>
        <w:t xml:space="preserve"> </w:t>
      </w:r>
    </w:p>
    <w:p w:rsidR="007424D9" w:rsidRPr="007424D9" w:rsidRDefault="001B69F8" w:rsidP="007424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072220" w:rsidRPr="00565A30">
        <w:rPr>
          <w:sz w:val="20"/>
          <w:szCs w:val="20"/>
        </w:rPr>
        <w:t xml:space="preserve">Christian </w:t>
      </w:r>
      <w:proofErr w:type="spellStart"/>
      <w:r w:rsidR="00072220" w:rsidRPr="00565A30">
        <w:rPr>
          <w:sz w:val="20"/>
          <w:szCs w:val="20"/>
        </w:rPr>
        <w:t>Rognon</w:t>
      </w:r>
      <w:proofErr w:type="spellEnd"/>
      <w:r w:rsidR="00072220" w:rsidRPr="00565A30">
        <w:rPr>
          <w:sz w:val="20"/>
          <w:szCs w:val="20"/>
        </w:rPr>
        <w:t xml:space="preserve">, </w:t>
      </w:r>
      <w:proofErr w:type="spellStart"/>
      <w:r w:rsidR="00072220" w:rsidRPr="00565A30">
        <w:rPr>
          <w:sz w:val="20"/>
          <w:szCs w:val="20"/>
        </w:rPr>
        <w:t>Lionel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Pourtier</w:t>
      </w:r>
      <w:proofErr w:type="spellEnd"/>
      <w:r w:rsidR="00072220" w:rsidRPr="00565A30">
        <w:rPr>
          <w:sz w:val="20"/>
          <w:szCs w:val="20"/>
        </w:rPr>
        <w:t xml:space="preserve">. </w:t>
      </w:r>
      <w:proofErr w:type="spellStart"/>
      <w:r w:rsidR="00072220" w:rsidRPr="00565A30">
        <w:rPr>
          <w:sz w:val="20"/>
          <w:szCs w:val="20"/>
        </w:rPr>
        <w:t>French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regulations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for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odour</w:t>
      </w:r>
      <w:proofErr w:type="spellEnd"/>
      <w:r w:rsidR="00072220" w:rsidRPr="00565A30">
        <w:rPr>
          <w:sz w:val="20"/>
          <w:szCs w:val="20"/>
        </w:rPr>
        <w:t xml:space="preserve"> </w:t>
      </w:r>
      <w:proofErr w:type="spellStart"/>
      <w:r w:rsidR="00072220" w:rsidRPr="00565A30">
        <w:rPr>
          <w:sz w:val="20"/>
          <w:szCs w:val="20"/>
        </w:rPr>
        <w:t>emi</w:t>
      </w:r>
      <w:r w:rsidR="00565A30">
        <w:rPr>
          <w:sz w:val="20"/>
          <w:szCs w:val="20"/>
        </w:rPr>
        <w:t>ssions</w:t>
      </w:r>
      <w:proofErr w:type="spellEnd"/>
      <w:r w:rsidR="00565A30">
        <w:rPr>
          <w:sz w:val="20"/>
          <w:szCs w:val="20"/>
        </w:rPr>
        <w:t xml:space="preserve"> </w:t>
      </w:r>
      <w:proofErr w:type="spellStart"/>
      <w:r w:rsidR="00565A30">
        <w:rPr>
          <w:sz w:val="20"/>
          <w:szCs w:val="20"/>
        </w:rPr>
        <w:t>and</w:t>
      </w:r>
      <w:proofErr w:type="spellEnd"/>
      <w:r w:rsidR="00565A30">
        <w:rPr>
          <w:sz w:val="20"/>
          <w:szCs w:val="20"/>
        </w:rPr>
        <w:t xml:space="preserve"> </w:t>
      </w:r>
      <w:proofErr w:type="spellStart"/>
      <w:r w:rsidR="00565A30">
        <w:rPr>
          <w:sz w:val="20"/>
          <w:szCs w:val="20"/>
        </w:rPr>
        <w:t>olfactory</w:t>
      </w:r>
      <w:proofErr w:type="spellEnd"/>
      <w:r w:rsidR="00565A30">
        <w:rPr>
          <w:sz w:val="20"/>
          <w:szCs w:val="20"/>
        </w:rPr>
        <w:t xml:space="preserve"> </w:t>
      </w:r>
      <w:proofErr w:type="spellStart"/>
      <w:r w:rsidR="00565A30">
        <w:rPr>
          <w:sz w:val="20"/>
          <w:szCs w:val="20"/>
        </w:rPr>
        <w:t>annoyances</w:t>
      </w:r>
      <w:proofErr w:type="spellEnd"/>
      <w:r w:rsidR="00565A30">
        <w:rPr>
          <w:sz w:val="20"/>
          <w:szCs w:val="20"/>
        </w:rPr>
        <w:t>.</w:t>
      </w:r>
    </w:p>
    <w:p w:rsidR="007424D9" w:rsidRDefault="001B69F8" w:rsidP="007424D9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3) </w:t>
      </w:r>
      <w:r w:rsidR="007424D9" w:rsidRPr="00565A30">
        <w:rPr>
          <w:b w:val="0"/>
          <w:sz w:val="20"/>
          <w:szCs w:val="20"/>
        </w:rPr>
        <w:t>Veiktā projekta „Normatīvo aktu izstrāde smaku ierobežošanai” atskaite par otro etapu. Rīga, 2003.gada 10.decembris. Latvijas Universitātes Cietvielu fizikas institūts.</w:t>
      </w:r>
    </w:p>
    <w:p w:rsidR="001B69F8" w:rsidRPr="00565A30" w:rsidRDefault="001B69F8" w:rsidP="007424D9">
      <w:pPr>
        <w:pStyle w:val="Title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 xml:space="preserve">4) Anna </w:t>
      </w:r>
      <w:proofErr w:type="spellStart"/>
      <w:r>
        <w:rPr>
          <w:b w:val="0"/>
          <w:sz w:val="20"/>
          <w:szCs w:val="20"/>
        </w:rPr>
        <w:t>H.Bokowa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Review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of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odour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legislation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Canada</w:t>
      </w:r>
      <w:proofErr w:type="spellEnd"/>
      <w:r>
        <w:rPr>
          <w:b w:val="0"/>
          <w:sz w:val="20"/>
          <w:szCs w:val="20"/>
        </w:rPr>
        <w:t>, 2010.</w:t>
      </w:r>
    </w:p>
    <w:p w:rsidR="00B52990" w:rsidRDefault="00B52990">
      <w:pPr>
        <w:spacing w:after="200" w:line="276" w:lineRule="auto"/>
      </w:pPr>
    </w:p>
    <w:p w:rsidR="00B52990" w:rsidRDefault="00B52990" w:rsidP="00615EF6">
      <w:pPr>
        <w:tabs>
          <w:tab w:val="left" w:pos="0"/>
        </w:tabs>
        <w:jc w:val="both"/>
        <w:rPr>
          <w:bCs/>
        </w:rPr>
      </w:pPr>
    </w:p>
    <w:p w:rsidR="00B52990" w:rsidRDefault="00B52990" w:rsidP="00B52990">
      <w:pPr>
        <w:pStyle w:val="naisf"/>
        <w:spacing w:before="0" w:after="0"/>
        <w:rPr>
          <w:bCs/>
        </w:rPr>
      </w:pPr>
    </w:p>
    <w:p w:rsidR="00B52990" w:rsidRPr="00AF362C" w:rsidRDefault="00B52990" w:rsidP="00B52990">
      <w:pPr>
        <w:pStyle w:val="naisf"/>
        <w:spacing w:before="0" w:after="0"/>
        <w:rPr>
          <w:bCs/>
          <w:sz w:val="22"/>
          <w:szCs w:val="22"/>
        </w:rPr>
      </w:pPr>
    </w:p>
    <w:p w:rsidR="00B52990" w:rsidRPr="00AF362C" w:rsidRDefault="00444C21" w:rsidP="00B52990">
      <w:pPr>
        <w:pStyle w:val="naisf"/>
        <w:spacing w:before="0" w:after="0"/>
        <w:ind w:firstLine="0"/>
        <w:rPr>
          <w:sz w:val="22"/>
          <w:szCs w:val="22"/>
        </w:rPr>
      </w:pPr>
      <w:r w:rsidRPr="00AF362C">
        <w:rPr>
          <w:sz w:val="22"/>
          <w:szCs w:val="22"/>
        </w:rPr>
        <w:t>17</w:t>
      </w:r>
      <w:r w:rsidR="00B52990" w:rsidRPr="00AF362C">
        <w:rPr>
          <w:sz w:val="22"/>
          <w:szCs w:val="22"/>
        </w:rPr>
        <w:t>.0</w:t>
      </w:r>
      <w:r w:rsidRPr="00AF362C">
        <w:rPr>
          <w:sz w:val="22"/>
          <w:szCs w:val="22"/>
        </w:rPr>
        <w:t>3</w:t>
      </w:r>
      <w:r w:rsidR="00B52990" w:rsidRPr="00AF362C">
        <w:rPr>
          <w:sz w:val="22"/>
          <w:szCs w:val="22"/>
        </w:rPr>
        <w:t xml:space="preserve">.2014 </w:t>
      </w:r>
      <w:r w:rsidR="00B52990" w:rsidRPr="00AF362C">
        <w:rPr>
          <w:sz w:val="22"/>
          <w:szCs w:val="22"/>
        </w:rPr>
        <w:tab/>
        <w:t>13:20</w:t>
      </w:r>
    </w:p>
    <w:p w:rsidR="00B52990" w:rsidRPr="00AF362C" w:rsidRDefault="000464F7" w:rsidP="00B52990">
      <w:pPr>
        <w:jc w:val="both"/>
        <w:rPr>
          <w:bCs/>
          <w:sz w:val="22"/>
          <w:szCs w:val="22"/>
        </w:rPr>
      </w:pPr>
      <w:fldSimple w:instr=" NUMWORDS  \* Arabic  \* MERGEFORMAT ">
        <w:r w:rsidR="00AF362C" w:rsidRPr="00AF362C">
          <w:rPr>
            <w:bCs/>
            <w:noProof/>
            <w:sz w:val="22"/>
            <w:szCs w:val="22"/>
          </w:rPr>
          <w:t>340</w:t>
        </w:r>
      </w:fldSimple>
    </w:p>
    <w:p w:rsidR="00B52990" w:rsidRPr="00AF362C" w:rsidRDefault="00B52990" w:rsidP="00B52990">
      <w:pPr>
        <w:jc w:val="both"/>
        <w:rPr>
          <w:sz w:val="22"/>
          <w:szCs w:val="22"/>
        </w:rPr>
      </w:pPr>
      <w:r w:rsidRPr="00AF362C">
        <w:rPr>
          <w:bCs/>
          <w:sz w:val="22"/>
          <w:szCs w:val="22"/>
        </w:rPr>
        <w:t xml:space="preserve">L.Maslova, </w:t>
      </w:r>
      <w:r w:rsidRPr="00AF362C">
        <w:rPr>
          <w:sz w:val="22"/>
          <w:szCs w:val="22"/>
        </w:rPr>
        <w:t>67026586</w:t>
      </w:r>
    </w:p>
    <w:p w:rsidR="00B52990" w:rsidRPr="00AF362C" w:rsidRDefault="000464F7" w:rsidP="00B52990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22"/>
          <w:szCs w:val="22"/>
        </w:rPr>
      </w:pPr>
      <w:hyperlink r:id="rId8" w:history="1">
        <w:r w:rsidR="00B52990" w:rsidRPr="00AF362C">
          <w:rPr>
            <w:rStyle w:val="Hyperlink"/>
            <w:sz w:val="22"/>
            <w:szCs w:val="22"/>
          </w:rPr>
          <w:t>lana.maslova@varam.gov.lv</w:t>
        </w:r>
      </w:hyperlink>
    </w:p>
    <w:p w:rsidR="00B52990" w:rsidRDefault="00B52990" w:rsidP="00B52990">
      <w:pPr>
        <w:pStyle w:val="naisf"/>
        <w:tabs>
          <w:tab w:val="left" w:pos="3283"/>
          <w:tab w:val="left" w:pos="5748"/>
        </w:tabs>
        <w:spacing w:before="0" w:after="0"/>
        <w:ind w:firstLine="0"/>
      </w:pPr>
    </w:p>
    <w:p w:rsidR="00512A11" w:rsidRPr="00B52990" w:rsidRDefault="00512A11" w:rsidP="00B52990"/>
    <w:sectPr w:rsidR="00512A11" w:rsidRPr="00B52990" w:rsidSect="004D499E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AE" w:rsidRDefault="004449AE" w:rsidP="004D499E">
      <w:r>
        <w:separator/>
      </w:r>
    </w:p>
  </w:endnote>
  <w:endnote w:type="continuationSeparator" w:id="0">
    <w:p w:rsidR="004449AE" w:rsidRDefault="004449AE" w:rsidP="004D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9E" w:rsidRPr="004D499E" w:rsidRDefault="004D499E" w:rsidP="004D499E">
    <w:pPr>
      <w:jc w:val="both"/>
      <w:rPr>
        <w:bCs/>
        <w:sz w:val="22"/>
        <w:szCs w:val="22"/>
        <w:lang w:eastAsia="lv-LV"/>
      </w:rPr>
    </w:pPr>
    <w:r w:rsidRPr="004D499E">
      <w:rPr>
        <w:sz w:val="22"/>
        <w:szCs w:val="22"/>
      </w:rPr>
      <w:t>VARAMAnot</w:t>
    </w:r>
    <w:r>
      <w:rPr>
        <w:sz w:val="22"/>
        <w:szCs w:val="22"/>
      </w:rPr>
      <w:t>p</w:t>
    </w:r>
    <w:r w:rsidRPr="004D499E">
      <w:rPr>
        <w:sz w:val="22"/>
        <w:szCs w:val="22"/>
      </w:rPr>
      <w:t xml:space="preserve">_060114_smakas; </w:t>
    </w:r>
    <w:r>
      <w:rPr>
        <w:sz w:val="22"/>
        <w:szCs w:val="22"/>
      </w:rPr>
      <w:t xml:space="preserve">Pielikums </w:t>
    </w:r>
    <w:r w:rsidRPr="004D499E">
      <w:rPr>
        <w:sz w:val="22"/>
        <w:szCs w:val="22"/>
      </w:rPr>
      <w:t>Ministru kabineta noteikumu projekta „</w:t>
    </w:r>
    <w:r w:rsidRPr="004D499E">
      <w:rPr>
        <w:bCs/>
        <w:sz w:val="22"/>
        <w:szCs w:val="22"/>
      </w:rPr>
      <w:t xml:space="preserve">Noteikumi par piesārņojošas darbības izraisītu smaku noteikšanas metodēm, kā arī kārtību, kādā ierobežo šo smaku izplatīšanos”” </w:t>
    </w:r>
    <w:r w:rsidRPr="004D499E">
      <w:rPr>
        <w:bCs/>
        <w:sz w:val="22"/>
        <w:szCs w:val="22"/>
        <w:lang w:eastAsia="lv-LV"/>
      </w:rPr>
      <w:t>anotācija</w:t>
    </w:r>
    <w:r>
      <w:rPr>
        <w:bCs/>
        <w:sz w:val="22"/>
        <w:szCs w:val="22"/>
        <w:lang w:eastAsia="lv-LV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C1" w:rsidRPr="000911C1" w:rsidRDefault="000911C1" w:rsidP="000911C1">
    <w:pPr>
      <w:jc w:val="both"/>
      <w:rPr>
        <w:bCs/>
        <w:sz w:val="22"/>
        <w:szCs w:val="22"/>
        <w:lang w:eastAsia="lv-LV"/>
      </w:rPr>
    </w:pPr>
    <w:r w:rsidRPr="004D499E">
      <w:rPr>
        <w:sz w:val="22"/>
        <w:szCs w:val="22"/>
      </w:rPr>
      <w:t>VARAMAnot</w:t>
    </w:r>
    <w:r>
      <w:rPr>
        <w:sz w:val="22"/>
        <w:szCs w:val="22"/>
      </w:rPr>
      <w:t>p</w:t>
    </w:r>
    <w:r w:rsidRPr="004D499E">
      <w:rPr>
        <w:sz w:val="22"/>
        <w:szCs w:val="22"/>
      </w:rPr>
      <w:t xml:space="preserve">_060114_smakas; </w:t>
    </w:r>
    <w:r>
      <w:rPr>
        <w:sz w:val="22"/>
        <w:szCs w:val="22"/>
      </w:rPr>
      <w:t xml:space="preserve">Pielikums </w:t>
    </w:r>
    <w:r w:rsidRPr="004D499E">
      <w:rPr>
        <w:sz w:val="22"/>
        <w:szCs w:val="22"/>
      </w:rPr>
      <w:t>Ministru kabineta noteikumu projekta „</w:t>
    </w:r>
    <w:r w:rsidRPr="004D499E">
      <w:rPr>
        <w:bCs/>
        <w:sz w:val="22"/>
        <w:szCs w:val="22"/>
      </w:rPr>
      <w:t xml:space="preserve">Noteikumi par piesārņojošas darbības izraisītu smaku noteikšanas metodēm, kā arī kārtību, kādā ierobežo šo smaku izplatīšanos”” </w:t>
    </w:r>
    <w:r w:rsidRPr="004D499E">
      <w:rPr>
        <w:bCs/>
        <w:sz w:val="22"/>
        <w:szCs w:val="22"/>
        <w:lang w:eastAsia="lv-LV"/>
      </w:rPr>
      <w:t>anotācija</w:t>
    </w:r>
    <w:r>
      <w:rPr>
        <w:bCs/>
        <w:sz w:val="22"/>
        <w:szCs w:val="22"/>
        <w:lang w:eastAsia="lv-LV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AE" w:rsidRDefault="004449AE" w:rsidP="004D499E">
      <w:r>
        <w:separator/>
      </w:r>
    </w:p>
  </w:footnote>
  <w:footnote w:type="continuationSeparator" w:id="0">
    <w:p w:rsidR="004449AE" w:rsidRDefault="004449AE" w:rsidP="004D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89"/>
      <w:docPartObj>
        <w:docPartGallery w:val="Page Numbers (Top of Page)"/>
        <w:docPartUnique/>
      </w:docPartObj>
    </w:sdtPr>
    <w:sdtContent>
      <w:p w:rsidR="004D499E" w:rsidRDefault="000464F7" w:rsidP="004D499E">
        <w:pPr>
          <w:pStyle w:val="Header"/>
          <w:jc w:val="center"/>
        </w:pPr>
        <w:r w:rsidRPr="004D499E">
          <w:rPr>
            <w:sz w:val="24"/>
          </w:rPr>
          <w:fldChar w:fldCharType="begin"/>
        </w:r>
        <w:r w:rsidR="004D499E" w:rsidRPr="004D499E">
          <w:rPr>
            <w:sz w:val="24"/>
          </w:rPr>
          <w:instrText xml:space="preserve"> PAGE   \* MERGEFORMAT </w:instrText>
        </w:r>
        <w:r w:rsidRPr="004D499E">
          <w:rPr>
            <w:sz w:val="24"/>
          </w:rPr>
          <w:fldChar w:fldCharType="separate"/>
        </w:r>
        <w:r w:rsidR="00AF362C">
          <w:rPr>
            <w:noProof/>
            <w:sz w:val="24"/>
          </w:rPr>
          <w:t>2</w:t>
        </w:r>
        <w:r w:rsidRPr="004D499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027"/>
    <w:multiLevelType w:val="hybridMultilevel"/>
    <w:tmpl w:val="5FD4A11C"/>
    <w:lvl w:ilvl="0" w:tplc="7428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7AF"/>
    <w:multiLevelType w:val="hybridMultilevel"/>
    <w:tmpl w:val="1C30B40C"/>
    <w:lvl w:ilvl="0" w:tplc="FA6A5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037A0"/>
    <w:multiLevelType w:val="hybridMultilevel"/>
    <w:tmpl w:val="591C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DB2"/>
    <w:multiLevelType w:val="hybridMultilevel"/>
    <w:tmpl w:val="D554A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D5AFB"/>
    <w:multiLevelType w:val="hybridMultilevel"/>
    <w:tmpl w:val="25A48866"/>
    <w:lvl w:ilvl="0" w:tplc="2278C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0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AF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8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A1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5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52D"/>
    <w:rsid w:val="00001E77"/>
    <w:rsid w:val="00024E16"/>
    <w:rsid w:val="000464F7"/>
    <w:rsid w:val="00072220"/>
    <w:rsid w:val="00090C81"/>
    <w:rsid w:val="000911C1"/>
    <w:rsid w:val="0009682D"/>
    <w:rsid w:val="000D7CC1"/>
    <w:rsid w:val="000F7879"/>
    <w:rsid w:val="00134452"/>
    <w:rsid w:val="00165D73"/>
    <w:rsid w:val="0017323B"/>
    <w:rsid w:val="001A0CE1"/>
    <w:rsid w:val="001B69F8"/>
    <w:rsid w:val="001D27CB"/>
    <w:rsid w:val="00223DC0"/>
    <w:rsid w:val="00240A65"/>
    <w:rsid w:val="00294419"/>
    <w:rsid w:val="00300BEC"/>
    <w:rsid w:val="003112CE"/>
    <w:rsid w:val="00313C16"/>
    <w:rsid w:val="00315A4D"/>
    <w:rsid w:val="00323209"/>
    <w:rsid w:val="003356B1"/>
    <w:rsid w:val="00337F6D"/>
    <w:rsid w:val="003462F3"/>
    <w:rsid w:val="00386C3C"/>
    <w:rsid w:val="003A117C"/>
    <w:rsid w:val="003D1820"/>
    <w:rsid w:val="003E39A2"/>
    <w:rsid w:val="003F2B62"/>
    <w:rsid w:val="003F66EC"/>
    <w:rsid w:val="00407E63"/>
    <w:rsid w:val="004449AE"/>
    <w:rsid w:val="00444C21"/>
    <w:rsid w:val="00445CC4"/>
    <w:rsid w:val="00470192"/>
    <w:rsid w:val="0049260F"/>
    <w:rsid w:val="004C07E8"/>
    <w:rsid w:val="004D499E"/>
    <w:rsid w:val="004F2F06"/>
    <w:rsid w:val="00512A11"/>
    <w:rsid w:val="00534ECD"/>
    <w:rsid w:val="00565A30"/>
    <w:rsid w:val="00583834"/>
    <w:rsid w:val="00590875"/>
    <w:rsid w:val="00595E7F"/>
    <w:rsid w:val="00596019"/>
    <w:rsid w:val="005A7E60"/>
    <w:rsid w:val="005B3FCE"/>
    <w:rsid w:val="005C221B"/>
    <w:rsid w:val="005F4D0A"/>
    <w:rsid w:val="00607F5D"/>
    <w:rsid w:val="00615EF6"/>
    <w:rsid w:val="00617EE5"/>
    <w:rsid w:val="00631088"/>
    <w:rsid w:val="00650C02"/>
    <w:rsid w:val="00663109"/>
    <w:rsid w:val="00670B78"/>
    <w:rsid w:val="006B351F"/>
    <w:rsid w:val="007033D1"/>
    <w:rsid w:val="007424D9"/>
    <w:rsid w:val="007948A9"/>
    <w:rsid w:val="007B79E7"/>
    <w:rsid w:val="007F2EA7"/>
    <w:rsid w:val="00846E99"/>
    <w:rsid w:val="00852837"/>
    <w:rsid w:val="0087097F"/>
    <w:rsid w:val="008816CC"/>
    <w:rsid w:val="00915C4A"/>
    <w:rsid w:val="0094561D"/>
    <w:rsid w:val="009611F2"/>
    <w:rsid w:val="00971E5F"/>
    <w:rsid w:val="00982EF7"/>
    <w:rsid w:val="009951DE"/>
    <w:rsid w:val="009C6926"/>
    <w:rsid w:val="00A0019A"/>
    <w:rsid w:val="00A633AC"/>
    <w:rsid w:val="00A66C45"/>
    <w:rsid w:val="00AF362C"/>
    <w:rsid w:val="00B237CF"/>
    <w:rsid w:val="00B364A6"/>
    <w:rsid w:val="00B52990"/>
    <w:rsid w:val="00B904B5"/>
    <w:rsid w:val="00B96762"/>
    <w:rsid w:val="00BE685A"/>
    <w:rsid w:val="00C43FA3"/>
    <w:rsid w:val="00C52F2A"/>
    <w:rsid w:val="00C86DF4"/>
    <w:rsid w:val="00CA4F1D"/>
    <w:rsid w:val="00CC2504"/>
    <w:rsid w:val="00CF36C6"/>
    <w:rsid w:val="00CF509E"/>
    <w:rsid w:val="00D41640"/>
    <w:rsid w:val="00D64FE9"/>
    <w:rsid w:val="00DB3F08"/>
    <w:rsid w:val="00DC25A5"/>
    <w:rsid w:val="00DD3FD8"/>
    <w:rsid w:val="00DD62CE"/>
    <w:rsid w:val="00DF2F1F"/>
    <w:rsid w:val="00E13F3B"/>
    <w:rsid w:val="00E662E0"/>
    <w:rsid w:val="00E73124"/>
    <w:rsid w:val="00E75F89"/>
    <w:rsid w:val="00F13153"/>
    <w:rsid w:val="00F14047"/>
    <w:rsid w:val="00F70DFD"/>
    <w:rsid w:val="00F9252D"/>
    <w:rsid w:val="00F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2D"/>
    <w:pPr>
      <w:spacing w:after="0" w:line="240" w:lineRule="auto"/>
    </w:pPr>
    <w:rPr>
      <w:rFonts w:eastAsia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252D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F9252D"/>
    <w:rPr>
      <w:rFonts w:eastAsia="Times New Roman" w:cs="Times New Roman"/>
      <w:b/>
      <w:bCs/>
      <w:sz w:val="28"/>
      <w:szCs w:val="24"/>
      <w:lang w:val="lv-LV"/>
    </w:rPr>
  </w:style>
  <w:style w:type="table" w:styleId="TableGrid">
    <w:name w:val="Table Grid"/>
    <w:basedOn w:val="TableNormal"/>
    <w:rsid w:val="00F9252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D182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D1820"/>
    <w:rPr>
      <w:rFonts w:eastAsia="Times New Roman" w:cs="Times New Roman"/>
      <w:b/>
      <w:bCs/>
      <w:sz w:val="28"/>
      <w:szCs w:val="24"/>
      <w:lang w:val="lv-LV"/>
    </w:rPr>
  </w:style>
  <w:style w:type="paragraph" w:styleId="Subtitle">
    <w:name w:val="Subtitle"/>
    <w:basedOn w:val="Normal"/>
    <w:link w:val="SubtitleChar"/>
    <w:qFormat/>
    <w:rsid w:val="003D1820"/>
    <w:pPr>
      <w:jc w:val="center"/>
    </w:pPr>
    <w:rPr>
      <w:spacing w:val="60"/>
      <w:sz w:val="56"/>
    </w:rPr>
  </w:style>
  <w:style w:type="character" w:customStyle="1" w:styleId="SubtitleChar">
    <w:name w:val="Subtitle Char"/>
    <w:basedOn w:val="DefaultParagraphFont"/>
    <w:link w:val="Subtitle"/>
    <w:rsid w:val="003D1820"/>
    <w:rPr>
      <w:rFonts w:eastAsia="Times New Roman" w:cs="Times New Roman"/>
      <w:spacing w:val="60"/>
      <w:sz w:val="56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11"/>
    <w:rPr>
      <w:rFonts w:ascii="Tahoma" w:eastAsia="Times New Roman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3F2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99E"/>
    <w:rPr>
      <w:rFonts w:eastAsia="Times New Roman" w:cs="Times New Roman"/>
      <w:sz w:val="28"/>
      <w:szCs w:val="24"/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4D4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99E"/>
    <w:rPr>
      <w:rFonts w:eastAsia="Times New Roman" w:cs="Times New Roman"/>
      <w:sz w:val="28"/>
      <w:szCs w:val="24"/>
      <w:lang w:val="lv-LV"/>
    </w:rPr>
  </w:style>
  <w:style w:type="character" w:styleId="Hyperlink">
    <w:name w:val="Hyperlink"/>
    <w:basedOn w:val="DefaultParagraphFont"/>
    <w:semiHidden/>
    <w:unhideWhenUsed/>
    <w:rsid w:val="00B52990"/>
    <w:rPr>
      <w:color w:val="0000FF"/>
      <w:u w:val="single"/>
    </w:rPr>
  </w:style>
  <w:style w:type="paragraph" w:customStyle="1" w:styleId="naisf">
    <w:name w:val="naisf"/>
    <w:basedOn w:val="Normal"/>
    <w:rsid w:val="00B52990"/>
    <w:pPr>
      <w:spacing w:before="75" w:after="75"/>
      <w:ind w:firstLine="375"/>
      <w:jc w:val="both"/>
    </w:pPr>
    <w:rPr>
      <w:sz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0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0DFD"/>
    <w:rPr>
      <w:rFonts w:eastAsia="Times New Roman" w:cs="Times New Roman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aslov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0AA2-DD8B-459D-BF69-1FA811F4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359</Words>
  <Characters>2311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lanam</dc:creator>
  <cp:lastModifiedBy>lanam</cp:lastModifiedBy>
  <cp:revision>65</cp:revision>
  <cp:lastPrinted>2014-03-18T09:36:00Z</cp:lastPrinted>
  <dcterms:created xsi:type="dcterms:W3CDTF">2013-11-14T13:39:00Z</dcterms:created>
  <dcterms:modified xsi:type="dcterms:W3CDTF">2014-03-18T10:44:00Z</dcterms:modified>
</cp:coreProperties>
</file>