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3A" w:rsidRPr="005570E8" w:rsidRDefault="000C15E2" w:rsidP="000C15E2">
      <w:pPr>
        <w:jc w:val="center"/>
        <w:rPr>
          <w:rFonts w:cs="Times New Roman"/>
          <w:sz w:val="24"/>
          <w:szCs w:val="24"/>
          <w:lang w:val="lv-LV" w:eastAsia="lv-LV" w:bidi="ar-SA"/>
        </w:rPr>
      </w:pPr>
      <w:bookmarkStart w:id="0" w:name="_GoBack"/>
      <w:bookmarkEnd w:id="0"/>
      <w:r w:rsidRPr="005570E8">
        <w:rPr>
          <w:rFonts w:cs="Times New Roman"/>
          <w:sz w:val="24"/>
          <w:szCs w:val="24"/>
          <w:lang w:val="lv-LV" w:eastAsia="lv-LV" w:bidi="ar-SA"/>
        </w:rPr>
        <w:t>Ministru kabineta noteikumu projekta „Grozījums Ministru kabineta 2009.gada 15.decembra noteikumos Nr.1419</w:t>
      </w:r>
      <w:r w:rsidR="00EC627B" w:rsidRPr="005570E8">
        <w:rPr>
          <w:rFonts w:cs="Times New Roman"/>
          <w:sz w:val="24"/>
          <w:szCs w:val="24"/>
          <w:lang w:val="lv-LV" w:eastAsia="lv-LV" w:bidi="ar-SA"/>
        </w:rPr>
        <w:t xml:space="preserve"> </w:t>
      </w:r>
      <w:r w:rsidRPr="005570E8">
        <w:rPr>
          <w:rFonts w:cs="Times New Roman"/>
          <w:sz w:val="24"/>
          <w:szCs w:val="24"/>
          <w:lang w:val="lv-LV" w:eastAsia="lv-LV" w:bidi="ar-SA"/>
        </w:rPr>
        <w:t>„Rekrutēšanas un jaunsardzes centra nolikums”” sākotnējās ietekmes novērtējuma ziņojums (anotācija)</w:t>
      </w:r>
    </w:p>
    <w:p w:rsidR="00DA55F2" w:rsidRPr="005570E8"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6"/>
        <w:gridCol w:w="2710"/>
        <w:gridCol w:w="5593"/>
      </w:tblGrid>
      <w:tr w:rsidR="00065F37" w:rsidRPr="005570E8"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5570E8" w:rsidRDefault="00DA55F2" w:rsidP="00DA55F2">
            <w:pPr>
              <w:spacing w:before="100" w:beforeAutospacing="1" w:after="100" w:afterAutospacing="1" w:line="315" w:lineRule="atLeast"/>
              <w:jc w:val="center"/>
              <w:rPr>
                <w:rFonts w:cs="Times New Roman"/>
                <w:bCs/>
                <w:sz w:val="24"/>
                <w:szCs w:val="24"/>
                <w:lang w:val="lv-LV" w:eastAsia="lv-LV" w:bidi="ar-SA"/>
              </w:rPr>
            </w:pPr>
            <w:r w:rsidRPr="005570E8">
              <w:rPr>
                <w:rFonts w:cs="Times New Roman"/>
                <w:bCs/>
                <w:sz w:val="24"/>
                <w:szCs w:val="24"/>
                <w:lang w:val="lv-LV" w:eastAsia="lv-LV" w:bidi="ar-SA"/>
              </w:rPr>
              <w:t>I. Tiesību akta projekta izstrādes nepieciešamība</w:t>
            </w:r>
          </w:p>
        </w:tc>
      </w:tr>
      <w:tr w:rsidR="00065F37" w:rsidRPr="00392F78"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jc w:val="center"/>
              <w:rPr>
                <w:rFonts w:cs="Times New Roman"/>
                <w:sz w:val="24"/>
                <w:szCs w:val="24"/>
                <w:lang w:val="lv-LV" w:eastAsia="lv-LV" w:bidi="ar-SA"/>
              </w:rPr>
            </w:pPr>
            <w:r w:rsidRPr="005570E8">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5570E8" w:rsidRDefault="00D7483A" w:rsidP="00D46EE5">
            <w:pPr>
              <w:jc w:val="both"/>
              <w:rPr>
                <w:sz w:val="24"/>
                <w:szCs w:val="24"/>
                <w:lang w:val="lv-LV"/>
              </w:rPr>
            </w:pPr>
            <w:r w:rsidRPr="005570E8">
              <w:rPr>
                <w:sz w:val="24"/>
                <w:szCs w:val="24"/>
                <w:lang w:val="lv-LV"/>
              </w:rPr>
              <w:t>Grozījum</w:t>
            </w:r>
            <w:r w:rsidR="000C15E2" w:rsidRPr="005570E8">
              <w:rPr>
                <w:sz w:val="24"/>
                <w:szCs w:val="24"/>
                <w:lang w:val="lv-LV"/>
              </w:rPr>
              <w:t>s</w:t>
            </w:r>
            <w:r w:rsidR="000C15E2" w:rsidRPr="005570E8">
              <w:rPr>
                <w:lang w:val="lv-LV"/>
              </w:rPr>
              <w:t xml:space="preserve"> </w:t>
            </w:r>
            <w:r w:rsidR="000C15E2" w:rsidRPr="005570E8">
              <w:rPr>
                <w:sz w:val="24"/>
                <w:szCs w:val="24"/>
                <w:lang w:val="lv-LV"/>
              </w:rPr>
              <w:t>Ministru kabineta 2009.gada 15.decembra noteikumos Nr.1419 „Rekrutēšanas un jaunsardzes centra nolikums” izstrādāts</w:t>
            </w:r>
            <w:r w:rsidRPr="005570E8">
              <w:rPr>
                <w:sz w:val="24"/>
                <w:szCs w:val="24"/>
                <w:lang w:val="lv-LV"/>
              </w:rPr>
              <w:t xml:space="preserve">, lai </w:t>
            </w:r>
            <w:r w:rsidR="000C15E2" w:rsidRPr="005570E8">
              <w:rPr>
                <w:sz w:val="24"/>
                <w:szCs w:val="24"/>
                <w:lang w:val="lv-LV"/>
              </w:rPr>
              <w:t>precizētu Rekrutēšanas un jaunsardzes centra uzdevumus.</w:t>
            </w:r>
          </w:p>
        </w:tc>
      </w:tr>
      <w:tr w:rsidR="00065F37" w:rsidRPr="00392F78" w:rsidTr="0014533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jc w:val="center"/>
              <w:rPr>
                <w:rFonts w:cs="Times New Roman"/>
                <w:sz w:val="24"/>
                <w:szCs w:val="24"/>
                <w:lang w:val="lv-LV" w:eastAsia="lv-LV" w:bidi="ar-SA"/>
              </w:rPr>
            </w:pPr>
            <w:r w:rsidRPr="005570E8">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rsidR="00547F0F" w:rsidRPr="005570E8" w:rsidRDefault="003F7185" w:rsidP="00547F0F">
            <w:pPr>
              <w:jc w:val="both"/>
              <w:rPr>
                <w:rFonts w:cs="Times New Roman"/>
                <w:sz w:val="24"/>
                <w:szCs w:val="24"/>
                <w:lang w:val="lv-LV" w:eastAsia="lv-LV" w:bidi="ar-SA"/>
              </w:rPr>
            </w:pPr>
            <w:r w:rsidRPr="005570E8">
              <w:rPr>
                <w:rFonts w:cs="Times New Roman"/>
                <w:sz w:val="24"/>
                <w:szCs w:val="24"/>
                <w:lang w:val="lv-LV" w:eastAsia="lv-LV" w:bidi="ar-SA"/>
              </w:rPr>
              <w:t xml:space="preserve"> </w:t>
            </w:r>
            <w:r w:rsidR="000C15E2" w:rsidRPr="005570E8">
              <w:rPr>
                <w:rFonts w:cs="Times New Roman"/>
                <w:sz w:val="24"/>
                <w:szCs w:val="24"/>
                <w:lang w:val="lv-LV" w:eastAsia="lv-LV" w:bidi="ar-SA"/>
              </w:rPr>
              <w:t xml:space="preserve">Ministru kabineta </w:t>
            </w:r>
            <w:r w:rsidR="00EC627B" w:rsidRPr="005570E8">
              <w:rPr>
                <w:sz w:val="24"/>
                <w:szCs w:val="24"/>
                <w:lang w:val="lv-LV"/>
              </w:rPr>
              <w:t>2009.gada 15.decembra</w:t>
            </w:r>
            <w:r w:rsidR="000C15E2" w:rsidRPr="005570E8">
              <w:rPr>
                <w:rFonts w:cs="Times New Roman"/>
                <w:sz w:val="24"/>
                <w:szCs w:val="24"/>
                <w:lang w:val="lv-LV" w:eastAsia="lv-LV" w:bidi="ar-SA"/>
              </w:rPr>
              <w:t xml:space="preserve"> noteikumi Nr.1419 „Rekrutēšanas un jaunsardzes centra nolikums” šobrīd paredz uzdevumu Rekrutēšanas un j</w:t>
            </w:r>
            <w:r w:rsidR="00937BED" w:rsidRPr="005570E8">
              <w:rPr>
                <w:rFonts w:cs="Times New Roman"/>
                <w:sz w:val="24"/>
                <w:szCs w:val="24"/>
                <w:lang w:val="lv-LV" w:eastAsia="lv-LV" w:bidi="ar-SA"/>
              </w:rPr>
              <w:t>a</w:t>
            </w:r>
            <w:r w:rsidR="000C15E2" w:rsidRPr="005570E8">
              <w:rPr>
                <w:rFonts w:cs="Times New Roman"/>
                <w:sz w:val="24"/>
                <w:szCs w:val="24"/>
                <w:lang w:val="lv-LV" w:eastAsia="lv-LV" w:bidi="ar-SA"/>
              </w:rPr>
              <w:t xml:space="preserve">unsardzes centram (RJC) gatavot un veidot materiālus televīzijas raidījumam „Laiks vīriem?”. Veicinot dažādu sabiedrības slāņu informēšanu par valsts aizsardzības jautājumiem, RJC veidoja un izvietoja militāri patriotisku televīzijas raidījumu „Laiks vīriem?” nacionālajā apraides tīklā – LTV 7. LTV informēja, ka minētais raidījums nav iekļauts 2014.gada sabiedriskajā pasūtījumā. </w:t>
            </w:r>
            <w:r w:rsidR="00547F0F" w:rsidRPr="005570E8">
              <w:rPr>
                <w:rFonts w:cs="Times New Roman"/>
                <w:sz w:val="24"/>
                <w:szCs w:val="24"/>
                <w:lang w:val="lv-LV" w:eastAsia="lv-LV" w:bidi="ar-SA"/>
              </w:rPr>
              <w:t>K</w:t>
            </w:r>
            <w:r w:rsidR="000C15E2" w:rsidRPr="005570E8">
              <w:rPr>
                <w:rFonts w:cs="Times New Roman"/>
                <w:sz w:val="24"/>
                <w:szCs w:val="24"/>
                <w:lang w:val="lv-LV" w:eastAsia="lv-LV" w:bidi="ar-SA"/>
              </w:rPr>
              <w:t>onkrēta raidījuma „Laiks vīriem?” izgatavošana tiek pārtraukta.</w:t>
            </w:r>
            <w:r w:rsidR="00547F0F" w:rsidRPr="005570E8">
              <w:rPr>
                <w:rFonts w:cs="Times New Roman"/>
                <w:sz w:val="24"/>
                <w:szCs w:val="24"/>
                <w:lang w:val="lv-LV" w:eastAsia="lv-LV" w:bidi="ar-SA"/>
              </w:rPr>
              <w:t xml:space="preserve"> </w:t>
            </w:r>
          </w:p>
          <w:p w:rsidR="00065F37" w:rsidRPr="005570E8" w:rsidRDefault="00547F0F" w:rsidP="00A544D0">
            <w:pPr>
              <w:jc w:val="both"/>
              <w:rPr>
                <w:rFonts w:cs="Times New Roman"/>
                <w:sz w:val="24"/>
                <w:szCs w:val="24"/>
                <w:lang w:val="lv-LV" w:eastAsia="lv-LV" w:bidi="ar-SA"/>
              </w:rPr>
            </w:pPr>
            <w:r w:rsidRPr="005570E8">
              <w:rPr>
                <w:rFonts w:cs="Times New Roman"/>
                <w:sz w:val="24"/>
                <w:szCs w:val="24"/>
                <w:lang w:val="lv-LV" w:eastAsia="lv-LV" w:bidi="ar-SA"/>
              </w:rPr>
              <w:t xml:space="preserve"> RJC turpin</w:t>
            </w:r>
            <w:r w:rsidR="006B2012" w:rsidRPr="005570E8">
              <w:rPr>
                <w:rFonts w:cs="Times New Roman"/>
                <w:sz w:val="24"/>
                <w:szCs w:val="24"/>
                <w:lang w:val="lv-LV" w:eastAsia="lv-LV" w:bidi="ar-SA"/>
              </w:rPr>
              <w:t>a</w:t>
            </w:r>
            <w:r w:rsidRPr="005570E8">
              <w:rPr>
                <w:rFonts w:cs="Times New Roman"/>
                <w:sz w:val="24"/>
                <w:szCs w:val="24"/>
                <w:lang w:val="lv-LV" w:eastAsia="lv-LV" w:bidi="ar-SA"/>
              </w:rPr>
              <w:t xml:space="preserve"> </w:t>
            </w:r>
            <w:r w:rsidR="00A544D0" w:rsidRPr="005570E8">
              <w:rPr>
                <w:sz w:val="24"/>
                <w:szCs w:val="24"/>
                <w:lang w:val="lv-LV"/>
              </w:rPr>
              <w:t>gatavot foto un audiovizuālos   materiālus   par  valsts  drošības  un aizsardzības tematiku publicēšanai un pārraidīšanai  plašsaziņas līdzekļos, t.sk. televīzijā.</w:t>
            </w:r>
            <w:r w:rsidR="00A544D0" w:rsidRPr="005570E8">
              <w:rPr>
                <w:rFonts w:cs="Times New Roman"/>
                <w:sz w:val="24"/>
                <w:szCs w:val="24"/>
                <w:lang w:val="lv-LV" w:eastAsia="lv-LV" w:bidi="ar-SA"/>
              </w:rPr>
              <w:t xml:space="preserve">  Līdz ar to m</w:t>
            </w:r>
            <w:r w:rsidRPr="005570E8">
              <w:rPr>
                <w:rFonts w:cs="Times New Roman"/>
                <w:sz w:val="24"/>
                <w:szCs w:val="24"/>
                <w:lang w:val="lv-LV" w:eastAsia="lv-LV" w:bidi="ar-SA"/>
              </w:rPr>
              <w:t>inēt</w:t>
            </w:r>
            <w:r w:rsidR="00A544D0" w:rsidRPr="005570E8">
              <w:rPr>
                <w:rFonts w:cs="Times New Roman"/>
                <w:sz w:val="24"/>
                <w:szCs w:val="24"/>
                <w:lang w:val="lv-LV" w:eastAsia="lv-LV" w:bidi="ar-SA"/>
              </w:rPr>
              <w:t>ajā</w:t>
            </w:r>
            <w:r w:rsidRPr="005570E8">
              <w:rPr>
                <w:rFonts w:cs="Times New Roman"/>
                <w:sz w:val="24"/>
                <w:szCs w:val="24"/>
                <w:lang w:val="lv-LV" w:eastAsia="lv-LV" w:bidi="ar-SA"/>
              </w:rPr>
              <w:t xml:space="preserve"> raidījumā aplūkotās tēmas tiks izvērstas un iestrādātas daudzveidīgos žanros un formātos, lai tādējādi sasniegtu maksimāli plašu auditorijas daļu</w:t>
            </w:r>
            <w:r w:rsidR="00EC627B" w:rsidRPr="005570E8">
              <w:rPr>
                <w:rFonts w:cs="Times New Roman"/>
                <w:sz w:val="24"/>
                <w:szCs w:val="24"/>
                <w:lang w:val="lv-LV" w:eastAsia="lv-LV" w:bidi="ar-SA"/>
              </w:rPr>
              <w:t>.</w:t>
            </w:r>
          </w:p>
          <w:p w:rsidR="00A544D0" w:rsidRPr="005570E8" w:rsidRDefault="00A544D0" w:rsidP="00A544D0">
            <w:pPr>
              <w:jc w:val="both"/>
              <w:rPr>
                <w:rFonts w:cs="Times New Roman"/>
                <w:sz w:val="24"/>
                <w:szCs w:val="24"/>
                <w:lang w:val="lv-LV" w:eastAsia="lv-LV" w:bidi="ar-SA"/>
              </w:rPr>
            </w:pPr>
          </w:p>
        </w:tc>
      </w:tr>
      <w:tr w:rsidR="00065F37" w:rsidRPr="005570E8"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jc w:val="center"/>
              <w:rPr>
                <w:rFonts w:cs="Times New Roman"/>
                <w:sz w:val="24"/>
                <w:szCs w:val="24"/>
                <w:lang w:val="lv-LV" w:eastAsia="lv-LV" w:bidi="ar-SA"/>
              </w:rPr>
            </w:pPr>
            <w:r w:rsidRPr="005570E8">
              <w:rPr>
                <w:rFonts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5570E8" w:rsidRDefault="000C15E2" w:rsidP="002447A7">
            <w:pPr>
              <w:rPr>
                <w:rFonts w:cs="Times New Roman"/>
                <w:sz w:val="24"/>
                <w:szCs w:val="24"/>
                <w:lang w:val="lv-LV" w:eastAsia="lv-LV" w:bidi="ar-SA"/>
              </w:rPr>
            </w:pPr>
            <w:r w:rsidRPr="005570E8">
              <w:rPr>
                <w:rFonts w:cs="Times New Roman"/>
                <w:sz w:val="24"/>
                <w:szCs w:val="24"/>
                <w:lang w:val="lv-LV" w:eastAsia="lv-LV" w:bidi="ar-SA"/>
              </w:rPr>
              <w:t xml:space="preserve">RJC </w:t>
            </w:r>
            <w:r w:rsidR="00E64ADC" w:rsidRPr="005570E8">
              <w:rPr>
                <w:rFonts w:cs="Times New Roman"/>
                <w:sz w:val="24"/>
                <w:szCs w:val="24"/>
                <w:lang w:val="lv-LV" w:eastAsia="lv-LV" w:bidi="ar-SA"/>
              </w:rPr>
              <w:t xml:space="preserve">un </w:t>
            </w:r>
            <w:r w:rsidR="001F2472" w:rsidRPr="005570E8">
              <w:rPr>
                <w:rFonts w:cs="Times New Roman"/>
                <w:sz w:val="24"/>
                <w:szCs w:val="24"/>
                <w:lang w:val="lv-LV" w:eastAsia="lv-LV" w:bidi="ar-SA"/>
              </w:rPr>
              <w:t>Aizsardzības ministrija</w:t>
            </w:r>
            <w:r w:rsidR="00EC627B" w:rsidRPr="005570E8">
              <w:rPr>
                <w:rFonts w:cs="Times New Roman"/>
                <w:sz w:val="24"/>
                <w:szCs w:val="24"/>
                <w:lang w:val="lv-LV" w:eastAsia="lv-LV" w:bidi="ar-SA"/>
              </w:rPr>
              <w:t>.</w:t>
            </w:r>
            <w:r w:rsidR="001F2472" w:rsidRPr="005570E8">
              <w:rPr>
                <w:rFonts w:cs="Times New Roman"/>
                <w:sz w:val="24"/>
                <w:szCs w:val="24"/>
                <w:lang w:val="lv-LV" w:eastAsia="lv-LV" w:bidi="ar-SA"/>
              </w:rPr>
              <w:t xml:space="preserve"> </w:t>
            </w:r>
          </w:p>
        </w:tc>
      </w:tr>
      <w:tr w:rsidR="00065F37" w:rsidRPr="005570E8"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jc w:val="center"/>
              <w:rPr>
                <w:rFonts w:cs="Times New Roman"/>
                <w:sz w:val="24"/>
                <w:szCs w:val="24"/>
                <w:lang w:val="lv-LV" w:eastAsia="lv-LV" w:bidi="ar-SA"/>
              </w:rPr>
            </w:pPr>
            <w:r w:rsidRPr="005570E8">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0637B5">
            <w:pPr>
              <w:rPr>
                <w:rFonts w:cs="Times New Roman"/>
                <w:sz w:val="24"/>
                <w:szCs w:val="24"/>
                <w:lang w:val="lv-LV" w:eastAsia="lv-LV" w:bidi="ar-SA"/>
              </w:rPr>
            </w:pPr>
            <w:r w:rsidRPr="005570E8">
              <w:rPr>
                <w:rFonts w:cs="Times New Roman"/>
                <w:sz w:val="24"/>
                <w:szCs w:val="24"/>
                <w:lang w:val="lv-LV" w:eastAsia="lv-LV" w:bidi="ar-SA"/>
              </w:rPr>
              <w:t>Na</w:t>
            </w:r>
            <w:r w:rsidR="000637B5" w:rsidRPr="005570E8">
              <w:rPr>
                <w:rFonts w:cs="Times New Roman"/>
                <w:sz w:val="24"/>
                <w:szCs w:val="24"/>
                <w:lang w:val="lv-LV" w:eastAsia="lv-LV" w:bidi="ar-SA"/>
              </w:rPr>
              <w:t>v.</w:t>
            </w:r>
          </w:p>
        </w:tc>
      </w:tr>
    </w:tbl>
    <w:p w:rsidR="00DA55F2" w:rsidRPr="005570E8"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
        <w:gridCol w:w="2709"/>
        <w:gridCol w:w="5592"/>
      </w:tblGrid>
      <w:tr w:rsidR="00065F37" w:rsidRPr="00392F78"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5570E8" w:rsidRDefault="00DA55F2" w:rsidP="00DA55F2">
            <w:pPr>
              <w:spacing w:before="100" w:beforeAutospacing="1" w:after="100" w:afterAutospacing="1" w:line="315" w:lineRule="atLeast"/>
              <w:jc w:val="center"/>
              <w:rPr>
                <w:rFonts w:cs="Times New Roman"/>
                <w:bCs/>
                <w:sz w:val="24"/>
                <w:szCs w:val="24"/>
                <w:lang w:val="lv-LV" w:eastAsia="lv-LV" w:bidi="ar-SA"/>
              </w:rPr>
            </w:pPr>
            <w:r w:rsidRPr="005570E8">
              <w:rPr>
                <w:rFonts w:cs="Times New Roman"/>
                <w:bCs/>
                <w:sz w:val="24"/>
                <w:szCs w:val="24"/>
                <w:lang w:val="lv-LV" w:eastAsia="lv-LV" w:bidi="ar-SA"/>
              </w:rPr>
              <w:t>II. Tiesību akta projekta ietekme uz sabiedrību, tautsaimniecības attīstību un administratīvo slogu</w:t>
            </w:r>
          </w:p>
        </w:tc>
      </w:tr>
      <w:tr w:rsidR="00065F37" w:rsidRPr="00392F78"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5570E8" w:rsidRDefault="000C15E2" w:rsidP="000C15E2">
            <w:pPr>
              <w:rPr>
                <w:rFonts w:cs="Times New Roman"/>
                <w:sz w:val="24"/>
                <w:szCs w:val="24"/>
                <w:lang w:val="lv-LV" w:eastAsia="lv-LV" w:bidi="ar-SA"/>
              </w:rPr>
            </w:pPr>
            <w:r w:rsidRPr="005570E8">
              <w:rPr>
                <w:rFonts w:cs="Times New Roman"/>
                <w:sz w:val="24"/>
                <w:szCs w:val="24"/>
                <w:lang w:val="lv-LV" w:eastAsia="lv-LV" w:bidi="ar-SA"/>
              </w:rPr>
              <w:t>Jautājumam nav tiešas ietekmes uz sabiedrību kopumā, tas attiecas RJC uzdevumiem.</w:t>
            </w:r>
          </w:p>
        </w:tc>
      </w:tr>
      <w:tr w:rsidR="00065F37" w:rsidRPr="005570E8"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5570E8" w:rsidRDefault="00E20B65" w:rsidP="00DA55F2">
            <w:pPr>
              <w:rPr>
                <w:rFonts w:cs="Times New Roman"/>
                <w:sz w:val="24"/>
                <w:szCs w:val="24"/>
                <w:lang w:val="lv-LV" w:eastAsia="lv-LV" w:bidi="ar-SA"/>
              </w:rPr>
            </w:pPr>
            <w:r w:rsidRPr="005570E8">
              <w:rPr>
                <w:rFonts w:cs="Times New Roman"/>
                <w:sz w:val="24"/>
                <w:szCs w:val="24"/>
                <w:lang w:val="lv-LV" w:eastAsia="lv-LV" w:bidi="ar-SA"/>
              </w:rPr>
              <w:t>Projekts šo jomu neskar.</w:t>
            </w:r>
          </w:p>
        </w:tc>
      </w:tr>
      <w:tr w:rsidR="00065F37" w:rsidRPr="005570E8"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5570E8" w:rsidRDefault="00E20B65" w:rsidP="00DA55F2">
            <w:pPr>
              <w:rPr>
                <w:rFonts w:cs="Times New Roman"/>
                <w:sz w:val="24"/>
                <w:szCs w:val="24"/>
                <w:lang w:val="lv-LV" w:eastAsia="lv-LV" w:bidi="ar-SA"/>
              </w:rPr>
            </w:pPr>
            <w:r w:rsidRPr="005570E8">
              <w:rPr>
                <w:rFonts w:cs="Times New Roman"/>
                <w:sz w:val="24"/>
                <w:szCs w:val="24"/>
                <w:lang w:val="lv-LV" w:eastAsia="lv-LV" w:bidi="ar-SA"/>
              </w:rPr>
              <w:t>Projekts šo jomu neskar.</w:t>
            </w:r>
          </w:p>
        </w:tc>
      </w:tr>
      <w:tr w:rsidR="00065F37" w:rsidRPr="005570E8"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rPr>
                <w:rFonts w:cs="Times New Roman"/>
                <w:sz w:val="24"/>
                <w:szCs w:val="24"/>
                <w:lang w:val="lv-LV" w:eastAsia="lv-LV" w:bidi="ar-SA"/>
              </w:rPr>
            </w:pPr>
            <w:r w:rsidRPr="005570E8">
              <w:rPr>
                <w:rFonts w:cs="Times New Roman"/>
                <w:sz w:val="24"/>
                <w:szCs w:val="24"/>
                <w:lang w:val="lv-LV" w:eastAsia="lv-LV" w:bidi="ar-SA"/>
              </w:rPr>
              <w:t>Nav</w:t>
            </w:r>
            <w:r w:rsidR="00D50FA7" w:rsidRPr="005570E8">
              <w:rPr>
                <w:rFonts w:cs="Times New Roman"/>
                <w:sz w:val="24"/>
                <w:szCs w:val="24"/>
                <w:lang w:val="lv-LV" w:eastAsia="lv-LV" w:bidi="ar-SA"/>
              </w:rPr>
              <w:t>.</w:t>
            </w:r>
          </w:p>
        </w:tc>
      </w:tr>
    </w:tbl>
    <w:p w:rsidR="00DA55F2" w:rsidRPr="005570E8"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
        <w:gridCol w:w="3320"/>
        <w:gridCol w:w="4981"/>
      </w:tblGrid>
      <w:tr w:rsidR="00065F37" w:rsidRPr="00392F78"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5570E8" w:rsidRDefault="00DA55F2" w:rsidP="00A86F3B">
            <w:pPr>
              <w:spacing w:before="100" w:beforeAutospacing="1" w:after="100" w:afterAutospacing="1" w:line="315" w:lineRule="atLeast"/>
              <w:jc w:val="center"/>
              <w:rPr>
                <w:rFonts w:cs="Times New Roman"/>
                <w:bCs/>
                <w:sz w:val="24"/>
                <w:szCs w:val="24"/>
                <w:lang w:val="lv-LV" w:eastAsia="lv-LV" w:bidi="ar-SA"/>
              </w:rPr>
            </w:pPr>
            <w:r w:rsidRPr="005570E8">
              <w:rPr>
                <w:rFonts w:cs="Times New Roman"/>
                <w:bCs/>
                <w:sz w:val="24"/>
                <w:szCs w:val="24"/>
                <w:lang w:val="lv-LV" w:eastAsia="lv-LV" w:bidi="ar-SA"/>
              </w:rPr>
              <w:t>VII. Tiesību akta projekta izpildes nodrošināšana un tā ietekme uz institūcijām</w:t>
            </w:r>
          </w:p>
        </w:tc>
      </w:tr>
      <w:tr w:rsidR="00065F37" w:rsidRPr="005570E8"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5570E8" w:rsidRDefault="000C15E2" w:rsidP="000C15E2">
            <w:pPr>
              <w:rPr>
                <w:rFonts w:cs="Times New Roman"/>
                <w:sz w:val="24"/>
                <w:szCs w:val="24"/>
                <w:lang w:val="lv-LV" w:eastAsia="lv-LV" w:bidi="ar-SA"/>
              </w:rPr>
            </w:pPr>
            <w:r w:rsidRPr="005570E8">
              <w:rPr>
                <w:rFonts w:cs="Times New Roman"/>
                <w:sz w:val="24"/>
                <w:szCs w:val="24"/>
                <w:lang w:val="lv-LV" w:eastAsia="lv-LV" w:bidi="ar-SA"/>
              </w:rPr>
              <w:t>RJC un Aizsardzības ministrija</w:t>
            </w:r>
            <w:r w:rsidR="00DD0703" w:rsidRPr="005570E8">
              <w:rPr>
                <w:rFonts w:cs="Times New Roman"/>
                <w:sz w:val="24"/>
                <w:szCs w:val="24"/>
                <w:lang w:val="lv-LV" w:eastAsia="lv-LV" w:bidi="ar-SA"/>
              </w:rPr>
              <w:t xml:space="preserve"> </w:t>
            </w:r>
          </w:p>
        </w:tc>
      </w:tr>
      <w:tr w:rsidR="00065F37" w:rsidRPr="00392F78"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7C5FAD">
            <w:pPr>
              <w:jc w:val="both"/>
              <w:rPr>
                <w:rFonts w:cs="Times New Roman"/>
                <w:sz w:val="24"/>
                <w:szCs w:val="24"/>
                <w:lang w:val="lv-LV" w:eastAsia="lv-LV" w:bidi="ar-SA"/>
              </w:rPr>
            </w:pPr>
            <w:r w:rsidRPr="005570E8">
              <w:rPr>
                <w:rFonts w:cs="Times New Roman"/>
                <w:sz w:val="24"/>
                <w:szCs w:val="24"/>
                <w:lang w:val="lv-LV" w:eastAsia="lv-LV" w:bidi="ar-SA"/>
              </w:rPr>
              <w:t>Projekta izpildes ietekme uz pārvaldes funkcijām un institucionālo struktūru.</w:t>
            </w:r>
          </w:p>
          <w:p w:rsidR="00DA55F2" w:rsidRPr="005570E8" w:rsidRDefault="00DA55F2" w:rsidP="007C5FAD">
            <w:pPr>
              <w:jc w:val="both"/>
              <w:rPr>
                <w:rFonts w:cs="Times New Roman"/>
                <w:sz w:val="24"/>
                <w:szCs w:val="24"/>
                <w:lang w:val="lv-LV" w:eastAsia="lv-LV" w:bidi="ar-SA"/>
              </w:rPr>
            </w:pPr>
            <w:r w:rsidRPr="005570E8">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5570E8" w:rsidRDefault="00E03389" w:rsidP="009213E1">
            <w:pPr>
              <w:jc w:val="both"/>
              <w:rPr>
                <w:rFonts w:cs="Times New Roman"/>
                <w:sz w:val="24"/>
                <w:szCs w:val="24"/>
                <w:lang w:val="lv-LV" w:eastAsia="lv-LV" w:bidi="ar-SA"/>
              </w:rPr>
            </w:pPr>
            <w:r w:rsidRPr="005570E8">
              <w:rPr>
                <w:sz w:val="24"/>
                <w:szCs w:val="24"/>
                <w:lang w:val="lv-LV"/>
              </w:rPr>
              <w:t xml:space="preserve"> </w:t>
            </w:r>
            <w:r w:rsidR="00B42912" w:rsidRPr="005570E8">
              <w:rPr>
                <w:sz w:val="24"/>
                <w:szCs w:val="24"/>
                <w:lang w:val="lv-LV"/>
              </w:rPr>
              <w:t xml:space="preserve">Projekta izpilde notiks esošo pārvaldes funkciju </w:t>
            </w:r>
            <w:r w:rsidR="00A92979" w:rsidRPr="005570E8">
              <w:rPr>
                <w:sz w:val="24"/>
                <w:szCs w:val="24"/>
                <w:lang w:val="lv-LV"/>
              </w:rPr>
              <w:t>un pie</w:t>
            </w:r>
            <w:r w:rsidRPr="005570E8">
              <w:rPr>
                <w:sz w:val="24"/>
                <w:szCs w:val="24"/>
                <w:lang w:val="lv-LV"/>
              </w:rPr>
              <w:t>e</w:t>
            </w:r>
            <w:r w:rsidR="00A92979" w:rsidRPr="005570E8">
              <w:rPr>
                <w:sz w:val="24"/>
                <w:szCs w:val="24"/>
                <w:lang w:val="lv-LV"/>
              </w:rPr>
              <w:t xml:space="preserve">jamo cilvēkresursu </w:t>
            </w:r>
            <w:r w:rsidR="00B42912" w:rsidRPr="005570E8">
              <w:rPr>
                <w:sz w:val="24"/>
                <w:szCs w:val="24"/>
                <w:lang w:val="lv-LV"/>
              </w:rPr>
              <w:t>ietvaros.</w:t>
            </w:r>
          </w:p>
        </w:tc>
      </w:tr>
      <w:tr w:rsidR="00DA55F2" w:rsidRPr="005570E8"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rPr>
                <w:rFonts w:cs="Times New Roman"/>
                <w:sz w:val="24"/>
                <w:szCs w:val="24"/>
                <w:lang w:val="lv-LV" w:eastAsia="lv-LV" w:bidi="ar-SA"/>
              </w:rPr>
            </w:pPr>
            <w:r w:rsidRPr="005570E8">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5570E8" w:rsidRDefault="00DA55F2" w:rsidP="00DA55F2">
            <w:pPr>
              <w:spacing w:before="100" w:beforeAutospacing="1" w:after="100" w:afterAutospacing="1" w:line="315" w:lineRule="atLeast"/>
              <w:rPr>
                <w:rFonts w:cs="Times New Roman"/>
                <w:sz w:val="24"/>
                <w:szCs w:val="24"/>
                <w:lang w:val="lv-LV" w:eastAsia="lv-LV" w:bidi="ar-SA"/>
              </w:rPr>
            </w:pPr>
            <w:r w:rsidRPr="005570E8">
              <w:rPr>
                <w:rFonts w:cs="Times New Roman"/>
                <w:sz w:val="24"/>
                <w:szCs w:val="24"/>
                <w:lang w:val="lv-LV" w:eastAsia="lv-LV" w:bidi="ar-SA"/>
              </w:rPr>
              <w:t>Nav.</w:t>
            </w:r>
          </w:p>
        </w:tc>
      </w:tr>
    </w:tbl>
    <w:p w:rsidR="0026236D" w:rsidRPr="005570E8" w:rsidRDefault="0026236D">
      <w:pPr>
        <w:rPr>
          <w:rFonts w:cs="Times New Roman"/>
          <w:sz w:val="24"/>
          <w:szCs w:val="24"/>
          <w:lang w:val="lv-LV"/>
        </w:rPr>
      </w:pPr>
    </w:p>
    <w:p w:rsidR="004600D1" w:rsidRPr="00EC627B" w:rsidRDefault="00B42912" w:rsidP="00DD0703">
      <w:pPr>
        <w:tabs>
          <w:tab w:val="right" w:pos="9074"/>
        </w:tabs>
        <w:rPr>
          <w:rFonts w:cs="Times New Roman"/>
          <w:sz w:val="24"/>
          <w:szCs w:val="24"/>
          <w:lang w:val="lv-LV"/>
        </w:rPr>
      </w:pPr>
      <w:r w:rsidRPr="005570E8">
        <w:rPr>
          <w:i/>
          <w:iCs/>
          <w:sz w:val="24"/>
          <w:szCs w:val="24"/>
        </w:rPr>
        <w:t>Anotācijas II</w:t>
      </w:r>
      <w:r w:rsidR="00085A58" w:rsidRPr="005570E8">
        <w:rPr>
          <w:i/>
          <w:iCs/>
          <w:sz w:val="24"/>
          <w:szCs w:val="24"/>
        </w:rPr>
        <w:t>I</w:t>
      </w:r>
      <w:r w:rsidRPr="005570E8">
        <w:rPr>
          <w:i/>
          <w:iCs/>
          <w:sz w:val="24"/>
          <w:szCs w:val="24"/>
        </w:rPr>
        <w:t xml:space="preserve">, IV, V un VI sadaļa – </w:t>
      </w:r>
      <w:r w:rsidR="00EC627B">
        <w:rPr>
          <w:i/>
          <w:iCs/>
          <w:sz w:val="24"/>
          <w:szCs w:val="24"/>
        </w:rPr>
        <w:t>n</w:t>
      </w:r>
      <w:r w:rsidRPr="005570E8">
        <w:rPr>
          <w:i/>
          <w:iCs/>
          <w:sz w:val="24"/>
          <w:szCs w:val="24"/>
        </w:rPr>
        <w:t>oteikumu projekts šīs jomas neskar</w:t>
      </w:r>
      <w:r w:rsidR="00EC627B" w:rsidRPr="005570E8">
        <w:rPr>
          <w:i/>
          <w:iCs/>
          <w:sz w:val="24"/>
          <w:szCs w:val="24"/>
        </w:rPr>
        <w:t>.</w:t>
      </w:r>
    </w:p>
    <w:p w:rsidR="004600D1" w:rsidRPr="00EC627B" w:rsidRDefault="004600D1" w:rsidP="00DD0703">
      <w:pPr>
        <w:tabs>
          <w:tab w:val="right" w:pos="9074"/>
        </w:tabs>
        <w:rPr>
          <w:rFonts w:cs="Times New Roman"/>
          <w:sz w:val="24"/>
          <w:szCs w:val="24"/>
          <w:lang w:val="lv-LV"/>
        </w:rPr>
      </w:pPr>
    </w:p>
    <w:p w:rsidR="000C15E2" w:rsidRPr="00EC627B" w:rsidRDefault="000C15E2" w:rsidP="00DD0703">
      <w:pPr>
        <w:tabs>
          <w:tab w:val="right" w:pos="9074"/>
        </w:tabs>
        <w:rPr>
          <w:rFonts w:cs="Times New Roman"/>
          <w:sz w:val="24"/>
          <w:szCs w:val="24"/>
          <w:lang w:val="lv-LV"/>
        </w:rPr>
      </w:pPr>
    </w:p>
    <w:p w:rsidR="000C15E2" w:rsidRPr="00EC627B" w:rsidRDefault="000C15E2" w:rsidP="00DD0703">
      <w:pPr>
        <w:tabs>
          <w:tab w:val="right" w:pos="9074"/>
        </w:tabs>
        <w:rPr>
          <w:rFonts w:cs="Times New Roman"/>
          <w:sz w:val="24"/>
          <w:szCs w:val="24"/>
          <w:lang w:val="lv-LV"/>
        </w:rPr>
      </w:pPr>
    </w:p>
    <w:p w:rsidR="000C15E2" w:rsidRPr="00EC627B" w:rsidRDefault="000C15E2" w:rsidP="00DD0703">
      <w:pPr>
        <w:tabs>
          <w:tab w:val="right" w:pos="9074"/>
        </w:tabs>
        <w:rPr>
          <w:rFonts w:cs="Times New Roman"/>
          <w:sz w:val="24"/>
          <w:szCs w:val="24"/>
          <w:lang w:val="lv-LV"/>
        </w:rPr>
      </w:pPr>
    </w:p>
    <w:p w:rsidR="00DD0703" w:rsidRPr="00EC627B" w:rsidRDefault="00DD0703" w:rsidP="00DD0703">
      <w:pPr>
        <w:tabs>
          <w:tab w:val="right" w:pos="9074"/>
        </w:tabs>
        <w:rPr>
          <w:rFonts w:cs="Times New Roman"/>
          <w:sz w:val="24"/>
          <w:szCs w:val="24"/>
          <w:lang w:val="lv-LV"/>
        </w:rPr>
      </w:pPr>
      <w:r w:rsidRPr="00EC627B">
        <w:rPr>
          <w:rFonts w:cs="Times New Roman"/>
          <w:sz w:val="24"/>
          <w:szCs w:val="24"/>
          <w:lang w:val="lv-LV"/>
        </w:rPr>
        <w:t>Aizsardzības ministrs</w:t>
      </w:r>
      <w:r w:rsidR="00F932FD" w:rsidRPr="00EC627B">
        <w:rPr>
          <w:rFonts w:cs="Times New Roman"/>
          <w:sz w:val="24"/>
          <w:szCs w:val="24"/>
          <w:lang w:val="lv-LV"/>
        </w:rPr>
        <w:t xml:space="preserve">                                                                                              </w:t>
      </w:r>
      <w:r w:rsidR="004600D1" w:rsidRPr="00EC627B">
        <w:rPr>
          <w:rFonts w:cs="Times New Roman"/>
          <w:sz w:val="24"/>
          <w:szCs w:val="24"/>
          <w:lang w:val="lv-LV"/>
        </w:rPr>
        <w:t>R.Vējonis</w:t>
      </w:r>
    </w:p>
    <w:p w:rsidR="004600D1" w:rsidRPr="00EC627B" w:rsidRDefault="004600D1" w:rsidP="00DD0703">
      <w:pPr>
        <w:tabs>
          <w:tab w:val="right" w:pos="9000"/>
        </w:tabs>
        <w:jc w:val="both"/>
        <w:rPr>
          <w:rFonts w:cs="Times New Roman"/>
          <w:sz w:val="24"/>
          <w:szCs w:val="24"/>
          <w:lang w:val="lv-LV"/>
        </w:rPr>
      </w:pPr>
    </w:p>
    <w:p w:rsidR="004600D1" w:rsidRPr="00EC627B" w:rsidRDefault="004600D1" w:rsidP="00DD0703">
      <w:pPr>
        <w:tabs>
          <w:tab w:val="right" w:pos="9000"/>
        </w:tabs>
        <w:jc w:val="both"/>
        <w:rPr>
          <w:rFonts w:cs="Times New Roman"/>
          <w:sz w:val="24"/>
          <w:szCs w:val="24"/>
          <w:lang w:val="lv-LV"/>
        </w:rPr>
      </w:pPr>
    </w:p>
    <w:p w:rsidR="00DD0703" w:rsidRPr="00EC627B" w:rsidRDefault="00DD0703" w:rsidP="00DD0703">
      <w:pPr>
        <w:tabs>
          <w:tab w:val="right" w:pos="9000"/>
        </w:tabs>
        <w:jc w:val="both"/>
        <w:rPr>
          <w:rFonts w:cs="Times New Roman"/>
          <w:sz w:val="24"/>
          <w:szCs w:val="24"/>
          <w:lang w:val="lv-LV"/>
        </w:rPr>
      </w:pPr>
      <w:r w:rsidRPr="00EC627B">
        <w:rPr>
          <w:rFonts w:cs="Times New Roman"/>
          <w:sz w:val="24"/>
          <w:szCs w:val="24"/>
          <w:lang w:val="lv-LV"/>
        </w:rPr>
        <w:t>Vīza: valsts sekretārs</w:t>
      </w:r>
      <w:r w:rsidR="00F932FD" w:rsidRPr="00EC627B">
        <w:rPr>
          <w:rFonts w:cs="Times New Roman"/>
          <w:sz w:val="24"/>
          <w:szCs w:val="24"/>
          <w:lang w:val="lv-LV"/>
        </w:rPr>
        <w:t xml:space="preserve">                                                                                               </w:t>
      </w:r>
      <w:r w:rsidRPr="00EC627B">
        <w:rPr>
          <w:rFonts w:cs="Times New Roman"/>
          <w:sz w:val="24"/>
          <w:szCs w:val="24"/>
          <w:lang w:val="lv-LV"/>
        </w:rPr>
        <w:t>J.Sārts</w:t>
      </w:r>
    </w:p>
    <w:p w:rsidR="00085A58" w:rsidRPr="005570E8" w:rsidRDefault="00085A58" w:rsidP="00085A58">
      <w:pPr>
        <w:rPr>
          <w:rFonts w:cs="Times New Roman"/>
          <w:sz w:val="24"/>
          <w:szCs w:val="24"/>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Pr="000C15E2" w:rsidRDefault="000C15E2" w:rsidP="000C15E2">
      <w:pPr>
        <w:rPr>
          <w:rFonts w:cs="Times New Roman"/>
          <w:sz w:val="16"/>
          <w:szCs w:val="16"/>
          <w:lang w:val="lv-LV" w:eastAsia="lv-LV" w:bidi="ar-SA"/>
        </w:rPr>
      </w:pPr>
    </w:p>
    <w:p w:rsidR="000C15E2" w:rsidRPr="000C15E2" w:rsidRDefault="00597CCD" w:rsidP="000C15E2">
      <w:pPr>
        <w:rPr>
          <w:rFonts w:cs="Times New Roman"/>
          <w:sz w:val="16"/>
          <w:szCs w:val="16"/>
          <w:lang w:val="lv-LV" w:eastAsia="lv-LV" w:bidi="ar-SA"/>
        </w:rPr>
      </w:pPr>
      <w:r>
        <w:rPr>
          <w:rFonts w:cs="Times New Roman"/>
          <w:sz w:val="16"/>
          <w:szCs w:val="16"/>
          <w:lang w:val="lv-LV" w:eastAsia="lv-LV" w:bidi="ar-SA"/>
        </w:rPr>
        <w:t>30</w:t>
      </w:r>
      <w:r w:rsidR="004D4EEB">
        <w:rPr>
          <w:rFonts w:cs="Times New Roman"/>
          <w:sz w:val="16"/>
          <w:szCs w:val="16"/>
          <w:lang w:val="lv-LV" w:eastAsia="lv-LV" w:bidi="ar-SA"/>
        </w:rPr>
        <w:t>.09.</w:t>
      </w:r>
      <w:r w:rsidR="000C15E2">
        <w:rPr>
          <w:rFonts w:cs="Times New Roman"/>
          <w:sz w:val="16"/>
          <w:szCs w:val="16"/>
          <w:lang w:val="lv-LV" w:eastAsia="lv-LV" w:bidi="ar-SA"/>
        </w:rPr>
        <w:t>.2014 15:47</w:t>
      </w:r>
    </w:p>
    <w:p w:rsidR="000C15E2" w:rsidRPr="000C15E2" w:rsidRDefault="000C15E2" w:rsidP="000C15E2">
      <w:pPr>
        <w:rPr>
          <w:rFonts w:cs="Times New Roman"/>
          <w:sz w:val="16"/>
          <w:szCs w:val="16"/>
          <w:lang w:val="lv-LV" w:eastAsia="lv-LV" w:bidi="ar-SA"/>
        </w:rPr>
      </w:pPr>
      <w:r>
        <w:rPr>
          <w:rFonts w:cs="Times New Roman"/>
          <w:sz w:val="16"/>
          <w:szCs w:val="16"/>
          <w:lang w:val="lv-LV" w:eastAsia="lv-LV" w:bidi="ar-SA"/>
        </w:rPr>
        <w:t>3</w:t>
      </w:r>
      <w:r w:rsidR="006B2012">
        <w:rPr>
          <w:rFonts w:cs="Times New Roman"/>
          <w:sz w:val="16"/>
          <w:szCs w:val="16"/>
          <w:lang w:val="lv-LV" w:eastAsia="lv-LV" w:bidi="ar-SA"/>
        </w:rPr>
        <w:t>2</w:t>
      </w:r>
      <w:r w:rsidR="008900F0">
        <w:rPr>
          <w:rFonts w:cs="Times New Roman"/>
          <w:sz w:val="16"/>
          <w:szCs w:val="16"/>
          <w:lang w:val="lv-LV" w:eastAsia="lv-LV" w:bidi="ar-SA"/>
        </w:rPr>
        <w:t>9</w:t>
      </w:r>
    </w:p>
    <w:p w:rsidR="000C15E2" w:rsidRPr="000C15E2" w:rsidRDefault="000C15E2" w:rsidP="000C15E2">
      <w:pPr>
        <w:rPr>
          <w:rFonts w:cs="Times New Roman"/>
          <w:sz w:val="16"/>
          <w:szCs w:val="16"/>
          <w:lang w:val="lv-LV" w:eastAsia="lv-LV" w:bidi="ar-SA"/>
        </w:rPr>
      </w:pPr>
      <w:r w:rsidRPr="000C15E2">
        <w:rPr>
          <w:rFonts w:cs="Times New Roman"/>
          <w:sz w:val="16"/>
          <w:szCs w:val="16"/>
          <w:lang w:val="lv-LV" w:eastAsia="lv-LV" w:bidi="ar-SA"/>
        </w:rPr>
        <w:t>Marija Kalvāne</w:t>
      </w:r>
    </w:p>
    <w:p w:rsidR="000C15E2" w:rsidRPr="000C15E2" w:rsidRDefault="000C15E2" w:rsidP="000C15E2">
      <w:pPr>
        <w:rPr>
          <w:rFonts w:cs="Times New Roman"/>
          <w:sz w:val="16"/>
          <w:szCs w:val="16"/>
          <w:lang w:val="lv-LV" w:eastAsia="lv-LV" w:bidi="ar-SA"/>
        </w:rPr>
      </w:pPr>
      <w:r w:rsidRPr="000C15E2">
        <w:rPr>
          <w:rFonts w:cs="Times New Roman"/>
          <w:sz w:val="16"/>
          <w:szCs w:val="16"/>
          <w:lang w:val="lv-LV" w:eastAsia="lv-LV" w:bidi="ar-SA"/>
        </w:rPr>
        <w:t>tālr.:67335372</w:t>
      </w:r>
    </w:p>
    <w:p w:rsidR="000C15E2" w:rsidRDefault="000C15E2" w:rsidP="000C15E2">
      <w:pPr>
        <w:rPr>
          <w:rFonts w:cs="Times New Roman"/>
          <w:sz w:val="16"/>
          <w:szCs w:val="16"/>
          <w:lang w:val="lv-LV" w:eastAsia="lv-LV" w:bidi="ar-SA"/>
        </w:rPr>
      </w:pPr>
      <w:r w:rsidRPr="000C15E2">
        <w:rPr>
          <w:rFonts w:cs="Times New Roman"/>
          <w:sz w:val="16"/>
          <w:szCs w:val="16"/>
          <w:lang w:val="lv-LV" w:eastAsia="lv-LV" w:bidi="ar-SA"/>
        </w:rPr>
        <w:t>marija.kalvane@rjc.gov.lv</w:t>
      </w: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p w:rsidR="000C15E2" w:rsidRDefault="000C15E2" w:rsidP="00085A58">
      <w:pPr>
        <w:rPr>
          <w:rFonts w:cs="Times New Roman"/>
          <w:sz w:val="16"/>
          <w:szCs w:val="16"/>
          <w:lang w:val="lv-LV" w:eastAsia="lv-LV" w:bidi="ar-SA"/>
        </w:rPr>
      </w:pPr>
    </w:p>
    <w:sectPr w:rsidR="000C15E2" w:rsidSect="00F932FD">
      <w:headerReference w:type="default" r:id="rId9"/>
      <w:footerReference w:type="default" r:id="rId10"/>
      <w:pgSz w:w="11906" w:h="16838"/>
      <w:pgMar w:top="144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E2" w:rsidRDefault="004354E2" w:rsidP="00793251">
      <w:r>
        <w:separator/>
      </w:r>
    </w:p>
  </w:endnote>
  <w:endnote w:type="continuationSeparator" w:id="0">
    <w:p w:rsidR="004354E2" w:rsidRDefault="004354E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0C15E2" w:rsidRDefault="00793251" w:rsidP="00F932FD">
    <w:pPr>
      <w:pStyle w:val="Footer"/>
      <w:tabs>
        <w:tab w:val="clear" w:pos="8306"/>
        <w:tab w:val="right" w:pos="8789"/>
      </w:tabs>
      <w:jc w:val="both"/>
    </w:pPr>
    <w:r>
      <w:rPr>
        <w:lang w:val="lv-LV"/>
      </w:rPr>
      <w:t>AIMAnot_</w:t>
    </w:r>
    <w:r w:rsidR="00597CCD">
      <w:rPr>
        <w:lang w:val="lv-LV"/>
      </w:rPr>
      <w:t>30092014</w:t>
    </w:r>
    <w:r>
      <w:rPr>
        <w:lang w:val="lv-LV"/>
      </w:rPr>
      <w:t xml:space="preserve">; </w:t>
    </w:r>
    <w:r w:rsidR="002447A7" w:rsidRPr="004165EC">
      <w:t xml:space="preserve">Ministru kabineta noteikumu projekta </w:t>
    </w:r>
    <w:r w:rsidR="000C15E2">
      <w:t>„Grozījums Ministru kabineta 2009.gada 15.decembra noteikumos Nr.1419 „Rekrutēšanas un jaunsardzes centra nolikums”” sākotnējās ietekmes novērtējuma ziņojums (anotācija)</w:t>
    </w:r>
    <w:r w:rsidR="00F932FD">
      <w:t xml:space="preserve">                                     </w:t>
    </w:r>
    <w:r w:rsidR="00F932FD">
      <w:tab/>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E2" w:rsidRDefault="004354E2" w:rsidP="00793251">
      <w:r>
        <w:separator/>
      </w:r>
    </w:p>
  </w:footnote>
  <w:footnote w:type="continuationSeparator" w:id="0">
    <w:p w:rsidR="004354E2" w:rsidRDefault="004354E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Default="00793251">
    <w:pPr>
      <w:pStyle w:val="Header"/>
      <w:jc w:val="center"/>
    </w:pPr>
  </w:p>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5A58"/>
    <w:rsid w:val="000C15E2"/>
    <w:rsid w:val="000E4F01"/>
    <w:rsid w:val="000E69BF"/>
    <w:rsid w:val="000F24DA"/>
    <w:rsid w:val="00122D36"/>
    <w:rsid w:val="0014533C"/>
    <w:rsid w:val="00165001"/>
    <w:rsid w:val="001876F0"/>
    <w:rsid w:val="001919C8"/>
    <w:rsid w:val="0019390A"/>
    <w:rsid w:val="001C25DB"/>
    <w:rsid w:val="001E4F19"/>
    <w:rsid w:val="001F2472"/>
    <w:rsid w:val="00224D82"/>
    <w:rsid w:val="0023329C"/>
    <w:rsid w:val="002447A7"/>
    <w:rsid w:val="0026236D"/>
    <w:rsid w:val="002768AB"/>
    <w:rsid w:val="002F78A1"/>
    <w:rsid w:val="00304507"/>
    <w:rsid w:val="003912AC"/>
    <w:rsid w:val="00392F78"/>
    <w:rsid w:val="003B1EE2"/>
    <w:rsid w:val="003F48FA"/>
    <w:rsid w:val="003F7185"/>
    <w:rsid w:val="00410148"/>
    <w:rsid w:val="0043361D"/>
    <w:rsid w:val="004354E2"/>
    <w:rsid w:val="004600D1"/>
    <w:rsid w:val="004630A0"/>
    <w:rsid w:val="004917C2"/>
    <w:rsid w:val="00493591"/>
    <w:rsid w:val="004B734A"/>
    <w:rsid w:val="004D4EEB"/>
    <w:rsid w:val="00504AE1"/>
    <w:rsid w:val="00547F0F"/>
    <w:rsid w:val="005570E8"/>
    <w:rsid w:val="0058356D"/>
    <w:rsid w:val="00597CCD"/>
    <w:rsid w:val="005E2B7A"/>
    <w:rsid w:val="005E5934"/>
    <w:rsid w:val="005F1F40"/>
    <w:rsid w:val="00650AAC"/>
    <w:rsid w:val="0065610B"/>
    <w:rsid w:val="006673C3"/>
    <w:rsid w:val="006B2012"/>
    <w:rsid w:val="007635F3"/>
    <w:rsid w:val="00792E1A"/>
    <w:rsid w:val="00793251"/>
    <w:rsid w:val="007954E6"/>
    <w:rsid w:val="00797A20"/>
    <w:rsid w:val="007C5FAD"/>
    <w:rsid w:val="007C6210"/>
    <w:rsid w:val="007F1D73"/>
    <w:rsid w:val="008118E4"/>
    <w:rsid w:val="008804EF"/>
    <w:rsid w:val="008900F0"/>
    <w:rsid w:val="008D504F"/>
    <w:rsid w:val="008E0711"/>
    <w:rsid w:val="009213E1"/>
    <w:rsid w:val="0093126B"/>
    <w:rsid w:val="00937BED"/>
    <w:rsid w:val="009504AB"/>
    <w:rsid w:val="00961EAA"/>
    <w:rsid w:val="00963455"/>
    <w:rsid w:val="00972D20"/>
    <w:rsid w:val="00976F2C"/>
    <w:rsid w:val="009A48D6"/>
    <w:rsid w:val="009B0629"/>
    <w:rsid w:val="009B32A9"/>
    <w:rsid w:val="009B4033"/>
    <w:rsid w:val="009D7E83"/>
    <w:rsid w:val="009F1792"/>
    <w:rsid w:val="009F3FB7"/>
    <w:rsid w:val="00A26527"/>
    <w:rsid w:val="00A370D3"/>
    <w:rsid w:val="00A544D0"/>
    <w:rsid w:val="00A64623"/>
    <w:rsid w:val="00A669D6"/>
    <w:rsid w:val="00A86F3B"/>
    <w:rsid w:val="00A92979"/>
    <w:rsid w:val="00AE08B7"/>
    <w:rsid w:val="00AE5374"/>
    <w:rsid w:val="00AF1B83"/>
    <w:rsid w:val="00AF3AC3"/>
    <w:rsid w:val="00B3041C"/>
    <w:rsid w:val="00B42912"/>
    <w:rsid w:val="00B47AF6"/>
    <w:rsid w:val="00B56DB1"/>
    <w:rsid w:val="00B80259"/>
    <w:rsid w:val="00B91C5E"/>
    <w:rsid w:val="00BA6DC0"/>
    <w:rsid w:val="00BD1131"/>
    <w:rsid w:val="00C15175"/>
    <w:rsid w:val="00C53718"/>
    <w:rsid w:val="00C729FB"/>
    <w:rsid w:val="00CB7EEF"/>
    <w:rsid w:val="00D160CD"/>
    <w:rsid w:val="00D44DF6"/>
    <w:rsid w:val="00D46EE5"/>
    <w:rsid w:val="00D50FA7"/>
    <w:rsid w:val="00D7483A"/>
    <w:rsid w:val="00DA55F2"/>
    <w:rsid w:val="00DD0703"/>
    <w:rsid w:val="00E03389"/>
    <w:rsid w:val="00E20B65"/>
    <w:rsid w:val="00E64ADC"/>
    <w:rsid w:val="00E65F9E"/>
    <w:rsid w:val="00EB5489"/>
    <w:rsid w:val="00EC4DBC"/>
    <w:rsid w:val="00EC627B"/>
    <w:rsid w:val="00F22346"/>
    <w:rsid w:val="00F44D94"/>
    <w:rsid w:val="00F5351A"/>
    <w:rsid w:val="00F64DAF"/>
    <w:rsid w:val="00F74DE5"/>
    <w:rsid w:val="00F90283"/>
    <w:rsid w:val="00F932FD"/>
    <w:rsid w:val="00FA014F"/>
    <w:rsid w:val="00FA22E4"/>
    <w:rsid w:val="00FD24CA"/>
    <w:rsid w:val="00FD7483"/>
    <w:rsid w:val="00FE2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FCEF-1374-4440-9FB8-3F3144E1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1912</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5.oktobra noteikumos Nr.947 "Karavīru un zemessargu militārās disciplīnas reglaments"" sākotnējās ietekmes novērtējuma ziņojums (anotācija)</vt:lpstr>
    </vt:vector>
  </TitlesOfParts>
  <Manager>Aizsardzības ministrija</Manager>
  <Company>Aizsardzības ministrija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5.oktobra noteikumos Nr.947 "Karavīru un zemessargu militārās disciplīnas reglaments"" sākotnējās ietekmes novērtējuma ziņojums (anotācija)</dc:title>
  <dc:subject>anotācija</dc:subject>
  <dc:creator>V.Upeniece</dc:creator>
  <dc:description>Vita.Upeniece@mod.gov.lv; 67335077</dc:description>
  <cp:lastModifiedBy>Laimdota Adlere</cp:lastModifiedBy>
  <cp:revision>4</cp:revision>
  <cp:lastPrinted>2014-09-29T07:07:00Z</cp:lastPrinted>
  <dcterms:created xsi:type="dcterms:W3CDTF">2014-10-07T05:37:00Z</dcterms:created>
  <dcterms:modified xsi:type="dcterms:W3CDTF">2014-10-07T05:37:00Z</dcterms:modified>
</cp:coreProperties>
</file>