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Spacing w:w="0" w:type="dxa"/>
        <w:tblInd w:w="-142" w:type="dxa"/>
        <w:tblLayout w:type="fixed"/>
        <w:tblCellMar>
          <w:left w:w="0" w:type="dxa"/>
          <w:right w:w="0" w:type="dxa"/>
        </w:tblCellMar>
        <w:tblLook w:val="04A0" w:firstRow="1" w:lastRow="0" w:firstColumn="1" w:lastColumn="0" w:noHBand="0" w:noVBand="1"/>
      </w:tblPr>
      <w:tblGrid>
        <w:gridCol w:w="10206"/>
        <w:gridCol w:w="78"/>
        <w:gridCol w:w="64"/>
      </w:tblGrid>
      <w:tr w:rsidR="004A6B38" w:rsidRPr="004A6B38" w:rsidTr="000D14EC">
        <w:trPr>
          <w:tblCellSpacing w:w="0" w:type="dxa"/>
        </w:trPr>
        <w:tc>
          <w:tcPr>
            <w:tcW w:w="10206" w:type="dxa"/>
            <w:hideMark/>
          </w:tcPr>
          <w:p w:rsidR="00C85505" w:rsidRPr="00F87525" w:rsidRDefault="00C85505" w:rsidP="00A611EF">
            <w:pPr>
              <w:jc w:val="center"/>
              <w:rPr>
                <w:rFonts w:cs="Times New Roman"/>
                <w:sz w:val="28"/>
                <w:szCs w:val="28"/>
                <w:lang w:eastAsia="lv-LV" w:bidi="ar-SA"/>
              </w:rPr>
            </w:pPr>
            <w:bookmarkStart w:id="0" w:name="_GoBack"/>
            <w:bookmarkEnd w:id="0"/>
            <w:r w:rsidRPr="00F87525">
              <w:rPr>
                <w:rFonts w:cs="Times New Roman"/>
                <w:sz w:val="28"/>
                <w:szCs w:val="28"/>
                <w:lang w:eastAsia="lv-LV" w:bidi="ar-SA"/>
              </w:rPr>
              <w:t>Ministru kabineta noteikumu projekta</w:t>
            </w:r>
          </w:p>
          <w:p w:rsidR="000D14EC" w:rsidRPr="00F87525" w:rsidRDefault="000D14EC" w:rsidP="000D14EC">
            <w:pPr>
              <w:jc w:val="center"/>
              <w:rPr>
                <w:rFonts w:cs="Times New Roman"/>
                <w:b/>
                <w:bCs/>
                <w:sz w:val="28"/>
                <w:szCs w:val="28"/>
                <w:lang w:eastAsia="lv-LV" w:bidi="ar-SA"/>
              </w:rPr>
            </w:pPr>
            <w:r w:rsidRPr="00F87525">
              <w:rPr>
                <w:rFonts w:cs="Times New Roman"/>
                <w:b/>
                <w:bCs/>
                <w:sz w:val="28"/>
                <w:szCs w:val="28"/>
                <w:lang w:eastAsia="lv-LV" w:bidi="ar-SA"/>
              </w:rPr>
              <w:t xml:space="preserve">„Noteikumi par bijušajiem zemessargiem apmaksājamiem veselības aprūpes pakalpojumiem, kā arī izdevumu </w:t>
            </w:r>
            <w:r w:rsidR="00477BFC" w:rsidRPr="00F87525">
              <w:rPr>
                <w:rFonts w:cs="Times New Roman"/>
                <w:b/>
                <w:bCs/>
                <w:sz w:val="28"/>
                <w:szCs w:val="28"/>
                <w:lang w:eastAsia="lv-LV" w:bidi="ar-SA"/>
              </w:rPr>
              <w:t xml:space="preserve">apjomu </w:t>
            </w:r>
            <w:r w:rsidRPr="00F87525">
              <w:rPr>
                <w:rFonts w:cs="Times New Roman"/>
                <w:b/>
                <w:bCs/>
                <w:sz w:val="28"/>
                <w:szCs w:val="28"/>
                <w:lang w:eastAsia="lv-LV" w:bidi="ar-SA"/>
              </w:rPr>
              <w:t>un samaksas kārtību”</w:t>
            </w:r>
          </w:p>
          <w:p w:rsidR="00FD1817" w:rsidRPr="00F87525" w:rsidRDefault="00FD1817" w:rsidP="00A611EF">
            <w:pPr>
              <w:jc w:val="center"/>
              <w:rPr>
                <w:rFonts w:cs="Times New Roman"/>
                <w:bCs/>
                <w:sz w:val="24"/>
                <w:szCs w:val="24"/>
                <w:lang w:eastAsia="lv-LV" w:bidi="ar-SA"/>
              </w:rPr>
            </w:pPr>
            <w:r w:rsidRPr="00F87525">
              <w:rPr>
                <w:rFonts w:cs="Times New Roman"/>
                <w:bCs/>
                <w:sz w:val="28"/>
                <w:szCs w:val="28"/>
                <w:lang w:eastAsia="lv-LV" w:bidi="ar-SA"/>
              </w:rPr>
              <w:t>sākotnējās ietekmes novērtējuma ziņojums (anotācija</w:t>
            </w:r>
            <w:r w:rsidRPr="00F87525">
              <w:rPr>
                <w:rFonts w:cs="Times New Roman"/>
                <w:bCs/>
                <w:sz w:val="24"/>
                <w:szCs w:val="24"/>
                <w:lang w:eastAsia="lv-LV" w:bidi="ar-SA"/>
              </w:rPr>
              <w:t>)</w:t>
            </w:r>
          </w:p>
          <w:p w:rsidR="00FD1817" w:rsidRPr="00F87525" w:rsidRDefault="00FD1817" w:rsidP="00FD1817">
            <w:pPr>
              <w:spacing w:before="45" w:line="360" w:lineRule="auto"/>
              <w:jc w:val="center"/>
              <w:rPr>
                <w:rFonts w:cs="Times New Roman"/>
                <w:i/>
                <w:iCs/>
                <w:sz w:val="24"/>
                <w:szCs w:val="24"/>
                <w:lang w:eastAsia="lv-LV" w:bidi="ar-SA"/>
              </w:rPr>
            </w:pPr>
          </w:p>
          <w:tbl>
            <w:tblPr>
              <w:tblW w:w="10198"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9"/>
              <w:gridCol w:w="2286"/>
              <w:gridCol w:w="7503"/>
            </w:tblGrid>
            <w:tr w:rsidR="004A6B38" w:rsidRPr="004A6B38" w:rsidTr="00C85505">
              <w:trPr>
                <w:trHeight w:val="405"/>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bCs/>
                      <w:sz w:val="24"/>
                      <w:szCs w:val="24"/>
                      <w:lang w:eastAsia="lv-LV" w:bidi="ar-SA"/>
                    </w:rPr>
                  </w:pPr>
                  <w:r w:rsidRPr="00F87525">
                    <w:rPr>
                      <w:rFonts w:cs="Times New Roman"/>
                      <w:bCs/>
                      <w:sz w:val="24"/>
                      <w:szCs w:val="24"/>
                      <w:lang w:eastAsia="lv-LV" w:bidi="ar-SA"/>
                    </w:rPr>
                    <w:t>I. Tiesību akta projekta izstrādes nepieciešamība</w:t>
                  </w:r>
                </w:p>
              </w:tc>
            </w:tr>
            <w:tr w:rsidR="004A6B38" w:rsidRPr="004A6B38" w:rsidTr="00C85505">
              <w:trPr>
                <w:trHeight w:val="405"/>
                <w:tblCellSpacing w:w="15" w:type="dxa"/>
              </w:trPr>
              <w:tc>
                <w:tcPr>
                  <w:tcW w:w="179"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1.</w:t>
                  </w:r>
                </w:p>
              </w:tc>
              <w:tc>
                <w:tcPr>
                  <w:tcW w:w="1113"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Pamatojums</w:t>
                  </w:r>
                </w:p>
              </w:tc>
              <w:tc>
                <w:tcPr>
                  <w:tcW w:w="3649" w:type="pct"/>
                  <w:tcBorders>
                    <w:top w:val="outset" w:sz="6" w:space="0" w:color="auto"/>
                    <w:left w:val="outset" w:sz="6" w:space="0" w:color="auto"/>
                    <w:bottom w:val="outset" w:sz="6" w:space="0" w:color="auto"/>
                    <w:right w:val="outset" w:sz="6" w:space="0" w:color="auto"/>
                  </w:tcBorders>
                  <w:hideMark/>
                </w:tcPr>
                <w:p w:rsidR="00A611EF" w:rsidRPr="00F87525" w:rsidRDefault="00A611EF" w:rsidP="00A611EF">
                  <w:pPr>
                    <w:jc w:val="both"/>
                    <w:rPr>
                      <w:rFonts w:cs="Times New Roman"/>
                      <w:sz w:val="24"/>
                      <w:szCs w:val="24"/>
                    </w:rPr>
                  </w:pPr>
                  <w:r w:rsidRPr="00F87525">
                    <w:rPr>
                      <w:rFonts w:cs="Times New Roman"/>
                      <w:sz w:val="24"/>
                      <w:szCs w:val="24"/>
                    </w:rPr>
                    <w:t>Saeimā 2014.gada 22.maijā pieņemti grozījumi Latvijas Republikas Zemessardzes likumā, kas stājas spēkā 2014.gada 18.jūnijā. Latvijas Republikas Zemessardzes likums ir papildināts ar 34.panta 3.</w:t>
                  </w:r>
                  <w:r w:rsidRPr="00F87525">
                    <w:rPr>
                      <w:rFonts w:cs="Times New Roman"/>
                      <w:sz w:val="24"/>
                      <w:szCs w:val="24"/>
                      <w:vertAlign w:val="superscript"/>
                    </w:rPr>
                    <w:t xml:space="preserve">1 </w:t>
                  </w:r>
                  <w:r w:rsidRPr="00F87525">
                    <w:rPr>
                      <w:rFonts w:cs="Times New Roman"/>
                      <w:sz w:val="24"/>
                      <w:szCs w:val="24"/>
                    </w:rPr>
                    <w:t xml:space="preserve">daļu, kas paredz </w:t>
                  </w:r>
                  <w:r w:rsidR="000F393E" w:rsidRPr="00F87525">
                    <w:rPr>
                      <w:rFonts w:cs="Times New Roman"/>
                      <w:sz w:val="24"/>
                      <w:szCs w:val="24"/>
                    </w:rPr>
                    <w:t xml:space="preserve">pilnvarojumu </w:t>
                  </w:r>
                  <w:r w:rsidRPr="00F87525">
                    <w:rPr>
                      <w:rFonts w:cs="Times New Roman"/>
                      <w:sz w:val="24"/>
                      <w:szCs w:val="24"/>
                    </w:rPr>
                    <w:t>Ministru kabinetam noteikt bijušajiem zemessargiem</w:t>
                  </w:r>
                  <w:r w:rsidRPr="004A6B38">
                    <w:rPr>
                      <w:rFonts w:cs="Times New Roman"/>
                      <w:sz w:val="24"/>
                      <w:szCs w:val="24"/>
                    </w:rPr>
                    <w:t xml:space="preserve">, ar kuriem līgums par dienestu </w:t>
                  </w:r>
                  <w:r w:rsidR="006A65CB" w:rsidRPr="004A6B38">
                    <w:rPr>
                      <w:rFonts w:cs="Times New Roman"/>
                      <w:sz w:val="24"/>
                      <w:szCs w:val="24"/>
                    </w:rPr>
                    <w:t xml:space="preserve">Latvijas Republikas </w:t>
                  </w:r>
                  <w:r w:rsidRPr="004A6B38">
                    <w:rPr>
                      <w:rFonts w:cs="Times New Roman"/>
                      <w:sz w:val="24"/>
                      <w:szCs w:val="24"/>
                    </w:rPr>
                    <w:t>Zemessardzē</w:t>
                  </w:r>
                  <w:r w:rsidR="006A65CB" w:rsidRPr="004A6B38">
                    <w:rPr>
                      <w:rFonts w:cs="Times New Roman"/>
                      <w:sz w:val="24"/>
                      <w:szCs w:val="24"/>
                    </w:rPr>
                    <w:t xml:space="preserve"> (turpmāk</w:t>
                  </w:r>
                  <w:r w:rsidR="000F393E" w:rsidRPr="004A6B38">
                    <w:rPr>
                      <w:rFonts w:cs="Times New Roman"/>
                      <w:sz w:val="24"/>
                      <w:szCs w:val="24"/>
                    </w:rPr>
                    <w:t xml:space="preserve"> -</w:t>
                  </w:r>
                  <w:r w:rsidR="006A65CB" w:rsidRPr="004A6B38">
                    <w:rPr>
                      <w:rFonts w:cs="Times New Roman"/>
                      <w:sz w:val="24"/>
                      <w:szCs w:val="24"/>
                    </w:rPr>
                    <w:t xml:space="preserve"> Zemessardze)</w:t>
                  </w:r>
                  <w:r w:rsidRPr="004A6B38">
                    <w:rPr>
                      <w:rFonts w:cs="Times New Roman"/>
                      <w:sz w:val="24"/>
                      <w:szCs w:val="24"/>
                    </w:rPr>
                    <w:t xml:space="preserve"> ir izbeigts invaliditātes vai ievainojuma (sakropļojuma, kontūzijas) dēļ, kas iegūts, pildot Zemessardzes uzdevumus vai piedaloties apmācībā, vai slimības dēļ, kuras cēlonis ir saistīts ar Zemessardzes uzdevumu pildīšanu vai dalību apmācībā</w:t>
                  </w:r>
                  <w:r w:rsidR="000F393E" w:rsidRPr="004A6B38">
                    <w:rPr>
                      <w:rFonts w:cs="Times New Roman"/>
                      <w:sz w:val="24"/>
                      <w:szCs w:val="24"/>
                    </w:rPr>
                    <w:t xml:space="preserve"> (turpmāk – bijušie zemessargi)</w:t>
                  </w:r>
                  <w:r w:rsidRPr="004A6B38">
                    <w:rPr>
                      <w:rFonts w:cs="Times New Roman"/>
                      <w:sz w:val="24"/>
                      <w:szCs w:val="24"/>
                    </w:rPr>
                    <w:t xml:space="preserve">, apmaksājamās veselības aprūpes apjomu un saņemšanas kārtību. </w:t>
                  </w:r>
                </w:p>
                <w:p w:rsidR="00FD1817" w:rsidRPr="00F87525" w:rsidRDefault="00A611EF" w:rsidP="00F87525">
                  <w:pPr>
                    <w:jc w:val="both"/>
                    <w:rPr>
                      <w:rFonts w:cs="Times New Roman"/>
                      <w:sz w:val="24"/>
                      <w:szCs w:val="24"/>
                      <w:lang w:eastAsia="lv-LV" w:bidi="ar-SA"/>
                    </w:rPr>
                  </w:pPr>
                  <w:r w:rsidRPr="00F87525">
                    <w:rPr>
                      <w:rFonts w:cs="Times New Roman"/>
                      <w:sz w:val="24"/>
                      <w:szCs w:val="24"/>
                    </w:rPr>
                    <w:t xml:space="preserve">Ministru kabineta noteikumu projekts „Noteikumi par </w:t>
                  </w:r>
                  <w:r w:rsidR="000F393E" w:rsidRPr="00F87525">
                    <w:rPr>
                      <w:rFonts w:cs="Times New Roman"/>
                      <w:sz w:val="24"/>
                      <w:szCs w:val="24"/>
                    </w:rPr>
                    <w:t xml:space="preserve">bijušajiem </w:t>
                  </w:r>
                  <w:r w:rsidRPr="00F87525">
                    <w:rPr>
                      <w:rFonts w:cs="Times New Roman"/>
                      <w:sz w:val="24"/>
                      <w:szCs w:val="24"/>
                    </w:rPr>
                    <w:t xml:space="preserve">zemessargiem apmaksājamo veselības aprūpes pakalpojumu veidiem un izdevumu apmaksas kārtību un </w:t>
                  </w:r>
                  <w:r w:rsidR="00477BFC" w:rsidRPr="00F87525">
                    <w:rPr>
                      <w:rFonts w:cs="Times New Roman"/>
                      <w:sz w:val="24"/>
                      <w:szCs w:val="24"/>
                    </w:rPr>
                    <w:t xml:space="preserve"> apjomu</w:t>
                  </w:r>
                  <w:r w:rsidRPr="00F87525">
                    <w:rPr>
                      <w:rFonts w:cs="Times New Roman"/>
                      <w:sz w:val="24"/>
                      <w:szCs w:val="24"/>
                    </w:rPr>
                    <w:t>” (turpmāk – noteikumu projekts) izstrādāts, lai izpildītu Latvijas Republikas Zemessardzes likuma 34.panta 3.</w:t>
                  </w:r>
                  <w:r w:rsidRPr="00F87525">
                    <w:rPr>
                      <w:rFonts w:cs="Times New Roman"/>
                      <w:sz w:val="24"/>
                      <w:szCs w:val="24"/>
                      <w:vertAlign w:val="superscript"/>
                    </w:rPr>
                    <w:t>1</w:t>
                  </w:r>
                  <w:r w:rsidRPr="00F87525">
                    <w:rPr>
                      <w:rFonts w:cs="Times New Roman"/>
                      <w:sz w:val="24"/>
                      <w:szCs w:val="24"/>
                    </w:rPr>
                    <w:t xml:space="preserve"> daļas </w:t>
                  </w:r>
                  <w:r w:rsidR="000835E8" w:rsidRPr="00F87525">
                    <w:rPr>
                      <w:rFonts w:cs="Times New Roman"/>
                      <w:sz w:val="24"/>
                      <w:szCs w:val="24"/>
                    </w:rPr>
                    <w:t xml:space="preserve"> </w:t>
                  </w:r>
                  <w:r w:rsidR="000F393E" w:rsidRPr="00F87525">
                    <w:rPr>
                      <w:rFonts w:cs="Times New Roman"/>
                      <w:sz w:val="24"/>
                      <w:szCs w:val="24"/>
                    </w:rPr>
                    <w:t>pilnvarojumu</w:t>
                  </w:r>
                  <w:r w:rsidR="00477BFC" w:rsidRPr="00F87525">
                    <w:rPr>
                      <w:rFonts w:cs="Times New Roman"/>
                      <w:sz w:val="24"/>
                      <w:szCs w:val="24"/>
                    </w:rPr>
                    <w:t xml:space="preserve"> Ministru kabinetam</w:t>
                  </w:r>
                  <w:r w:rsidRPr="00F87525">
                    <w:rPr>
                      <w:rFonts w:cs="Times New Roman"/>
                      <w:sz w:val="24"/>
                      <w:szCs w:val="24"/>
                    </w:rPr>
                    <w:t>.</w:t>
                  </w:r>
                </w:p>
              </w:tc>
            </w:tr>
            <w:tr w:rsidR="004A6B38" w:rsidRPr="004A6B38" w:rsidTr="00C85505">
              <w:trPr>
                <w:trHeight w:val="465"/>
                <w:tblCellSpacing w:w="15" w:type="dxa"/>
              </w:trPr>
              <w:tc>
                <w:tcPr>
                  <w:tcW w:w="179"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2.</w:t>
                  </w:r>
                </w:p>
              </w:tc>
              <w:tc>
                <w:tcPr>
                  <w:tcW w:w="1113"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Pašreizējā situācija un problēmas, kuru risināšanai tiesību akta projekts izstrādāts, tiesiskā regulējuma mērķis un būtība</w:t>
                  </w:r>
                </w:p>
              </w:tc>
              <w:tc>
                <w:tcPr>
                  <w:tcW w:w="3649" w:type="pct"/>
                  <w:tcBorders>
                    <w:top w:val="outset" w:sz="6" w:space="0" w:color="auto"/>
                    <w:left w:val="outset" w:sz="6" w:space="0" w:color="auto"/>
                    <w:bottom w:val="outset" w:sz="6" w:space="0" w:color="auto"/>
                    <w:right w:val="outset" w:sz="6" w:space="0" w:color="auto"/>
                  </w:tcBorders>
                  <w:hideMark/>
                </w:tcPr>
                <w:p w:rsidR="00A611EF" w:rsidRPr="00F87525" w:rsidRDefault="00A611EF" w:rsidP="00A611EF">
                  <w:pPr>
                    <w:jc w:val="both"/>
                    <w:rPr>
                      <w:rFonts w:cs="Times New Roman"/>
                      <w:sz w:val="24"/>
                      <w:szCs w:val="24"/>
                    </w:rPr>
                  </w:pPr>
                  <w:r w:rsidRPr="004A6B38">
                    <w:rPr>
                      <w:rFonts w:cs="Times New Roman"/>
                      <w:sz w:val="24"/>
                      <w:szCs w:val="24"/>
                    </w:rPr>
                    <w:t xml:space="preserve">Šobrīd </w:t>
                  </w:r>
                  <w:r w:rsidR="000F393E" w:rsidRPr="004A6B38">
                    <w:rPr>
                      <w:rFonts w:cs="Times New Roman"/>
                      <w:sz w:val="24"/>
                      <w:szCs w:val="24"/>
                    </w:rPr>
                    <w:t xml:space="preserve">bijušajiem </w:t>
                  </w:r>
                  <w:r w:rsidRPr="004A6B38">
                    <w:rPr>
                      <w:rFonts w:cs="Times New Roman"/>
                      <w:sz w:val="24"/>
                      <w:szCs w:val="24"/>
                    </w:rPr>
                    <w:t xml:space="preserve">zemessargiem veselības aprūpes izdevumi netiek apmaksāti. Līdz šim saskaņā ar Latvijas Republikas Zemessardzes likuma 34.panta trešo daļu apmaksāta veselības aprūpe tiek nodrošināta tikai dienestā esošajiem zemessargiem. </w:t>
                  </w:r>
                </w:p>
                <w:p w:rsidR="00A611EF" w:rsidRPr="00F87525" w:rsidRDefault="00A611EF" w:rsidP="00A611EF">
                  <w:pPr>
                    <w:jc w:val="both"/>
                    <w:rPr>
                      <w:rFonts w:cs="Times New Roman"/>
                      <w:sz w:val="24"/>
                      <w:szCs w:val="24"/>
                      <w:lang w:eastAsia="lv-LV" w:bidi="ar-SA"/>
                    </w:rPr>
                  </w:pPr>
                  <w:r w:rsidRPr="00F87525">
                    <w:rPr>
                      <w:rFonts w:cs="Times New Roman"/>
                      <w:sz w:val="24"/>
                      <w:szCs w:val="24"/>
                      <w:lang w:eastAsia="lv-LV" w:bidi="ar-SA"/>
                    </w:rPr>
                    <w:t>Noteikumu projekts izstrādāts, lai izpildītu Latvijas Republikas Zemessardzes likuma 34.panta 3.</w:t>
                  </w:r>
                  <w:r w:rsidRPr="00F87525">
                    <w:rPr>
                      <w:rFonts w:cs="Times New Roman"/>
                      <w:sz w:val="24"/>
                      <w:szCs w:val="24"/>
                      <w:vertAlign w:val="superscript"/>
                      <w:lang w:eastAsia="lv-LV" w:bidi="ar-SA"/>
                    </w:rPr>
                    <w:t xml:space="preserve">1 </w:t>
                  </w:r>
                  <w:r w:rsidRPr="00F87525">
                    <w:rPr>
                      <w:rFonts w:cs="Times New Roman"/>
                      <w:sz w:val="24"/>
                      <w:szCs w:val="24"/>
                      <w:lang w:eastAsia="lv-LV" w:bidi="ar-SA"/>
                    </w:rPr>
                    <w:t xml:space="preserve">daļā doto </w:t>
                  </w:r>
                  <w:r w:rsidR="000F393E" w:rsidRPr="00F87525">
                    <w:rPr>
                      <w:rFonts w:cs="Times New Roman"/>
                      <w:sz w:val="24"/>
                      <w:szCs w:val="24"/>
                      <w:lang w:eastAsia="lv-LV" w:bidi="ar-SA"/>
                    </w:rPr>
                    <w:t xml:space="preserve">pilnvarojumu </w:t>
                  </w:r>
                  <w:r w:rsidRPr="00F87525">
                    <w:rPr>
                      <w:rFonts w:cs="Times New Roman"/>
                      <w:sz w:val="24"/>
                      <w:szCs w:val="24"/>
                      <w:lang w:eastAsia="lv-LV" w:bidi="ar-SA"/>
                    </w:rPr>
                    <w:t xml:space="preserve">- noteikt apmaksājamo veselības aprūpes pakalpojumu veidus, izdevumu apmaksas kārtību un </w:t>
                  </w:r>
                  <w:r w:rsidR="00477BFC" w:rsidRPr="00F87525">
                    <w:rPr>
                      <w:rFonts w:cs="Times New Roman"/>
                      <w:sz w:val="24"/>
                      <w:szCs w:val="24"/>
                      <w:lang w:eastAsia="lv-LV" w:bidi="ar-SA"/>
                    </w:rPr>
                    <w:t xml:space="preserve">apjomu </w:t>
                  </w:r>
                  <w:r w:rsidR="000F393E" w:rsidRPr="00F87525">
                    <w:rPr>
                      <w:rFonts w:cs="Times New Roman"/>
                      <w:sz w:val="24"/>
                      <w:szCs w:val="24"/>
                      <w:lang w:eastAsia="lv-LV" w:bidi="ar-SA"/>
                    </w:rPr>
                    <w:t xml:space="preserve">bijušajiem </w:t>
                  </w:r>
                  <w:r w:rsidRPr="00F87525">
                    <w:rPr>
                      <w:rFonts w:cs="Times New Roman"/>
                      <w:sz w:val="24"/>
                      <w:szCs w:val="24"/>
                      <w:lang w:eastAsia="lv-LV" w:bidi="ar-SA"/>
                    </w:rPr>
                    <w:t>zemessargiem</w:t>
                  </w:r>
                  <w:r w:rsidR="00794D98" w:rsidRPr="00F87525">
                    <w:rPr>
                      <w:rFonts w:cs="Times New Roman"/>
                      <w:sz w:val="24"/>
                      <w:szCs w:val="24"/>
                      <w:lang w:eastAsia="lv-LV" w:bidi="ar-SA"/>
                    </w:rPr>
                    <w:t>. Noteikum</w:t>
                  </w:r>
                  <w:r w:rsidR="0086597E" w:rsidRPr="00F87525">
                    <w:rPr>
                      <w:rFonts w:cs="Times New Roman"/>
                      <w:sz w:val="24"/>
                      <w:szCs w:val="24"/>
                      <w:lang w:eastAsia="lv-LV" w:bidi="ar-SA"/>
                    </w:rPr>
                    <w:t>u projekts ir izstrādāts</w:t>
                  </w:r>
                  <w:r w:rsidR="000C7C60" w:rsidRPr="00F87525">
                    <w:rPr>
                      <w:rFonts w:cs="Times New Roman"/>
                      <w:sz w:val="24"/>
                      <w:szCs w:val="24"/>
                      <w:lang w:eastAsia="lv-LV" w:bidi="ar-SA"/>
                    </w:rPr>
                    <w:t>,</w:t>
                  </w:r>
                  <w:r w:rsidR="00794D98" w:rsidRPr="00F87525">
                    <w:rPr>
                      <w:rFonts w:cs="Times New Roman"/>
                      <w:sz w:val="24"/>
                      <w:szCs w:val="24"/>
                      <w:lang w:eastAsia="lv-LV" w:bidi="ar-SA"/>
                    </w:rPr>
                    <w:t xml:space="preserve"> ņemot par pamatu</w:t>
                  </w:r>
                  <w:r w:rsidR="0086597E" w:rsidRPr="00F87525">
                    <w:rPr>
                      <w:rFonts w:cs="Times New Roman"/>
                      <w:sz w:val="24"/>
                      <w:szCs w:val="24"/>
                      <w:lang w:eastAsia="lv-LV" w:bidi="ar-SA"/>
                    </w:rPr>
                    <w:t xml:space="preserve"> MK </w:t>
                  </w:r>
                  <w:r w:rsidR="00794D98" w:rsidRPr="00F87525">
                    <w:rPr>
                      <w:rFonts w:cs="Times New Roman"/>
                      <w:sz w:val="24"/>
                      <w:szCs w:val="24"/>
                      <w:lang w:eastAsia="lv-LV" w:bidi="ar-SA"/>
                    </w:rPr>
                    <w:t>2013</w:t>
                  </w:r>
                  <w:r w:rsidR="0086597E" w:rsidRPr="00F87525">
                    <w:rPr>
                      <w:rFonts w:cs="Times New Roman"/>
                      <w:sz w:val="24"/>
                      <w:szCs w:val="24"/>
                      <w:lang w:eastAsia="lv-LV" w:bidi="ar-SA"/>
                    </w:rPr>
                    <w:t>.gada 20.augusta</w:t>
                  </w:r>
                  <w:r w:rsidR="00794D98" w:rsidRPr="00F87525">
                    <w:rPr>
                      <w:rFonts w:cs="Times New Roman"/>
                      <w:sz w:val="24"/>
                      <w:szCs w:val="24"/>
                      <w:lang w:eastAsia="lv-LV" w:bidi="ar-SA"/>
                    </w:rPr>
                    <w:t xml:space="preserve"> noteikumus Nr. 590 „Noteikumi par atvaļinātajiem karavīriem apmaksājamajiem veselības aprūpes pakalpojumiem, kā arī izdevumu apmēru un samaksas kārtību”.</w:t>
                  </w:r>
                </w:p>
                <w:p w:rsidR="00A611EF" w:rsidRPr="004A6B38" w:rsidRDefault="00A611EF" w:rsidP="00A611EF">
                  <w:pPr>
                    <w:ind w:firstLine="300"/>
                    <w:jc w:val="both"/>
                    <w:rPr>
                      <w:rFonts w:cs="Times New Roman"/>
                      <w:sz w:val="24"/>
                      <w:szCs w:val="24"/>
                      <w:lang w:eastAsia="lv-LV" w:bidi="ar-SA"/>
                    </w:rPr>
                  </w:pPr>
                  <w:r w:rsidRPr="004A6B38">
                    <w:rPr>
                      <w:rFonts w:cs="Times New Roman"/>
                      <w:sz w:val="24"/>
                      <w:szCs w:val="24"/>
                    </w:rPr>
                    <w:t xml:space="preserve">Noteikumu projekts paredz </w:t>
                  </w:r>
                  <w:r w:rsidRPr="00F87525">
                    <w:rPr>
                      <w:rFonts w:cs="Times New Roman"/>
                      <w:sz w:val="24"/>
                      <w:szCs w:val="24"/>
                    </w:rPr>
                    <w:t xml:space="preserve">bijušajiem </w:t>
                  </w:r>
                  <w:r w:rsidRPr="004A6B38">
                    <w:rPr>
                      <w:rFonts w:cs="Times New Roman"/>
                      <w:sz w:val="24"/>
                      <w:szCs w:val="24"/>
                    </w:rPr>
                    <w:t>Zemessargiem</w:t>
                  </w:r>
                  <w:r w:rsidRPr="00F87525">
                    <w:rPr>
                      <w:rFonts w:cs="Times New Roman"/>
                      <w:sz w:val="24"/>
                      <w:szCs w:val="24"/>
                      <w:lang w:eastAsia="lv-LV" w:bidi="ar-SA"/>
                    </w:rPr>
                    <w:t xml:space="preserve">, ar kuriem līgums par dienestu Zemessardzē ir izbeigts invaliditātes vai ievainojuma (sakropļojuma, kontūzijas) dēļ, kas iegūts, pildot Zemessardzes uzdevumus vai piedaloties apmācībā, vai slimības dēļ, kuras cēlonis ir saistīts ar Zemessardzes uzdevumu pildīšanu vai dalību apmācībā </w:t>
                  </w:r>
                  <w:r w:rsidRPr="004A6B38">
                    <w:rPr>
                      <w:rFonts w:cs="Times New Roman"/>
                      <w:sz w:val="24"/>
                      <w:szCs w:val="24"/>
                      <w:lang w:eastAsia="lv-LV" w:bidi="ar-SA"/>
                    </w:rPr>
                    <w:t xml:space="preserve">segt pacienta iemaksas un līdzmaksājumus par veselības aprūpes pakalpojumiem saskaņā ar normatīvajiem aktiem par veselības aprūpes finansēšanu, </w:t>
                  </w:r>
                  <w:r w:rsidR="000F393E" w:rsidRPr="004A6B38">
                    <w:rPr>
                      <w:rFonts w:cs="Times New Roman"/>
                      <w:sz w:val="24"/>
                      <w:szCs w:val="24"/>
                      <w:lang w:eastAsia="lv-LV" w:bidi="ar-SA"/>
                    </w:rPr>
                    <w:t xml:space="preserve">zāļu </w:t>
                  </w:r>
                  <w:r w:rsidRPr="004A6B38">
                    <w:rPr>
                      <w:rFonts w:cs="Times New Roman"/>
                      <w:sz w:val="24"/>
                      <w:szCs w:val="24"/>
                      <w:lang w:eastAsia="lv-LV" w:bidi="ar-SA"/>
                    </w:rPr>
                    <w:t xml:space="preserve">iegādi, </w:t>
                  </w:r>
                  <w:r w:rsidR="000F393E" w:rsidRPr="004A6B38">
                    <w:rPr>
                      <w:rFonts w:cs="Times New Roman"/>
                      <w:sz w:val="24"/>
                      <w:szCs w:val="24"/>
                      <w:lang w:eastAsia="lv-LV" w:bidi="ar-SA"/>
                    </w:rPr>
                    <w:t xml:space="preserve">kuras iekļautas </w:t>
                  </w:r>
                  <w:r w:rsidRPr="004A6B38">
                    <w:rPr>
                      <w:rFonts w:cs="Times New Roman"/>
                      <w:sz w:val="24"/>
                      <w:szCs w:val="24"/>
                      <w:lang w:eastAsia="lv-LV" w:bidi="ar-SA"/>
                    </w:rPr>
                    <w:t>Latvijas Republikas zāļu</w:t>
                  </w:r>
                  <w:r w:rsidR="006A65CB" w:rsidRPr="004A6B38">
                    <w:rPr>
                      <w:rFonts w:cs="Times New Roman"/>
                      <w:sz w:val="24"/>
                      <w:szCs w:val="24"/>
                      <w:lang w:eastAsia="lv-LV" w:bidi="ar-SA"/>
                    </w:rPr>
                    <w:t xml:space="preserve"> reģistrā kā recepšu zāles</w:t>
                  </w:r>
                  <w:r w:rsidRPr="00F87525">
                    <w:rPr>
                      <w:rFonts w:cs="Times New Roman"/>
                      <w:sz w:val="24"/>
                      <w:szCs w:val="24"/>
                      <w:lang w:eastAsia="lv-LV" w:bidi="ar-SA"/>
                    </w:rPr>
                    <w:t xml:space="preserve">, </w:t>
                  </w:r>
                  <w:r w:rsidRPr="004A6B38">
                    <w:rPr>
                      <w:rFonts w:cs="Times New Roman"/>
                      <w:sz w:val="24"/>
                      <w:szCs w:val="24"/>
                      <w:lang w:eastAsia="lv-LV" w:bidi="ar-SA"/>
                    </w:rPr>
                    <w:t xml:space="preserve">laboratoriskos izmeklējumus saskaņā ar medicīniskām indikācijām un ar ārstējošā ārsta nosūtījumu, fizikālās terapijas procedūras un medicīniskās manipulācijas saskaņā ar medicīniskām indikācijām un ar ārstējošā ārsta nosūtījumu, bet medicīniskās rehabilitācijas pakalpojumus reizi gadā, nepārsniedzot 569,15 </w:t>
                  </w:r>
                  <w:r w:rsidRPr="004A6B38">
                    <w:rPr>
                      <w:rFonts w:cs="Times New Roman"/>
                      <w:i/>
                      <w:iCs/>
                      <w:sz w:val="24"/>
                      <w:szCs w:val="24"/>
                      <w:lang w:eastAsia="lv-LV" w:bidi="ar-SA"/>
                    </w:rPr>
                    <w:t>euro</w:t>
                  </w:r>
                  <w:r w:rsidRPr="004A6B38">
                    <w:rPr>
                      <w:rFonts w:cs="Times New Roman"/>
                      <w:sz w:val="24"/>
                      <w:szCs w:val="24"/>
                      <w:lang w:eastAsia="lv-LV" w:bidi="ar-SA"/>
                    </w:rPr>
                    <w:t xml:space="preserve">, medicīnisko ierīču iegādi un maksas veselības aprūpes pakalpojumus, ja tie saistīti ar dienesta laikā, pildot Zemessardzes </w:t>
                  </w:r>
                  <w:r w:rsidRPr="004A6B38">
                    <w:rPr>
                      <w:rFonts w:cs="Times New Roman"/>
                      <w:sz w:val="24"/>
                      <w:szCs w:val="24"/>
                      <w:lang w:eastAsia="lv-LV" w:bidi="ar-SA"/>
                    </w:rPr>
                    <w:lastRenderedPageBreak/>
                    <w:t xml:space="preserve">uzdevumus vai piedaloties apmācībā, gūtajām traumām un ievainojumiem vai to sekām. </w:t>
                  </w:r>
                </w:p>
                <w:p w:rsidR="00E27888" w:rsidRPr="004A6B38" w:rsidRDefault="00E27888" w:rsidP="00A611EF">
                  <w:pPr>
                    <w:ind w:firstLine="300"/>
                    <w:jc w:val="both"/>
                    <w:rPr>
                      <w:rFonts w:cs="Times New Roman"/>
                      <w:sz w:val="24"/>
                      <w:szCs w:val="24"/>
                      <w:lang w:eastAsia="lv-LV" w:bidi="ar-SA"/>
                    </w:rPr>
                  </w:pPr>
                </w:p>
                <w:p w:rsidR="00FD1817" w:rsidRPr="00F87525" w:rsidRDefault="00FD1817" w:rsidP="00FD1817">
                  <w:pPr>
                    <w:rPr>
                      <w:rFonts w:cs="Times New Roman"/>
                      <w:sz w:val="24"/>
                      <w:szCs w:val="24"/>
                      <w:lang w:eastAsia="lv-LV" w:bidi="ar-SA"/>
                    </w:rPr>
                  </w:pPr>
                </w:p>
              </w:tc>
            </w:tr>
            <w:tr w:rsidR="004A6B38" w:rsidRPr="004A6B38" w:rsidTr="00C85505">
              <w:trPr>
                <w:trHeight w:val="465"/>
                <w:tblCellSpacing w:w="15" w:type="dxa"/>
              </w:trPr>
              <w:tc>
                <w:tcPr>
                  <w:tcW w:w="179"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lastRenderedPageBreak/>
                    <w:t>3.</w:t>
                  </w:r>
                </w:p>
              </w:tc>
              <w:tc>
                <w:tcPr>
                  <w:tcW w:w="1113"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Projekta izstrādē iesaistītās institūcijas</w:t>
                  </w:r>
                </w:p>
              </w:tc>
              <w:tc>
                <w:tcPr>
                  <w:tcW w:w="3649" w:type="pct"/>
                  <w:tcBorders>
                    <w:top w:val="outset" w:sz="6" w:space="0" w:color="auto"/>
                    <w:left w:val="outset" w:sz="6" w:space="0" w:color="auto"/>
                    <w:bottom w:val="outset" w:sz="6" w:space="0" w:color="auto"/>
                    <w:right w:val="outset" w:sz="6" w:space="0" w:color="auto"/>
                  </w:tcBorders>
                  <w:hideMark/>
                </w:tcPr>
                <w:p w:rsidR="00FD1817" w:rsidRPr="00F87525" w:rsidRDefault="003C46FD" w:rsidP="00FD1817">
                  <w:pPr>
                    <w:rPr>
                      <w:rFonts w:cs="Times New Roman"/>
                      <w:sz w:val="24"/>
                      <w:szCs w:val="24"/>
                      <w:lang w:eastAsia="lv-LV" w:bidi="ar-SA"/>
                    </w:rPr>
                  </w:pPr>
                  <w:r w:rsidRPr="00F87525">
                    <w:rPr>
                      <w:rFonts w:cs="Times New Roman"/>
                      <w:sz w:val="24"/>
                      <w:szCs w:val="24"/>
                    </w:rPr>
                    <w:t>Aizsardzības ministrija, Nacionālie bruņotie spēki.</w:t>
                  </w:r>
                </w:p>
              </w:tc>
            </w:tr>
            <w:tr w:rsidR="004A6B38" w:rsidRPr="004A6B38" w:rsidTr="00C85505">
              <w:trPr>
                <w:tblCellSpacing w:w="15" w:type="dxa"/>
              </w:trPr>
              <w:tc>
                <w:tcPr>
                  <w:tcW w:w="179"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4.</w:t>
                  </w:r>
                </w:p>
              </w:tc>
              <w:tc>
                <w:tcPr>
                  <w:tcW w:w="1113"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Cita informācija</w:t>
                  </w:r>
                </w:p>
              </w:tc>
              <w:tc>
                <w:tcPr>
                  <w:tcW w:w="3649"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87525">
                  <w:pPr>
                    <w:spacing w:before="100" w:beforeAutospacing="1" w:after="100" w:afterAutospacing="1" w:line="360" w:lineRule="auto"/>
                    <w:rPr>
                      <w:rFonts w:cs="Times New Roman"/>
                      <w:sz w:val="24"/>
                      <w:szCs w:val="24"/>
                      <w:lang w:eastAsia="lv-LV" w:bidi="ar-SA"/>
                    </w:rPr>
                  </w:pPr>
                  <w:r w:rsidRPr="00F87525">
                    <w:rPr>
                      <w:rFonts w:cs="Times New Roman"/>
                      <w:sz w:val="24"/>
                      <w:szCs w:val="24"/>
                      <w:lang w:eastAsia="lv-LV" w:bidi="ar-SA"/>
                    </w:rPr>
                    <w:t>Nav</w:t>
                  </w:r>
                </w:p>
              </w:tc>
            </w:tr>
          </w:tbl>
          <w:p w:rsidR="00FD1817" w:rsidRPr="00F87525" w:rsidRDefault="00FD1817" w:rsidP="00FD1817">
            <w:pPr>
              <w:spacing w:before="100" w:beforeAutospacing="1" w:after="100" w:afterAutospacing="1" w:line="360" w:lineRule="auto"/>
              <w:rPr>
                <w:rFonts w:cs="Times New Roman"/>
                <w:sz w:val="24"/>
                <w:szCs w:val="24"/>
                <w:lang w:eastAsia="lv-LV" w:bidi="ar-SA"/>
              </w:rPr>
            </w:pPr>
            <w:r w:rsidRPr="00F87525">
              <w:rPr>
                <w:rFonts w:cs="Times New Roman"/>
                <w:sz w:val="24"/>
                <w:szCs w:val="24"/>
                <w:lang w:eastAsia="lv-LV" w:bidi="ar-SA"/>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8"/>
              <w:gridCol w:w="3152"/>
              <w:gridCol w:w="6490"/>
            </w:tblGrid>
            <w:tr w:rsidR="004A6B38" w:rsidRPr="004A6B38" w:rsidTr="00FD1817">
              <w:trPr>
                <w:trHeight w:val="555"/>
                <w:tblCellSpacing w:w="15" w:type="dxa"/>
              </w:trPr>
              <w:tc>
                <w:tcPr>
                  <w:tcW w:w="8162" w:type="dxa"/>
                  <w:gridSpan w:val="3"/>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b/>
                      <w:bCs/>
                      <w:sz w:val="24"/>
                      <w:szCs w:val="24"/>
                      <w:lang w:eastAsia="lv-LV" w:bidi="ar-SA"/>
                    </w:rPr>
                  </w:pPr>
                  <w:r w:rsidRPr="00F87525">
                    <w:rPr>
                      <w:rFonts w:cs="Times New Roman"/>
                      <w:b/>
                      <w:bCs/>
                      <w:sz w:val="24"/>
                      <w:szCs w:val="24"/>
                      <w:lang w:eastAsia="lv-LV" w:bidi="ar-SA"/>
                    </w:rPr>
                    <w:t>II. Tiesību akta projekta ietekme uz sabiedrību, tautsaimniecības attīstību un administratīvo slogu</w:t>
                  </w:r>
                </w:p>
              </w:tc>
            </w:tr>
            <w:tr w:rsidR="004A6B38" w:rsidRPr="004A6B38" w:rsidTr="00FD1817">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1.</w:t>
                  </w:r>
                </w:p>
              </w:tc>
              <w:tc>
                <w:tcPr>
                  <w:tcW w:w="15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86597E" w:rsidRPr="004A6B38" w:rsidRDefault="0086597E" w:rsidP="0086597E">
                  <w:pPr>
                    <w:spacing w:before="100" w:beforeAutospacing="1" w:after="100" w:afterAutospacing="1"/>
                    <w:jc w:val="both"/>
                    <w:rPr>
                      <w:rFonts w:cs="Times New Roman"/>
                      <w:sz w:val="24"/>
                      <w:szCs w:val="24"/>
                      <w:lang w:eastAsia="lv-LV" w:bidi="ar-SA"/>
                    </w:rPr>
                  </w:pPr>
                  <w:r w:rsidRPr="004A6B38">
                    <w:rPr>
                      <w:rFonts w:cs="Times New Roman"/>
                      <w:sz w:val="24"/>
                      <w:szCs w:val="24"/>
                      <w:lang w:eastAsia="lv-LV" w:bidi="ar-SA"/>
                    </w:rPr>
                    <w:t>1.</w:t>
                  </w:r>
                  <w:r w:rsidR="000F393E" w:rsidRPr="004A6B38">
                    <w:rPr>
                      <w:rFonts w:cs="Times New Roman"/>
                      <w:sz w:val="24"/>
                      <w:szCs w:val="24"/>
                      <w:lang w:eastAsia="lv-LV" w:bidi="ar-SA"/>
                    </w:rPr>
                    <w:t xml:space="preserve"> </w:t>
                  </w:r>
                  <w:r w:rsidR="003C46FD" w:rsidRPr="004A6B38">
                    <w:rPr>
                      <w:rFonts w:cs="Times New Roman"/>
                      <w:sz w:val="24"/>
                      <w:szCs w:val="24"/>
                      <w:lang w:eastAsia="lv-LV" w:bidi="ar-SA"/>
                    </w:rPr>
                    <w:t>Zemessargi, kuri ir izslēgti no Zemessardzes un atbrīvoti no dienesta invaliditātes, ievainojuma (sakropļojuma, kontūzijas) dēļ, kas iegūts dienesta laikā, pildot Zemessardzes uzdevumus vai piedaloties apmācībā, vai slimības dēļ, kuras cēlonis saistīts ar dienesta izpildi Zemessardzē vai dalību apmācībā.</w:t>
                  </w:r>
                  <w:r w:rsidRPr="004A6B38">
                    <w:rPr>
                      <w:rFonts w:cs="Times New Roman"/>
                      <w:sz w:val="24"/>
                      <w:szCs w:val="24"/>
                      <w:lang w:eastAsia="lv-LV" w:bidi="ar-SA"/>
                    </w:rPr>
                    <w:t xml:space="preserve"> </w:t>
                  </w:r>
                  <w:r w:rsidR="003C46FD" w:rsidRPr="004A6B38">
                    <w:rPr>
                      <w:rFonts w:cs="Times New Roman"/>
                      <w:sz w:val="24"/>
                      <w:szCs w:val="24"/>
                      <w:lang w:eastAsia="lv-LV" w:bidi="ar-SA"/>
                    </w:rPr>
                    <w:t xml:space="preserve">2014.gadā plānotais skaits, kuri saņemtu apmaksājamo veselības aprūpi ir 2 </w:t>
                  </w:r>
                  <w:r w:rsidR="000F393E" w:rsidRPr="004A6B38">
                    <w:rPr>
                      <w:rFonts w:cs="Times New Roman"/>
                      <w:sz w:val="24"/>
                      <w:szCs w:val="24"/>
                      <w:lang w:eastAsia="lv-LV" w:bidi="ar-SA"/>
                    </w:rPr>
                    <w:t xml:space="preserve">bijušie  </w:t>
                  </w:r>
                  <w:r w:rsidR="003C46FD" w:rsidRPr="004A6B38">
                    <w:rPr>
                      <w:rFonts w:cs="Times New Roman"/>
                      <w:sz w:val="24"/>
                      <w:szCs w:val="24"/>
                      <w:lang w:eastAsia="lv-LV" w:bidi="ar-SA"/>
                    </w:rPr>
                    <w:t>zemessargi.</w:t>
                  </w:r>
                </w:p>
                <w:p w:rsidR="0086597E" w:rsidRPr="004A6B38" w:rsidRDefault="0086597E" w:rsidP="000F393E">
                  <w:pPr>
                    <w:spacing w:before="100" w:beforeAutospacing="1" w:after="100" w:afterAutospacing="1"/>
                    <w:jc w:val="both"/>
                    <w:rPr>
                      <w:rFonts w:cs="Times New Roman"/>
                      <w:sz w:val="24"/>
                      <w:szCs w:val="24"/>
                      <w:lang w:eastAsia="lv-LV" w:bidi="ar-SA"/>
                    </w:rPr>
                  </w:pPr>
                  <w:r w:rsidRPr="004A6B38">
                    <w:rPr>
                      <w:rFonts w:cs="Times New Roman"/>
                      <w:sz w:val="24"/>
                      <w:szCs w:val="24"/>
                      <w:lang w:eastAsia="lv-LV" w:bidi="ar-SA"/>
                    </w:rPr>
                    <w:t xml:space="preserve">2.Veselības aprūpes pakalpojuma </w:t>
                  </w:r>
                  <w:r w:rsidRPr="00F87525">
                    <w:rPr>
                      <w:rFonts w:cs="Times New Roman"/>
                      <w:sz w:val="24"/>
                      <w:szCs w:val="24"/>
                      <w:lang w:eastAsia="lv-LV" w:bidi="ar-SA"/>
                    </w:rPr>
                    <w:t>sniedzēji</w:t>
                  </w:r>
                  <w:r w:rsidR="000F393E" w:rsidRPr="00F87525">
                    <w:rPr>
                      <w:rFonts w:cs="Times New Roman"/>
                      <w:sz w:val="24"/>
                      <w:szCs w:val="24"/>
                      <w:lang w:eastAsia="lv-LV" w:bidi="ar-SA"/>
                    </w:rPr>
                    <w:t>,</w:t>
                  </w:r>
                  <w:r w:rsidRPr="00F87525">
                    <w:rPr>
                      <w:rFonts w:cs="Times New Roman"/>
                      <w:sz w:val="24"/>
                      <w:szCs w:val="24"/>
                      <w:lang w:eastAsia="lv-LV" w:bidi="ar-SA"/>
                    </w:rPr>
                    <w:t xml:space="preserve"> jo noteikumi paredz </w:t>
                  </w:r>
                  <w:r w:rsidR="000F393E" w:rsidRPr="00F87525">
                    <w:rPr>
                      <w:rFonts w:cs="Times New Roman"/>
                      <w:sz w:val="24"/>
                      <w:szCs w:val="24"/>
                      <w:lang w:eastAsia="lv-LV" w:bidi="ar-SA"/>
                    </w:rPr>
                    <w:t xml:space="preserve">Aizsardzības ministrijai </w:t>
                  </w:r>
                  <w:r w:rsidRPr="00F87525">
                    <w:rPr>
                      <w:rFonts w:cs="Times New Roman"/>
                      <w:sz w:val="24"/>
                      <w:szCs w:val="24"/>
                      <w:lang w:eastAsia="lv-LV" w:bidi="ar-SA"/>
                    </w:rPr>
                    <w:t xml:space="preserve">tiesības ar atvaļinātā zemessarga rakstisku piekrišanu pieprasīt no veselības aprūpes pakalpojuma sniedzēja papildu informāciju, lai pārbaudītu iesniegto dokumentu atbilstību faktiski saņemtajiem veselības aprūpes pakalpojumiem un noteiktajai diagnozei. </w:t>
                  </w:r>
                </w:p>
              </w:tc>
            </w:tr>
            <w:tr w:rsidR="004A6B38" w:rsidRPr="004A6B38" w:rsidTr="00FD181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2.</w:t>
                  </w:r>
                </w:p>
              </w:tc>
              <w:tc>
                <w:tcPr>
                  <w:tcW w:w="15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FD1817" w:rsidRPr="00F87525" w:rsidRDefault="00FA225A" w:rsidP="000F208A">
                  <w:pPr>
                    <w:spacing w:before="100" w:beforeAutospacing="1" w:after="100" w:afterAutospacing="1"/>
                    <w:jc w:val="both"/>
                    <w:rPr>
                      <w:rFonts w:cs="Times New Roman"/>
                      <w:sz w:val="24"/>
                      <w:szCs w:val="24"/>
                    </w:rPr>
                  </w:pPr>
                  <w:r w:rsidRPr="00F87525">
                    <w:rPr>
                      <w:rFonts w:cs="Times New Roman"/>
                      <w:sz w:val="24"/>
                      <w:szCs w:val="24"/>
                    </w:rPr>
                    <w:t xml:space="preserve">Aizsardzības ministrijai </w:t>
                  </w:r>
                  <w:r w:rsidR="00E27888" w:rsidRPr="00F87525">
                    <w:rPr>
                      <w:rFonts w:cs="Times New Roman"/>
                      <w:sz w:val="24"/>
                      <w:szCs w:val="24"/>
                    </w:rPr>
                    <w:t xml:space="preserve">būs tiesības ar </w:t>
                  </w:r>
                  <w:r w:rsidRPr="00F87525">
                    <w:rPr>
                      <w:rFonts w:cs="Times New Roman"/>
                      <w:sz w:val="24"/>
                      <w:szCs w:val="24"/>
                    </w:rPr>
                    <w:t xml:space="preserve">bijušā </w:t>
                  </w:r>
                  <w:r w:rsidR="00E27888" w:rsidRPr="00F87525">
                    <w:rPr>
                      <w:rFonts w:cs="Times New Roman"/>
                      <w:sz w:val="24"/>
                      <w:szCs w:val="24"/>
                    </w:rPr>
                    <w:t>zemessarga rakstisku piekrišanu pieprasīt no veselības aprūpes pakalpojuma sniedzēja papildu informāciju, lai pārbaudītu iesniegto dokumentu atbilstību faktiski saņemtajiem veselības aprūpes pakalpojumiem un noteiktajai diagnozei. Ievērojot Valsts pārvaldes iekārtas likuma 10. pantā noteiktos valsts pārvaldes principus, AM ievēros, lai valsts budžeta piešķirtie līdzekļi tiktu izlietoti tās noteiktajiem mērķiem, nepārkāpjot noteiktās privātpersonu tiesības. Fizisko personu datu aizsardzības likuma 7. panta 1. punkts nosaka, ka personas datu apstrāde ir atļauta, ja ir datu subjekta piekrišana</w:t>
                  </w:r>
                  <w:r w:rsidRPr="00F87525">
                    <w:rPr>
                      <w:rFonts w:cs="Times New Roman"/>
                      <w:sz w:val="24"/>
                      <w:szCs w:val="24"/>
                    </w:rPr>
                    <w:t xml:space="preserve">.  Līdz </w:t>
                  </w:r>
                  <w:r w:rsidR="00E27888" w:rsidRPr="00F87525">
                    <w:rPr>
                      <w:rFonts w:cs="Times New Roman"/>
                      <w:sz w:val="24"/>
                      <w:szCs w:val="24"/>
                    </w:rPr>
                    <w:t xml:space="preserve">ar to </w:t>
                  </w:r>
                  <w:r w:rsidRPr="00F87525">
                    <w:rPr>
                      <w:rFonts w:cs="Times New Roman"/>
                      <w:sz w:val="24"/>
                      <w:szCs w:val="24"/>
                    </w:rPr>
                    <w:t xml:space="preserve">Aizsardzības ministrija </w:t>
                  </w:r>
                  <w:r w:rsidR="00E27888" w:rsidRPr="00F87525">
                    <w:rPr>
                      <w:rFonts w:cs="Times New Roman"/>
                      <w:sz w:val="24"/>
                      <w:szCs w:val="24"/>
                    </w:rPr>
                    <w:t xml:space="preserve">varēs pieprasīt no veselības aprūpes sniedzēja informāciju tikai tad, ja būs dota </w:t>
                  </w:r>
                  <w:r w:rsidR="000F208A" w:rsidRPr="00F87525">
                    <w:rPr>
                      <w:rFonts w:cs="Times New Roman"/>
                      <w:sz w:val="24"/>
                      <w:szCs w:val="24"/>
                    </w:rPr>
                    <w:t xml:space="preserve">bijušā </w:t>
                  </w:r>
                  <w:r w:rsidR="00E27888" w:rsidRPr="00F87525">
                    <w:rPr>
                      <w:rFonts w:cs="Times New Roman"/>
                      <w:sz w:val="24"/>
                      <w:szCs w:val="24"/>
                    </w:rPr>
                    <w:t>z</w:t>
                  </w:r>
                  <w:r w:rsidR="00746842" w:rsidRPr="00F87525">
                    <w:rPr>
                      <w:rFonts w:cs="Times New Roman"/>
                      <w:sz w:val="24"/>
                      <w:szCs w:val="24"/>
                    </w:rPr>
                    <w:t>emessarg</w:t>
                  </w:r>
                  <w:r w:rsidR="000F208A" w:rsidRPr="00F87525">
                    <w:rPr>
                      <w:rFonts w:cs="Times New Roman"/>
                      <w:sz w:val="24"/>
                      <w:szCs w:val="24"/>
                    </w:rPr>
                    <w:t>a</w:t>
                  </w:r>
                  <w:r w:rsidR="00746842" w:rsidRPr="00F87525">
                    <w:rPr>
                      <w:rFonts w:cs="Times New Roman"/>
                      <w:sz w:val="24"/>
                      <w:szCs w:val="24"/>
                    </w:rPr>
                    <w:t xml:space="preserve"> rakstiska piekrišana. Ņemot vērā apkalpojamo personu skaitu, kā arī to</w:t>
                  </w:r>
                  <w:r w:rsidRPr="00F87525">
                    <w:rPr>
                      <w:rFonts w:cs="Times New Roman"/>
                      <w:sz w:val="24"/>
                      <w:szCs w:val="24"/>
                    </w:rPr>
                    <w:t>,</w:t>
                  </w:r>
                  <w:r w:rsidR="00746842" w:rsidRPr="00F87525">
                    <w:rPr>
                      <w:rFonts w:cs="Times New Roman"/>
                      <w:sz w:val="24"/>
                      <w:szCs w:val="24"/>
                    </w:rPr>
                    <w:t xml:space="preserve"> ka informācija tiks pieprasīta atsevišķos gadījumos, š</w:t>
                  </w:r>
                  <w:r w:rsidR="00E27888" w:rsidRPr="00F87525">
                    <w:rPr>
                      <w:rFonts w:cs="Times New Roman"/>
                      <w:sz w:val="24"/>
                      <w:szCs w:val="24"/>
                    </w:rPr>
                    <w:t xml:space="preserve">ādas darbības radīs </w:t>
                  </w:r>
                  <w:r w:rsidR="00746842" w:rsidRPr="00F87525">
                    <w:rPr>
                      <w:rFonts w:cs="Times New Roman"/>
                      <w:sz w:val="24"/>
                      <w:szCs w:val="24"/>
                    </w:rPr>
                    <w:t xml:space="preserve">maznozīmīgu </w:t>
                  </w:r>
                  <w:r w:rsidR="00E27888" w:rsidRPr="00F87525">
                    <w:rPr>
                      <w:rFonts w:cs="Times New Roman"/>
                      <w:sz w:val="24"/>
                      <w:szCs w:val="24"/>
                    </w:rPr>
                    <w:t>papildu administratīvo slogu veselības aprūpes pakalpojuma sniedz</w:t>
                  </w:r>
                  <w:r w:rsidR="00746842" w:rsidRPr="00F87525">
                    <w:rPr>
                      <w:rFonts w:cs="Times New Roman"/>
                      <w:sz w:val="24"/>
                      <w:szCs w:val="24"/>
                    </w:rPr>
                    <w:t xml:space="preserve">ējiem. </w:t>
                  </w:r>
                  <w:r w:rsidRPr="00F87525">
                    <w:rPr>
                      <w:rFonts w:cs="Times New Roman"/>
                      <w:sz w:val="24"/>
                      <w:szCs w:val="24"/>
                    </w:rPr>
                    <w:t xml:space="preserve">Šobrīd veselības aprūpes sniedzēji atsevišķos </w:t>
                  </w:r>
                  <w:r w:rsidR="00E27888" w:rsidRPr="00F87525">
                    <w:rPr>
                      <w:rFonts w:cs="Times New Roman"/>
                      <w:sz w:val="24"/>
                      <w:szCs w:val="24"/>
                    </w:rPr>
                    <w:t xml:space="preserve">gadījumos </w:t>
                  </w:r>
                  <w:r w:rsidRPr="00F87525">
                    <w:rPr>
                      <w:rFonts w:cs="Times New Roman"/>
                      <w:sz w:val="24"/>
                      <w:szCs w:val="24"/>
                    </w:rPr>
                    <w:t xml:space="preserve">jau </w:t>
                  </w:r>
                  <w:r w:rsidR="00E27888" w:rsidRPr="00F87525">
                    <w:rPr>
                      <w:rFonts w:cs="Times New Roman"/>
                      <w:sz w:val="24"/>
                      <w:szCs w:val="24"/>
                    </w:rPr>
                    <w:t xml:space="preserve">sniedz informāciju </w:t>
                  </w:r>
                  <w:r w:rsidR="00746842" w:rsidRPr="00F87525">
                    <w:rPr>
                      <w:rFonts w:cs="Times New Roman"/>
                      <w:sz w:val="24"/>
                      <w:szCs w:val="24"/>
                    </w:rPr>
                    <w:t xml:space="preserve">iestādēm par saviem </w:t>
                  </w:r>
                  <w:r w:rsidR="00746842" w:rsidRPr="00F87525">
                    <w:rPr>
                      <w:rFonts w:cs="Times New Roman"/>
                      <w:sz w:val="24"/>
                      <w:szCs w:val="24"/>
                    </w:rPr>
                    <w:lastRenderedPageBreak/>
                    <w:t>pacientiem normatīvajos aktos</w:t>
                  </w:r>
                  <w:r w:rsidR="00E27888" w:rsidRPr="00F87525">
                    <w:rPr>
                      <w:rFonts w:cs="Times New Roman"/>
                      <w:sz w:val="24"/>
                      <w:szCs w:val="24"/>
                    </w:rPr>
                    <w:t xml:space="preserve"> noteiktos gadījumos. Iesniegtā normatīvā akta projekta mērķis nav pieprasīt informāciju </w:t>
                  </w:r>
                  <w:r w:rsidR="00746842" w:rsidRPr="00F87525">
                    <w:rPr>
                      <w:rFonts w:cs="Times New Roman"/>
                      <w:sz w:val="24"/>
                      <w:szCs w:val="24"/>
                    </w:rPr>
                    <w:t>par katru iesniegumu</w:t>
                  </w:r>
                  <w:r w:rsidRPr="00F87525">
                    <w:rPr>
                      <w:rFonts w:cs="Times New Roman"/>
                      <w:sz w:val="24"/>
                      <w:szCs w:val="24"/>
                    </w:rPr>
                    <w:t>,</w:t>
                  </w:r>
                  <w:r w:rsidR="00746842" w:rsidRPr="00F87525">
                    <w:rPr>
                      <w:rFonts w:cs="Times New Roman"/>
                      <w:sz w:val="24"/>
                      <w:szCs w:val="24"/>
                    </w:rPr>
                    <w:t xml:space="preserve"> kurā</w:t>
                  </w:r>
                  <w:r w:rsidR="009C0EA5" w:rsidRPr="00F87525">
                    <w:rPr>
                      <w:rFonts w:cs="Times New Roman"/>
                      <w:sz w:val="24"/>
                      <w:szCs w:val="24"/>
                    </w:rPr>
                    <w:t xml:space="preserve"> </w:t>
                  </w:r>
                  <w:r w:rsidR="00CE2490" w:rsidRPr="00F87525">
                    <w:rPr>
                      <w:rFonts w:cs="Times New Roman"/>
                      <w:sz w:val="24"/>
                      <w:szCs w:val="24"/>
                    </w:rPr>
                    <w:t xml:space="preserve">bijušais </w:t>
                  </w:r>
                  <w:r w:rsidR="009C0EA5" w:rsidRPr="00F87525">
                    <w:rPr>
                      <w:rFonts w:cs="Times New Roman"/>
                      <w:sz w:val="24"/>
                      <w:szCs w:val="24"/>
                    </w:rPr>
                    <w:t xml:space="preserve">zemessargs lūdz atmaksāt </w:t>
                  </w:r>
                  <w:r w:rsidR="00E27888" w:rsidRPr="00F87525">
                    <w:rPr>
                      <w:rFonts w:cs="Times New Roman"/>
                      <w:sz w:val="24"/>
                      <w:szCs w:val="24"/>
                    </w:rPr>
                    <w:t>normatīvajos aktos noteikto valsts apmaksāto veselības aprūpi, bet atsevišķos gad</w:t>
                  </w:r>
                  <w:r w:rsidR="00746842" w:rsidRPr="00F87525">
                    <w:rPr>
                      <w:rFonts w:cs="Times New Roman"/>
                      <w:sz w:val="24"/>
                      <w:szCs w:val="24"/>
                    </w:rPr>
                    <w:t xml:space="preserve">ījumos, ja </w:t>
                  </w:r>
                  <w:r w:rsidRPr="00F87525">
                    <w:rPr>
                      <w:rFonts w:cs="Times New Roman"/>
                      <w:sz w:val="24"/>
                      <w:szCs w:val="24"/>
                    </w:rPr>
                    <w:t xml:space="preserve">Aizsardzības ministrijai radīsies </w:t>
                  </w:r>
                  <w:r w:rsidR="00746842" w:rsidRPr="00F87525">
                    <w:rPr>
                      <w:rFonts w:cs="Times New Roman"/>
                      <w:sz w:val="24"/>
                      <w:szCs w:val="24"/>
                    </w:rPr>
                    <w:t>neskaidrības par saņemtajiem veselības aprūpes pakalpojumiem vai to apmaksu.</w:t>
                  </w:r>
                  <w:r w:rsidR="009C0EA5" w:rsidRPr="00F87525">
                    <w:rPr>
                      <w:rFonts w:cs="Times New Roman"/>
                      <w:sz w:val="24"/>
                      <w:szCs w:val="24"/>
                    </w:rPr>
                    <w:t xml:space="preserve"> Tā tiks</w:t>
                  </w:r>
                  <w:r w:rsidR="00E27888" w:rsidRPr="00F87525">
                    <w:rPr>
                      <w:rFonts w:cs="Times New Roman"/>
                      <w:sz w:val="24"/>
                      <w:szCs w:val="24"/>
                    </w:rPr>
                    <w:t xml:space="preserve"> nodrošinātas valsts un sabiedrības intereses</w:t>
                  </w:r>
                  <w:r w:rsidRPr="00F87525">
                    <w:rPr>
                      <w:rFonts w:cs="Times New Roman"/>
                      <w:sz w:val="24"/>
                      <w:szCs w:val="24"/>
                    </w:rPr>
                    <w:t xml:space="preserve"> </w:t>
                  </w:r>
                  <w:r w:rsidR="00E27888" w:rsidRPr="00F87525">
                    <w:rPr>
                      <w:rFonts w:cs="Times New Roman"/>
                      <w:sz w:val="24"/>
                      <w:szCs w:val="24"/>
                    </w:rPr>
                    <w:t>- valsts budžeta pamatota izlietošana.</w:t>
                  </w:r>
                </w:p>
              </w:tc>
            </w:tr>
            <w:tr w:rsidR="004A6B38" w:rsidRPr="004A6B38" w:rsidTr="00FD181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FD1817" w:rsidRPr="00F87525" w:rsidRDefault="005559C7" w:rsidP="00CE2490">
                  <w:pPr>
                    <w:rPr>
                      <w:rFonts w:cs="Times New Roman"/>
                      <w:sz w:val="24"/>
                      <w:szCs w:val="24"/>
                      <w:lang w:eastAsia="lv-LV" w:bidi="ar-SA"/>
                    </w:rPr>
                  </w:pPr>
                  <w:r w:rsidRPr="004A6B38">
                    <w:rPr>
                      <w:rFonts w:cs="Times New Roman"/>
                      <w:sz w:val="24"/>
                      <w:szCs w:val="24"/>
                    </w:rPr>
                    <w:t xml:space="preserve">Administratīvās izmaksas (naudas izteiksmē) gada laikā </w:t>
                  </w:r>
                  <w:r w:rsidR="00FA225A" w:rsidRPr="004A6B38">
                    <w:rPr>
                      <w:rFonts w:cs="Times New Roman"/>
                      <w:sz w:val="24"/>
                      <w:szCs w:val="24"/>
                    </w:rPr>
                    <w:t>fiziskajām personām (bijušajiem zemessargiem)</w:t>
                  </w:r>
                  <w:r w:rsidRPr="004A6B38">
                    <w:rPr>
                      <w:rFonts w:cs="Times New Roman"/>
                      <w:sz w:val="24"/>
                      <w:szCs w:val="24"/>
                    </w:rPr>
                    <w:t xml:space="preserve"> </w:t>
                  </w:r>
                  <w:r w:rsidR="00CE2490" w:rsidRPr="004A6B38">
                    <w:rPr>
                      <w:rFonts w:cs="Times New Roman"/>
                      <w:sz w:val="24"/>
                      <w:szCs w:val="24"/>
                    </w:rPr>
                    <w:t xml:space="preserve">nepārsniegs </w:t>
                  </w:r>
                  <w:r w:rsidRPr="004A6B38">
                    <w:rPr>
                      <w:rFonts w:cs="Times New Roman"/>
                      <w:sz w:val="24"/>
                      <w:szCs w:val="24"/>
                    </w:rPr>
                    <w:t xml:space="preserve">200 </w:t>
                  </w:r>
                  <w:r w:rsidRPr="004A6B38">
                    <w:rPr>
                      <w:rFonts w:cs="Times New Roman"/>
                      <w:i/>
                      <w:iCs/>
                      <w:sz w:val="24"/>
                      <w:szCs w:val="24"/>
                    </w:rPr>
                    <w:t>euro</w:t>
                  </w:r>
                  <w:r w:rsidR="00FA225A" w:rsidRPr="004A6B38">
                    <w:rPr>
                      <w:rFonts w:cs="Times New Roman"/>
                      <w:i/>
                      <w:iCs/>
                      <w:sz w:val="24"/>
                      <w:szCs w:val="24"/>
                    </w:rPr>
                    <w:t xml:space="preserve">, </w:t>
                  </w:r>
                  <w:r w:rsidR="00FA225A" w:rsidRPr="00F87525">
                    <w:rPr>
                      <w:rFonts w:cs="Times New Roman"/>
                      <w:iCs/>
                      <w:sz w:val="24"/>
                      <w:szCs w:val="24"/>
                    </w:rPr>
                    <w:t>bet juridiskajām personām (veselības pakalpojumu sniedzējiem)</w:t>
                  </w:r>
                  <w:r w:rsidR="00CE2490" w:rsidRPr="004A6B38">
                    <w:rPr>
                      <w:rFonts w:cs="Times New Roman"/>
                      <w:iCs/>
                      <w:sz w:val="24"/>
                      <w:szCs w:val="24"/>
                    </w:rPr>
                    <w:t xml:space="preserve"> -</w:t>
                  </w:r>
                  <w:r w:rsidR="00FA225A" w:rsidRPr="00F87525">
                    <w:rPr>
                      <w:rFonts w:cs="Times New Roman"/>
                      <w:iCs/>
                      <w:sz w:val="24"/>
                      <w:szCs w:val="24"/>
                    </w:rPr>
                    <w:t xml:space="preserve"> 2000</w:t>
                  </w:r>
                  <w:r w:rsidR="00FA225A" w:rsidRPr="004A6B38">
                    <w:rPr>
                      <w:rFonts w:cs="Times New Roman"/>
                      <w:i/>
                      <w:iCs/>
                      <w:sz w:val="24"/>
                      <w:szCs w:val="24"/>
                    </w:rPr>
                    <w:t xml:space="preserve"> euro.</w:t>
                  </w:r>
                  <w:r w:rsidR="009C0EA5" w:rsidRPr="004A6B38">
                    <w:rPr>
                      <w:rFonts w:cs="Times New Roman"/>
                      <w:i/>
                      <w:iCs/>
                      <w:sz w:val="24"/>
                      <w:szCs w:val="24"/>
                    </w:rPr>
                    <w:t>.</w:t>
                  </w:r>
                </w:p>
              </w:tc>
            </w:tr>
            <w:tr w:rsidR="004A6B38" w:rsidRPr="004A6B38" w:rsidTr="00FD1817">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4.</w:t>
                  </w:r>
                </w:p>
              </w:tc>
              <w:tc>
                <w:tcPr>
                  <w:tcW w:w="15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FD1817" w:rsidRPr="00F87525" w:rsidRDefault="00D51155" w:rsidP="00D51155">
                  <w:pPr>
                    <w:spacing w:before="100" w:beforeAutospacing="1" w:after="100" w:afterAutospacing="1"/>
                    <w:jc w:val="center"/>
                    <w:rPr>
                      <w:rFonts w:cs="Times New Roman"/>
                      <w:sz w:val="24"/>
                      <w:szCs w:val="24"/>
                      <w:lang w:eastAsia="lv-LV" w:bidi="ar-SA"/>
                    </w:rPr>
                  </w:pPr>
                  <w:r w:rsidRPr="00F87525">
                    <w:rPr>
                      <w:rFonts w:cs="Times New Roman"/>
                      <w:sz w:val="24"/>
                      <w:szCs w:val="24"/>
                      <w:lang w:eastAsia="lv-LV" w:bidi="ar-SA"/>
                    </w:rPr>
                    <w:t>Nav</w:t>
                  </w:r>
                </w:p>
              </w:tc>
            </w:tr>
          </w:tbl>
          <w:p w:rsidR="00FD1817" w:rsidRPr="00F87525" w:rsidRDefault="00FD1817" w:rsidP="00FD1817">
            <w:pPr>
              <w:spacing w:before="100" w:beforeAutospacing="1" w:after="100" w:afterAutospacing="1" w:line="360" w:lineRule="auto"/>
              <w:rPr>
                <w:rFonts w:cs="Times New Roman"/>
                <w:sz w:val="24"/>
                <w:szCs w:val="24"/>
                <w:lang w:eastAsia="lv-LV" w:bidi="ar-SA"/>
              </w:rPr>
            </w:pPr>
            <w:r w:rsidRPr="00F87525">
              <w:rPr>
                <w:rFonts w:cs="Times New Roman"/>
                <w:sz w:val="24"/>
                <w:szCs w:val="24"/>
                <w:lang w:eastAsia="lv-LV" w:bidi="ar-SA"/>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820"/>
              <w:gridCol w:w="1134"/>
              <w:gridCol w:w="1538"/>
              <w:gridCol w:w="1228"/>
              <w:gridCol w:w="1327"/>
              <w:gridCol w:w="1143"/>
            </w:tblGrid>
            <w:tr w:rsidR="004A6B38" w:rsidRPr="004A6B38" w:rsidTr="000D14EC">
              <w:trPr>
                <w:trHeight w:val="360"/>
                <w:tblCellSpacing w:w="15" w:type="dxa"/>
                <w:jc w:val="center"/>
              </w:trPr>
              <w:tc>
                <w:tcPr>
                  <w:tcW w:w="10130" w:type="dxa"/>
                  <w:gridSpan w:val="6"/>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bCs/>
                      <w:sz w:val="24"/>
                      <w:szCs w:val="24"/>
                      <w:lang w:eastAsia="lv-LV" w:bidi="ar-SA"/>
                    </w:rPr>
                  </w:pPr>
                  <w:r w:rsidRPr="00F87525">
                    <w:rPr>
                      <w:rFonts w:cs="Times New Roman"/>
                      <w:bCs/>
                      <w:sz w:val="24"/>
                      <w:szCs w:val="24"/>
                      <w:lang w:eastAsia="lv-LV" w:bidi="ar-SA"/>
                    </w:rPr>
                    <w:t>III. Tiesību akta projekta ietekme uz valsts budžetu un pašvaldību budžetiem</w:t>
                  </w:r>
                </w:p>
              </w:tc>
            </w:tr>
            <w:tr w:rsidR="004A6B38" w:rsidRPr="004A6B38" w:rsidTr="000D14EC">
              <w:trPr>
                <w:tblCellSpacing w:w="15" w:type="dxa"/>
                <w:jc w:val="center"/>
              </w:trPr>
              <w:tc>
                <w:tcPr>
                  <w:tcW w:w="3775" w:type="dxa"/>
                  <w:vMerge w:val="restart"/>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bCs/>
                      <w:sz w:val="24"/>
                      <w:szCs w:val="24"/>
                      <w:lang w:eastAsia="lv-LV" w:bidi="ar-SA"/>
                    </w:rPr>
                  </w:pPr>
                  <w:r w:rsidRPr="00F87525">
                    <w:rPr>
                      <w:rFonts w:cs="Times New Roman"/>
                      <w:bCs/>
                      <w:sz w:val="24"/>
                      <w:szCs w:val="24"/>
                      <w:lang w:eastAsia="lv-LV" w:bidi="ar-SA"/>
                    </w:rPr>
                    <w:t>Rādītāji</w:t>
                  </w:r>
                </w:p>
              </w:tc>
              <w:tc>
                <w:tcPr>
                  <w:tcW w:w="264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D1817" w:rsidRPr="00F87525" w:rsidRDefault="005559C7" w:rsidP="00FD1817">
                  <w:pPr>
                    <w:spacing w:before="100" w:beforeAutospacing="1" w:after="100" w:afterAutospacing="1" w:line="360" w:lineRule="auto"/>
                    <w:jc w:val="center"/>
                    <w:rPr>
                      <w:rFonts w:cs="Times New Roman"/>
                      <w:bCs/>
                      <w:sz w:val="24"/>
                      <w:szCs w:val="24"/>
                      <w:lang w:eastAsia="lv-LV" w:bidi="ar-SA"/>
                    </w:rPr>
                  </w:pPr>
                  <w:r w:rsidRPr="00F87525">
                    <w:rPr>
                      <w:rFonts w:cs="Times New Roman"/>
                      <w:bCs/>
                      <w:sz w:val="24"/>
                      <w:szCs w:val="24"/>
                      <w:lang w:eastAsia="lv-LV" w:bidi="ar-SA"/>
                    </w:rPr>
                    <w:t>2014</w:t>
                  </w:r>
                  <w:r w:rsidR="00FD1817" w:rsidRPr="00F87525">
                    <w:rPr>
                      <w:rFonts w:cs="Times New Roman"/>
                      <w:bCs/>
                      <w:sz w:val="24"/>
                      <w:szCs w:val="24"/>
                      <w:lang w:eastAsia="lv-LV" w:bidi="ar-SA"/>
                    </w:rPr>
                    <w:t xml:space="preserve"> gads</w:t>
                  </w:r>
                </w:p>
              </w:tc>
              <w:tc>
                <w:tcPr>
                  <w:tcW w:w="3653" w:type="dxa"/>
                  <w:gridSpan w:val="3"/>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Turpmākie trīs gadi (</w:t>
                  </w:r>
                  <w:r w:rsidRPr="00F87525">
                    <w:rPr>
                      <w:rFonts w:cs="Times New Roman"/>
                      <w:i/>
                      <w:iCs/>
                      <w:sz w:val="24"/>
                      <w:szCs w:val="24"/>
                      <w:lang w:eastAsia="lv-LV" w:bidi="ar-SA"/>
                    </w:rPr>
                    <w:t>euro</w:t>
                  </w:r>
                  <w:r w:rsidRPr="00F87525">
                    <w:rPr>
                      <w:rFonts w:cs="Times New Roman"/>
                      <w:sz w:val="24"/>
                      <w:szCs w:val="24"/>
                      <w:lang w:eastAsia="lv-LV" w:bidi="ar-SA"/>
                    </w:rPr>
                    <w:t>)</w:t>
                  </w:r>
                </w:p>
              </w:tc>
            </w:tr>
            <w:tr w:rsidR="004A6B38" w:rsidRPr="004A6B38" w:rsidTr="000D14EC">
              <w:trPr>
                <w:tblCellSpacing w:w="15" w:type="dxa"/>
                <w:jc w:val="center"/>
              </w:trPr>
              <w:tc>
                <w:tcPr>
                  <w:tcW w:w="3775" w:type="dxa"/>
                  <w:vMerge/>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rPr>
                      <w:rFonts w:cs="Times New Roman"/>
                      <w:bCs/>
                      <w:sz w:val="24"/>
                      <w:szCs w:val="24"/>
                      <w:lang w:eastAsia="lv-LV" w:bidi="ar-SA"/>
                    </w:rPr>
                  </w:pPr>
                </w:p>
              </w:tc>
              <w:tc>
                <w:tcPr>
                  <w:tcW w:w="2642" w:type="dxa"/>
                  <w:gridSpan w:val="2"/>
                  <w:vMerge/>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rPr>
                      <w:rFonts w:cs="Times New Roman"/>
                      <w:bCs/>
                      <w:sz w:val="24"/>
                      <w:szCs w:val="24"/>
                      <w:lang w:eastAsia="lv-LV" w:bidi="ar-SA"/>
                    </w:rPr>
                  </w:pPr>
                </w:p>
              </w:tc>
              <w:tc>
                <w:tcPr>
                  <w:tcW w:w="1198"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bCs/>
                      <w:sz w:val="24"/>
                      <w:szCs w:val="24"/>
                      <w:lang w:eastAsia="lv-LV" w:bidi="ar-SA"/>
                    </w:rPr>
                  </w:pPr>
                  <w:r w:rsidRPr="00F87525">
                    <w:rPr>
                      <w:rFonts w:cs="Times New Roman"/>
                      <w:bCs/>
                      <w:sz w:val="24"/>
                      <w:szCs w:val="24"/>
                      <w:lang w:eastAsia="lv-LV" w:bidi="ar-SA"/>
                    </w:rPr>
                    <w:t>n+1</w:t>
                  </w:r>
                </w:p>
              </w:tc>
              <w:tc>
                <w:tcPr>
                  <w:tcW w:w="1297"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bCs/>
                      <w:sz w:val="24"/>
                      <w:szCs w:val="24"/>
                      <w:lang w:eastAsia="lv-LV" w:bidi="ar-SA"/>
                    </w:rPr>
                  </w:pPr>
                  <w:r w:rsidRPr="00F87525">
                    <w:rPr>
                      <w:rFonts w:cs="Times New Roman"/>
                      <w:bCs/>
                      <w:sz w:val="24"/>
                      <w:szCs w:val="24"/>
                      <w:lang w:eastAsia="lv-LV" w:bidi="ar-SA"/>
                    </w:rPr>
                    <w:t>n+2</w:t>
                  </w:r>
                </w:p>
              </w:tc>
              <w:tc>
                <w:tcPr>
                  <w:tcW w:w="1098"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bCs/>
                      <w:sz w:val="24"/>
                      <w:szCs w:val="24"/>
                      <w:lang w:eastAsia="lv-LV" w:bidi="ar-SA"/>
                    </w:rPr>
                  </w:pPr>
                  <w:r w:rsidRPr="00F87525">
                    <w:rPr>
                      <w:rFonts w:cs="Times New Roman"/>
                      <w:bCs/>
                      <w:sz w:val="24"/>
                      <w:szCs w:val="24"/>
                      <w:lang w:eastAsia="lv-LV" w:bidi="ar-SA"/>
                    </w:rPr>
                    <w:t>n+3</w:t>
                  </w:r>
                </w:p>
              </w:tc>
            </w:tr>
            <w:tr w:rsidR="004A6B38" w:rsidRPr="004A6B38" w:rsidTr="000D14EC">
              <w:trPr>
                <w:tblCellSpacing w:w="15" w:type="dxa"/>
                <w:jc w:val="center"/>
              </w:trPr>
              <w:tc>
                <w:tcPr>
                  <w:tcW w:w="3775" w:type="dxa"/>
                  <w:vMerge/>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rPr>
                      <w:rFonts w:cs="Times New Roman"/>
                      <w:bCs/>
                      <w:sz w:val="24"/>
                      <w:szCs w:val="24"/>
                      <w:lang w:eastAsia="lv-LV" w:bidi="ar-SA"/>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saskaņā ar valsts budžetu kārtējam gadam</w:t>
                  </w:r>
                </w:p>
              </w:tc>
              <w:tc>
                <w:tcPr>
                  <w:tcW w:w="1508"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izmaiņas kārtējā gadā, salīdzinot ar valsts budžetu kārtējam gadam</w:t>
                  </w:r>
                </w:p>
              </w:tc>
              <w:tc>
                <w:tcPr>
                  <w:tcW w:w="1198"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izmaiņas, salīdzinot ar kārtējo (n) gadu</w:t>
                  </w:r>
                </w:p>
              </w:tc>
              <w:tc>
                <w:tcPr>
                  <w:tcW w:w="1297"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izmaiņas, salīdzinot ar kārtējo (n) gadu</w:t>
                  </w:r>
                </w:p>
              </w:tc>
              <w:tc>
                <w:tcPr>
                  <w:tcW w:w="1098"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izmaiņas, salīdzinot ar kārtējo (n) gadu</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1</w:t>
                  </w:r>
                </w:p>
              </w:tc>
              <w:tc>
                <w:tcPr>
                  <w:tcW w:w="1104"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2</w:t>
                  </w:r>
                </w:p>
              </w:tc>
              <w:tc>
                <w:tcPr>
                  <w:tcW w:w="1508"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3</w:t>
                  </w:r>
                </w:p>
              </w:tc>
              <w:tc>
                <w:tcPr>
                  <w:tcW w:w="1198"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4</w:t>
                  </w:r>
                </w:p>
              </w:tc>
              <w:tc>
                <w:tcPr>
                  <w:tcW w:w="1297"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5</w:t>
                  </w:r>
                </w:p>
              </w:tc>
              <w:tc>
                <w:tcPr>
                  <w:tcW w:w="1098"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6</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1. Budžeta ieņēmumi:</w:t>
                  </w:r>
                </w:p>
              </w:tc>
              <w:tc>
                <w:tcPr>
                  <w:tcW w:w="1104"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1600</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1.1. valsts pamatbudžets, tai skaitā ieņēmumi no maksas pakalpojumiem un citi pašu ieņēmumi</w:t>
                  </w:r>
                </w:p>
              </w:tc>
              <w:tc>
                <w:tcPr>
                  <w:tcW w:w="1104"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1600</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1.2. valsts speciālais budžets</w:t>
                  </w:r>
                </w:p>
              </w:tc>
              <w:tc>
                <w:tcPr>
                  <w:tcW w:w="1104"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1.3. pašvaldību budžets</w:t>
                  </w:r>
                </w:p>
              </w:tc>
              <w:tc>
                <w:tcPr>
                  <w:tcW w:w="1104"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2. Budžeta izdevumi:</w:t>
                  </w:r>
                </w:p>
              </w:tc>
              <w:tc>
                <w:tcPr>
                  <w:tcW w:w="1104"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1600</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2.1. valsts pamatbudžets</w:t>
                  </w:r>
                </w:p>
              </w:tc>
              <w:tc>
                <w:tcPr>
                  <w:tcW w:w="1104"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1600</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2.2. valsts speciālais budžets</w:t>
                  </w:r>
                </w:p>
              </w:tc>
              <w:tc>
                <w:tcPr>
                  <w:tcW w:w="1104"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2.3. pašvaldību budžets</w:t>
                  </w:r>
                </w:p>
              </w:tc>
              <w:tc>
                <w:tcPr>
                  <w:tcW w:w="1104"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lastRenderedPageBreak/>
                    <w:t>3. Finansiālā ietekme:</w:t>
                  </w:r>
                </w:p>
              </w:tc>
              <w:tc>
                <w:tcPr>
                  <w:tcW w:w="1104" w:type="dxa"/>
                  <w:tcBorders>
                    <w:top w:val="outset" w:sz="6" w:space="0" w:color="auto"/>
                    <w:left w:val="outset" w:sz="6" w:space="0" w:color="auto"/>
                    <w:bottom w:val="outset" w:sz="6" w:space="0" w:color="auto"/>
                    <w:right w:val="outset" w:sz="6" w:space="0" w:color="auto"/>
                  </w:tcBorders>
                  <w:vAlign w:val="center"/>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3.1. valsts pamatbudžets</w:t>
                  </w:r>
                </w:p>
              </w:tc>
              <w:tc>
                <w:tcPr>
                  <w:tcW w:w="1104"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5559C7">
                  <w:pPr>
                    <w:jc w:val="center"/>
                    <w:rPr>
                      <w:rFonts w:cs="Times New Roman"/>
                      <w:sz w:val="24"/>
                      <w:szCs w:val="24"/>
                      <w:lang w:eastAsia="lv-LV" w:bidi="ar-SA"/>
                    </w:rPr>
                  </w:pPr>
                  <w:r w:rsidRPr="00F87525">
                    <w:rPr>
                      <w:rFonts w:cs="Times New Roman"/>
                      <w:sz w:val="24"/>
                      <w:szCs w:val="24"/>
                      <w:lang w:eastAsia="lv-LV" w:bidi="ar-SA"/>
                    </w:rPr>
                    <w:t>0</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3.2. speciālais budžets</w:t>
                  </w:r>
                </w:p>
              </w:tc>
              <w:tc>
                <w:tcPr>
                  <w:tcW w:w="1104"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3.3. pašvaldību budžets</w:t>
                  </w:r>
                </w:p>
              </w:tc>
              <w:tc>
                <w:tcPr>
                  <w:tcW w:w="1104"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r>
            <w:tr w:rsidR="004A6B38" w:rsidRPr="004A6B38" w:rsidTr="000D14EC">
              <w:trPr>
                <w:tblCellSpacing w:w="15" w:type="dxa"/>
                <w:jc w:val="center"/>
              </w:trPr>
              <w:tc>
                <w:tcPr>
                  <w:tcW w:w="3775" w:type="dxa"/>
                  <w:vMerge w:val="restar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4. Finanšu līdzekļi papildu izdevumu finansēšanai (kompensējošu izdevumu samazinājumu norāda ar "+" zīmi)</w:t>
                  </w:r>
                </w:p>
              </w:tc>
              <w:tc>
                <w:tcPr>
                  <w:tcW w:w="1104" w:type="dxa"/>
                  <w:vMerge w:val="restar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X</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r w:rsidR="005559C7" w:rsidRPr="00F87525">
                    <w:rPr>
                      <w:rFonts w:cs="Times New Roman"/>
                      <w:sz w:val="24"/>
                      <w:szCs w:val="24"/>
                      <w:lang w:eastAsia="lv-LV" w:bidi="ar-SA"/>
                    </w:rPr>
                    <w:t>0</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FD1817">
                  <w:pPr>
                    <w:rPr>
                      <w:rFonts w:cs="Times New Roman"/>
                      <w:sz w:val="24"/>
                      <w:szCs w:val="24"/>
                      <w:lang w:eastAsia="lv-LV" w:bidi="ar-SA"/>
                    </w:rPr>
                  </w:pPr>
                  <w:r w:rsidRPr="00F87525">
                    <w:rPr>
                      <w:rFonts w:cs="Times New Roman"/>
                      <w:sz w:val="24"/>
                      <w:szCs w:val="24"/>
                      <w:lang w:eastAsia="lv-LV" w:bidi="ar-SA"/>
                    </w:rPr>
                    <w:t>0</w:t>
                  </w:r>
                  <w:r w:rsidR="00FD1817" w:rsidRPr="00F87525">
                    <w:rPr>
                      <w:rFonts w:cs="Times New Roman"/>
                      <w:sz w:val="24"/>
                      <w:szCs w:val="24"/>
                      <w:lang w:eastAsia="lv-LV" w:bidi="ar-SA"/>
                    </w:rPr>
                    <w:t> </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5559C7" w:rsidP="00FD1817">
                  <w:pPr>
                    <w:rPr>
                      <w:rFonts w:cs="Times New Roman"/>
                      <w:sz w:val="24"/>
                      <w:szCs w:val="24"/>
                      <w:lang w:eastAsia="lv-LV" w:bidi="ar-SA"/>
                    </w:rPr>
                  </w:pPr>
                  <w:r w:rsidRPr="00F87525">
                    <w:rPr>
                      <w:rFonts w:cs="Times New Roman"/>
                      <w:sz w:val="24"/>
                      <w:szCs w:val="24"/>
                      <w:lang w:eastAsia="lv-LV" w:bidi="ar-SA"/>
                    </w:rPr>
                    <w:t>0</w:t>
                  </w:r>
                  <w:r w:rsidR="00FD1817" w:rsidRPr="00F87525">
                    <w:rPr>
                      <w:rFonts w:cs="Times New Roman"/>
                      <w:sz w:val="24"/>
                      <w:szCs w:val="24"/>
                      <w:lang w:eastAsia="lv-LV" w:bidi="ar-SA"/>
                    </w:rPr>
                    <w:t> </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FD1817">
                  <w:pPr>
                    <w:rPr>
                      <w:rFonts w:cs="Times New Roman"/>
                      <w:sz w:val="24"/>
                      <w:szCs w:val="24"/>
                      <w:lang w:eastAsia="lv-LV" w:bidi="ar-SA"/>
                    </w:rPr>
                  </w:pPr>
                  <w:r w:rsidRPr="00F87525">
                    <w:rPr>
                      <w:rFonts w:cs="Times New Roman"/>
                      <w:sz w:val="24"/>
                      <w:szCs w:val="24"/>
                      <w:lang w:eastAsia="lv-LV" w:bidi="ar-SA"/>
                    </w:rPr>
                    <w:t>0</w:t>
                  </w:r>
                  <w:r w:rsidR="00FD1817" w:rsidRPr="00F87525">
                    <w:rPr>
                      <w:rFonts w:cs="Times New Roman"/>
                      <w:sz w:val="24"/>
                      <w:szCs w:val="24"/>
                      <w:lang w:eastAsia="lv-LV" w:bidi="ar-SA"/>
                    </w:rPr>
                    <w:t> </w:t>
                  </w:r>
                </w:p>
              </w:tc>
            </w:tr>
            <w:tr w:rsidR="004A6B38" w:rsidRPr="004A6B38" w:rsidTr="000D14EC">
              <w:trPr>
                <w:tblCellSpacing w:w="15" w:type="dxa"/>
                <w:jc w:val="center"/>
              </w:trPr>
              <w:tc>
                <w:tcPr>
                  <w:tcW w:w="3775" w:type="dxa"/>
                  <w:vMerge/>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rPr>
                      <w:rFonts w:cs="Times New Roman"/>
                      <w:sz w:val="24"/>
                      <w:szCs w:val="24"/>
                      <w:lang w:eastAsia="lv-LV" w:bidi="ar-SA"/>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rPr>
                      <w:rFonts w:cs="Times New Roman"/>
                      <w:sz w:val="24"/>
                      <w:szCs w:val="24"/>
                      <w:lang w:eastAsia="lv-LV" w:bidi="ar-SA"/>
                    </w:rPr>
                  </w:pP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r>
            <w:tr w:rsidR="004A6B38" w:rsidRPr="004A6B38" w:rsidTr="000D14EC">
              <w:trPr>
                <w:tblCellSpacing w:w="15" w:type="dxa"/>
                <w:jc w:val="center"/>
              </w:trPr>
              <w:tc>
                <w:tcPr>
                  <w:tcW w:w="3775" w:type="dxa"/>
                  <w:vMerge/>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rPr>
                      <w:rFonts w:cs="Times New Roman"/>
                      <w:sz w:val="24"/>
                      <w:szCs w:val="24"/>
                      <w:lang w:eastAsia="lv-LV" w:bidi="ar-SA"/>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rPr>
                      <w:rFonts w:cs="Times New Roman"/>
                      <w:sz w:val="24"/>
                      <w:szCs w:val="24"/>
                      <w:lang w:eastAsia="lv-LV" w:bidi="ar-SA"/>
                    </w:rPr>
                  </w:pP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5. Precizēta finansiālā ietekme:</w:t>
                  </w:r>
                </w:p>
              </w:tc>
              <w:tc>
                <w:tcPr>
                  <w:tcW w:w="1104" w:type="dxa"/>
                  <w:vMerge w:val="restar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spacing w:before="100" w:beforeAutospacing="1" w:after="100" w:afterAutospacing="1" w:line="360" w:lineRule="auto"/>
                    <w:jc w:val="center"/>
                    <w:rPr>
                      <w:rFonts w:cs="Times New Roman"/>
                      <w:sz w:val="24"/>
                      <w:szCs w:val="24"/>
                      <w:lang w:eastAsia="lv-LV" w:bidi="ar-SA"/>
                    </w:rPr>
                  </w:pPr>
                  <w:r w:rsidRPr="00F87525">
                    <w:rPr>
                      <w:rFonts w:cs="Times New Roman"/>
                      <w:sz w:val="24"/>
                      <w:szCs w:val="24"/>
                      <w:lang w:eastAsia="lv-LV" w:bidi="ar-SA"/>
                    </w:rPr>
                    <w:t>X</w:t>
                  </w: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r w:rsidR="005559C7" w:rsidRPr="00F87525">
                    <w:rPr>
                      <w:rFonts w:cs="Times New Roman"/>
                      <w:sz w:val="24"/>
                      <w:szCs w:val="24"/>
                      <w:lang w:eastAsia="lv-LV" w:bidi="ar-SA"/>
                    </w:rPr>
                    <w:t>0</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FD1817">
                  <w:pPr>
                    <w:rPr>
                      <w:rFonts w:cs="Times New Roman"/>
                      <w:sz w:val="24"/>
                      <w:szCs w:val="24"/>
                      <w:lang w:eastAsia="lv-LV" w:bidi="ar-SA"/>
                    </w:rPr>
                  </w:pPr>
                  <w:r w:rsidRPr="00F87525">
                    <w:rPr>
                      <w:rFonts w:cs="Times New Roman"/>
                      <w:sz w:val="24"/>
                      <w:szCs w:val="24"/>
                      <w:lang w:eastAsia="lv-LV" w:bidi="ar-SA"/>
                    </w:rPr>
                    <w:t>0</w:t>
                  </w:r>
                  <w:r w:rsidR="00FD1817" w:rsidRPr="00F87525">
                    <w:rPr>
                      <w:rFonts w:cs="Times New Roman"/>
                      <w:sz w:val="24"/>
                      <w:szCs w:val="24"/>
                      <w:lang w:eastAsia="lv-LV" w:bidi="ar-SA"/>
                    </w:rPr>
                    <w:t> </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5559C7" w:rsidP="00FD1817">
                  <w:pPr>
                    <w:rPr>
                      <w:rFonts w:cs="Times New Roman"/>
                      <w:sz w:val="24"/>
                      <w:szCs w:val="24"/>
                      <w:lang w:eastAsia="lv-LV" w:bidi="ar-SA"/>
                    </w:rPr>
                  </w:pPr>
                  <w:r w:rsidRPr="00F87525">
                    <w:rPr>
                      <w:rFonts w:cs="Times New Roman"/>
                      <w:sz w:val="24"/>
                      <w:szCs w:val="24"/>
                      <w:lang w:eastAsia="lv-LV" w:bidi="ar-SA"/>
                    </w:rPr>
                    <w:t>0</w:t>
                  </w:r>
                  <w:r w:rsidR="00FD1817" w:rsidRPr="00F87525">
                    <w:rPr>
                      <w:rFonts w:cs="Times New Roman"/>
                      <w:sz w:val="24"/>
                      <w:szCs w:val="24"/>
                      <w:lang w:eastAsia="lv-LV" w:bidi="ar-SA"/>
                    </w:rPr>
                    <w:t> </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FD1817">
                  <w:pPr>
                    <w:rPr>
                      <w:rFonts w:cs="Times New Roman"/>
                      <w:sz w:val="24"/>
                      <w:szCs w:val="24"/>
                      <w:lang w:eastAsia="lv-LV" w:bidi="ar-SA"/>
                    </w:rPr>
                  </w:pPr>
                  <w:r w:rsidRPr="00F87525">
                    <w:rPr>
                      <w:rFonts w:cs="Times New Roman"/>
                      <w:sz w:val="24"/>
                      <w:szCs w:val="24"/>
                      <w:lang w:eastAsia="lv-LV" w:bidi="ar-SA"/>
                    </w:rPr>
                    <w:t>0</w:t>
                  </w:r>
                  <w:r w:rsidR="00FD1817" w:rsidRPr="00F87525">
                    <w:rPr>
                      <w:rFonts w:cs="Times New Roman"/>
                      <w:sz w:val="24"/>
                      <w:szCs w:val="24"/>
                      <w:lang w:eastAsia="lv-LV" w:bidi="ar-SA"/>
                    </w:rPr>
                    <w:t> </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5.1. valsts pamatbudžets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rPr>
                      <w:rFonts w:cs="Times New Roman"/>
                      <w:sz w:val="24"/>
                      <w:szCs w:val="24"/>
                      <w:lang w:eastAsia="lv-LV" w:bidi="ar-SA"/>
                    </w:rPr>
                  </w:pP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r w:rsidR="005559C7" w:rsidRPr="00F87525">
                    <w:rPr>
                      <w:rFonts w:cs="Times New Roman"/>
                      <w:sz w:val="24"/>
                      <w:szCs w:val="24"/>
                      <w:lang w:eastAsia="lv-LV" w:bidi="ar-SA"/>
                    </w:rPr>
                    <w:t>0</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FD1817">
                  <w:pPr>
                    <w:rPr>
                      <w:rFonts w:cs="Times New Roman"/>
                      <w:sz w:val="24"/>
                      <w:szCs w:val="24"/>
                      <w:lang w:eastAsia="lv-LV" w:bidi="ar-SA"/>
                    </w:rPr>
                  </w:pPr>
                  <w:r w:rsidRPr="00F87525">
                    <w:rPr>
                      <w:rFonts w:cs="Times New Roman"/>
                      <w:sz w:val="24"/>
                      <w:szCs w:val="24"/>
                      <w:lang w:eastAsia="lv-LV" w:bidi="ar-SA"/>
                    </w:rPr>
                    <w:t>0</w:t>
                  </w:r>
                  <w:r w:rsidR="00FD1817" w:rsidRPr="00F87525">
                    <w:rPr>
                      <w:rFonts w:cs="Times New Roman"/>
                      <w:sz w:val="24"/>
                      <w:szCs w:val="24"/>
                      <w:lang w:eastAsia="lv-LV" w:bidi="ar-SA"/>
                    </w:rPr>
                    <w:t> </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5559C7" w:rsidP="00FD1817">
                  <w:pPr>
                    <w:rPr>
                      <w:rFonts w:cs="Times New Roman"/>
                      <w:sz w:val="24"/>
                      <w:szCs w:val="24"/>
                      <w:lang w:eastAsia="lv-LV" w:bidi="ar-SA"/>
                    </w:rPr>
                  </w:pPr>
                  <w:r w:rsidRPr="00F87525">
                    <w:rPr>
                      <w:rFonts w:cs="Times New Roman"/>
                      <w:sz w:val="24"/>
                      <w:szCs w:val="24"/>
                      <w:lang w:eastAsia="lv-LV" w:bidi="ar-SA"/>
                    </w:rPr>
                    <w:t>0</w:t>
                  </w:r>
                  <w:r w:rsidR="00FD1817" w:rsidRPr="00F87525">
                    <w:rPr>
                      <w:rFonts w:cs="Times New Roman"/>
                      <w:sz w:val="24"/>
                      <w:szCs w:val="24"/>
                      <w:lang w:eastAsia="lv-LV" w:bidi="ar-SA"/>
                    </w:rPr>
                    <w:t> </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5559C7" w:rsidP="00FD1817">
                  <w:pPr>
                    <w:rPr>
                      <w:rFonts w:cs="Times New Roman"/>
                      <w:sz w:val="24"/>
                      <w:szCs w:val="24"/>
                      <w:lang w:eastAsia="lv-LV" w:bidi="ar-SA"/>
                    </w:rPr>
                  </w:pPr>
                  <w:r w:rsidRPr="00F87525">
                    <w:rPr>
                      <w:rFonts w:cs="Times New Roman"/>
                      <w:sz w:val="24"/>
                      <w:szCs w:val="24"/>
                      <w:lang w:eastAsia="lv-LV" w:bidi="ar-SA"/>
                    </w:rPr>
                    <w:t>0</w:t>
                  </w:r>
                  <w:r w:rsidR="00FD1817" w:rsidRPr="00F87525">
                    <w:rPr>
                      <w:rFonts w:cs="Times New Roman"/>
                      <w:sz w:val="24"/>
                      <w:szCs w:val="24"/>
                      <w:lang w:eastAsia="lv-LV" w:bidi="ar-SA"/>
                    </w:rPr>
                    <w:t> </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5.2. speciālais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rPr>
                      <w:rFonts w:cs="Times New Roman"/>
                      <w:sz w:val="24"/>
                      <w:szCs w:val="24"/>
                      <w:lang w:eastAsia="lv-LV" w:bidi="ar-SA"/>
                    </w:rPr>
                  </w:pP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5.3. pašvaldību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rPr>
                      <w:rFonts w:cs="Times New Roman"/>
                      <w:sz w:val="24"/>
                      <w:szCs w:val="24"/>
                      <w:lang w:eastAsia="lv-LV" w:bidi="ar-SA"/>
                    </w:rPr>
                  </w:pPr>
                </w:p>
              </w:tc>
              <w:tc>
                <w:tcPr>
                  <w:tcW w:w="150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1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297"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c>
                <w:tcPr>
                  <w:tcW w:w="1098"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6. Detalizēts ieņēmumu un izdevumu aprēķins (ja nepieciešams, detalizētu ieņēmumu un izdevumu aprēķinu var pievienot anotācijas pielikumā):</w:t>
                  </w:r>
                </w:p>
              </w:tc>
              <w:tc>
                <w:tcPr>
                  <w:tcW w:w="6325"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 </w:t>
                  </w:r>
                  <w:r w:rsidR="00C20DF2">
                    <w:rPr>
                      <w:rFonts w:cs="Times New Roman"/>
                      <w:sz w:val="24"/>
                      <w:szCs w:val="24"/>
                      <w:lang w:eastAsia="lv-LV" w:bidi="ar-SA"/>
                    </w:rPr>
                    <w:t>E</w:t>
                  </w:r>
                  <w:r w:rsidR="00C80F79" w:rsidRPr="00F87525">
                    <w:rPr>
                      <w:rFonts w:cs="Times New Roman"/>
                      <w:sz w:val="24"/>
                      <w:szCs w:val="24"/>
                      <w:lang w:eastAsia="lv-LV" w:bidi="ar-SA"/>
                    </w:rPr>
                    <w:t>KK6239: 160000 euro</w:t>
                  </w:r>
                </w:p>
                <w:p w:rsidR="00C80F79" w:rsidRPr="004A6B38" w:rsidRDefault="00C80F79" w:rsidP="00C80F79">
                  <w:pPr>
                    <w:pStyle w:val="naisf"/>
                    <w:spacing w:before="0" w:after="0"/>
                    <w:ind w:firstLine="0"/>
                  </w:pPr>
                  <w:r w:rsidRPr="004A6B38">
                    <w:t>Kopējais plānotais atvaļināto Zemessargu skaits, kuri saņems veselības aprūpes izdevumu apmaksu ir 2 zemessargi gadā;</w:t>
                  </w:r>
                </w:p>
                <w:p w:rsidR="00C80F79" w:rsidRPr="004A6B38" w:rsidRDefault="00C80F79" w:rsidP="00C80F79">
                  <w:pPr>
                    <w:pStyle w:val="naisf"/>
                    <w:spacing w:before="0" w:after="0"/>
                    <w:ind w:firstLine="0"/>
                    <w:jc w:val="left"/>
                  </w:pPr>
                  <w:r w:rsidRPr="004A6B38">
                    <w:t>Vidējie aprūpes izdevumi apmaksai vienam zemessargam gadā</w:t>
                  </w:r>
                  <w:r w:rsidR="00C20DF2">
                    <w:t xml:space="preserve">  </w:t>
                  </w:r>
                  <w:r w:rsidRPr="004A6B38">
                    <w:t xml:space="preserve">800 </w:t>
                  </w:r>
                  <w:r w:rsidRPr="004A6B38">
                    <w:rPr>
                      <w:i/>
                    </w:rPr>
                    <w:t>euro</w:t>
                  </w:r>
                  <w:r w:rsidRPr="004A6B38">
                    <w:t>; Izdevumi veselības aprūpei gadā</w:t>
                  </w:r>
                  <w:r w:rsidR="00C333A8">
                    <w:t xml:space="preserve"> ⃰</w:t>
                  </w:r>
                  <w:r w:rsidRPr="004A6B38">
                    <w:t xml:space="preserve"> </w:t>
                  </w:r>
                  <w:r w:rsidR="00C333A8">
                    <w:t xml:space="preserve"> </w:t>
                  </w:r>
                  <w:r w:rsidRPr="004A6B38">
                    <w:t xml:space="preserve">800 x 2 = 1600 </w:t>
                  </w:r>
                  <w:r w:rsidRPr="004A6B38">
                    <w:rPr>
                      <w:i/>
                    </w:rPr>
                    <w:t>euro</w:t>
                  </w:r>
                  <w:r w:rsidRPr="004A6B38">
                    <w:t>.</w:t>
                  </w:r>
                </w:p>
                <w:p w:rsidR="00C80F79" w:rsidRPr="004A6B38" w:rsidRDefault="00C20DF2" w:rsidP="00C80F79">
                  <w:pPr>
                    <w:pStyle w:val="naisf"/>
                    <w:spacing w:before="0" w:after="0"/>
                    <w:ind w:firstLine="0"/>
                    <w:jc w:val="left"/>
                  </w:pPr>
                  <w:r>
                    <w:t xml:space="preserve"> ⃰ </w:t>
                  </w:r>
                  <w:r w:rsidR="00C80F79" w:rsidRPr="004A6B38">
                    <w:t>Aprēķinā par pamatu ir ņemti izdevumi</w:t>
                  </w:r>
                  <w:r w:rsidR="009C0EA5" w:rsidRPr="004A6B38">
                    <w:t xml:space="preserve">, kas </w:t>
                  </w:r>
                  <w:r>
                    <w:t>2012, 2013.gadā</w:t>
                  </w:r>
                  <w:r w:rsidR="009C0EA5" w:rsidRPr="004A6B38">
                    <w:t xml:space="preserve"> tik</w:t>
                  </w:r>
                  <w:r>
                    <w:t>a</w:t>
                  </w:r>
                  <w:r w:rsidR="009C0EA5" w:rsidRPr="004A6B38">
                    <w:t xml:space="preserve"> izlietoti </w:t>
                  </w:r>
                  <w:r w:rsidR="00C333A8">
                    <w:t xml:space="preserve">vidēji </w:t>
                  </w:r>
                  <w:r>
                    <w:t xml:space="preserve">viena </w:t>
                  </w:r>
                  <w:r w:rsidR="009C0EA5" w:rsidRPr="004A6B38">
                    <w:t>atvaļināt</w:t>
                  </w:r>
                  <w:r>
                    <w:t>ā</w:t>
                  </w:r>
                  <w:r w:rsidR="009C0EA5" w:rsidRPr="004A6B38">
                    <w:t xml:space="preserve"> karavīr</w:t>
                  </w:r>
                  <w:r>
                    <w:t>a</w:t>
                  </w:r>
                  <w:r w:rsidR="00C80F79" w:rsidRPr="004A6B38">
                    <w:t xml:space="preserve"> medicīniskās aprūpes izdevumu segšanai. </w:t>
                  </w: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6.1. detalizēts ieņēmumu aprēķins</w:t>
                  </w:r>
                </w:p>
              </w:tc>
              <w:tc>
                <w:tcPr>
                  <w:tcW w:w="6325" w:type="dxa"/>
                  <w:gridSpan w:val="5"/>
                  <w:vMerge/>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rPr>
                      <w:rFonts w:cs="Times New Roman"/>
                      <w:sz w:val="24"/>
                      <w:szCs w:val="24"/>
                      <w:lang w:eastAsia="lv-LV" w:bidi="ar-SA"/>
                    </w:rPr>
                  </w:pPr>
                </w:p>
              </w:tc>
            </w:tr>
            <w:tr w:rsidR="004A6B38" w:rsidRPr="004A6B38" w:rsidTr="000D14EC">
              <w:trPr>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6.2. detalizēts izdevumu aprēķins</w:t>
                  </w:r>
                </w:p>
              </w:tc>
              <w:tc>
                <w:tcPr>
                  <w:tcW w:w="6325" w:type="dxa"/>
                  <w:gridSpan w:val="5"/>
                  <w:vMerge/>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rPr>
                      <w:rFonts w:cs="Times New Roman"/>
                      <w:sz w:val="24"/>
                      <w:szCs w:val="24"/>
                      <w:lang w:eastAsia="lv-LV" w:bidi="ar-SA"/>
                    </w:rPr>
                  </w:pPr>
                </w:p>
              </w:tc>
            </w:tr>
            <w:tr w:rsidR="004A6B38" w:rsidRPr="004A6B38" w:rsidTr="000D14EC">
              <w:trPr>
                <w:trHeight w:val="555"/>
                <w:tblCellSpacing w:w="15" w:type="dxa"/>
                <w:jc w:val="center"/>
              </w:trPr>
              <w:tc>
                <w:tcPr>
                  <w:tcW w:w="3775"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7. Cita informācija</w:t>
                  </w:r>
                </w:p>
              </w:tc>
              <w:tc>
                <w:tcPr>
                  <w:tcW w:w="6325" w:type="dxa"/>
                  <w:gridSpan w:val="5"/>
                  <w:tcBorders>
                    <w:top w:val="outset" w:sz="6" w:space="0" w:color="auto"/>
                    <w:left w:val="outset" w:sz="6" w:space="0" w:color="auto"/>
                    <w:bottom w:val="outset" w:sz="6" w:space="0" w:color="auto"/>
                    <w:right w:val="outset" w:sz="6" w:space="0" w:color="auto"/>
                  </w:tcBorders>
                  <w:hideMark/>
                </w:tcPr>
                <w:p w:rsidR="00FD1817" w:rsidRPr="00F87525" w:rsidRDefault="00C80F79" w:rsidP="00C80F79">
                  <w:pPr>
                    <w:spacing w:before="100" w:beforeAutospacing="1" w:after="100" w:afterAutospacing="1"/>
                    <w:rPr>
                      <w:rFonts w:cs="Times New Roman"/>
                      <w:sz w:val="24"/>
                      <w:szCs w:val="24"/>
                      <w:lang w:eastAsia="lv-LV" w:bidi="ar-SA"/>
                    </w:rPr>
                  </w:pPr>
                  <w:r w:rsidRPr="004A6B38">
                    <w:rPr>
                      <w:rFonts w:cs="Times New Roman"/>
                      <w:sz w:val="24"/>
                      <w:szCs w:val="24"/>
                    </w:rPr>
                    <w:t>Noteikumu projekta īstenošana tiks nodrošināta Aizsardzības ministrijai piešķirto valsts budžeta līdzekļu ietvaros programmā 31.00.00 „Militārpersonu pensiju fonds” un papildu finansējums nav nepieciešams.</w:t>
                  </w:r>
                </w:p>
              </w:tc>
            </w:tr>
          </w:tbl>
          <w:p w:rsidR="00FD1817" w:rsidRPr="00F87525" w:rsidRDefault="00FD1817" w:rsidP="000D14EC">
            <w:pPr>
              <w:spacing w:before="100" w:beforeAutospacing="1" w:after="100" w:afterAutospacing="1"/>
              <w:rPr>
                <w:rFonts w:cs="Times New Roman"/>
                <w:sz w:val="24"/>
                <w:szCs w:val="24"/>
                <w:lang w:eastAsia="lv-LV" w:bidi="ar-S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9"/>
              <w:gridCol w:w="2950"/>
              <w:gridCol w:w="6691"/>
            </w:tblGrid>
            <w:tr w:rsidR="004A6B38" w:rsidRPr="004A6B38" w:rsidTr="00FD1817">
              <w:trPr>
                <w:trHeight w:val="450"/>
                <w:tblCellSpacing w:w="15" w:type="dxa"/>
                <w:jc w:val="center"/>
              </w:trPr>
              <w:tc>
                <w:tcPr>
                  <w:tcW w:w="8162" w:type="dxa"/>
                  <w:gridSpan w:val="3"/>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bCs/>
                      <w:sz w:val="24"/>
                      <w:szCs w:val="24"/>
                      <w:lang w:eastAsia="lv-LV" w:bidi="ar-SA"/>
                    </w:rPr>
                  </w:pPr>
                  <w:r w:rsidRPr="00F87525">
                    <w:rPr>
                      <w:rFonts w:cs="Times New Roman"/>
                      <w:bCs/>
                      <w:sz w:val="24"/>
                      <w:szCs w:val="24"/>
                      <w:lang w:eastAsia="lv-LV" w:bidi="ar-SA"/>
                    </w:rPr>
                    <w:t>IV. Tiesību akta projekta ietekme uz spēkā esošo tiesību normu sistēmu</w:t>
                  </w:r>
                </w:p>
              </w:tc>
            </w:tr>
            <w:tr w:rsidR="004A6B38" w:rsidRPr="004A6B38" w:rsidTr="00FD1817">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1.</w:t>
                  </w:r>
                </w:p>
              </w:tc>
              <w:tc>
                <w:tcPr>
                  <w:tcW w:w="14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FA225A" w:rsidRPr="004A6B38" w:rsidRDefault="00FA225A" w:rsidP="00F87525">
                  <w:pPr>
                    <w:jc w:val="both"/>
                    <w:rPr>
                      <w:rFonts w:cs="Times New Roman"/>
                      <w:sz w:val="24"/>
                      <w:szCs w:val="24"/>
                    </w:rPr>
                  </w:pPr>
                  <w:r w:rsidRPr="00F87525">
                    <w:rPr>
                      <w:sz w:val="24"/>
                      <w:szCs w:val="24"/>
                    </w:rPr>
                    <w:t>Nepieciešams veikt grozījumu Ministru kabineta noteikumos Nr. 1529 “Veselības aprūpes organizēšanas un finansēšanas kārtība”</w:t>
                  </w:r>
                  <w:r w:rsidR="000C7C60" w:rsidRPr="004A6B38">
                    <w:rPr>
                      <w:sz w:val="24"/>
                      <w:szCs w:val="24"/>
                    </w:rPr>
                    <w:t xml:space="preserve"> (turpmāk – MK noteikumi Nr.1529)</w:t>
                  </w:r>
                  <w:r w:rsidRPr="00F87525">
                    <w:rPr>
                      <w:sz w:val="24"/>
                      <w:szCs w:val="24"/>
                    </w:rPr>
                    <w:t xml:space="preserve">, papildinot 13.1.apakšpunktu ar tiesību normu, kas noteiktu Aizsardzības ministrijai tiesības segt </w:t>
                  </w:r>
                  <w:r w:rsidRPr="00F87525">
                    <w:rPr>
                      <w:rFonts w:cs="Times New Roman"/>
                      <w:sz w:val="24"/>
                      <w:szCs w:val="24"/>
                    </w:rPr>
                    <w:t>maksu par veselības aprūpes pakalpojumiem</w:t>
                  </w:r>
                  <w:r w:rsidRPr="004A6B38">
                    <w:rPr>
                      <w:rFonts w:cs="Times New Roman"/>
                      <w:sz w:val="24"/>
                      <w:szCs w:val="24"/>
                    </w:rPr>
                    <w:t xml:space="preserve"> arī bijušajiem zemessargiem.</w:t>
                  </w:r>
                </w:p>
                <w:p w:rsidR="00FD1817" w:rsidRPr="00F87525" w:rsidRDefault="00FD1817" w:rsidP="00F87525">
                  <w:pPr>
                    <w:jc w:val="both"/>
                    <w:rPr>
                      <w:rFonts w:cs="Times New Roman"/>
                      <w:sz w:val="24"/>
                      <w:szCs w:val="24"/>
                      <w:lang w:eastAsia="lv-LV" w:bidi="ar-SA"/>
                    </w:rPr>
                  </w:pPr>
                </w:p>
              </w:tc>
            </w:tr>
            <w:tr w:rsidR="004A6B38" w:rsidRPr="004A6B38" w:rsidTr="00FD1817">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2.</w:t>
                  </w:r>
                </w:p>
              </w:tc>
              <w:tc>
                <w:tcPr>
                  <w:tcW w:w="14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FD1817" w:rsidRPr="00F87525" w:rsidRDefault="00D51155" w:rsidP="00FD1817">
                  <w:pPr>
                    <w:rPr>
                      <w:rFonts w:cs="Times New Roman"/>
                      <w:sz w:val="24"/>
                      <w:szCs w:val="24"/>
                      <w:lang w:eastAsia="lv-LV" w:bidi="ar-SA"/>
                    </w:rPr>
                  </w:pPr>
                  <w:r w:rsidRPr="00F87525">
                    <w:rPr>
                      <w:rFonts w:cs="Times New Roman"/>
                      <w:sz w:val="24"/>
                      <w:szCs w:val="24"/>
                      <w:lang w:eastAsia="lv-LV" w:bidi="ar-SA"/>
                    </w:rPr>
                    <w:t>Veselības</w:t>
                  </w:r>
                  <w:r w:rsidR="00C80F79" w:rsidRPr="00F87525">
                    <w:rPr>
                      <w:rFonts w:cs="Times New Roman"/>
                      <w:sz w:val="24"/>
                      <w:szCs w:val="24"/>
                      <w:lang w:eastAsia="lv-LV" w:bidi="ar-SA"/>
                    </w:rPr>
                    <w:t xml:space="preserve"> ministrija</w:t>
                  </w:r>
                </w:p>
              </w:tc>
            </w:tr>
            <w:tr w:rsidR="004A6B38" w:rsidRPr="004A6B38" w:rsidTr="00FD1817">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3.</w:t>
                  </w:r>
                </w:p>
              </w:tc>
              <w:tc>
                <w:tcPr>
                  <w:tcW w:w="1450" w:type="pct"/>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FD1817" w:rsidRPr="00F87525" w:rsidRDefault="00C80F79" w:rsidP="00C80F79">
                  <w:pPr>
                    <w:jc w:val="center"/>
                    <w:rPr>
                      <w:rFonts w:cs="Times New Roman"/>
                      <w:sz w:val="24"/>
                      <w:szCs w:val="24"/>
                      <w:lang w:eastAsia="lv-LV" w:bidi="ar-SA"/>
                    </w:rPr>
                  </w:pPr>
                  <w:r w:rsidRPr="00F87525">
                    <w:rPr>
                      <w:rFonts w:cs="Times New Roman"/>
                      <w:sz w:val="24"/>
                      <w:szCs w:val="24"/>
                      <w:lang w:eastAsia="lv-LV" w:bidi="ar-SA"/>
                    </w:rPr>
                    <w:t>Nav</w:t>
                  </w:r>
                </w:p>
              </w:tc>
            </w:tr>
          </w:tbl>
          <w:p w:rsidR="00FD1817" w:rsidRPr="00F87525" w:rsidRDefault="00FD1817" w:rsidP="000D14EC">
            <w:pPr>
              <w:spacing w:before="100" w:beforeAutospacing="1" w:after="100" w:afterAutospacing="1"/>
              <w:rPr>
                <w:rFonts w:cs="Times New Roman"/>
                <w:sz w:val="24"/>
                <w:szCs w:val="24"/>
                <w:lang w:eastAsia="lv-LV" w:bidi="ar-SA"/>
              </w:rPr>
            </w:pPr>
            <w:r w:rsidRPr="00F87525">
              <w:rPr>
                <w:rFonts w:cs="Times New Roman"/>
                <w:sz w:val="24"/>
                <w:szCs w:val="24"/>
                <w:lang w:eastAsia="lv-LV" w:bidi="ar-SA"/>
              </w:rPr>
              <w:t> </w:t>
            </w:r>
          </w:p>
          <w:p w:rsidR="00FD1817" w:rsidRPr="00F87525" w:rsidRDefault="00FD1817" w:rsidP="000D14EC">
            <w:pPr>
              <w:spacing w:before="100" w:beforeAutospacing="1" w:after="100" w:afterAutospacing="1"/>
              <w:rPr>
                <w:rFonts w:cs="Times New Roman"/>
                <w:sz w:val="24"/>
                <w:szCs w:val="24"/>
                <w:lang w:eastAsia="lv-LV" w:bidi="ar-SA"/>
              </w:rPr>
            </w:pPr>
            <w:r w:rsidRPr="00F87525">
              <w:rPr>
                <w:rFonts w:cs="Times New Roman"/>
                <w:sz w:val="24"/>
                <w:szCs w:val="24"/>
                <w:lang w:eastAsia="lv-LV" w:bidi="ar-SA"/>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8"/>
              <w:gridCol w:w="4831"/>
              <w:gridCol w:w="4811"/>
            </w:tblGrid>
            <w:tr w:rsidR="004A6B38" w:rsidRPr="004A6B38" w:rsidTr="00E62B00">
              <w:trPr>
                <w:trHeight w:val="375"/>
                <w:tblCellSpacing w:w="15" w:type="dxa"/>
                <w:jc w:val="center"/>
              </w:trPr>
              <w:tc>
                <w:tcPr>
                  <w:tcW w:w="10130" w:type="dxa"/>
                  <w:gridSpan w:val="3"/>
                  <w:tcBorders>
                    <w:top w:val="outset" w:sz="6" w:space="0" w:color="auto"/>
                    <w:left w:val="outset" w:sz="6" w:space="0" w:color="auto"/>
                    <w:bottom w:val="outset" w:sz="6" w:space="0" w:color="auto"/>
                    <w:right w:val="outset" w:sz="6" w:space="0" w:color="auto"/>
                  </w:tcBorders>
                  <w:vAlign w:val="center"/>
                  <w:hideMark/>
                </w:tcPr>
                <w:p w:rsidR="00FD1817" w:rsidRPr="00F87525" w:rsidRDefault="00FD1817" w:rsidP="00FD1817">
                  <w:pPr>
                    <w:spacing w:before="100" w:beforeAutospacing="1" w:after="100" w:afterAutospacing="1" w:line="360" w:lineRule="auto"/>
                    <w:jc w:val="center"/>
                    <w:rPr>
                      <w:rFonts w:cs="Times New Roman"/>
                      <w:bCs/>
                      <w:sz w:val="24"/>
                      <w:szCs w:val="24"/>
                      <w:lang w:eastAsia="lv-LV" w:bidi="ar-SA"/>
                    </w:rPr>
                  </w:pPr>
                  <w:r w:rsidRPr="00F87525">
                    <w:rPr>
                      <w:rFonts w:cs="Times New Roman"/>
                      <w:bCs/>
                      <w:sz w:val="24"/>
                      <w:szCs w:val="24"/>
                      <w:lang w:eastAsia="lv-LV" w:bidi="ar-SA"/>
                    </w:rPr>
                    <w:lastRenderedPageBreak/>
                    <w:t>VII. Tiesību akta projekta izpildes nodrošināšana un tās ietekme uz institūcijām</w:t>
                  </w:r>
                </w:p>
              </w:tc>
            </w:tr>
            <w:tr w:rsidR="004A6B38" w:rsidRPr="004A6B38" w:rsidTr="00E62B00">
              <w:trPr>
                <w:trHeight w:val="420"/>
                <w:tblCellSpacing w:w="15" w:type="dxa"/>
                <w:jc w:val="center"/>
              </w:trPr>
              <w:tc>
                <w:tcPr>
                  <w:tcW w:w="503"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1.</w:t>
                  </w:r>
                </w:p>
              </w:tc>
              <w:tc>
                <w:tcPr>
                  <w:tcW w:w="4801"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Projekta izpildē iesaistītās institūcijas</w:t>
                  </w:r>
                </w:p>
              </w:tc>
              <w:tc>
                <w:tcPr>
                  <w:tcW w:w="4766" w:type="dxa"/>
                  <w:tcBorders>
                    <w:top w:val="outset" w:sz="6" w:space="0" w:color="auto"/>
                    <w:left w:val="outset" w:sz="6" w:space="0" w:color="auto"/>
                    <w:bottom w:val="outset" w:sz="6" w:space="0" w:color="auto"/>
                    <w:right w:val="outset" w:sz="6" w:space="0" w:color="auto"/>
                  </w:tcBorders>
                  <w:hideMark/>
                </w:tcPr>
                <w:p w:rsidR="00FD1817" w:rsidRPr="00F87525" w:rsidRDefault="00020697" w:rsidP="00FD1817">
                  <w:pPr>
                    <w:rPr>
                      <w:rFonts w:cs="Times New Roman"/>
                      <w:sz w:val="24"/>
                      <w:szCs w:val="24"/>
                      <w:lang w:eastAsia="lv-LV" w:bidi="ar-SA"/>
                    </w:rPr>
                  </w:pPr>
                  <w:r w:rsidRPr="00F87525">
                    <w:rPr>
                      <w:rFonts w:cs="Times New Roman"/>
                      <w:sz w:val="24"/>
                      <w:szCs w:val="24"/>
                      <w:lang w:eastAsia="lv-LV" w:bidi="ar-SA"/>
                    </w:rPr>
                    <w:t>Aizsardzības ministrija</w:t>
                  </w:r>
                </w:p>
                <w:p w:rsidR="00020697" w:rsidRPr="00F87525" w:rsidRDefault="00020697" w:rsidP="0030778C">
                  <w:pPr>
                    <w:rPr>
                      <w:rFonts w:cs="Times New Roman"/>
                      <w:sz w:val="24"/>
                      <w:szCs w:val="24"/>
                      <w:lang w:eastAsia="lv-LV" w:bidi="ar-SA"/>
                    </w:rPr>
                  </w:pPr>
                  <w:r w:rsidRPr="00F87525">
                    <w:rPr>
                      <w:rFonts w:cs="Times New Roman"/>
                      <w:sz w:val="24"/>
                      <w:szCs w:val="24"/>
                      <w:lang w:eastAsia="lv-LV" w:bidi="ar-SA"/>
                    </w:rPr>
                    <w:t>Ārstniecības iestādes</w:t>
                  </w:r>
                </w:p>
              </w:tc>
            </w:tr>
            <w:tr w:rsidR="004A6B38" w:rsidRPr="004A6B38" w:rsidTr="00E62B00">
              <w:trPr>
                <w:trHeight w:val="450"/>
                <w:tblCellSpacing w:w="15" w:type="dxa"/>
                <w:jc w:val="center"/>
              </w:trPr>
              <w:tc>
                <w:tcPr>
                  <w:tcW w:w="503"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2.</w:t>
                  </w:r>
                </w:p>
              </w:tc>
              <w:tc>
                <w:tcPr>
                  <w:tcW w:w="4801" w:type="dxa"/>
                  <w:tcBorders>
                    <w:top w:val="outset" w:sz="6" w:space="0" w:color="auto"/>
                    <w:left w:val="outset" w:sz="6" w:space="0" w:color="auto"/>
                    <w:bottom w:val="outset" w:sz="6" w:space="0" w:color="auto"/>
                    <w:right w:val="outset" w:sz="6" w:space="0" w:color="auto"/>
                  </w:tcBorders>
                  <w:hideMark/>
                </w:tcPr>
                <w:p w:rsidR="00FD1817" w:rsidRPr="00F87525" w:rsidRDefault="00FD1817" w:rsidP="00E62B00">
                  <w:pPr>
                    <w:rPr>
                      <w:rFonts w:cs="Times New Roman"/>
                      <w:sz w:val="24"/>
                      <w:szCs w:val="24"/>
                      <w:lang w:eastAsia="lv-LV" w:bidi="ar-SA"/>
                    </w:rPr>
                  </w:pPr>
                  <w:r w:rsidRPr="00F87525">
                    <w:rPr>
                      <w:rFonts w:cs="Times New Roman"/>
                      <w:sz w:val="24"/>
                      <w:szCs w:val="24"/>
                      <w:lang w:eastAsia="lv-LV" w:bidi="ar-SA"/>
                    </w:rPr>
                    <w:t>Projekta izpildes ietekme uz pārvaldes funkcijām un institucionālo struktūru. Jaunu institūciju izveide, esošu institūciju likvidācija vai reorganizācija, to ietekme uz institūcijas cilvēkresursiem</w:t>
                  </w:r>
                </w:p>
              </w:tc>
              <w:tc>
                <w:tcPr>
                  <w:tcW w:w="4766" w:type="dxa"/>
                  <w:tcBorders>
                    <w:top w:val="outset" w:sz="6" w:space="0" w:color="auto"/>
                    <w:left w:val="outset" w:sz="6" w:space="0" w:color="auto"/>
                    <w:bottom w:val="outset" w:sz="6" w:space="0" w:color="auto"/>
                    <w:right w:val="outset" w:sz="6" w:space="0" w:color="auto"/>
                  </w:tcBorders>
                  <w:hideMark/>
                </w:tcPr>
                <w:p w:rsidR="00FD1817" w:rsidRPr="00F87525" w:rsidRDefault="00020697" w:rsidP="00F87525">
                  <w:pPr>
                    <w:rPr>
                      <w:rFonts w:cs="Times New Roman"/>
                      <w:sz w:val="24"/>
                      <w:szCs w:val="24"/>
                      <w:lang w:eastAsia="lv-LV" w:bidi="ar-SA"/>
                    </w:rPr>
                  </w:pPr>
                  <w:r w:rsidRPr="00F87525">
                    <w:rPr>
                      <w:rFonts w:cs="Times New Roman"/>
                      <w:sz w:val="24"/>
                      <w:szCs w:val="24"/>
                      <w:lang w:eastAsia="lv-LV" w:bidi="ar-SA"/>
                    </w:rPr>
                    <w:t>Nav</w:t>
                  </w:r>
                </w:p>
              </w:tc>
            </w:tr>
            <w:tr w:rsidR="004A6B38" w:rsidRPr="004A6B38" w:rsidTr="00E62B00">
              <w:trPr>
                <w:trHeight w:val="390"/>
                <w:tblCellSpacing w:w="15" w:type="dxa"/>
                <w:jc w:val="center"/>
              </w:trPr>
              <w:tc>
                <w:tcPr>
                  <w:tcW w:w="503"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3.</w:t>
                  </w:r>
                </w:p>
              </w:tc>
              <w:tc>
                <w:tcPr>
                  <w:tcW w:w="4801" w:type="dxa"/>
                  <w:tcBorders>
                    <w:top w:val="outset" w:sz="6" w:space="0" w:color="auto"/>
                    <w:left w:val="outset" w:sz="6" w:space="0" w:color="auto"/>
                    <w:bottom w:val="outset" w:sz="6" w:space="0" w:color="auto"/>
                    <w:right w:val="outset" w:sz="6" w:space="0" w:color="auto"/>
                  </w:tcBorders>
                  <w:hideMark/>
                </w:tcPr>
                <w:p w:rsidR="00FD1817" w:rsidRPr="00F87525" w:rsidRDefault="00FD1817" w:rsidP="00FD1817">
                  <w:pPr>
                    <w:rPr>
                      <w:rFonts w:cs="Times New Roman"/>
                      <w:sz w:val="24"/>
                      <w:szCs w:val="24"/>
                      <w:lang w:eastAsia="lv-LV" w:bidi="ar-SA"/>
                    </w:rPr>
                  </w:pPr>
                  <w:r w:rsidRPr="00F87525">
                    <w:rPr>
                      <w:rFonts w:cs="Times New Roman"/>
                      <w:sz w:val="24"/>
                      <w:szCs w:val="24"/>
                      <w:lang w:eastAsia="lv-LV" w:bidi="ar-SA"/>
                    </w:rPr>
                    <w:t>Cita informācija</w:t>
                  </w:r>
                </w:p>
              </w:tc>
              <w:tc>
                <w:tcPr>
                  <w:tcW w:w="4766" w:type="dxa"/>
                  <w:tcBorders>
                    <w:top w:val="outset" w:sz="6" w:space="0" w:color="auto"/>
                    <w:left w:val="outset" w:sz="6" w:space="0" w:color="auto"/>
                    <w:bottom w:val="outset" w:sz="6" w:space="0" w:color="auto"/>
                    <w:right w:val="outset" w:sz="6" w:space="0" w:color="auto"/>
                  </w:tcBorders>
                  <w:hideMark/>
                </w:tcPr>
                <w:p w:rsidR="00FD1817" w:rsidRPr="00F87525" w:rsidRDefault="00020697" w:rsidP="00F87525">
                  <w:pPr>
                    <w:spacing w:before="100" w:beforeAutospacing="1" w:after="100" w:afterAutospacing="1" w:line="360" w:lineRule="auto"/>
                    <w:rPr>
                      <w:rFonts w:cs="Times New Roman"/>
                      <w:sz w:val="24"/>
                      <w:szCs w:val="24"/>
                      <w:lang w:eastAsia="lv-LV" w:bidi="ar-SA"/>
                    </w:rPr>
                  </w:pPr>
                  <w:r w:rsidRPr="00F87525">
                    <w:rPr>
                      <w:rFonts w:cs="Times New Roman"/>
                      <w:sz w:val="24"/>
                      <w:szCs w:val="24"/>
                      <w:lang w:eastAsia="lv-LV" w:bidi="ar-SA"/>
                    </w:rPr>
                    <w:t>Nav</w:t>
                  </w:r>
                </w:p>
              </w:tc>
            </w:tr>
          </w:tbl>
          <w:p w:rsidR="00FD1817" w:rsidRPr="00F87525" w:rsidRDefault="00FD1817" w:rsidP="00FD1817">
            <w:pPr>
              <w:jc w:val="center"/>
              <w:rPr>
                <w:rFonts w:cs="Times New Roman"/>
                <w:sz w:val="24"/>
                <w:szCs w:val="24"/>
                <w:lang w:eastAsia="lv-LV" w:bidi="ar-SA"/>
              </w:rPr>
            </w:pPr>
          </w:p>
        </w:tc>
        <w:tc>
          <w:tcPr>
            <w:tcW w:w="78" w:type="dxa"/>
            <w:vAlign w:val="center"/>
            <w:hideMark/>
          </w:tcPr>
          <w:p w:rsidR="00FD1817" w:rsidRPr="004A6B38" w:rsidRDefault="00FD1817" w:rsidP="00FD1817">
            <w:pPr>
              <w:rPr>
                <w:rFonts w:cs="Times New Roman"/>
                <w:sz w:val="24"/>
                <w:szCs w:val="24"/>
                <w:lang w:eastAsia="lv-LV" w:bidi="ar-SA"/>
              </w:rPr>
            </w:pPr>
            <w:r w:rsidRPr="004A6B38">
              <w:rPr>
                <w:rFonts w:cs="Times New Roman"/>
                <w:sz w:val="24"/>
                <w:szCs w:val="24"/>
                <w:lang w:eastAsia="lv-LV" w:bidi="ar-SA"/>
              </w:rPr>
              <w:lastRenderedPageBreak/>
              <w:t xml:space="preserve">  </w:t>
            </w:r>
          </w:p>
        </w:tc>
        <w:tc>
          <w:tcPr>
            <w:tcW w:w="64" w:type="dxa"/>
            <w:hideMark/>
          </w:tcPr>
          <w:p w:rsidR="00FD1817" w:rsidRPr="004A6B38" w:rsidRDefault="00FD1817" w:rsidP="00C85505">
            <w:pPr>
              <w:shd w:val="clear" w:color="auto" w:fill="F1F1F1"/>
              <w:spacing w:before="100" w:beforeAutospacing="1" w:after="100" w:afterAutospacing="1"/>
              <w:ind w:right="519" w:hanging="78"/>
              <w:rPr>
                <w:rFonts w:cs="Times New Roman"/>
                <w:sz w:val="24"/>
                <w:szCs w:val="24"/>
                <w:lang w:eastAsia="lv-LV" w:bidi="ar-SA"/>
              </w:rPr>
            </w:pPr>
          </w:p>
        </w:tc>
      </w:tr>
    </w:tbl>
    <w:p w:rsidR="00FD1817" w:rsidRPr="004A6B38" w:rsidRDefault="00FD1817" w:rsidP="00FD1817">
      <w:pPr>
        <w:rPr>
          <w:rFonts w:cs="Times New Roman"/>
          <w:vanish/>
          <w:sz w:val="24"/>
          <w:szCs w:val="24"/>
          <w:lang w:eastAsia="lv-LV" w:bidi="ar-SA"/>
        </w:rPr>
      </w:pPr>
      <w:r w:rsidRPr="004A6B38">
        <w:rPr>
          <w:rFonts w:cs="Times New Roman"/>
          <w:vanish/>
          <w:sz w:val="24"/>
          <w:szCs w:val="24"/>
          <w:lang w:eastAsia="lv-LV" w:bidi="ar-SA"/>
        </w:rPr>
        <w:lastRenderedPageBreak/>
        <w:t>203061</w:t>
      </w:r>
    </w:p>
    <w:p w:rsidR="00FD1817" w:rsidRPr="004A6B38" w:rsidRDefault="00FD1817" w:rsidP="00FD1817">
      <w:pPr>
        <w:rPr>
          <w:rFonts w:cs="Times New Roman"/>
          <w:vanish/>
          <w:sz w:val="24"/>
          <w:szCs w:val="24"/>
          <w:lang w:eastAsia="lv-LV" w:bidi="ar-SA"/>
        </w:rPr>
      </w:pPr>
      <w:r w:rsidRPr="004A6B38">
        <w:rPr>
          <w:rFonts w:cs="Times New Roman"/>
          <w:vanish/>
          <w:sz w:val="24"/>
          <w:szCs w:val="24"/>
          <w:lang w:eastAsia="lv-LV" w:bidi="ar-SA"/>
        </w:rPr>
        <w:t>{"selected":{"value":"01.01.2014","content":"&lt;font class='s-1'&gt;01.01.2014.-...&lt;\/font&gt; &lt;font class='s-3'&gt;Sp\u0113k\u0101 eso\u0161\u0101&lt;\/font&gt;"},"data":[{"value":"01.01.2014","content":"&lt;font class='s-1'&gt;01.01.2014.-...&lt;\/font&gt; &lt;font class='s-3'&gt;Sp\u0113k\u0101 eso\u0161\u0101&lt;\/font&gt;"},{"value":"01.01.2011","content":"&lt;font class='s-1'&gt;01.01.2011.-31.12.2013.&lt;\/font&gt; &lt;font class='s-2'&gt;V\u0113sturisk\u0101&lt;\/font&gt;"},{"value":"29.12.2010","content":"&lt;font class='s-1'&gt;29.12.2010.-31.12.2010.&lt;\/font&gt; &lt;font class='s-2'&gt;V\u0113sturisk\u0101&lt;\/font&gt;"},{"value":"01.01.2010","content":"&lt;font class='s-1'&gt;01.01.2010.-28.12.2010.&lt;\/font&gt; &lt;font class='s-2'&gt;Pamata&lt;\/font&gt;"}]}</w:t>
      </w:r>
    </w:p>
    <w:p w:rsidR="00FD1817" w:rsidRPr="004A6B38" w:rsidRDefault="00FD1817" w:rsidP="00FD1817">
      <w:pPr>
        <w:rPr>
          <w:rFonts w:cs="Times New Roman"/>
          <w:vanish/>
          <w:sz w:val="24"/>
          <w:szCs w:val="24"/>
          <w:lang w:eastAsia="lv-LV" w:bidi="ar-SA"/>
        </w:rPr>
      </w:pPr>
      <w:r w:rsidRPr="004A6B38">
        <w:rPr>
          <w:rFonts w:cs="Times New Roman"/>
          <w:vanish/>
          <w:sz w:val="24"/>
          <w:szCs w:val="24"/>
          <w:lang w:eastAsia="lv-LV" w:bidi="ar-SA"/>
        </w:rPr>
        <w:t>01.01.2014</w:t>
      </w:r>
    </w:p>
    <w:p w:rsidR="00FD1817" w:rsidRPr="004A6B38" w:rsidRDefault="00FD1817" w:rsidP="00FD1817">
      <w:pPr>
        <w:rPr>
          <w:rFonts w:cs="Times New Roman"/>
          <w:vanish/>
          <w:sz w:val="24"/>
          <w:szCs w:val="24"/>
          <w:lang w:eastAsia="lv-LV" w:bidi="ar-SA"/>
        </w:rPr>
      </w:pPr>
      <w:r w:rsidRPr="004A6B38">
        <w:rPr>
          <w:rFonts w:cs="Times New Roman"/>
          <w:vanish/>
          <w:sz w:val="24"/>
          <w:szCs w:val="24"/>
          <w:lang w:eastAsia="lv-LV" w:bidi="ar-SA"/>
        </w:rPr>
        <w:t>01.01.2014</w:t>
      </w:r>
    </w:p>
    <w:p w:rsidR="00FD1817" w:rsidRPr="004A6B38" w:rsidRDefault="00FD1817" w:rsidP="00FD1817">
      <w:pPr>
        <w:rPr>
          <w:rFonts w:cs="Times New Roman"/>
          <w:vanish/>
          <w:sz w:val="24"/>
          <w:szCs w:val="24"/>
          <w:lang w:eastAsia="lv-LV" w:bidi="ar-SA"/>
        </w:rPr>
      </w:pPr>
      <w:r w:rsidRPr="004A6B38">
        <w:rPr>
          <w:rFonts w:cs="Times New Roman"/>
          <w:vanish/>
          <w:sz w:val="24"/>
          <w:szCs w:val="24"/>
          <w:lang w:eastAsia="lv-LV" w:bidi="ar-SA"/>
        </w:rPr>
        <w:t>86</w:t>
      </w:r>
    </w:p>
    <w:p w:rsidR="00FD1817" w:rsidRPr="004A6B38" w:rsidRDefault="00FD1817" w:rsidP="00FD1817">
      <w:pPr>
        <w:rPr>
          <w:rFonts w:cs="Times New Roman"/>
          <w:vanish/>
          <w:sz w:val="24"/>
          <w:szCs w:val="24"/>
          <w:lang w:eastAsia="lv-LV" w:bidi="ar-SA"/>
        </w:rPr>
      </w:pPr>
      <w:r w:rsidRPr="004A6B38">
        <w:rPr>
          <w:rFonts w:cs="Times New Roman"/>
          <w:vanish/>
          <w:sz w:val="24"/>
          <w:szCs w:val="24"/>
          <w:lang w:eastAsia="lv-LV" w:bidi="ar-SA"/>
        </w:rPr>
        <w:t>1</w:t>
      </w:r>
    </w:p>
    <w:p w:rsidR="00FD1817" w:rsidRPr="004A6B38" w:rsidRDefault="00FD1817" w:rsidP="00FD1817">
      <w:pPr>
        <w:numPr>
          <w:ilvl w:val="0"/>
          <w:numId w:val="3"/>
        </w:numPr>
        <w:spacing w:before="100" w:beforeAutospacing="1" w:after="100" w:afterAutospacing="1"/>
        <w:ind w:left="0"/>
        <w:rPr>
          <w:rFonts w:cs="Times New Roman"/>
          <w:vanish/>
          <w:sz w:val="24"/>
          <w:szCs w:val="24"/>
          <w:lang w:eastAsia="lv-LV" w:bidi="ar-SA"/>
        </w:rPr>
      </w:pPr>
      <w:r w:rsidRPr="004A6B38">
        <w:rPr>
          <w:rFonts w:cs="Times New Roman"/>
          <w:vanish/>
          <w:sz w:val="24"/>
          <w:szCs w:val="24"/>
          <w:lang w:eastAsia="lv-LV" w:bidi="ar-SA"/>
        </w:rPr>
        <w:t>Drukāt tiesību aktu</w:t>
      </w:r>
    </w:p>
    <w:p w:rsidR="00FD1817" w:rsidRPr="004A6B38" w:rsidRDefault="00FD1817" w:rsidP="00FD1817">
      <w:pPr>
        <w:numPr>
          <w:ilvl w:val="0"/>
          <w:numId w:val="3"/>
        </w:numPr>
        <w:spacing w:before="100" w:beforeAutospacing="1" w:after="100" w:afterAutospacing="1"/>
        <w:ind w:left="0"/>
        <w:rPr>
          <w:rFonts w:cs="Times New Roman"/>
          <w:vanish/>
          <w:sz w:val="24"/>
          <w:szCs w:val="24"/>
          <w:lang w:eastAsia="lv-LV" w:bidi="ar-SA"/>
        </w:rPr>
      </w:pPr>
      <w:r w:rsidRPr="004A6B38">
        <w:rPr>
          <w:rFonts w:cs="Times New Roman"/>
          <w:vanish/>
          <w:sz w:val="24"/>
          <w:szCs w:val="24"/>
          <w:lang w:eastAsia="lv-LV" w:bidi="ar-SA"/>
        </w:rPr>
        <w:t>Saglabāt kā PDF dokumentu</w:t>
      </w:r>
    </w:p>
    <w:p w:rsidR="00FD1817" w:rsidRPr="004A6B38" w:rsidRDefault="00FD1817" w:rsidP="00C85505">
      <w:pPr>
        <w:rPr>
          <w:rFonts w:cs="Times New Roman"/>
          <w:sz w:val="24"/>
          <w:szCs w:val="24"/>
          <w:lang w:eastAsia="lv-LV" w:bidi="ar-SA"/>
        </w:rPr>
      </w:pPr>
      <w:r w:rsidRPr="004A6B38">
        <w:rPr>
          <w:rFonts w:cs="Times New Roman"/>
          <w:sz w:val="24"/>
          <w:szCs w:val="24"/>
          <w:lang w:eastAsia="lv-LV" w:bidi="ar-SA"/>
        </w:rPr>
        <w:t> </w:t>
      </w:r>
    </w:p>
    <w:p w:rsidR="000835E8" w:rsidRPr="00F87525" w:rsidRDefault="000835E8" w:rsidP="000835E8">
      <w:pPr>
        <w:rPr>
          <w:sz w:val="24"/>
          <w:szCs w:val="24"/>
        </w:rPr>
      </w:pPr>
      <w:r w:rsidRPr="00F87525">
        <w:rPr>
          <w:sz w:val="24"/>
          <w:szCs w:val="24"/>
        </w:rPr>
        <w:t>V un VI sadaļa</w:t>
      </w:r>
      <w:r w:rsidRPr="00F87525">
        <w:rPr>
          <w:b/>
          <w:sz w:val="24"/>
          <w:szCs w:val="24"/>
        </w:rPr>
        <w:t xml:space="preserve"> – </w:t>
      </w:r>
      <w:r w:rsidRPr="00F87525">
        <w:rPr>
          <w:sz w:val="24"/>
          <w:szCs w:val="24"/>
        </w:rPr>
        <w:t>projekts šīs jomas neskar.  </w:t>
      </w:r>
    </w:p>
    <w:p w:rsidR="000835E8" w:rsidRPr="00F87525" w:rsidRDefault="000835E8" w:rsidP="000835E8"/>
    <w:p w:rsidR="00D51155" w:rsidRPr="00F87525" w:rsidRDefault="00D51155" w:rsidP="00D51155">
      <w:pPr>
        <w:rPr>
          <w:rFonts w:cs="Times New Roman"/>
          <w:sz w:val="24"/>
          <w:szCs w:val="24"/>
          <w:lang w:eastAsia="lv-LV" w:bidi="ar-SA"/>
        </w:rPr>
      </w:pPr>
    </w:p>
    <w:p w:rsidR="00FD2938" w:rsidRDefault="00FD2938" w:rsidP="00D51155">
      <w:pPr>
        <w:rPr>
          <w:rFonts w:cs="Times New Roman"/>
          <w:sz w:val="24"/>
          <w:szCs w:val="24"/>
          <w:lang w:eastAsia="lv-LV" w:bidi="ar-SA"/>
        </w:rPr>
      </w:pPr>
    </w:p>
    <w:p w:rsidR="00FD2938" w:rsidRDefault="00FD2938" w:rsidP="00D51155">
      <w:pPr>
        <w:rPr>
          <w:rFonts w:cs="Times New Roman"/>
          <w:sz w:val="24"/>
          <w:szCs w:val="24"/>
          <w:lang w:eastAsia="lv-LV" w:bidi="ar-SA"/>
        </w:rPr>
      </w:pPr>
    </w:p>
    <w:p w:rsidR="00EB6174" w:rsidRDefault="00EB6174" w:rsidP="00D51155">
      <w:pPr>
        <w:rPr>
          <w:rFonts w:cs="Times New Roman"/>
          <w:sz w:val="24"/>
          <w:szCs w:val="24"/>
          <w:lang w:eastAsia="lv-LV" w:bidi="ar-SA"/>
        </w:rPr>
      </w:pPr>
    </w:p>
    <w:p w:rsidR="00EB6174" w:rsidRDefault="00D51155" w:rsidP="00D51155">
      <w:pPr>
        <w:rPr>
          <w:rFonts w:cs="Times New Roman"/>
          <w:sz w:val="24"/>
          <w:szCs w:val="24"/>
          <w:lang w:eastAsia="lv-LV" w:bidi="ar-SA"/>
        </w:rPr>
      </w:pPr>
      <w:r w:rsidRPr="00F87525">
        <w:rPr>
          <w:rFonts w:cs="Times New Roman"/>
          <w:sz w:val="24"/>
          <w:szCs w:val="24"/>
          <w:lang w:eastAsia="lv-LV" w:bidi="ar-SA"/>
        </w:rPr>
        <w:t>Aizsardzības ministr</w:t>
      </w:r>
      <w:r w:rsidR="00EB6174">
        <w:rPr>
          <w:rFonts w:cs="Times New Roman"/>
          <w:sz w:val="24"/>
          <w:szCs w:val="24"/>
          <w:lang w:eastAsia="lv-LV" w:bidi="ar-SA"/>
        </w:rPr>
        <w:t>a vietā</w:t>
      </w:r>
    </w:p>
    <w:p w:rsidR="00D51155" w:rsidRPr="00F87525" w:rsidRDefault="00EB6174" w:rsidP="00D51155">
      <w:pPr>
        <w:rPr>
          <w:rFonts w:cs="Times New Roman"/>
          <w:sz w:val="24"/>
          <w:szCs w:val="24"/>
          <w:lang w:eastAsia="lv-LV" w:bidi="ar-SA"/>
        </w:rPr>
      </w:pPr>
      <w:r>
        <w:rPr>
          <w:rFonts w:cs="Times New Roman"/>
          <w:sz w:val="24"/>
          <w:szCs w:val="24"/>
          <w:lang w:eastAsia="lv-LV" w:bidi="ar-SA"/>
        </w:rPr>
        <w:t>Zemkopības ministrs</w:t>
      </w:r>
      <w:r w:rsidR="000D14EC" w:rsidRPr="00F87525">
        <w:rPr>
          <w:rFonts w:cs="Times New Roman"/>
          <w:sz w:val="24"/>
          <w:szCs w:val="24"/>
          <w:lang w:eastAsia="lv-LV" w:bidi="ar-SA"/>
        </w:rPr>
        <w:t xml:space="preserve">                                                                                                      </w:t>
      </w:r>
      <w:r>
        <w:rPr>
          <w:rFonts w:cs="Times New Roman"/>
          <w:sz w:val="24"/>
          <w:szCs w:val="24"/>
          <w:lang w:eastAsia="lv-LV" w:bidi="ar-SA"/>
        </w:rPr>
        <w:t>J.Dūklavs</w:t>
      </w:r>
    </w:p>
    <w:p w:rsidR="000D14EC" w:rsidRPr="00F87525" w:rsidRDefault="000D14EC" w:rsidP="00D51155">
      <w:pPr>
        <w:rPr>
          <w:rFonts w:cs="Times New Roman"/>
          <w:sz w:val="24"/>
          <w:szCs w:val="24"/>
          <w:lang w:eastAsia="lv-LV" w:bidi="ar-SA"/>
        </w:rPr>
      </w:pPr>
    </w:p>
    <w:p w:rsidR="00D51155" w:rsidRPr="00F87525" w:rsidRDefault="00D51155" w:rsidP="00D51155">
      <w:pPr>
        <w:rPr>
          <w:rFonts w:cs="Times New Roman"/>
          <w:sz w:val="24"/>
          <w:szCs w:val="24"/>
          <w:lang w:eastAsia="lv-LV" w:bidi="ar-SA"/>
        </w:rPr>
      </w:pPr>
      <w:r w:rsidRPr="00F87525">
        <w:rPr>
          <w:rFonts w:cs="Times New Roman"/>
          <w:sz w:val="24"/>
          <w:szCs w:val="24"/>
          <w:lang w:eastAsia="lv-LV" w:bidi="ar-SA"/>
        </w:rPr>
        <w:tab/>
      </w:r>
      <w:r w:rsidRPr="00F87525">
        <w:rPr>
          <w:rFonts w:cs="Times New Roman"/>
          <w:sz w:val="24"/>
          <w:szCs w:val="24"/>
          <w:lang w:eastAsia="lv-LV" w:bidi="ar-SA"/>
        </w:rPr>
        <w:tab/>
      </w:r>
      <w:r w:rsidRPr="00F87525">
        <w:rPr>
          <w:rFonts w:cs="Times New Roman"/>
          <w:sz w:val="24"/>
          <w:szCs w:val="24"/>
          <w:lang w:eastAsia="lv-LV" w:bidi="ar-SA"/>
        </w:rPr>
        <w:tab/>
      </w:r>
      <w:r w:rsidRPr="00F87525">
        <w:rPr>
          <w:rFonts w:cs="Times New Roman"/>
          <w:sz w:val="24"/>
          <w:szCs w:val="24"/>
          <w:lang w:eastAsia="lv-LV" w:bidi="ar-SA"/>
        </w:rPr>
        <w:tab/>
      </w:r>
      <w:r w:rsidRPr="00F87525">
        <w:rPr>
          <w:rFonts w:cs="Times New Roman"/>
          <w:sz w:val="24"/>
          <w:szCs w:val="24"/>
          <w:lang w:eastAsia="lv-LV" w:bidi="ar-SA"/>
        </w:rPr>
        <w:tab/>
      </w:r>
      <w:r w:rsidRPr="00F87525">
        <w:rPr>
          <w:rFonts w:cs="Times New Roman"/>
          <w:sz w:val="24"/>
          <w:szCs w:val="24"/>
          <w:lang w:eastAsia="lv-LV" w:bidi="ar-SA"/>
        </w:rPr>
        <w:tab/>
        <w:t xml:space="preserve"> </w:t>
      </w:r>
    </w:p>
    <w:p w:rsidR="00FD2938" w:rsidRDefault="00FD2938" w:rsidP="00D51155">
      <w:pPr>
        <w:rPr>
          <w:rFonts w:cs="Times New Roman"/>
          <w:sz w:val="24"/>
          <w:szCs w:val="24"/>
          <w:lang w:eastAsia="lv-LV" w:bidi="ar-SA"/>
        </w:rPr>
      </w:pPr>
    </w:p>
    <w:p w:rsidR="00FD2938" w:rsidRDefault="00FD2938" w:rsidP="00D51155">
      <w:pPr>
        <w:rPr>
          <w:rFonts w:cs="Times New Roman"/>
          <w:sz w:val="24"/>
          <w:szCs w:val="24"/>
          <w:lang w:eastAsia="lv-LV" w:bidi="ar-SA"/>
        </w:rPr>
      </w:pPr>
    </w:p>
    <w:p w:rsidR="000D14EC" w:rsidRPr="00F87525" w:rsidRDefault="00D51155" w:rsidP="00D51155">
      <w:pPr>
        <w:rPr>
          <w:rFonts w:cs="Times New Roman"/>
          <w:lang w:eastAsia="lv-LV" w:bidi="ar-SA"/>
        </w:rPr>
      </w:pPr>
      <w:r w:rsidRPr="00F87525">
        <w:rPr>
          <w:rFonts w:cs="Times New Roman"/>
          <w:sz w:val="24"/>
          <w:szCs w:val="24"/>
          <w:lang w:eastAsia="lv-LV" w:bidi="ar-SA"/>
        </w:rPr>
        <w:t>Vīza: Valsts sekretārs</w:t>
      </w:r>
      <w:r w:rsidRPr="00F87525">
        <w:rPr>
          <w:rFonts w:cs="Times New Roman"/>
          <w:sz w:val="24"/>
          <w:szCs w:val="24"/>
          <w:lang w:eastAsia="lv-LV" w:bidi="ar-SA"/>
        </w:rPr>
        <w:tab/>
      </w:r>
      <w:r w:rsidRPr="00F87525">
        <w:rPr>
          <w:rFonts w:cs="Times New Roman"/>
          <w:sz w:val="24"/>
          <w:szCs w:val="24"/>
          <w:lang w:eastAsia="lv-LV" w:bidi="ar-SA"/>
        </w:rPr>
        <w:tab/>
      </w:r>
      <w:r w:rsidRPr="00F87525">
        <w:rPr>
          <w:rFonts w:cs="Times New Roman"/>
          <w:sz w:val="24"/>
          <w:szCs w:val="24"/>
          <w:lang w:eastAsia="lv-LV" w:bidi="ar-SA"/>
        </w:rPr>
        <w:tab/>
      </w:r>
      <w:r w:rsidRPr="00F87525">
        <w:rPr>
          <w:rFonts w:cs="Times New Roman"/>
          <w:sz w:val="24"/>
          <w:szCs w:val="24"/>
          <w:lang w:eastAsia="lv-LV" w:bidi="ar-SA"/>
        </w:rPr>
        <w:tab/>
      </w:r>
      <w:r w:rsidRPr="00F87525">
        <w:rPr>
          <w:rFonts w:cs="Times New Roman"/>
          <w:sz w:val="24"/>
          <w:szCs w:val="24"/>
          <w:lang w:eastAsia="lv-LV" w:bidi="ar-SA"/>
        </w:rPr>
        <w:tab/>
      </w:r>
      <w:r w:rsidRPr="00F87525">
        <w:rPr>
          <w:rFonts w:cs="Times New Roman"/>
          <w:sz w:val="24"/>
          <w:szCs w:val="24"/>
          <w:lang w:eastAsia="lv-LV" w:bidi="ar-SA"/>
        </w:rPr>
        <w:tab/>
      </w:r>
      <w:r w:rsidRPr="00F87525">
        <w:rPr>
          <w:rFonts w:cs="Times New Roman"/>
          <w:sz w:val="24"/>
          <w:szCs w:val="24"/>
          <w:lang w:eastAsia="lv-LV" w:bidi="ar-SA"/>
        </w:rPr>
        <w:tab/>
      </w:r>
      <w:r w:rsidRPr="00F87525">
        <w:rPr>
          <w:rFonts w:cs="Times New Roman"/>
          <w:sz w:val="24"/>
          <w:szCs w:val="24"/>
          <w:lang w:eastAsia="lv-LV" w:bidi="ar-SA"/>
        </w:rPr>
        <w:tab/>
      </w:r>
      <w:r w:rsidR="000D14EC" w:rsidRPr="00F87525">
        <w:rPr>
          <w:rFonts w:cs="Times New Roman"/>
          <w:sz w:val="24"/>
          <w:szCs w:val="24"/>
          <w:lang w:eastAsia="lv-LV" w:bidi="ar-SA"/>
        </w:rPr>
        <w:t xml:space="preserve">                  </w:t>
      </w:r>
      <w:r w:rsidRPr="00F87525">
        <w:rPr>
          <w:rFonts w:cs="Times New Roman"/>
          <w:sz w:val="24"/>
          <w:szCs w:val="24"/>
          <w:lang w:eastAsia="lv-LV" w:bidi="ar-SA"/>
        </w:rPr>
        <w:t>J.Sārts</w:t>
      </w: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FD2938" w:rsidRDefault="00FD2938" w:rsidP="00D51155">
      <w:pPr>
        <w:rPr>
          <w:rFonts w:cs="Times New Roman"/>
          <w:lang w:eastAsia="lv-LV" w:bidi="ar-SA"/>
        </w:rPr>
      </w:pPr>
    </w:p>
    <w:p w:rsidR="00D51155" w:rsidRPr="00F87525" w:rsidRDefault="000835E8" w:rsidP="00D51155">
      <w:pPr>
        <w:rPr>
          <w:rFonts w:cs="Times New Roman"/>
          <w:lang w:eastAsia="lv-LV" w:bidi="ar-SA"/>
        </w:rPr>
      </w:pPr>
      <w:r w:rsidRPr="00F87525">
        <w:rPr>
          <w:rFonts w:cs="Times New Roman"/>
          <w:lang w:eastAsia="lv-LV" w:bidi="ar-SA"/>
        </w:rPr>
        <w:t>21</w:t>
      </w:r>
      <w:r w:rsidR="009A410B" w:rsidRPr="00F87525">
        <w:rPr>
          <w:rFonts w:cs="Times New Roman"/>
          <w:lang w:eastAsia="lv-LV" w:bidi="ar-SA"/>
        </w:rPr>
        <w:t>.08</w:t>
      </w:r>
      <w:r w:rsidR="00D51155" w:rsidRPr="00F87525">
        <w:rPr>
          <w:rFonts w:cs="Times New Roman"/>
          <w:lang w:eastAsia="lv-LV" w:bidi="ar-SA"/>
        </w:rPr>
        <w:t>.2014</w:t>
      </w:r>
    </w:p>
    <w:p w:rsidR="00FD2938" w:rsidRDefault="00FD2938" w:rsidP="00D51155">
      <w:pPr>
        <w:tabs>
          <w:tab w:val="center" w:pos="4153"/>
          <w:tab w:val="right" w:pos="8306"/>
        </w:tabs>
        <w:rPr>
          <w:rFonts w:cs="Times New Roman"/>
          <w:sz w:val="18"/>
          <w:szCs w:val="18"/>
          <w:lang w:eastAsia="x-none" w:bidi="ar-SA"/>
        </w:rPr>
      </w:pPr>
      <w:r>
        <w:rPr>
          <w:rFonts w:cs="Times New Roman"/>
          <w:sz w:val="18"/>
          <w:szCs w:val="18"/>
          <w:lang w:eastAsia="x-none" w:bidi="ar-SA"/>
        </w:rPr>
        <w:t>116</w:t>
      </w:r>
      <w:r w:rsidR="00EB6174">
        <w:rPr>
          <w:rFonts w:cs="Times New Roman"/>
          <w:sz w:val="18"/>
          <w:szCs w:val="18"/>
          <w:lang w:eastAsia="x-none" w:bidi="ar-SA"/>
        </w:rPr>
        <w:t>9</w:t>
      </w:r>
    </w:p>
    <w:p w:rsidR="00D51155" w:rsidRPr="004A6B38" w:rsidRDefault="00D51155" w:rsidP="00D51155">
      <w:pPr>
        <w:tabs>
          <w:tab w:val="center" w:pos="4153"/>
          <w:tab w:val="right" w:pos="8306"/>
        </w:tabs>
        <w:rPr>
          <w:rFonts w:cs="Times New Roman"/>
          <w:sz w:val="18"/>
          <w:szCs w:val="18"/>
          <w:lang w:val="x-none" w:eastAsia="x-none" w:bidi="ar-SA"/>
        </w:rPr>
      </w:pPr>
      <w:r w:rsidRPr="004A6B38">
        <w:rPr>
          <w:rFonts w:cs="Times New Roman"/>
          <w:sz w:val="18"/>
          <w:szCs w:val="18"/>
          <w:lang w:val="x-none" w:eastAsia="x-none" w:bidi="ar-SA"/>
        </w:rPr>
        <w:t>A.Jaško,</w:t>
      </w:r>
    </w:p>
    <w:p w:rsidR="00D51155" w:rsidRPr="004A6B38" w:rsidRDefault="00D51155" w:rsidP="00D51155">
      <w:pPr>
        <w:tabs>
          <w:tab w:val="center" w:pos="4153"/>
          <w:tab w:val="right" w:pos="8306"/>
        </w:tabs>
        <w:rPr>
          <w:rFonts w:cs="Times New Roman"/>
          <w:sz w:val="18"/>
          <w:szCs w:val="18"/>
          <w:lang w:val="x-none" w:eastAsia="x-none" w:bidi="ar-SA"/>
        </w:rPr>
      </w:pPr>
      <w:r w:rsidRPr="004A6B38">
        <w:rPr>
          <w:rFonts w:cs="Times New Roman"/>
          <w:sz w:val="18"/>
          <w:szCs w:val="18"/>
          <w:lang w:val="x-none" w:eastAsia="x-none" w:bidi="ar-SA"/>
        </w:rPr>
        <w:t>Tālr.: 67335197;</w:t>
      </w:r>
    </w:p>
    <w:p w:rsidR="00D51155" w:rsidRPr="004A6B38" w:rsidRDefault="00D51155" w:rsidP="00D51155">
      <w:pPr>
        <w:tabs>
          <w:tab w:val="center" w:pos="4153"/>
          <w:tab w:val="right" w:pos="8306"/>
        </w:tabs>
        <w:rPr>
          <w:rFonts w:cs="Times New Roman"/>
          <w:sz w:val="18"/>
          <w:szCs w:val="18"/>
          <w:lang w:val="x-none" w:eastAsia="x-none" w:bidi="ar-SA"/>
        </w:rPr>
      </w:pPr>
      <w:r w:rsidRPr="004A6B38">
        <w:rPr>
          <w:rFonts w:cs="Times New Roman"/>
          <w:sz w:val="18"/>
          <w:szCs w:val="18"/>
          <w:lang w:val="x-none" w:eastAsia="x-none" w:bidi="ar-SA"/>
        </w:rPr>
        <w:t>Fakss: 67212307;</w:t>
      </w:r>
    </w:p>
    <w:p w:rsidR="00D51155" w:rsidRPr="004A6B38" w:rsidRDefault="00D51155" w:rsidP="00D51155">
      <w:pPr>
        <w:tabs>
          <w:tab w:val="center" w:pos="4153"/>
          <w:tab w:val="right" w:pos="8306"/>
        </w:tabs>
        <w:rPr>
          <w:rFonts w:cs="Times New Roman"/>
          <w:sz w:val="18"/>
          <w:szCs w:val="18"/>
          <w:lang w:val="x-none" w:eastAsia="x-none" w:bidi="ar-SA"/>
        </w:rPr>
      </w:pPr>
      <w:r w:rsidRPr="004A6B38">
        <w:rPr>
          <w:rFonts w:cs="Times New Roman"/>
          <w:sz w:val="18"/>
          <w:szCs w:val="18"/>
          <w:lang w:val="x-none" w:eastAsia="x-none" w:bidi="ar-SA"/>
        </w:rPr>
        <w:t xml:space="preserve">e-pasta adrese: </w:t>
      </w:r>
      <w:hyperlink r:id="rId9" w:history="1">
        <w:r w:rsidRPr="00F87525">
          <w:rPr>
            <w:rFonts w:cs="Times New Roman"/>
            <w:sz w:val="18"/>
            <w:szCs w:val="18"/>
            <w:u w:val="single"/>
            <w:lang w:val="x-none" w:eastAsia="x-none" w:bidi="ar-SA"/>
          </w:rPr>
          <w:t>Andris.Jasko@mod.gov.lv</w:t>
        </w:r>
      </w:hyperlink>
    </w:p>
    <w:p w:rsidR="00D51155" w:rsidRPr="004A6B38" w:rsidRDefault="00D51155" w:rsidP="00D51155">
      <w:pPr>
        <w:tabs>
          <w:tab w:val="center" w:pos="4153"/>
          <w:tab w:val="right" w:pos="8306"/>
        </w:tabs>
        <w:rPr>
          <w:rFonts w:cs="Times New Roman"/>
          <w:sz w:val="18"/>
          <w:szCs w:val="18"/>
          <w:lang w:val="x-none" w:eastAsia="x-none" w:bidi="ar-SA"/>
        </w:rPr>
      </w:pPr>
      <w:r w:rsidRPr="004A6B38">
        <w:rPr>
          <w:rFonts w:cs="Times New Roman"/>
          <w:sz w:val="18"/>
          <w:szCs w:val="18"/>
          <w:lang w:val="x-none" w:eastAsia="x-none" w:bidi="ar-SA"/>
        </w:rPr>
        <w:t>R.Olekša,</w:t>
      </w:r>
    </w:p>
    <w:p w:rsidR="00D51155" w:rsidRPr="004A6B38" w:rsidRDefault="00D51155" w:rsidP="00D51155">
      <w:pPr>
        <w:tabs>
          <w:tab w:val="center" w:pos="4153"/>
          <w:tab w:val="right" w:pos="8306"/>
        </w:tabs>
        <w:rPr>
          <w:rFonts w:cs="Times New Roman"/>
          <w:sz w:val="18"/>
          <w:szCs w:val="18"/>
          <w:lang w:val="x-none" w:eastAsia="x-none" w:bidi="ar-SA"/>
        </w:rPr>
      </w:pPr>
      <w:r w:rsidRPr="004A6B38">
        <w:rPr>
          <w:rFonts w:cs="Times New Roman"/>
          <w:sz w:val="18"/>
          <w:szCs w:val="18"/>
          <w:lang w:val="x-none" w:eastAsia="x-none" w:bidi="ar-SA"/>
        </w:rPr>
        <w:t>Tālr.: 67335181;</w:t>
      </w:r>
    </w:p>
    <w:p w:rsidR="00D51155" w:rsidRPr="004A6B38" w:rsidRDefault="00D51155" w:rsidP="00D51155">
      <w:pPr>
        <w:tabs>
          <w:tab w:val="center" w:pos="4153"/>
          <w:tab w:val="right" w:pos="8306"/>
        </w:tabs>
        <w:rPr>
          <w:rFonts w:cs="Times New Roman"/>
          <w:sz w:val="18"/>
          <w:szCs w:val="18"/>
          <w:lang w:val="x-none" w:eastAsia="x-none" w:bidi="ar-SA"/>
        </w:rPr>
      </w:pPr>
      <w:r w:rsidRPr="004A6B38">
        <w:rPr>
          <w:rFonts w:cs="Times New Roman"/>
          <w:sz w:val="18"/>
          <w:szCs w:val="18"/>
          <w:lang w:val="x-none" w:eastAsia="x-none" w:bidi="ar-SA"/>
        </w:rPr>
        <w:t>Fakss: 67212307;</w:t>
      </w:r>
    </w:p>
    <w:p w:rsidR="0026236D" w:rsidRPr="004A6B38" w:rsidRDefault="00D51155" w:rsidP="000D14EC">
      <w:pPr>
        <w:tabs>
          <w:tab w:val="center" w:pos="4153"/>
          <w:tab w:val="right" w:pos="8306"/>
        </w:tabs>
        <w:rPr>
          <w:rFonts w:cs="Times New Roman"/>
          <w:sz w:val="24"/>
          <w:szCs w:val="24"/>
          <w:lang w:eastAsia="x-none" w:bidi="ar-SA"/>
        </w:rPr>
      </w:pPr>
      <w:r w:rsidRPr="004A6B38">
        <w:rPr>
          <w:rFonts w:cs="Times New Roman"/>
          <w:sz w:val="18"/>
          <w:szCs w:val="18"/>
          <w:lang w:val="x-none" w:eastAsia="x-none" w:bidi="ar-SA"/>
        </w:rPr>
        <w:t>e-pasta adrese: Ruta.Oleksa@mod.gov.lv</w:t>
      </w:r>
    </w:p>
    <w:sectPr w:rsidR="0026236D" w:rsidRPr="004A6B38" w:rsidSect="00FD1817">
      <w:headerReference w:type="default" r:id="rId10"/>
      <w:footerReference w:type="default" r:id="rId1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44" w:rsidRDefault="00595B44" w:rsidP="000F393E">
      <w:r>
        <w:separator/>
      </w:r>
    </w:p>
  </w:endnote>
  <w:endnote w:type="continuationSeparator" w:id="0">
    <w:p w:rsidR="00595B44" w:rsidRDefault="00595B44" w:rsidP="000F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5C" w:rsidRDefault="000F393E" w:rsidP="00C97A5C">
    <w:pPr>
      <w:rPr>
        <w:rFonts w:cs="Times New Roman"/>
        <w:bCs/>
        <w:lang w:eastAsia="lv-LV" w:bidi="ar-SA"/>
      </w:rPr>
    </w:pPr>
    <w:r w:rsidRPr="00C97A5C">
      <w:t>AIManot_220814</w:t>
    </w:r>
    <w:r w:rsidR="00CA7F19" w:rsidRPr="00C97A5C">
      <w:t>.MK not par bij.ZS</w:t>
    </w:r>
    <w:r w:rsidRPr="00C97A5C">
      <w:t xml:space="preserve">; Ministru kabineta noteikumu </w:t>
    </w:r>
    <w:r w:rsidR="00BE277D" w:rsidRPr="00C97A5C">
      <w:t xml:space="preserve">projekta </w:t>
    </w:r>
    <w:r w:rsidR="00C97A5C" w:rsidRPr="00C97A5C">
      <w:rPr>
        <w:rFonts w:cs="Times New Roman"/>
        <w:bCs/>
        <w:lang w:eastAsia="lv-LV" w:bidi="ar-SA"/>
      </w:rPr>
      <w:t>„Noteikumi par bijušajiem zemessargiem</w:t>
    </w:r>
    <w:r w:rsidR="00C97A5C">
      <w:rPr>
        <w:rFonts w:cs="Times New Roman"/>
        <w:bCs/>
        <w:lang w:eastAsia="lv-LV" w:bidi="ar-SA"/>
      </w:rPr>
      <w:t xml:space="preserve"> </w:t>
    </w:r>
    <w:r w:rsidR="00C97A5C" w:rsidRPr="00C97A5C">
      <w:rPr>
        <w:rFonts w:cs="Times New Roman"/>
        <w:bCs/>
        <w:lang w:eastAsia="lv-LV" w:bidi="ar-SA"/>
      </w:rPr>
      <w:t xml:space="preserve"> </w:t>
    </w:r>
  </w:p>
  <w:p w:rsidR="000F393E" w:rsidRPr="00C97A5C" w:rsidRDefault="00C97A5C" w:rsidP="00C97A5C">
    <w:r w:rsidRPr="00C97A5C">
      <w:rPr>
        <w:rFonts w:cs="Times New Roman"/>
        <w:bCs/>
        <w:lang w:eastAsia="lv-LV" w:bidi="ar-SA"/>
      </w:rPr>
      <w:t>apmaksājamiem veselības aprūpes pakalpojumiem, kā arī izdevumu apjomu un samaksas kārtību”</w:t>
    </w:r>
    <w:r>
      <w:t xml:space="preserve"> </w:t>
    </w:r>
    <w:r w:rsidR="000F393E" w:rsidRPr="00C97A5C">
      <w:t>sākotnējās ietekmes novērtējuma ziņojums (anotācija)</w:t>
    </w:r>
  </w:p>
  <w:p w:rsidR="000F393E" w:rsidRPr="00C97A5C" w:rsidRDefault="000F393E" w:rsidP="00C97A5C">
    <w:pPr>
      <w:pStyle w:val="Footer"/>
      <w:jc w:val="both"/>
    </w:pPr>
  </w:p>
  <w:p w:rsidR="000F393E" w:rsidRDefault="000F3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44" w:rsidRDefault="00595B44" w:rsidP="000F393E">
      <w:r>
        <w:separator/>
      </w:r>
    </w:p>
  </w:footnote>
  <w:footnote w:type="continuationSeparator" w:id="0">
    <w:p w:rsidR="00595B44" w:rsidRDefault="00595B44" w:rsidP="000F3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20984"/>
      <w:docPartObj>
        <w:docPartGallery w:val="Page Numbers (Top of Page)"/>
        <w:docPartUnique/>
      </w:docPartObj>
    </w:sdtPr>
    <w:sdtEndPr>
      <w:rPr>
        <w:noProof/>
      </w:rPr>
    </w:sdtEndPr>
    <w:sdtContent>
      <w:p w:rsidR="000835E8" w:rsidRDefault="000835E8">
        <w:pPr>
          <w:pStyle w:val="Header"/>
          <w:jc w:val="center"/>
        </w:pPr>
        <w:r>
          <w:fldChar w:fldCharType="begin"/>
        </w:r>
        <w:r>
          <w:instrText xml:space="preserve"> PAGE   \* MERGEFORMAT </w:instrText>
        </w:r>
        <w:r>
          <w:fldChar w:fldCharType="separate"/>
        </w:r>
        <w:r w:rsidR="002841FD">
          <w:rPr>
            <w:noProof/>
          </w:rPr>
          <w:t>1</w:t>
        </w:r>
        <w:r>
          <w:rPr>
            <w:noProof/>
          </w:rPr>
          <w:fldChar w:fldCharType="end"/>
        </w:r>
      </w:p>
    </w:sdtContent>
  </w:sdt>
  <w:p w:rsidR="000835E8" w:rsidRDefault="00083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B64"/>
    <w:multiLevelType w:val="multilevel"/>
    <w:tmpl w:val="F5B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A2D82"/>
    <w:multiLevelType w:val="multilevel"/>
    <w:tmpl w:val="0E12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23EF4"/>
    <w:multiLevelType w:val="hybridMultilevel"/>
    <w:tmpl w:val="FA2C1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FC15E18"/>
    <w:multiLevelType w:val="multilevel"/>
    <w:tmpl w:val="ED988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17"/>
    <w:rsid w:val="00020697"/>
    <w:rsid w:val="000835E8"/>
    <w:rsid w:val="000C7C60"/>
    <w:rsid w:val="000D14EC"/>
    <w:rsid w:val="000F208A"/>
    <w:rsid w:val="000F393E"/>
    <w:rsid w:val="001C25DB"/>
    <w:rsid w:val="0026236D"/>
    <w:rsid w:val="002841FD"/>
    <w:rsid w:val="00304507"/>
    <w:rsid w:val="0030778C"/>
    <w:rsid w:val="003C46FD"/>
    <w:rsid w:val="003E4017"/>
    <w:rsid w:val="0040788F"/>
    <w:rsid w:val="00425F9B"/>
    <w:rsid w:val="00477BFC"/>
    <w:rsid w:val="0048273F"/>
    <w:rsid w:val="004A6B38"/>
    <w:rsid w:val="005559C7"/>
    <w:rsid w:val="00595B44"/>
    <w:rsid w:val="006442CB"/>
    <w:rsid w:val="006A65CB"/>
    <w:rsid w:val="00746842"/>
    <w:rsid w:val="007635F3"/>
    <w:rsid w:val="00794D98"/>
    <w:rsid w:val="00833F11"/>
    <w:rsid w:val="0086597E"/>
    <w:rsid w:val="008804EF"/>
    <w:rsid w:val="00961EAA"/>
    <w:rsid w:val="009A410B"/>
    <w:rsid w:val="009A48D6"/>
    <w:rsid w:val="009C0EA5"/>
    <w:rsid w:val="00A101A7"/>
    <w:rsid w:val="00A611EF"/>
    <w:rsid w:val="00A64231"/>
    <w:rsid w:val="00A85C27"/>
    <w:rsid w:val="00AA7C8A"/>
    <w:rsid w:val="00AE6522"/>
    <w:rsid w:val="00AF3AC3"/>
    <w:rsid w:val="00BE277D"/>
    <w:rsid w:val="00C20DF2"/>
    <w:rsid w:val="00C333A8"/>
    <w:rsid w:val="00C5115F"/>
    <w:rsid w:val="00C729FB"/>
    <w:rsid w:val="00C80F79"/>
    <w:rsid w:val="00C85505"/>
    <w:rsid w:val="00C97A5C"/>
    <w:rsid w:val="00CA7F19"/>
    <w:rsid w:val="00CE2490"/>
    <w:rsid w:val="00D51155"/>
    <w:rsid w:val="00E27888"/>
    <w:rsid w:val="00E62B00"/>
    <w:rsid w:val="00EB6174"/>
    <w:rsid w:val="00F22346"/>
    <w:rsid w:val="00F32BE0"/>
    <w:rsid w:val="00F87525"/>
    <w:rsid w:val="00FA225A"/>
    <w:rsid w:val="00FD1817"/>
    <w:rsid w:val="00FD29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80F79"/>
    <w:pPr>
      <w:spacing w:before="75" w:after="75"/>
      <w:ind w:firstLine="375"/>
      <w:jc w:val="both"/>
    </w:pPr>
    <w:rPr>
      <w:rFonts w:cs="Times New Roman"/>
      <w:sz w:val="24"/>
      <w:szCs w:val="24"/>
      <w:lang w:eastAsia="lv-LV" w:bidi="ar-SA"/>
    </w:rPr>
  </w:style>
  <w:style w:type="paragraph" w:styleId="ListParagraph">
    <w:name w:val="List Paragraph"/>
    <w:basedOn w:val="Normal"/>
    <w:uiPriority w:val="34"/>
    <w:qFormat/>
    <w:rsid w:val="0086597E"/>
    <w:pPr>
      <w:ind w:left="720"/>
      <w:contextualSpacing/>
    </w:pPr>
  </w:style>
  <w:style w:type="paragraph" w:styleId="BalloonText">
    <w:name w:val="Balloon Text"/>
    <w:basedOn w:val="Normal"/>
    <w:link w:val="BalloonTextChar"/>
    <w:rsid w:val="000F393E"/>
    <w:rPr>
      <w:rFonts w:ascii="Tahoma" w:hAnsi="Tahoma" w:cs="Tahoma"/>
      <w:sz w:val="16"/>
      <w:szCs w:val="16"/>
    </w:rPr>
  </w:style>
  <w:style w:type="character" w:customStyle="1" w:styleId="BalloonTextChar">
    <w:name w:val="Balloon Text Char"/>
    <w:basedOn w:val="DefaultParagraphFont"/>
    <w:link w:val="BalloonText"/>
    <w:rsid w:val="000F393E"/>
    <w:rPr>
      <w:rFonts w:ascii="Tahoma" w:hAnsi="Tahoma" w:cs="Tahoma"/>
      <w:sz w:val="16"/>
      <w:szCs w:val="16"/>
      <w:lang w:eastAsia="en-US" w:bidi="lo-LA"/>
    </w:rPr>
  </w:style>
  <w:style w:type="paragraph" w:styleId="Header">
    <w:name w:val="header"/>
    <w:basedOn w:val="Normal"/>
    <w:link w:val="HeaderChar"/>
    <w:uiPriority w:val="99"/>
    <w:rsid w:val="000F393E"/>
    <w:pPr>
      <w:tabs>
        <w:tab w:val="center" w:pos="4153"/>
        <w:tab w:val="right" w:pos="8306"/>
      </w:tabs>
    </w:pPr>
  </w:style>
  <w:style w:type="character" w:customStyle="1" w:styleId="HeaderChar">
    <w:name w:val="Header Char"/>
    <w:basedOn w:val="DefaultParagraphFont"/>
    <w:link w:val="Header"/>
    <w:uiPriority w:val="99"/>
    <w:rsid w:val="000F393E"/>
    <w:rPr>
      <w:rFonts w:cs="Arial Unicode MS"/>
      <w:lang w:eastAsia="en-US" w:bidi="lo-LA"/>
    </w:rPr>
  </w:style>
  <w:style w:type="paragraph" w:styleId="Footer">
    <w:name w:val="footer"/>
    <w:basedOn w:val="Normal"/>
    <w:link w:val="FooterChar"/>
    <w:rsid w:val="000F393E"/>
    <w:pPr>
      <w:tabs>
        <w:tab w:val="center" w:pos="4153"/>
        <w:tab w:val="right" w:pos="8306"/>
      </w:tabs>
    </w:pPr>
  </w:style>
  <w:style w:type="character" w:customStyle="1" w:styleId="FooterChar">
    <w:name w:val="Footer Char"/>
    <w:basedOn w:val="DefaultParagraphFont"/>
    <w:link w:val="Footer"/>
    <w:uiPriority w:val="99"/>
    <w:rsid w:val="000F393E"/>
    <w:rPr>
      <w:rFonts w:cs="Arial Unicode MS"/>
      <w:lang w:eastAsia="en-US" w:bidi="lo-LA"/>
    </w:rPr>
  </w:style>
  <w:style w:type="character" w:styleId="CommentReference">
    <w:name w:val="annotation reference"/>
    <w:basedOn w:val="DefaultParagraphFont"/>
    <w:rsid w:val="000F393E"/>
    <w:rPr>
      <w:sz w:val="16"/>
      <w:szCs w:val="16"/>
    </w:rPr>
  </w:style>
  <w:style w:type="paragraph" w:styleId="CommentText">
    <w:name w:val="annotation text"/>
    <w:basedOn w:val="Normal"/>
    <w:link w:val="CommentTextChar"/>
    <w:rsid w:val="000F393E"/>
  </w:style>
  <w:style w:type="character" w:customStyle="1" w:styleId="CommentTextChar">
    <w:name w:val="Comment Text Char"/>
    <w:basedOn w:val="DefaultParagraphFont"/>
    <w:link w:val="CommentText"/>
    <w:rsid w:val="000F393E"/>
    <w:rPr>
      <w:rFonts w:cs="Arial Unicode MS"/>
      <w:lang w:eastAsia="en-US" w:bidi="lo-LA"/>
    </w:rPr>
  </w:style>
  <w:style w:type="paragraph" w:styleId="CommentSubject">
    <w:name w:val="annotation subject"/>
    <w:basedOn w:val="CommentText"/>
    <w:next w:val="CommentText"/>
    <w:link w:val="CommentSubjectChar"/>
    <w:rsid w:val="000F393E"/>
    <w:rPr>
      <w:b/>
      <w:bCs/>
    </w:rPr>
  </w:style>
  <w:style w:type="character" w:customStyle="1" w:styleId="CommentSubjectChar">
    <w:name w:val="Comment Subject Char"/>
    <w:basedOn w:val="CommentTextChar"/>
    <w:link w:val="CommentSubject"/>
    <w:rsid w:val="000F393E"/>
    <w:rPr>
      <w:rFonts w:cs="Arial Unicode MS"/>
      <w:b/>
      <w:bCs/>
      <w:lang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80F79"/>
    <w:pPr>
      <w:spacing w:before="75" w:after="75"/>
      <w:ind w:firstLine="375"/>
      <w:jc w:val="both"/>
    </w:pPr>
    <w:rPr>
      <w:rFonts w:cs="Times New Roman"/>
      <w:sz w:val="24"/>
      <w:szCs w:val="24"/>
      <w:lang w:eastAsia="lv-LV" w:bidi="ar-SA"/>
    </w:rPr>
  </w:style>
  <w:style w:type="paragraph" w:styleId="ListParagraph">
    <w:name w:val="List Paragraph"/>
    <w:basedOn w:val="Normal"/>
    <w:uiPriority w:val="34"/>
    <w:qFormat/>
    <w:rsid w:val="0086597E"/>
    <w:pPr>
      <w:ind w:left="720"/>
      <w:contextualSpacing/>
    </w:pPr>
  </w:style>
  <w:style w:type="paragraph" w:styleId="BalloonText">
    <w:name w:val="Balloon Text"/>
    <w:basedOn w:val="Normal"/>
    <w:link w:val="BalloonTextChar"/>
    <w:rsid w:val="000F393E"/>
    <w:rPr>
      <w:rFonts w:ascii="Tahoma" w:hAnsi="Tahoma" w:cs="Tahoma"/>
      <w:sz w:val="16"/>
      <w:szCs w:val="16"/>
    </w:rPr>
  </w:style>
  <w:style w:type="character" w:customStyle="1" w:styleId="BalloonTextChar">
    <w:name w:val="Balloon Text Char"/>
    <w:basedOn w:val="DefaultParagraphFont"/>
    <w:link w:val="BalloonText"/>
    <w:rsid w:val="000F393E"/>
    <w:rPr>
      <w:rFonts w:ascii="Tahoma" w:hAnsi="Tahoma" w:cs="Tahoma"/>
      <w:sz w:val="16"/>
      <w:szCs w:val="16"/>
      <w:lang w:eastAsia="en-US" w:bidi="lo-LA"/>
    </w:rPr>
  </w:style>
  <w:style w:type="paragraph" w:styleId="Header">
    <w:name w:val="header"/>
    <w:basedOn w:val="Normal"/>
    <w:link w:val="HeaderChar"/>
    <w:uiPriority w:val="99"/>
    <w:rsid w:val="000F393E"/>
    <w:pPr>
      <w:tabs>
        <w:tab w:val="center" w:pos="4153"/>
        <w:tab w:val="right" w:pos="8306"/>
      </w:tabs>
    </w:pPr>
  </w:style>
  <w:style w:type="character" w:customStyle="1" w:styleId="HeaderChar">
    <w:name w:val="Header Char"/>
    <w:basedOn w:val="DefaultParagraphFont"/>
    <w:link w:val="Header"/>
    <w:uiPriority w:val="99"/>
    <w:rsid w:val="000F393E"/>
    <w:rPr>
      <w:rFonts w:cs="Arial Unicode MS"/>
      <w:lang w:eastAsia="en-US" w:bidi="lo-LA"/>
    </w:rPr>
  </w:style>
  <w:style w:type="paragraph" w:styleId="Footer">
    <w:name w:val="footer"/>
    <w:basedOn w:val="Normal"/>
    <w:link w:val="FooterChar"/>
    <w:rsid w:val="000F393E"/>
    <w:pPr>
      <w:tabs>
        <w:tab w:val="center" w:pos="4153"/>
        <w:tab w:val="right" w:pos="8306"/>
      </w:tabs>
    </w:pPr>
  </w:style>
  <w:style w:type="character" w:customStyle="1" w:styleId="FooterChar">
    <w:name w:val="Footer Char"/>
    <w:basedOn w:val="DefaultParagraphFont"/>
    <w:link w:val="Footer"/>
    <w:uiPriority w:val="99"/>
    <w:rsid w:val="000F393E"/>
    <w:rPr>
      <w:rFonts w:cs="Arial Unicode MS"/>
      <w:lang w:eastAsia="en-US" w:bidi="lo-LA"/>
    </w:rPr>
  </w:style>
  <w:style w:type="character" w:styleId="CommentReference">
    <w:name w:val="annotation reference"/>
    <w:basedOn w:val="DefaultParagraphFont"/>
    <w:rsid w:val="000F393E"/>
    <w:rPr>
      <w:sz w:val="16"/>
      <w:szCs w:val="16"/>
    </w:rPr>
  </w:style>
  <w:style w:type="paragraph" w:styleId="CommentText">
    <w:name w:val="annotation text"/>
    <w:basedOn w:val="Normal"/>
    <w:link w:val="CommentTextChar"/>
    <w:rsid w:val="000F393E"/>
  </w:style>
  <w:style w:type="character" w:customStyle="1" w:styleId="CommentTextChar">
    <w:name w:val="Comment Text Char"/>
    <w:basedOn w:val="DefaultParagraphFont"/>
    <w:link w:val="CommentText"/>
    <w:rsid w:val="000F393E"/>
    <w:rPr>
      <w:rFonts w:cs="Arial Unicode MS"/>
      <w:lang w:eastAsia="en-US" w:bidi="lo-LA"/>
    </w:rPr>
  </w:style>
  <w:style w:type="paragraph" w:styleId="CommentSubject">
    <w:name w:val="annotation subject"/>
    <w:basedOn w:val="CommentText"/>
    <w:next w:val="CommentText"/>
    <w:link w:val="CommentSubjectChar"/>
    <w:rsid w:val="000F393E"/>
    <w:rPr>
      <w:b/>
      <w:bCs/>
    </w:rPr>
  </w:style>
  <w:style w:type="character" w:customStyle="1" w:styleId="CommentSubjectChar">
    <w:name w:val="Comment Subject Char"/>
    <w:basedOn w:val="CommentTextChar"/>
    <w:link w:val="CommentSubject"/>
    <w:rsid w:val="000F393E"/>
    <w:rPr>
      <w:rFonts w:cs="Arial Unicode MS"/>
      <w:b/>
      <w:bCs/>
      <w:lang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36410">
      <w:bodyDiv w:val="1"/>
      <w:marLeft w:val="0"/>
      <w:marRight w:val="0"/>
      <w:marTop w:val="0"/>
      <w:marBottom w:val="0"/>
      <w:divBdr>
        <w:top w:val="none" w:sz="0" w:space="0" w:color="auto"/>
        <w:left w:val="none" w:sz="0" w:space="0" w:color="auto"/>
        <w:bottom w:val="none" w:sz="0" w:space="0" w:color="auto"/>
        <w:right w:val="none" w:sz="0" w:space="0" w:color="auto"/>
      </w:divBdr>
      <w:divsChild>
        <w:div w:id="643197062">
          <w:marLeft w:val="0"/>
          <w:marRight w:val="0"/>
          <w:marTop w:val="0"/>
          <w:marBottom w:val="0"/>
          <w:divBdr>
            <w:top w:val="none" w:sz="0" w:space="0" w:color="auto"/>
            <w:left w:val="none" w:sz="0" w:space="0" w:color="auto"/>
            <w:bottom w:val="none" w:sz="0" w:space="0" w:color="auto"/>
            <w:right w:val="none" w:sz="0" w:space="0" w:color="auto"/>
          </w:divBdr>
          <w:divsChild>
            <w:div w:id="1373308549">
              <w:marLeft w:val="0"/>
              <w:marRight w:val="0"/>
              <w:marTop w:val="0"/>
              <w:marBottom w:val="0"/>
              <w:divBdr>
                <w:top w:val="none" w:sz="0" w:space="0" w:color="auto"/>
                <w:left w:val="none" w:sz="0" w:space="0" w:color="auto"/>
                <w:bottom w:val="none" w:sz="0" w:space="0" w:color="auto"/>
                <w:right w:val="none" w:sz="0" w:space="0" w:color="auto"/>
              </w:divBdr>
              <w:divsChild>
                <w:div w:id="2060473792">
                  <w:marLeft w:val="0"/>
                  <w:marRight w:val="0"/>
                  <w:marTop w:val="0"/>
                  <w:marBottom w:val="0"/>
                  <w:divBdr>
                    <w:top w:val="none" w:sz="0" w:space="0" w:color="auto"/>
                    <w:left w:val="none" w:sz="0" w:space="0" w:color="auto"/>
                    <w:bottom w:val="none" w:sz="0" w:space="0" w:color="auto"/>
                    <w:right w:val="none" w:sz="0" w:space="0" w:color="auto"/>
                  </w:divBdr>
                  <w:divsChild>
                    <w:div w:id="1326669670">
                      <w:marLeft w:val="0"/>
                      <w:marRight w:val="0"/>
                      <w:marTop w:val="0"/>
                      <w:marBottom w:val="0"/>
                      <w:divBdr>
                        <w:top w:val="none" w:sz="0" w:space="0" w:color="auto"/>
                        <w:left w:val="none" w:sz="0" w:space="0" w:color="auto"/>
                        <w:bottom w:val="none" w:sz="0" w:space="0" w:color="auto"/>
                        <w:right w:val="none" w:sz="0" w:space="0" w:color="auto"/>
                      </w:divBdr>
                      <w:divsChild>
                        <w:div w:id="2125609151">
                          <w:marLeft w:val="0"/>
                          <w:marRight w:val="0"/>
                          <w:marTop w:val="0"/>
                          <w:marBottom w:val="0"/>
                          <w:divBdr>
                            <w:top w:val="none" w:sz="0" w:space="0" w:color="auto"/>
                            <w:left w:val="none" w:sz="0" w:space="0" w:color="auto"/>
                            <w:bottom w:val="none" w:sz="0" w:space="0" w:color="auto"/>
                            <w:right w:val="none" w:sz="0" w:space="0" w:color="auto"/>
                          </w:divBdr>
                          <w:divsChild>
                            <w:div w:id="1169364917">
                              <w:marLeft w:val="0"/>
                              <w:marRight w:val="0"/>
                              <w:marTop w:val="400"/>
                              <w:marBottom w:val="0"/>
                              <w:divBdr>
                                <w:top w:val="none" w:sz="0" w:space="0" w:color="auto"/>
                                <w:left w:val="none" w:sz="0" w:space="0" w:color="auto"/>
                                <w:bottom w:val="none" w:sz="0" w:space="0" w:color="auto"/>
                                <w:right w:val="none" w:sz="0" w:space="0" w:color="auto"/>
                              </w:divBdr>
                            </w:div>
                            <w:div w:id="1163620887">
                              <w:marLeft w:val="0"/>
                              <w:marRight w:val="0"/>
                              <w:marTop w:val="240"/>
                              <w:marBottom w:val="0"/>
                              <w:divBdr>
                                <w:top w:val="none" w:sz="0" w:space="0" w:color="auto"/>
                                <w:left w:val="none" w:sz="0" w:space="0" w:color="auto"/>
                                <w:bottom w:val="none" w:sz="0" w:space="0" w:color="auto"/>
                                <w:right w:val="none" w:sz="0" w:space="0" w:color="auto"/>
                              </w:divBdr>
                            </w:div>
                          </w:divsChild>
                        </w:div>
                        <w:div w:id="172452220">
                          <w:marLeft w:val="0"/>
                          <w:marRight w:val="0"/>
                          <w:marTop w:val="0"/>
                          <w:marBottom w:val="0"/>
                          <w:divBdr>
                            <w:top w:val="none" w:sz="0" w:space="0" w:color="auto"/>
                            <w:left w:val="none" w:sz="0" w:space="0" w:color="auto"/>
                            <w:bottom w:val="none" w:sz="0" w:space="0" w:color="auto"/>
                            <w:right w:val="none" w:sz="0" w:space="0" w:color="auto"/>
                          </w:divBdr>
                          <w:divsChild>
                            <w:div w:id="684017349">
                              <w:marLeft w:val="0"/>
                              <w:marRight w:val="0"/>
                              <w:marTop w:val="0"/>
                              <w:marBottom w:val="0"/>
                              <w:divBdr>
                                <w:top w:val="none" w:sz="0" w:space="0" w:color="auto"/>
                                <w:left w:val="none" w:sz="0" w:space="0" w:color="auto"/>
                                <w:bottom w:val="none" w:sz="0" w:space="0" w:color="auto"/>
                                <w:right w:val="none" w:sz="0" w:space="0" w:color="auto"/>
                              </w:divBdr>
                              <w:divsChild>
                                <w:div w:id="450824230">
                                  <w:marLeft w:val="0"/>
                                  <w:marRight w:val="0"/>
                                  <w:marTop w:val="0"/>
                                  <w:marBottom w:val="0"/>
                                  <w:divBdr>
                                    <w:top w:val="none" w:sz="0" w:space="0" w:color="auto"/>
                                    <w:left w:val="none" w:sz="0" w:space="0" w:color="auto"/>
                                    <w:bottom w:val="none" w:sz="0" w:space="0" w:color="auto"/>
                                    <w:right w:val="none" w:sz="0" w:space="0" w:color="auto"/>
                                  </w:divBdr>
                                </w:div>
                                <w:div w:id="703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6309">
                          <w:marLeft w:val="0"/>
                          <w:marRight w:val="0"/>
                          <w:marTop w:val="300"/>
                          <w:marBottom w:val="0"/>
                          <w:divBdr>
                            <w:top w:val="none" w:sz="0" w:space="0" w:color="auto"/>
                            <w:left w:val="none" w:sz="0" w:space="0" w:color="auto"/>
                            <w:bottom w:val="none" w:sz="0" w:space="0" w:color="auto"/>
                            <w:right w:val="none" w:sz="0" w:space="0" w:color="auto"/>
                          </w:divBdr>
                          <w:divsChild>
                            <w:div w:id="1623880368">
                              <w:marLeft w:val="0"/>
                              <w:marRight w:val="0"/>
                              <w:marTop w:val="0"/>
                              <w:marBottom w:val="0"/>
                              <w:divBdr>
                                <w:top w:val="none" w:sz="0" w:space="0" w:color="auto"/>
                                <w:left w:val="none" w:sz="0" w:space="0" w:color="auto"/>
                                <w:bottom w:val="none" w:sz="0" w:space="0" w:color="auto"/>
                                <w:right w:val="none" w:sz="0" w:space="0" w:color="auto"/>
                              </w:divBdr>
                            </w:div>
                            <w:div w:id="1528835277">
                              <w:marLeft w:val="0"/>
                              <w:marRight w:val="0"/>
                              <w:marTop w:val="0"/>
                              <w:marBottom w:val="0"/>
                              <w:divBdr>
                                <w:top w:val="none" w:sz="0" w:space="0" w:color="auto"/>
                                <w:left w:val="none" w:sz="0" w:space="0" w:color="auto"/>
                                <w:bottom w:val="none" w:sz="0" w:space="0" w:color="auto"/>
                                <w:right w:val="none" w:sz="0" w:space="0" w:color="auto"/>
                              </w:divBdr>
                              <w:divsChild>
                                <w:div w:id="556597937">
                                  <w:marLeft w:val="0"/>
                                  <w:marRight w:val="0"/>
                                  <w:marTop w:val="0"/>
                                  <w:marBottom w:val="0"/>
                                  <w:divBdr>
                                    <w:top w:val="none" w:sz="0" w:space="0" w:color="auto"/>
                                    <w:left w:val="none" w:sz="0" w:space="0" w:color="auto"/>
                                    <w:bottom w:val="none" w:sz="0" w:space="0" w:color="auto"/>
                                    <w:right w:val="none" w:sz="0" w:space="0" w:color="auto"/>
                                  </w:divBdr>
                                  <w:divsChild>
                                    <w:div w:id="1749039639">
                                      <w:marLeft w:val="0"/>
                                      <w:marRight w:val="0"/>
                                      <w:marTop w:val="0"/>
                                      <w:marBottom w:val="0"/>
                                      <w:divBdr>
                                        <w:top w:val="none" w:sz="0" w:space="0" w:color="auto"/>
                                        <w:left w:val="none" w:sz="0" w:space="0" w:color="auto"/>
                                        <w:bottom w:val="none" w:sz="0" w:space="0" w:color="auto"/>
                                        <w:right w:val="none" w:sz="0" w:space="0" w:color="auto"/>
                                      </w:divBdr>
                                      <w:divsChild>
                                        <w:div w:id="1419326165">
                                          <w:marLeft w:val="0"/>
                                          <w:marRight w:val="0"/>
                                          <w:marTop w:val="0"/>
                                          <w:marBottom w:val="0"/>
                                          <w:divBdr>
                                            <w:top w:val="none" w:sz="0" w:space="0" w:color="auto"/>
                                            <w:left w:val="none" w:sz="0" w:space="0" w:color="auto"/>
                                            <w:bottom w:val="none" w:sz="0" w:space="0" w:color="auto"/>
                                            <w:right w:val="none" w:sz="0" w:space="0" w:color="auto"/>
                                          </w:divBdr>
                                        </w:div>
                                        <w:div w:id="999887751">
                                          <w:marLeft w:val="0"/>
                                          <w:marRight w:val="0"/>
                                          <w:marTop w:val="0"/>
                                          <w:marBottom w:val="0"/>
                                          <w:divBdr>
                                            <w:top w:val="none" w:sz="0" w:space="0" w:color="auto"/>
                                            <w:left w:val="none" w:sz="0" w:space="0" w:color="auto"/>
                                            <w:bottom w:val="none" w:sz="0" w:space="0" w:color="auto"/>
                                            <w:right w:val="none" w:sz="0" w:space="0" w:color="auto"/>
                                          </w:divBdr>
                                        </w:div>
                                        <w:div w:id="1016735785">
                                          <w:marLeft w:val="0"/>
                                          <w:marRight w:val="0"/>
                                          <w:marTop w:val="0"/>
                                          <w:marBottom w:val="0"/>
                                          <w:divBdr>
                                            <w:top w:val="none" w:sz="0" w:space="0" w:color="auto"/>
                                            <w:left w:val="none" w:sz="0" w:space="0" w:color="auto"/>
                                            <w:bottom w:val="none" w:sz="0" w:space="0" w:color="auto"/>
                                            <w:right w:val="none" w:sz="0" w:space="0" w:color="auto"/>
                                          </w:divBdr>
                                        </w:div>
                                        <w:div w:id="1243221984">
                                          <w:marLeft w:val="0"/>
                                          <w:marRight w:val="0"/>
                                          <w:marTop w:val="0"/>
                                          <w:marBottom w:val="0"/>
                                          <w:divBdr>
                                            <w:top w:val="none" w:sz="0" w:space="0" w:color="auto"/>
                                            <w:left w:val="none" w:sz="0" w:space="0" w:color="auto"/>
                                            <w:bottom w:val="none" w:sz="0" w:space="0" w:color="auto"/>
                                            <w:right w:val="none" w:sz="0" w:space="0" w:color="auto"/>
                                          </w:divBdr>
                                        </w:div>
                                        <w:div w:id="251670079">
                                          <w:marLeft w:val="0"/>
                                          <w:marRight w:val="0"/>
                                          <w:marTop w:val="0"/>
                                          <w:marBottom w:val="0"/>
                                          <w:divBdr>
                                            <w:top w:val="none" w:sz="0" w:space="0" w:color="auto"/>
                                            <w:left w:val="none" w:sz="0" w:space="0" w:color="auto"/>
                                            <w:bottom w:val="none" w:sz="0" w:space="0" w:color="auto"/>
                                            <w:right w:val="none" w:sz="0" w:space="0" w:color="auto"/>
                                          </w:divBdr>
                                        </w:div>
                                        <w:div w:id="768162071">
                                          <w:marLeft w:val="0"/>
                                          <w:marRight w:val="0"/>
                                          <w:marTop w:val="0"/>
                                          <w:marBottom w:val="0"/>
                                          <w:divBdr>
                                            <w:top w:val="none" w:sz="0" w:space="0" w:color="auto"/>
                                            <w:left w:val="none" w:sz="0" w:space="0" w:color="auto"/>
                                            <w:bottom w:val="none" w:sz="0" w:space="0" w:color="auto"/>
                                            <w:right w:val="none" w:sz="0" w:space="0" w:color="auto"/>
                                          </w:divBdr>
                                        </w:div>
                                        <w:div w:id="832336924">
                                          <w:marLeft w:val="0"/>
                                          <w:marRight w:val="0"/>
                                          <w:marTop w:val="0"/>
                                          <w:marBottom w:val="0"/>
                                          <w:divBdr>
                                            <w:top w:val="none" w:sz="0" w:space="0" w:color="auto"/>
                                            <w:left w:val="none" w:sz="0" w:space="0" w:color="auto"/>
                                            <w:bottom w:val="none" w:sz="0" w:space="0" w:color="auto"/>
                                            <w:right w:val="none" w:sz="0" w:space="0" w:color="auto"/>
                                          </w:divBdr>
                                        </w:div>
                                        <w:div w:id="35668271">
                                          <w:marLeft w:val="0"/>
                                          <w:marRight w:val="0"/>
                                          <w:marTop w:val="0"/>
                                          <w:marBottom w:val="0"/>
                                          <w:divBdr>
                                            <w:top w:val="none" w:sz="0" w:space="0" w:color="auto"/>
                                            <w:left w:val="none" w:sz="0" w:space="0" w:color="auto"/>
                                            <w:bottom w:val="none" w:sz="0" w:space="0" w:color="auto"/>
                                            <w:right w:val="none" w:sz="0" w:space="0" w:color="auto"/>
                                          </w:divBdr>
                                        </w:div>
                                        <w:div w:id="816533505">
                                          <w:marLeft w:val="0"/>
                                          <w:marRight w:val="0"/>
                                          <w:marTop w:val="0"/>
                                          <w:marBottom w:val="0"/>
                                          <w:divBdr>
                                            <w:top w:val="none" w:sz="0" w:space="0" w:color="auto"/>
                                            <w:left w:val="none" w:sz="0" w:space="0" w:color="auto"/>
                                            <w:bottom w:val="none" w:sz="0" w:space="0" w:color="auto"/>
                                            <w:right w:val="none" w:sz="0" w:space="0" w:color="auto"/>
                                          </w:divBdr>
                                        </w:div>
                                        <w:div w:id="15257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91172">
                          <w:marLeft w:val="0"/>
                          <w:marRight w:val="0"/>
                          <w:marTop w:val="300"/>
                          <w:marBottom w:val="0"/>
                          <w:divBdr>
                            <w:top w:val="none" w:sz="0" w:space="0" w:color="auto"/>
                            <w:left w:val="none" w:sz="0" w:space="0" w:color="auto"/>
                            <w:bottom w:val="none" w:sz="0" w:space="0" w:color="auto"/>
                            <w:right w:val="none" w:sz="0" w:space="0" w:color="auto"/>
                          </w:divBdr>
                          <w:divsChild>
                            <w:div w:id="1841038837">
                              <w:marLeft w:val="0"/>
                              <w:marRight w:val="0"/>
                              <w:marTop w:val="0"/>
                              <w:marBottom w:val="0"/>
                              <w:divBdr>
                                <w:top w:val="none" w:sz="0" w:space="0" w:color="auto"/>
                                <w:left w:val="none" w:sz="0" w:space="0" w:color="auto"/>
                                <w:bottom w:val="none" w:sz="0" w:space="0" w:color="auto"/>
                                <w:right w:val="none" w:sz="0" w:space="0" w:color="auto"/>
                              </w:divBdr>
                            </w:div>
                            <w:div w:id="1504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7412">
                  <w:marLeft w:val="0"/>
                  <w:marRight w:val="0"/>
                  <w:marTop w:val="0"/>
                  <w:marBottom w:val="0"/>
                  <w:divBdr>
                    <w:top w:val="none" w:sz="0" w:space="0" w:color="auto"/>
                    <w:left w:val="none" w:sz="0" w:space="0" w:color="auto"/>
                    <w:bottom w:val="none" w:sz="0" w:space="0" w:color="auto"/>
                    <w:right w:val="none" w:sz="0" w:space="0" w:color="auto"/>
                  </w:divBdr>
                  <w:divsChild>
                    <w:div w:id="1259555887">
                      <w:marLeft w:val="0"/>
                      <w:marRight w:val="0"/>
                      <w:marTop w:val="0"/>
                      <w:marBottom w:val="0"/>
                      <w:divBdr>
                        <w:top w:val="none" w:sz="0" w:space="0" w:color="auto"/>
                        <w:left w:val="none" w:sz="0" w:space="0" w:color="auto"/>
                        <w:bottom w:val="none" w:sz="0" w:space="0" w:color="auto"/>
                        <w:right w:val="none" w:sz="0" w:space="0" w:color="auto"/>
                      </w:divBdr>
                    </w:div>
                    <w:div w:id="888346969">
                      <w:marLeft w:val="0"/>
                      <w:marRight w:val="0"/>
                      <w:marTop w:val="0"/>
                      <w:marBottom w:val="0"/>
                      <w:divBdr>
                        <w:top w:val="none" w:sz="0" w:space="0" w:color="auto"/>
                        <w:left w:val="none" w:sz="0" w:space="0" w:color="auto"/>
                        <w:bottom w:val="none" w:sz="0" w:space="0" w:color="auto"/>
                        <w:right w:val="none" w:sz="0" w:space="0" w:color="auto"/>
                      </w:divBdr>
                    </w:div>
                    <w:div w:id="177624275">
                      <w:marLeft w:val="0"/>
                      <w:marRight w:val="0"/>
                      <w:marTop w:val="0"/>
                      <w:marBottom w:val="0"/>
                      <w:divBdr>
                        <w:top w:val="none" w:sz="0" w:space="0" w:color="auto"/>
                        <w:left w:val="none" w:sz="0" w:space="0" w:color="auto"/>
                        <w:bottom w:val="none" w:sz="0" w:space="0" w:color="auto"/>
                        <w:right w:val="none" w:sz="0" w:space="0" w:color="auto"/>
                      </w:divBdr>
                    </w:div>
                    <w:div w:id="874001392">
                      <w:marLeft w:val="0"/>
                      <w:marRight w:val="0"/>
                      <w:marTop w:val="0"/>
                      <w:marBottom w:val="0"/>
                      <w:divBdr>
                        <w:top w:val="none" w:sz="0" w:space="0" w:color="auto"/>
                        <w:left w:val="none" w:sz="0" w:space="0" w:color="auto"/>
                        <w:bottom w:val="none" w:sz="0" w:space="0" w:color="auto"/>
                        <w:right w:val="none" w:sz="0" w:space="0" w:color="auto"/>
                      </w:divBdr>
                    </w:div>
                    <w:div w:id="210460658">
                      <w:marLeft w:val="0"/>
                      <w:marRight w:val="0"/>
                      <w:marTop w:val="0"/>
                      <w:marBottom w:val="0"/>
                      <w:divBdr>
                        <w:top w:val="none" w:sz="0" w:space="0" w:color="auto"/>
                        <w:left w:val="none" w:sz="0" w:space="0" w:color="auto"/>
                        <w:bottom w:val="none" w:sz="0" w:space="0" w:color="auto"/>
                        <w:right w:val="none" w:sz="0" w:space="0" w:color="auto"/>
                      </w:divBdr>
                    </w:div>
                    <w:div w:id="1839730356">
                      <w:marLeft w:val="0"/>
                      <w:marRight w:val="0"/>
                      <w:marTop w:val="0"/>
                      <w:marBottom w:val="0"/>
                      <w:divBdr>
                        <w:top w:val="none" w:sz="0" w:space="0" w:color="auto"/>
                        <w:left w:val="none" w:sz="0" w:space="0" w:color="auto"/>
                        <w:bottom w:val="none" w:sz="0" w:space="0" w:color="auto"/>
                        <w:right w:val="none" w:sz="0" w:space="0" w:color="auto"/>
                      </w:divBdr>
                    </w:div>
                  </w:divsChild>
                </w:div>
                <w:div w:id="557861879">
                  <w:marLeft w:val="0"/>
                  <w:marRight w:val="0"/>
                  <w:marTop w:val="0"/>
                  <w:marBottom w:val="0"/>
                  <w:divBdr>
                    <w:top w:val="none" w:sz="0" w:space="0" w:color="auto"/>
                    <w:left w:val="none" w:sz="0" w:space="0" w:color="auto"/>
                    <w:bottom w:val="none" w:sz="0" w:space="0" w:color="auto"/>
                    <w:right w:val="none" w:sz="0" w:space="0" w:color="auto"/>
                  </w:divBdr>
                  <w:divsChild>
                    <w:div w:id="3739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is.Jasko@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3632-A2A8-4A31-94DD-19DC355C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6675</Words>
  <Characters>3806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Jasko</dc:creator>
  <cp:lastModifiedBy>Laimdota Adlere</cp:lastModifiedBy>
  <cp:revision>4</cp:revision>
  <cp:lastPrinted>2014-08-28T11:09:00Z</cp:lastPrinted>
  <dcterms:created xsi:type="dcterms:W3CDTF">2014-09-01T08:27:00Z</dcterms:created>
  <dcterms:modified xsi:type="dcterms:W3CDTF">2014-09-01T08:28:00Z</dcterms:modified>
</cp:coreProperties>
</file>