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86" w:rsidRPr="00B124C9" w:rsidRDefault="00AB4786" w:rsidP="00AB4786">
      <w:pPr>
        <w:pStyle w:val="Heading1"/>
        <w:jc w:val="center"/>
        <w:rPr>
          <w:b/>
          <w:bCs/>
          <w:sz w:val="25"/>
          <w:szCs w:val="25"/>
          <w:u w:val="none"/>
        </w:rPr>
      </w:pPr>
      <w:bookmarkStart w:id="0" w:name="_GoBack"/>
      <w:bookmarkEnd w:id="0"/>
      <w:r w:rsidRPr="00B124C9">
        <w:rPr>
          <w:bCs/>
          <w:sz w:val="25"/>
          <w:szCs w:val="25"/>
          <w:u w:val="none"/>
        </w:rPr>
        <w:t>Ministru kabineta noteikumu projekta</w:t>
      </w:r>
      <w:r w:rsidRPr="00B124C9">
        <w:rPr>
          <w:b/>
          <w:bCs/>
          <w:sz w:val="25"/>
          <w:szCs w:val="25"/>
          <w:u w:val="none"/>
        </w:rPr>
        <w:t xml:space="preserve"> „Grozījumi Ministru kabineta 2008.gada 25.augusta noteikumos Nr.693 „Noteikumi par mērīšanas līdzekļu kalibrēšanu”” </w:t>
      </w:r>
      <w:r w:rsidRPr="00B124C9">
        <w:rPr>
          <w:bCs/>
          <w:sz w:val="25"/>
          <w:szCs w:val="25"/>
          <w:u w:val="none"/>
        </w:rPr>
        <w:t>sākotnējās ietekmes novērtējuma ziņojums (anotācija)</w:t>
      </w:r>
    </w:p>
    <w:p w:rsidR="005A2ACB" w:rsidRPr="00B124C9" w:rsidRDefault="005A2ACB" w:rsidP="00EA086E">
      <w:pPr>
        <w:spacing w:after="120"/>
        <w:jc w:val="center"/>
        <w:rPr>
          <w:rFonts w:eastAsia="Times New Roman" w:cs="Times New Roman"/>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B124C9" w:rsidTr="005A2AC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B124C9" w:rsidRDefault="005A2ACB" w:rsidP="005A2ACB">
            <w:pPr>
              <w:spacing w:before="100" w:beforeAutospacing="1" w:after="100" w:afterAutospacing="1"/>
              <w:jc w:val="center"/>
              <w:rPr>
                <w:rFonts w:eastAsia="Times New Roman" w:cs="Times New Roman"/>
                <w:b/>
                <w:bCs/>
                <w:sz w:val="25"/>
                <w:szCs w:val="25"/>
                <w:lang w:eastAsia="lv-LV"/>
              </w:rPr>
            </w:pPr>
            <w:r w:rsidRPr="00B124C9">
              <w:rPr>
                <w:rFonts w:eastAsia="Times New Roman" w:cs="Times New Roman"/>
                <w:b/>
                <w:bCs/>
                <w:sz w:val="25"/>
                <w:szCs w:val="25"/>
                <w:lang w:eastAsia="lv-LV"/>
              </w:rPr>
              <w:t>I. Tiesību akta projekta izstrādes nepieciešamība</w:t>
            </w:r>
          </w:p>
        </w:tc>
      </w:tr>
      <w:tr w:rsidR="005A2ACB" w:rsidRPr="00B124C9" w:rsidTr="00EA086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spacing w:before="100" w:beforeAutospacing="1" w:after="100" w:afterAutospacing="1"/>
              <w:jc w:val="center"/>
              <w:rPr>
                <w:rFonts w:eastAsia="Times New Roman" w:cs="Times New Roman"/>
                <w:sz w:val="25"/>
                <w:szCs w:val="25"/>
                <w:lang w:eastAsia="lv-LV"/>
              </w:rPr>
            </w:pPr>
            <w:r w:rsidRPr="00B124C9">
              <w:rPr>
                <w:rFonts w:eastAsia="Times New Roman" w:cs="Times New Roman"/>
                <w:sz w:val="25"/>
                <w:szCs w:val="25"/>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0E2BFE" w:rsidRPr="00B124C9" w:rsidRDefault="000E2BFE" w:rsidP="000E2BFE">
            <w:pPr>
              <w:jc w:val="both"/>
              <w:rPr>
                <w:rFonts w:eastAsia="Times New Roman" w:cs="Times New Roman"/>
                <w:bCs/>
                <w:sz w:val="25"/>
                <w:szCs w:val="25"/>
                <w:lang w:eastAsia="lv-LV"/>
              </w:rPr>
            </w:pPr>
            <w:r w:rsidRPr="00B124C9">
              <w:rPr>
                <w:rFonts w:eastAsia="Times New Roman" w:cs="Times New Roman"/>
                <w:bCs/>
                <w:sz w:val="25"/>
                <w:szCs w:val="25"/>
                <w:lang w:eastAsia="lv-LV"/>
              </w:rPr>
              <w:t>Ministru prezidenta 2013.gada 18.jūnija rezolūcija Nr.12/2013-JUR-114.</w:t>
            </w:r>
          </w:p>
          <w:p w:rsidR="00A071A7" w:rsidRPr="00B124C9" w:rsidRDefault="00952D25" w:rsidP="00A502B9">
            <w:pPr>
              <w:jc w:val="both"/>
              <w:rPr>
                <w:rFonts w:eastAsia="Times New Roman" w:cs="Times New Roman"/>
                <w:sz w:val="25"/>
                <w:szCs w:val="25"/>
                <w:lang w:eastAsia="lv-LV"/>
              </w:rPr>
            </w:pPr>
            <w:r w:rsidRPr="00B124C9">
              <w:rPr>
                <w:rFonts w:eastAsia="Times New Roman" w:cs="Times New Roman"/>
                <w:sz w:val="25"/>
                <w:szCs w:val="25"/>
                <w:lang w:eastAsia="lv-LV"/>
              </w:rPr>
              <w:t xml:space="preserve">Ministru kabineta </w:t>
            </w:r>
            <w:r w:rsidR="00713AC5" w:rsidRPr="00B124C9">
              <w:rPr>
                <w:rFonts w:eastAsia="Times New Roman" w:cs="Times New Roman"/>
                <w:sz w:val="25"/>
                <w:szCs w:val="25"/>
                <w:lang w:eastAsia="lv-LV"/>
              </w:rPr>
              <w:t>noteikumu projekts „Grozījumi Ministru kabineta 2008.gada 25.augusta noteikumos Nr.693 „Noteikumi par mērīšanas līdzekļu kalibrēšanu””</w:t>
            </w:r>
            <w:r w:rsidR="00A502B9">
              <w:rPr>
                <w:rFonts w:eastAsia="Times New Roman" w:cs="Times New Roman"/>
                <w:sz w:val="25"/>
                <w:szCs w:val="25"/>
                <w:lang w:eastAsia="lv-LV"/>
              </w:rPr>
              <w:t xml:space="preserve"> (turpmāk – noteikumu projekts)</w:t>
            </w:r>
            <w:r w:rsidR="00713AC5" w:rsidRPr="00B124C9">
              <w:rPr>
                <w:rFonts w:eastAsia="Times New Roman" w:cs="Times New Roman"/>
                <w:sz w:val="25"/>
                <w:szCs w:val="25"/>
                <w:lang w:eastAsia="lv-LV"/>
              </w:rPr>
              <w:t xml:space="preserve"> </w:t>
            </w:r>
            <w:r w:rsidR="001D181E" w:rsidRPr="00B124C9">
              <w:rPr>
                <w:rFonts w:eastAsia="Times New Roman" w:cs="Times New Roman"/>
                <w:sz w:val="25"/>
                <w:szCs w:val="25"/>
                <w:lang w:eastAsia="lv-LV"/>
              </w:rPr>
              <w:t xml:space="preserve">izstrādāts, </w:t>
            </w:r>
            <w:r w:rsidR="001D181E" w:rsidRPr="00B124C9">
              <w:rPr>
                <w:sz w:val="25"/>
                <w:szCs w:val="25"/>
              </w:rPr>
              <w:t xml:space="preserve">lai saskaņotu </w:t>
            </w:r>
            <w:r w:rsidR="00A502B9" w:rsidRPr="00A502B9">
              <w:rPr>
                <w:sz w:val="25"/>
                <w:szCs w:val="25"/>
              </w:rPr>
              <w:t>Ministru kabineta</w:t>
            </w:r>
            <w:r w:rsidR="00A502B9">
              <w:rPr>
                <w:sz w:val="25"/>
                <w:szCs w:val="25"/>
              </w:rPr>
              <w:t xml:space="preserve"> 2008.gada 25.augusta noteikumu</w:t>
            </w:r>
            <w:r w:rsidR="00A502B9" w:rsidRPr="00A502B9">
              <w:rPr>
                <w:sz w:val="25"/>
                <w:szCs w:val="25"/>
              </w:rPr>
              <w:t xml:space="preserve"> Nr.693 „Noteikumi par mērīšanas līdzekļu kalibrēšanu””</w:t>
            </w:r>
            <w:r w:rsidR="00A502B9">
              <w:rPr>
                <w:sz w:val="25"/>
                <w:szCs w:val="25"/>
              </w:rPr>
              <w:t xml:space="preserve"> (turpmāk – </w:t>
            </w:r>
            <w:r w:rsidR="00A502B9" w:rsidRPr="00B124C9">
              <w:rPr>
                <w:bCs/>
                <w:sz w:val="25"/>
                <w:szCs w:val="25"/>
              </w:rPr>
              <w:t>MK noteikumi Nr.693</w:t>
            </w:r>
            <w:r w:rsidR="00A502B9">
              <w:rPr>
                <w:sz w:val="25"/>
                <w:szCs w:val="25"/>
              </w:rPr>
              <w:t>)</w:t>
            </w:r>
            <w:r w:rsidR="00A502B9" w:rsidRPr="00A502B9">
              <w:rPr>
                <w:sz w:val="25"/>
                <w:szCs w:val="25"/>
              </w:rPr>
              <w:t xml:space="preserve"> </w:t>
            </w:r>
            <w:r w:rsidR="001D181E" w:rsidRPr="00B124C9">
              <w:rPr>
                <w:sz w:val="25"/>
                <w:szCs w:val="25"/>
              </w:rPr>
              <w:t xml:space="preserve">prasības ar likumu „Grozījumi likumā „Par mērījumu vienotību”” </w:t>
            </w:r>
            <w:r w:rsidR="00713AC5" w:rsidRPr="00B124C9">
              <w:rPr>
                <w:rFonts w:eastAsia="Times New Roman" w:cs="Times New Roman"/>
                <w:sz w:val="25"/>
                <w:szCs w:val="25"/>
                <w:lang w:eastAsia="lv-LV"/>
              </w:rPr>
              <w:t>(</w:t>
            </w:r>
            <w:r w:rsidRPr="00B124C9">
              <w:rPr>
                <w:rFonts w:eastAsia="Times New Roman" w:cs="Times New Roman"/>
                <w:sz w:val="25"/>
                <w:szCs w:val="25"/>
                <w:lang w:eastAsia="lv-LV"/>
              </w:rPr>
              <w:t>stājās spēkā 2013.gada 5.jūnijā</w:t>
            </w:r>
            <w:r w:rsidR="00713AC5" w:rsidRPr="00B124C9">
              <w:rPr>
                <w:rFonts w:eastAsia="Times New Roman" w:cs="Times New Roman"/>
                <w:sz w:val="25"/>
                <w:szCs w:val="25"/>
                <w:lang w:eastAsia="lv-LV"/>
              </w:rPr>
              <w:t>)</w:t>
            </w:r>
            <w:r w:rsidR="00AE34EF">
              <w:rPr>
                <w:rFonts w:eastAsia="Times New Roman" w:cs="Times New Roman"/>
                <w:sz w:val="25"/>
                <w:szCs w:val="25"/>
                <w:lang w:eastAsia="lv-LV"/>
              </w:rPr>
              <w:t>.</w:t>
            </w:r>
          </w:p>
        </w:tc>
      </w:tr>
      <w:tr w:rsidR="005A2ACB" w:rsidRPr="00B124C9"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spacing w:before="100" w:beforeAutospacing="1" w:after="100" w:afterAutospacing="1"/>
              <w:jc w:val="center"/>
              <w:rPr>
                <w:rFonts w:eastAsia="Times New Roman" w:cs="Times New Roman"/>
                <w:sz w:val="25"/>
                <w:szCs w:val="25"/>
                <w:lang w:eastAsia="lv-LV"/>
              </w:rPr>
            </w:pPr>
            <w:r w:rsidRPr="00B124C9">
              <w:rPr>
                <w:rFonts w:eastAsia="Times New Roman" w:cs="Times New Roman"/>
                <w:sz w:val="25"/>
                <w:szCs w:val="25"/>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B92A07" w:rsidRPr="00B124C9" w:rsidRDefault="00B92A07" w:rsidP="00691473">
            <w:pPr>
              <w:pStyle w:val="Normal1"/>
              <w:jc w:val="both"/>
              <w:rPr>
                <w:rFonts w:ascii="Times New Roman" w:hAnsi="Times New Roman"/>
                <w:bCs/>
                <w:sz w:val="25"/>
                <w:szCs w:val="25"/>
              </w:rPr>
            </w:pPr>
            <w:r w:rsidRPr="00B124C9">
              <w:rPr>
                <w:rFonts w:ascii="Times New Roman" w:hAnsi="Times New Roman"/>
                <w:bCs/>
                <w:sz w:val="25"/>
                <w:szCs w:val="25"/>
              </w:rPr>
              <w:t>MK noteikumi Nr.693 nosaka prasības mērīšanas līdzekļu kalibrēšanai, kalibrēšanas periodiskumu, mērīšanas līdzekļu precizitātes klases, kā arī mērīšanas līdzekļu metroloģiskās kontroles kārtību.</w:t>
            </w:r>
          </w:p>
          <w:p w:rsidR="00DD7FBD" w:rsidRPr="00B17EB9" w:rsidRDefault="00952D25" w:rsidP="00691473">
            <w:pPr>
              <w:pStyle w:val="Normal1"/>
              <w:jc w:val="both"/>
              <w:rPr>
                <w:rFonts w:ascii="Times New Roman" w:hAnsi="Times New Roman"/>
                <w:bCs/>
                <w:sz w:val="25"/>
                <w:szCs w:val="25"/>
              </w:rPr>
            </w:pPr>
            <w:r w:rsidRPr="00B124C9">
              <w:rPr>
                <w:rFonts w:ascii="Times New Roman" w:hAnsi="Times New Roman"/>
                <w:bCs/>
                <w:sz w:val="25"/>
                <w:szCs w:val="25"/>
              </w:rPr>
              <w:t>Ar grozījumiem likumā</w:t>
            </w:r>
            <w:r w:rsidR="00DD7FBD" w:rsidRPr="00B124C9">
              <w:rPr>
                <w:rFonts w:ascii="Times New Roman" w:hAnsi="Times New Roman"/>
                <w:bCs/>
                <w:sz w:val="25"/>
                <w:szCs w:val="25"/>
              </w:rPr>
              <w:t xml:space="preserve"> „Par mērījumu vienotību”</w:t>
            </w:r>
            <w:r w:rsidR="00B92A07" w:rsidRPr="00B124C9">
              <w:rPr>
                <w:rFonts w:ascii="Times New Roman" w:hAnsi="Times New Roman"/>
                <w:bCs/>
                <w:sz w:val="25"/>
                <w:szCs w:val="25"/>
              </w:rPr>
              <w:t>,</w:t>
            </w:r>
            <w:r w:rsidR="00B92A07" w:rsidRPr="00B124C9">
              <w:rPr>
                <w:sz w:val="25"/>
                <w:szCs w:val="25"/>
              </w:rPr>
              <w:t xml:space="preserve"> </w:t>
            </w:r>
            <w:r w:rsidR="00B92A07" w:rsidRPr="00B124C9">
              <w:rPr>
                <w:rFonts w:ascii="Times New Roman" w:hAnsi="Times New Roman"/>
                <w:bCs/>
                <w:sz w:val="25"/>
                <w:szCs w:val="25"/>
              </w:rPr>
              <w:t>kas stājās spēkā 2013.gada 5.</w:t>
            </w:r>
            <w:r w:rsidR="00B92A07" w:rsidRPr="00B17EB9">
              <w:rPr>
                <w:rFonts w:ascii="Times New Roman" w:hAnsi="Times New Roman"/>
                <w:bCs/>
                <w:sz w:val="25"/>
                <w:szCs w:val="25"/>
              </w:rPr>
              <w:t>jūnijā</w:t>
            </w:r>
            <w:r w:rsidR="00390480" w:rsidRPr="00B17EB9">
              <w:rPr>
                <w:rFonts w:ascii="Times New Roman" w:hAnsi="Times New Roman"/>
                <w:bCs/>
                <w:sz w:val="25"/>
                <w:szCs w:val="25"/>
              </w:rPr>
              <w:t>,</w:t>
            </w:r>
            <w:r w:rsidR="00F11664" w:rsidRPr="00B17EB9">
              <w:rPr>
                <w:rFonts w:ascii="Times New Roman" w:hAnsi="Times New Roman"/>
                <w:bCs/>
                <w:sz w:val="25"/>
                <w:szCs w:val="25"/>
              </w:rPr>
              <w:t xml:space="preserve"> </w:t>
            </w:r>
            <w:r w:rsidR="00390480" w:rsidRPr="00B17EB9">
              <w:rPr>
                <w:rFonts w:ascii="Times New Roman" w:hAnsi="Times New Roman"/>
                <w:bCs/>
                <w:sz w:val="25"/>
                <w:szCs w:val="25"/>
              </w:rPr>
              <w:t>tik</w:t>
            </w:r>
            <w:r w:rsidR="00A502B9" w:rsidRPr="00B17EB9">
              <w:rPr>
                <w:rFonts w:ascii="Times New Roman" w:hAnsi="Times New Roman"/>
                <w:bCs/>
                <w:sz w:val="25"/>
                <w:szCs w:val="25"/>
              </w:rPr>
              <w:t>a</w:t>
            </w:r>
            <w:r w:rsidR="00390480" w:rsidRPr="00B17EB9">
              <w:rPr>
                <w:rFonts w:ascii="Times New Roman" w:hAnsi="Times New Roman"/>
                <w:bCs/>
                <w:sz w:val="25"/>
                <w:szCs w:val="25"/>
              </w:rPr>
              <w:t xml:space="preserve"> paplašinātas </w:t>
            </w:r>
            <w:r w:rsidR="00A071A7" w:rsidRPr="00B17EB9">
              <w:rPr>
                <w:rFonts w:ascii="Times New Roman" w:hAnsi="Times New Roman"/>
                <w:bCs/>
                <w:sz w:val="25"/>
                <w:szCs w:val="25"/>
              </w:rPr>
              <w:t>P</w:t>
            </w:r>
            <w:r w:rsidR="0064027D" w:rsidRPr="00B17EB9">
              <w:rPr>
                <w:rFonts w:ascii="Times New Roman" w:hAnsi="Times New Roman"/>
                <w:bCs/>
                <w:sz w:val="25"/>
                <w:szCs w:val="25"/>
              </w:rPr>
              <w:t>atērētāju</w:t>
            </w:r>
            <w:r w:rsidR="00390480" w:rsidRPr="00B17EB9">
              <w:rPr>
                <w:rFonts w:ascii="Times New Roman" w:hAnsi="Times New Roman"/>
                <w:bCs/>
                <w:sz w:val="25"/>
                <w:szCs w:val="25"/>
              </w:rPr>
              <w:t xml:space="preserve"> tiesību aizsardzības centra </w:t>
            </w:r>
            <w:r w:rsidR="00A502B9" w:rsidRPr="00B17EB9">
              <w:rPr>
                <w:rFonts w:ascii="Times New Roman" w:hAnsi="Times New Roman"/>
                <w:bCs/>
                <w:sz w:val="25"/>
                <w:szCs w:val="25"/>
              </w:rPr>
              <w:t>tiesības</w:t>
            </w:r>
            <w:r w:rsidR="00B92A07" w:rsidRPr="00B17EB9">
              <w:rPr>
                <w:rFonts w:ascii="Times New Roman" w:hAnsi="Times New Roman"/>
                <w:bCs/>
                <w:sz w:val="25"/>
                <w:szCs w:val="25"/>
              </w:rPr>
              <w:t>, kas attiecas</w:t>
            </w:r>
            <w:r w:rsidR="00B107E4" w:rsidRPr="00B17EB9">
              <w:rPr>
                <w:rFonts w:ascii="Times New Roman" w:hAnsi="Times New Roman"/>
                <w:bCs/>
                <w:sz w:val="25"/>
                <w:szCs w:val="25"/>
              </w:rPr>
              <w:t xml:space="preserve"> </w:t>
            </w:r>
            <w:r w:rsidR="00B92A07" w:rsidRPr="00B17EB9">
              <w:rPr>
                <w:rFonts w:ascii="Times New Roman" w:hAnsi="Times New Roman"/>
                <w:bCs/>
                <w:sz w:val="25"/>
                <w:szCs w:val="25"/>
              </w:rPr>
              <w:t xml:space="preserve">uz </w:t>
            </w:r>
            <w:r w:rsidR="00B107E4" w:rsidRPr="00B17EB9">
              <w:rPr>
                <w:rFonts w:ascii="Times New Roman" w:hAnsi="Times New Roman"/>
                <w:bCs/>
                <w:sz w:val="25"/>
                <w:szCs w:val="25"/>
              </w:rPr>
              <w:t>valsts metroloģisk</w:t>
            </w:r>
            <w:r w:rsidR="00164675" w:rsidRPr="00B17EB9">
              <w:rPr>
                <w:rFonts w:ascii="Times New Roman" w:hAnsi="Times New Roman"/>
                <w:bCs/>
                <w:sz w:val="25"/>
                <w:szCs w:val="25"/>
              </w:rPr>
              <w:t>ās</w:t>
            </w:r>
            <w:r w:rsidR="00B107E4" w:rsidRPr="00B17EB9">
              <w:rPr>
                <w:rFonts w:ascii="Times New Roman" w:hAnsi="Times New Roman"/>
                <w:bCs/>
                <w:sz w:val="25"/>
                <w:szCs w:val="25"/>
              </w:rPr>
              <w:t xml:space="preserve"> uzraudzība</w:t>
            </w:r>
            <w:r w:rsidR="00390480" w:rsidRPr="00B17EB9">
              <w:rPr>
                <w:rFonts w:ascii="Times New Roman" w:hAnsi="Times New Roman"/>
                <w:bCs/>
                <w:sz w:val="25"/>
                <w:szCs w:val="25"/>
              </w:rPr>
              <w:t>s organizāciju, tas ir</w:t>
            </w:r>
            <w:r w:rsidR="00B92A07" w:rsidRPr="00B17EB9">
              <w:rPr>
                <w:rFonts w:ascii="Times New Roman" w:hAnsi="Times New Roman"/>
                <w:bCs/>
                <w:sz w:val="25"/>
                <w:szCs w:val="25"/>
              </w:rPr>
              <w:t xml:space="preserve"> </w:t>
            </w:r>
            <w:r w:rsidR="00A40AD3" w:rsidRPr="00B17EB9">
              <w:rPr>
                <w:rFonts w:ascii="Times New Roman" w:hAnsi="Times New Roman"/>
                <w:bCs/>
                <w:sz w:val="25"/>
                <w:szCs w:val="25"/>
              </w:rPr>
              <w:t xml:space="preserve">pieprasīt </w:t>
            </w:r>
            <w:r w:rsidR="00164675" w:rsidRPr="00B17EB9">
              <w:rPr>
                <w:rFonts w:ascii="Times New Roman" w:hAnsi="Times New Roman"/>
                <w:bCs/>
                <w:sz w:val="25"/>
                <w:szCs w:val="25"/>
              </w:rPr>
              <w:t xml:space="preserve">mērīšanas līdzekļa </w:t>
            </w:r>
            <w:r w:rsidR="00A40AD3" w:rsidRPr="00B17EB9">
              <w:rPr>
                <w:rFonts w:ascii="Times New Roman" w:hAnsi="Times New Roman"/>
                <w:bCs/>
                <w:sz w:val="25"/>
                <w:szCs w:val="25"/>
              </w:rPr>
              <w:t>lietotājam izņem</w:t>
            </w:r>
            <w:r w:rsidR="00164675" w:rsidRPr="00B17EB9">
              <w:rPr>
                <w:rFonts w:ascii="Times New Roman" w:hAnsi="Times New Roman"/>
                <w:bCs/>
                <w:sz w:val="25"/>
                <w:szCs w:val="25"/>
              </w:rPr>
              <w:t>t</w:t>
            </w:r>
            <w:r w:rsidR="00A40AD3" w:rsidRPr="00B17EB9">
              <w:rPr>
                <w:rFonts w:ascii="Times New Roman" w:hAnsi="Times New Roman"/>
                <w:bCs/>
                <w:sz w:val="25"/>
                <w:szCs w:val="25"/>
              </w:rPr>
              <w:t xml:space="preserve"> mērīšanas līdzekli no lietošanas un </w:t>
            </w:r>
            <w:r w:rsidR="00390480" w:rsidRPr="00B17EB9">
              <w:rPr>
                <w:rFonts w:ascii="Times New Roman" w:hAnsi="Times New Roman"/>
                <w:bCs/>
                <w:sz w:val="25"/>
                <w:szCs w:val="25"/>
              </w:rPr>
              <w:t>veikt mērīšanas līdzekļa ārpus</w:t>
            </w:r>
            <w:r w:rsidR="00B92A07" w:rsidRPr="00B17EB9">
              <w:rPr>
                <w:rFonts w:ascii="Times New Roman" w:hAnsi="Times New Roman"/>
                <w:bCs/>
                <w:sz w:val="25"/>
                <w:szCs w:val="25"/>
              </w:rPr>
              <w:t>kārtas kalibrēšanu, ja radušās aizdomas par mērīšanas līdzekļa neatbilstību normatīv</w:t>
            </w:r>
            <w:r w:rsidR="00390480" w:rsidRPr="00B17EB9">
              <w:rPr>
                <w:rFonts w:ascii="Times New Roman" w:hAnsi="Times New Roman"/>
                <w:bCs/>
                <w:sz w:val="25"/>
                <w:szCs w:val="25"/>
              </w:rPr>
              <w:t>o</w:t>
            </w:r>
            <w:r w:rsidR="00B92A07" w:rsidRPr="00B17EB9">
              <w:rPr>
                <w:rFonts w:ascii="Times New Roman" w:hAnsi="Times New Roman"/>
                <w:bCs/>
                <w:sz w:val="25"/>
                <w:szCs w:val="25"/>
              </w:rPr>
              <w:t xml:space="preserve"> akt</w:t>
            </w:r>
            <w:r w:rsidR="00390480" w:rsidRPr="00B17EB9">
              <w:rPr>
                <w:rFonts w:ascii="Times New Roman" w:hAnsi="Times New Roman"/>
                <w:bCs/>
                <w:sz w:val="25"/>
                <w:szCs w:val="25"/>
              </w:rPr>
              <w:t>u</w:t>
            </w:r>
            <w:r w:rsidR="00164675" w:rsidRPr="00B17EB9">
              <w:rPr>
                <w:rFonts w:ascii="Times New Roman" w:hAnsi="Times New Roman"/>
                <w:bCs/>
                <w:sz w:val="25"/>
                <w:szCs w:val="25"/>
              </w:rPr>
              <w:t xml:space="preserve"> par kalibrēšanu</w:t>
            </w:r>
            <w:r w:rsidR="00390480" w:rsidRPr="00B17EB9">
              <w:rPr>
                <w:rFonts w:ascii="Times New Roman" w:hAnsi="Times New Roman"/>
                <w:bCs/>
                <w:sz w:val="25"/>
                <w:szCs w:val="25"/>
              </w:rPr>
              <w:t xml:space="preserve"> prasībām</w:t>
            </w:r>
            <w:r w:rsidR="00B92A07" w:rsidRPr="00B17EB9">
              <w:rPr>
                <w:rFonts w:ascii="Times New Roman" w:hAnsi="Times New Roman"/>
                <w:bCs/>
                <w:sz w:val="25"/>
                <w:szCs w:val="25"/>
              </w:rPr>
              <w:t>.</w:t>
            </w:r>
          </w:p>
          <w:p w:rsidR="00B92A07" w:rsidRPr="00B17EB9" w:rsidRDefault="00556F4E" w:rsidP="00691473">
            <w:pPr>
              <w:pStyle w:val="Normal1"/>
              <w:jc w:val="both"/>
              <w:rPr>
                <w:rFonts w:ascii="Times New Roman" w:hAnsi="Times New Roman"/>
                <w:bCs/>
                <w:sz w:val="25"/>
                <w:szCs w:val="25"/>
              </w:rPr>
            </w:pPr>
            <w:r w:rsidRPr="00B17EB9">
              <w:rPr>
                <w:rFonts w:ascii="Times New Roman" w:hAnsi="Times New Roman"/>
                <w:bCs/>
                <w:sz w:val="25"/>
                <w:szCs w:val="25"/>
              </w:rPr>
              <w:t>Šāda prasība ir izteikta likuma „Par mērījumu vienotību”</w:t>
            </w:r>
            <w:r w:rsidR="00DD7FBD" w:rsidRPr="00B17EB9">
              <w:rPr>
                <w:rFonts w:ascii="Times New Roman" w:hAnsi="Times New Roman"/>
                <w:bCs/>
                <w:sz w:val="25"/>
                <w:szCs w:val="25"/>
              </w:rPr>
              <w:t xml:space="preserve"> 10</w:t>
            </w:r>
            <w:r w:rsidR="00DD7FBD" w:rsidRPr="00B17EB9">
              <w:rPr>
                <w:rFonts w:ascii="Times New Roman" w:hAnsi="Times New Roman"/>
                <w:bCs/>
                <w:sz w:val="25"/>
                <w:szCs w:val="25"/>
                <w:vertAlign w:val="superscript"/>
              </w:rPr>
              <w:t>1</w:t>
            </w:r>
            <w:r w:rsidR="00DD7FBD" w:rsidRPr="00B17EB9">
              <w:rPr>
                <w:rFonts w:ascii="Times New Roman" w:hAnsi="Times New Roman"/>
                <w:bCs/>
                <w:sz w:val="25"/>
                <w:szCs w:val="25"/>
              </w:rPr>
              <w:t xml:space="preserve">.panta </w:t>
            </w:r>
            <w:r w:rsidR="00504EA3" w:rsidRPr="00B17EB9">
              <w:rPr>
                <w:rFonts w:ascii="Times New Roman" w:hAnsi="Times New Roman"/>
                <w:bCs/>
                <w:sz w:val="25"/>
                <w:szCs w:val="25"/>
              </w:rPr>
              <w:t xml:space="preserve">sestās daļas </w:t>
            </w:r>
            <w:r w:rsidR="00164675" w:rsidRPr="00B17EB9">
              <w:rPr>
                <w:rFonts w:ascii="Times New Roman" w:hAnsi="Times New Roman"/>
                <w:bCs/>
                <w:sz w:val="25"/>
                <w:szCs w:val="25"/>
              </w:rPr>
              <w:t>1.</w:t>
            </w:r>
            <w:r w:rsidR="00504EA3" w:rsidRPr="00B17EB9">
              <w:rPr>
                <w:rFonts w:ascii="Times New Roman" w:hAnsi="Times New Roman"/>
                <w:bCs/>
                <w:sz w:val="25"/>
                <w:szCs w:val="25"/>
              </w:rPr>
              <w:t>punktā</w:t>
            </w:r>
            <w:r w:rsidR="00B92A07" w:rsidRPr="00B17EB9">
              <w:rPr>
                <w:rFonts w:ascii="Times New Roman" w:hAnsi="Times New Roman"/>
                <w:bCs/>
                <w:sz w:val="25"/>
                <w:szCs w:val="25"/>
              </w:rPr>
              <w:t xml:space="preserve">, </w:t>
            </w:r>
            <w:r w:rsidRPr="00B17EB9">
              <w:rPr>
                <w:rFonts w:ascii="Times New Roman" w:hAnsi="Times New Roman"/>
                <w:bCs/>
                <w:sz w:val="25"/>
                <w:szCs w:val="25"/>
              </w:rPr>
              <w:t xml:space="preserve">vienlaikus </w:t>
            </w:r>
            <w:r w:rsidR="00390480" w:rsidRPr="00B17EB9">
              <w:rPr>
                <w:rFonts w:ascii="Times New Roman" w:hAnsi="Times New Roman"/>
                <w:bCs/>
                <w:sz w:val="25"/>
                <w:szCs w:val="25"/>
              </w:rPr>
              <w:t>pilnvarojot</w:t>
            </w:r>
            <w:r w:rsidR="00627712" w:rsidRPr="00B17EB9">
              <w:rPr>
                <w:rFonts w:ascii="Times New Roman" w:hAnsi="Times New Roman"/>
                <w:bCs/>
                <w:sz w:val="25"/>
                <w:szCs w:val="25"/>
              </w:rPr>
              <w:t xml:space="preserve"> </w:t>
            </w:r>
            <w:r w:rsidR="001D6E24" w:rsidRPr="00B17EB9">
              <w:rPr>
                <w:rFonts w:ascii="Times New Roman" w:hAnsi="Times New Roman"/>
                <w:bCs/>
                <w:sz w:val="25"/>
                <w:szCs w:val="25"/>
              </w:rPr>
              <w:t>Ministru kabinet</w:t>
            </w:r>
            <w:r w:rsidR="00390480" w:rsidRPr="00B17EB9">
              <w:rPr>
                <w:rFonts w:ascii="Times New Roman" w:hAnsi="Times New Roman"/>
                <w:bCs/>
                <w:sz w:val="25"/>
                <w:szCs w:val="25"/>
              </w:rPr>
              <w:t>u</w:t>
            </w:r>
            <w:r w:rsidR="001D6E24" w:rsidRPr="00B17EB9">
              <w:rPr>
                <w:rFonts w:ascii="Times New Roman" w:hAnsi="Times New Roman"/>
                <w:bCs/>
                <w:sz w:val="25"/>
                <w:szCs w:val="25"/>
              </w:rPr>
              <w:t xml:space="preserve"> </w:t>
            </w:r>
            <w:r w:rsidR="00164675" w:rsidRPr="00B17EB9">
              <w:rPr>
                <w:rFonts w:ascii="Times New Roman" w:hAnsi="Times New Roman"/>
                <w:bCs/>
                <w:sz w:val="25"/>
                <w:szCs w:val="25"/>
              </w:rPr>
              <w:t xml:space="preserve">noteikt </w:t>
            </w:r>
            <w:r w:rsidR="00B92A07" w:rsidRPr="00B17EB9">
              <w:rPr>
                <w:rFonts w:ascii="Times New Roman" w:hAnsi="Times New Roman"/>
                <w:bCs/>
                <w:sz w:val="25"/>
                <w:szCs w:val="25"/>
              </w:rPr>
              <w:t xml:space="preserve">kārtību, kādā tiek veikta ārpuskārtas </w:t>
            </w:r>
            <w:r w:rsidR="00A40AD3" w:rsidRPr="00B17EB9">
              <w:rPr>
                <w:rFonts w:ascii="Times New Roman" w:hAnsi="Times New Roman"/>
                <w:bCs/>
                <w:sz w:val="25"/>
                <w:szCs w:val="25"/>
              </w:rPr>
              <w:t>kalibrēšana.</w:t>
            </w:r>
          </w:p>
          <w:p w:rsidR="00476D0A" w:rsidRPr="00B17EB9" w:rsidRDefault="00F11664" w:rsidP="00691473">
            <w:pPr>
              <w:pStyle w:val="Heading1"/>
              <w:rPr>
                <w:bCs/>
                <w:sz w:val="25"/>
                <w:szCs w:val="25"/>
                <w:u w:val="none"/>
              </w:rPr>
            </w:pPr>
            <w:r w:rsidRPr="00B17EB9">
              <w:rPr>
                <w:bCs/>
                <w:sz w:val="25"/>
                <w:szCs w:val="25"/>
                <w:u w:val="none"/>
              </w:rPr>
              <w:t xml:space="preserve">Ņemot vērā iepriekš minēto, nepieciešams </w:t>
            </w:r>
            <w:r w:rsidR="002E55ED" w:rsidRPr="00B17EB9">
              <w:rPr>
                <w:bCs/>
                <w:sz w:val="25"/>
                <w:szCs w:val="25"/>
                <w:u w:val="none"/>
              </w:rPr>
              <w:t xml:space="preserve">izdarīt </w:t>
            </w:r>
            <w:r w:rsidR="0095220A" w:rsidRPr="00B17EB9">
              <w:rPr>
                <w:bCs/>
                <w:sz w:val="25"/>
                <w:szCs w:val="25"/>
                <w:u w:val="none"/>
              </w:rPr>
              <w:t xml:space="preserve">grozījumus </w:t>
            </w:r>
            <w:r w:rsidR="00B92A07" w:rsidRPr="00B17EB9">
              <w:rPr>
                <w:sz w:val="25"/>
                <w:szCs w:val="25"/>
                <w:u w:val="none"/>
                <w:lang w:eastAsia="lv-LV"/>
              </w:rPr>
              <w:t>MK noteikumos Nr.693</w:t>
            </w:r>
            <w:r w:rsidR="00504EA3" w:rsidRPr="00B17EB9">
              <w:rPr>
                <w:sz w:val="25"/>
                <w:szCs w:val="25"/>
                <w:u w:val="none"/>
                <w:lang w:eastAsia="lv-LV"/>
              </w:rPr>
              <w:t>,</w:t>
            </w:r>
            <w:r w:rsidR="0095220A" w:rsidRPr="00B17EB9">
              <w:rPr>
                <w:bCs/>
                <w:sz w:val="25"/>
                <w:szCs w:val="25"/>
                <w:u w:val="none"/>
              </w:rPr>
              <w:t xml:space="preserve"> </w:t>
            </w:r>
            <w:r w:rsidR="001D6E24" w:rsidRPr="00B17EB9">
              <w:rPr>
                <w:bCs/>
                <w:sz w:val="25"/>
                <w:szCs w:val="25"/>
                <w:u w:val="none"/>
              </w:rPr>
              <w:t xml:space="preserve">precizējot un papildinot noteikumu izdošanas </w:t>
            </w:r>
            <w:r w:rsidR="00390480" w:rsidRPr="00B17EB9">
              <w:rPr>
                <w:bCs/>
                <w:sz w:val="25"/>
                <w:szCs w:val="25"/>
                <w:u w:val="none"/>
              </w:rPr>
              <w:t>pamatojumu</w:t>
            </w:r>
            <w:r w:rsidR="001D6E24" w:rsidRPr="00B17EB9">
              <w:rPr>
                <w:bCs/>
                <w:sz w:val="25"/>
                <w:szCs w:val="25"/>
                <w:u w:val="none"/>
              </w:rPr>
              <w:t>, kā arī</w:t>
            </w:r>
            <w:r w:rsidR="009F6D0C" w:rsidRPr="00B17EB9">
              <w:rPr>
                <w:bCs/>
                <w:sz w:val="25"/>
                <w:szCs w:val="25"/>
                <w:u w:val="none"/>
              </w:rPr>
              <w:t xml:space="preserve"> papildināt noteikumus ar</w:t>
            </w:r>
            <w:r w:rsidR="001D6E24" w:rsidRPr="00B17EB9">
              <w:rPr>
                <w:bCs/>
                <w:sz w:val="25"/>
                <w:szCs w:val="25"/>
                <w:u w:val="none"/>
              </w:rPr>
              <w:t xml:space="preserve"> </w:t>
            </w:r>
            <w:r w:rsidRPr="00B17EB9">
              <w:rPr>
                <w:bCs/>
                <w:sz w:val="25"/>
                <w:szCs w:val="25"/>
                <w:u w:val="none"/>
              </w:rPr>
              <w:t>kārtību, kādā tie</w:t>
            </w:r>
            <w:r w:rsidR="00504EA3" w:rsidRPr="00B17EB9">
              <w:rPr>
                <w:bCs/>
                <w:sz w:val="25"/>
                <w:szCs w:val="25"/>
                <w:u w:val="none"/>
              </w:rPr>
              <w:t xml:space="preserve">k veikta ārpuskārtas kalibrēšana, kuras mērķis ir </w:t>
            </w:r>
            <w:r w:rsidR="00390480" w:rsidRPr="00B17EB9">
              <w:rPr>
                <w:bCs/>
                <w:sz w:val="25"/>
                <w:szCs w:val="25"/>
                <w:u w:val="none"/>
              </w:rPr>
              <w:t xml:space="preserve">lietošanas laikā pārliecināties par </w:t>
            </w:r>
            <w:r w:rsidR="00504EA3" w:rsidRPr="00B17EB9">
              <w:rPr>
                <w:bCs/>
                <w:sz w:val="25"/>
                <w:szCs w:val="25"/>
                <w:u w:val="none"/>
              </w:rPr>
              <w:t xml:space="preserve">attiecīgā mērīšanas līdzekļa atbilstību precizitātes klasēm vai maksimāli pieļaujamajām kļūdām. Patērētāju tiesību aizsardzības centrs gadījumos, kad </w:t>
            </w:r>
            <w:r w:rsidR="00A502B9" w:rsidRPr="00B17EB9">
              <w:rPr>
                <w:bCs/>
                <w:sz w:val="25"/>
                <w:szCs w:val="25"/>
                <w:u w:val="none"/>
              </w:rPr>
              <w:t>ir</w:t>
            </w:r>
            <w:r w:rsidR="00504EA3" w:rsidRPr="00B17EB9">
              <w:rPr>
                <w:bCs/>
                <w:sz w:val="25"/>
                <w:szCs w:val="25"/>
                <w:u w:val="none"/>
              </w:rPr>
              <w:t xml:space="preserve"> pamatotas šaubas par attiecīgā mērīšanas līdzekļa neatbilstību noteiktajām prasībām</w:t>
            </w:r>
            <w:r w:rsidR="00390480" w:rsidRPr="00B17EB9">
              <w:rPr>
                <w:bCs/>
                <w:sz w:val="25"/>
                <w:szCs w:val="25"/>
                <w:u w:val="none"/>
              </w:rPr>
              <w:t>,</w:t>
            </w:r>
            <w:r w:rsidR="00504EA3" w:rsidRPr="00B17EB9">
              <w:rPr>
                <w:bCs/>
                <w:sz w:val="25"/>
                <w:szCs w:val="25"/>
                <w:u w:val="none"/>
              </w:rPr>
              <w:t xml:space="preserve"> būs tiesīgs veikt attiecīgā mērīšanas līdzekļa ārpuskārtas kalibrēšanu. Ņemot vērā, ka Patērētāju tiesību aizsardzības centrs veic darbību p</w:t>
            </w:r>
            <w:r w:rsidR="00390480" w:rsidRPr="00B17EB9">
              <w:rPr>
                <w:bCs/>
                <w:sz w:val="25"/>
                <w:szCs w:val="25"/>
                <w:u w:val="none"/>
              </w:rPr>
              <w:t>ublisko</w:t>
            </w:r>
            <w:r w:rsidR="00504EA3" w:rsidRPr="00B17EB9">
              <w:rPr>
                <w:bCs/>
                <w:sz w:val="25"/>
                <w:szCs w:val="25"/>
                <w:u w:val="none"/>
              </w:rPr>
              <w:t xml:space="preserve"> tiesību jomā, lemjot par </w:t>
            </w:r>
            <w:r w:rsidR="00504EA3" w:rsidRPr="00B17EB9">
              <w:rPr>
                <w:bCs/>
                <w:sz w:val="25"/>
                <w:szCs w:val="25"/>
                <w:u w:val="none"/>
              </w:rPr>
              <w:lastRenderedPageBreak/>
              <w:t xml:space="preserve">nepieciešamību veikt attiecīgā mērīšanas līdzekļa ārpuskārtas kalibrēšanu, Patērētāju tiesību aizsardzības centram ir jāievēro </w:t>
            </w:r>
            <w:r w:rsidR="00655D9A" w:rsidRPr="00B17EB9">
              <w:rPr>
                <w:bCs/>
                <w:sz w:val="25"/>
                <w:szCs w:val="25"/>
                <w:u w:val="none"/>
              </w:rPr>
              <w:t>publiskajās tiesībās nostiprinātos principus.</w:t>
            </w:r>
            <w:r w:rsidR="00FA7B67" w:rsidRPr="00B17EB9">
              <w:rPr>
                <w:bCs/>
                <w:sz w:val="25"/>
                <w:szCs w:val="25"/>
                <w:u w:val="none"/>
              </w:rPr>
              <w:t xml:space="preserve"> </w:t>
            </w:r>
            <w:r w:rsidR="0019410B" w:rsidRPr="00B17EB9">
              <w:rPr>
                <w:bCs/>
                <w:sz w:val="25"/>
                <w:szCs w:val="25"/>
                <w:u w:val="none"/>
              </w:rPr>
              <w:t>N</w:t>
            </w:r>
            <w:r w:rsidR="00476D0A" w:rsidRPr="00B17EB9">
              <w:rPr>
                <w:bCs/>
                <w:sz w:val="25"/>
                <w:szCs w:val="25"/>
                <w:u w:val="none"/>
              </w:rPr>
              <w:t>oteikumu pro</w:t>
            </w:r>
            <w:r w:rsidR="00FA7B67" w:rsidRPr="00B17EB9">
              <w:rPr>
                <w:bCs/>
                <w:sz w:val="25"/>
                <w:szCs w:val="25"/>
                <w:u w:val="none"/>
              </w:rPr>
              <w:t xml:space="preserve">jekts paredz trīs iespējamos ārpuskārtas kalibrēšanas veikšanas </w:t>
            </w:r>
            <w:r w:rsidR="00476D0A" w:rsidRPr="00B17EB9">
              <w:rPr>
                <w:bCs/>
                <w:sz w:val="25"/>
                <w:szCs w:val="25"/>
                <w:u w:val="none"/>
              </w:rPr>
              <w:t>veidus:</w:t>
            </w:r>
          </w:p>
          <w:p w:rsidR="00476D0A" w:rsidRPr="00B17EB9" w:rsidRDefault="00476D0A" w:rsidP="00691473">
            <w:pPr>
              <w:pStyle w:val="Heading1"/>
              <w:numPr>
                <w:ilvl w:val="0"/>
                <w:numId w:val="1"/>
              </w:numPr>
              <w:rPr>
                <w:bCs/>
                <w:sz w:val="25"/>
                <w:szCs w:val="25"/>
                <w:u w:val="none"/>
              </w:rPr>
            </w:pPr>
            <w:r w:rsidRPr="00B17EB9">
              <w:rPr>
                <w:bCs/>
                <w:sz w:val="25"/>
                <w:szCs w:val="25"/>
                <w:u w:val="none"/>
              </w:rPr>
              <w:t xml:space="preserve">Gadījumā, ja mērīšanas </w:t>
            </w:r>
            <w:r w:rsidR="00164675" w:rsidRPr="00B17EB9">
              <w:rPr>
                <w:bCs/>
                <w:sz w:val="25"/>
                <w:szCs w:val="25"/>
                <w:u w:val="none"/>
              </w:rPr>
              <w:t xml:space="preserve">līdzekli </w:t>
            </w:r>
            <w:r w:rsidRPr="00B17EB9">
              <w:rPr>
                <w:bCs/>
                <w:sz w:val="25"/>
                <w:szCs w:val="25"/>
                <w:u w:val="none"/>
              </w:rPr>
              <w:t xml:space="preserve">ir iespējams izņemt no lietošanas vietas, Patērētāju tiesību aizsardzības centrs to izņem un </w:t>
            </w:r>
            <w:r w:rsidR="00164675" w:rsidRPr="00B17EB9">
              <w:rPr>
                <w:bCs/>
                <w:sz w:val="25"/>
                <w:szCs w:val="25"/>
                <w:u w:val="none"/>
              </w:rPr>
              <w:t xml:space="preserve">nodod </w:t>
            </w:r>
            <w:r w:rsidRPr="00B17EB9">
              <w:rPr>
                <w:bCs/>
                <w:sz w:val="25"/>
                <w:szCs w:val="25"/>
                <w:u w:val="none"/>
              </w:rPr>
              <w:t xml:space="preserve">ārpuskārtas kalibrēšanas veikšanai </w:t>
            </w:r>
            <w:r w:rsidR="00164675" w:rsidRPr="00B17EB9">
              <w:rPr>
                <w:bCs/>
                <w:sz w:val="25"/>
                <w:szCs w:val="25"/>
                <w:u w:val="none"/>
              </w:rPr>
              <w:t>akreditētai laboratorijai</w:t>
            </w:r>
            <w:r w:rsidRPr="00B17EB9">
              <w:rPr>
                <w:bCs/>
                <w:sz w:val="25"/>
                <w:szCs w:val="25"/>
                <w:u w:val="none"/>
              </w:rPr>
              <w:t>;</w:t>
            </w:r>
          </w:p>
          <w:p w:rsidR="00476D0A" w:rsidRPr="00B17EB9" w:rsidRDefault="00476D0A" w:rsidP="00691473">
            <w:pPr>
              <w:pStyle w:val="ListParagraph"/>
              <w:numPr>
                <w:ilvl w:val="0"/>
                <w:numId w:val="1"/>
              </w:numPr>
              <w:jc w:val="both"/>
              <w:rPr>
                <w:sz w:val="24"/>
                <w:szCs w:val="24"/>
              </w:rPr>
            </w:pPr>
            <w:r w:rsidRPr="00B17EB9">
              <w:rPr>
                <w:sz w:val="24"/>
                <w:szCs w:val="24"/>
              </w:rPr>
              <w:t>Gadījumos, ja mērīšanas līdzekļa īpašību</w:t>
            </w:r>
            <w:r w:rsidR="00A502B9" w:rsidRPr="00B17EB9">
              <w:rPr>
                <w:sz w:val="24"/>
                <w:szCs w:val="24"/>
              </w:rPr>
              <w:t xml:space="preserve"> (piemēram, </w:t>
            </w:r>
            <w:r w:rsidR="00B87935" w:rsidRPr="00B17EB9">
              <w:rPr>
                <w:sz w:val="24"/>
                <w:szCs w:val="24"/>
              </w:rPr>
              <w:t>izmērs, svars un novietojums</w:t>
            </w:r>
            <w:r w:rsidR="00A502B9" w:rsidRPr="00B17EB9">
              <w:rPr>
                <w:sz w:val="24"/>
                <w:szCs w:val="24"/>
              </w:rPr>
              <w:t>)</w:t>
            </w:r>
            <w:r w:rsidRPr="00B17EB9">
              <w:rPr>
                <w:sz w:val="24"/>
                <w:szCs w:val="24"/>
              </w:rPr>
              <w:t xml:space="preserve"> dēļ tā izņemšana no lietošanas vietas nav iespējama, Patērētāju tiesību aizsardzības centrs organizē mērīšanas līdzekļa ārpuskārtas kalibrēšanu </w:t>
            </w:r>
            <w:r w:rsidR="00164675" w:rsidRPr="00B17EB9">
              <w:rPr>
                <w:sz w:val="24"/>
                <w:szCs w:val="24"/>
              </w:rPr>
              <w:t xml:space="preserve">mērīšanas līdzekļa </w:t>
            </w:r>
            <w:r w:rsidRPr="00B17EB9">
              <w:rPr>
                <w:sz w:val="24"/>
                <w:szCs w:val="24"/>
              </w:rPr>
              <w:t>lietošanas vietā;</w:t>
            </w:r>
          </w:p>
          <w:p w:rsidR="00476D0A" w:rsidRPr="00B17EB9" w:rsidRDefault="00476D0A" w:rsidP="00691473">
            <w:pPr>
              <w:pStyle w:val="ListParagraph"/>
              <w:numPr>
                <w:ilvl w:val="0"/>
                <w:numId w:val="1"/>
              </w:numPr>
              <w:jc w:val="both"/>
              <w:rPr>
                <w:sz w:val="24"/>
                <w:szCs w:val="24"/>
              </w:rPr>
            </w:pPr>
            <w:r w:rsidRPr="00B17EB9">
              <w:rPr>
                <w:sz w:val="24"/>
                <w:szCs w:val="24"/>
              </w:rPr>
              <w:t xml:space="preserve">Gadījumos, ja mērīšanas līdzekļa nekavējoša lietošanas </w:t>
            </w:r>
            <w:r w:rsidR="00164675" w:rsidRPr="00B17EB9">
              <w:rPr>
                <w:sz w:val="24"/>
                <w:szCs w:val="24"/>
              </w:rPr>
              <w:t xml:space="preserve">pārtraukšana </w:t>
            </w:r>
            <w:r w:rsidRPr="00B17EB9">
              <w:rPr>
                <w:sz w:val="24"/>
                <w:szCs w:val="24"/>
              </w:rPr>
              <w:t>tā īpašību</w:t>
            </w:r>
            <w:r w:rsidR="00B87935" w:rsidRPr="00B17EB9">
              <w:rPr>
                <w:sz w:val="24"/>
                <w:szCs w:val="24"/>
              </w:rPr>
              <w:t xml:space="preserve"> (piemēram, izmērs, svars un novietojums)</w:t>
            </w:r>
            <w:r w:rsidRPr="00B17EB9">
              <w:rPr>
                <w:sz w:val="24"/>
                <w:szCs w:val="24"/>
              </w:rPr>
              <w:t xml:space="preserve"> dēļ nav iespējama, mērīšanas </w:t>
            </w:r>
            <w:r w:rsidR="00164675" w:rsidRPr="00B17EB9">
              <w:rPr>
                <w:sz w:val="24"/>
                <w:szCs w:val="24"/>
              </w:rPr>
              <w:t xml:space="preserve">līdzekļa </w:t>
            </w:r>
            <w:r w:rsidRPr="00B17EB9">
              <w:rPr>
                <w:sz w:val="24"/>
                <w:szCs w:val="24"/>
              </w:rPr>
              <w:t>lietotājam pēc Patērētāju tiesību aizsardzības centra norādīju</w:t>
            </w:r>
            <w:r w:rsidR="00164675" w:rsidRPr="00B17EB9">
              <w:rPr>
                <w:sz w:val="24"/>
                <w:szCs w:val="24"/>
              </w:rPr>
              <w:t>mu</w:t>
            </w:r>
            <w:r w:rsidRPr="00B17EB9">
              <w:rPr>
                <w:sz w:val="24"/>
                <w:szCs w:val="24"/>
              </w:rPr>
              <w:t xml:space="preserve"> saņemšanas 10 dienu laikā ir </w:t>
            </w:r>
            <w:r w:rsidR="00164675" w:rsidRPr="00B17EB9">
              <w:rPr>
                <w:sz w:val="24"/>
                <w:szCs w:val="24"/>
              </w:rPr>
              <w:t xml:space="preserve">jāpārtrauc </w:t>
            </w:r>
            <w:r w:rsidRPr="00B17EB9">
              <w:rPr>
                <w:sz w:val="24"/>
                <w:szCs w:val="24"/>
              </w:rPr>
              <w:t xml:space="preserve">mērīšanas </w:t>
            </w:r>
            <w:r w:rsidR="003F049B" w:rsidRPr="00B17EB9">
              <w:rPr>
                <w:sz w:val="24"/>
                <w:szCs w:val="24"/>
              </w:rPr>
              <w:t xml:space="preserve">līdzekļa </w:t>
            </w:r>
            <w:r w:rsidRPr="00B17EB9">
              <w:rPr>
                <w:sz w:val="24"/>
                <w:szCs w:val="24"/>
              </w:rPr>
              <w:t xml:space="preserve">lietošana un par to jāinformē Patērētāju tiesību aizsardzības centrs, kurš savukārt veiks pārbaudi atbilstoši pirmajā un otrajā punktā minētajai kārtībai. </w:t>
            </w:r>
          </w:p>
          <w:p w:rsidR="00FA7B67" w:rsidRPr="00B17EB9" w:rsidRDefault="00476D0A" w:rsidP="00691473">
            <w:pPr>
              <w:pStyle w:val="Heading1"/>
              <w:rPr>
                <w:u w:val="none"/>
              </w:rPr>
            </w:pPr>
            <w:r w:rsidRPr="00B17EB9">
              <w:rPr>
                <w:bCs/>
                <w:sz w:val="25"/>
                <w:szCs w:val="25"/>
                <w:u w:val="none"/>
              </w:rPr>
              <w:t xml:space="preserve">Patērētāju tiesību aizsardzības centra norādījumu par mērīšanas līdzekļa lietošanas </w:t>
            </w:r>
            <w:r w:rsidR="003F049B" w:rsidRPr="00B17EB9">
              <w:rPr>
                <w:bCs/>
                <w:sz w:val="25"/>
                <w:szCs w:val="25"/>
                <w:u w:val="none"/>
              </w:rPr>
              <w:t xml:space="preserve">pārtraukšanu </w:t>
            </w:r>
            <w:r w:rsidR="00691473" w:rsidRPr="00B17EB9">
              <w:rPr>
                <w:bCs/>
                <w:sz w:val="25"/>
                <w:szCs w:val="25"/>
                <w:u w:val="none"/>
              </w:rPr>
              <w:t xml:space="preserve">var tikt doti, vai nu norādot to </w:t>
            </w:r>
            <w:r w:rsidR="008F0F68" w:rsidRPr="00B17EB9">
              <w:rPr>
                <w:bCs/>
                <w:sz w:val="25"/>
                <w:szCs w:val="25"/>
                <w:u w:val="none"/>
              </w:rPr>
              <w:t xml:space="preserve">pārbaudes </w:t>
            </w:r>
            <w:r w:rsidR="00691473" w:rsidRPr="00B17EB9">
              <w:rPr>
                <w:bCs/>
                <w:sz w:val="25"/>
                <w:szCs w:val="25"/>
                <w:u w:val="none"/>
              </w:rPr>
              <w:t xml:space="preserve">aktā vai arī sniedzot mērīšanas </w:t>
            </w:r>
            <w:r w:rsidR="0052533F" w:rsidRPr="00B17EB9">
              <w:rPr>
                <w:bCs/>
                <w:sz w:val="25"/>
                <w:szCs w:val="25"/>
                <w:u w:val="none"/>
              </w:rPr>
              <w:t xml:space="preserve">līdzekļa </w:t>
            </w:r>
            <w:r w:rsidR="00691473" w:rsidRPr="00B17EB9">
              <w:rPr>
                <w:bCs/>
                <w:sz w:val="25"/>
                <w:szCs w:val="25"/>
                <w:u w:val="none"/>
              </w:rPr>
              <w:t>lietotājam informāciju vēstules veidā. Šie trīs iespējamie ārpuskārtas kalibrēšanas veidi ir noteikti ar mērķi nepalielināt mērīšanas līdzekļu lietotājiem pārlieku lielu administratīvo slogu, lai Patērētāju tiesību aizsardzības centram būtu iespēja pieskaņot ārpuskārtas kalibrēšanas veidu katrai attiecīgajai situācijai.</w:t>
            </w:r>
          </w:p>
          <w:p w:rsidR="00900386" w:rsidRPr="00B17EB9" w:rsidRDefault="00900386" w:rsidP="00691473">
            <w:pPr>
              <w:jc w:val="both"/>
              <w:rPr>
                <w:sz w:val="25"/>
                <w:szCs w:val="25"/>
              </w:rPr>
            </w:pPr>
            <w:r w:rsidRPr="00B17EB9">
              <w:rPr>
                <w:sz w:val="25"/>
                <w:szCs w:val="25"/>
              </w:rPr>
              <w:t xml:space="preserve">Ar noteikumu projektu tiek pilnībā izpildīts </w:t>
            </w:r>
            <w:r w:rsidRPr="00B17EB9">
              <w:rPr>
                <w:bCs/>
                <w:sz w:val="25"/>
                <w:szCs w:val="25"/>
              </w:rPr>
              <w:t>likuma „Par mērījumu vienotību” 6</w:t>
            </w:r>
            <w:r w:rsidRPr="00B17EB9">
              <w:rPr>
                <w:rFonts w:cs="Times New Roman"/>
                <w:sz w:val="25"/>
                <w:szCs w:val="25"/>
              </w:rPr>
              <w:t>.panta otrajā daļā, 10.</w:t>
            </w:r>
            <w:r w:rsidRPr="00B17EB9">
              <w:rPr>
                <w:rFonts w:cs="Times New Roman"/>
                <w:sz w:val="25"/>
                <w:szCs w:val="25"/>
                <w:vertAlign w:val="superscript"/>
              </w:rPr>
              <w:t>1</w:t>
            </w:r>
            <w:r w:rsidRPr="00B17EB9">
              <w:rPr>
                <w:rFonts w:cs="Times New Roman"/>
                <w:sz w:val="25"/>
                <w:szCs w:val="25"/>
              </w:rPr>
              <w:t xml:space="preserve"> panta sestās daļas 1.punktā</w:t>
            </w:r>
            <w:r w:rsidRPr="00B17EB9">
              <w:rPr>
                <w:sz w:val="25"/>
                <w:szCs w:val="25"/>
              </w:rPr>
              <w:t xml:space="preserve"> un likuma „Par atbilstības novērtēšanu</w:t>
            </w:r>
            <w:r w:rsidR="0052533F" w:rsidRPr="00B17EB9">
              <w:rPr>
                <w:sz w:val="25"/>
                <w:szCs w:val="25"/>
              </w:rPr>
              <w:t>”</w:t>
            </w:r>
            <w:r w:rsidRPr="00B17EB9">
              <w:rPr>
                <w:sz w:val="25"/>
                <w:szCs w:val="25"/>
              </w:rPr>
              <w:t xml:space="preserve"> 7.panta pirmajā daļā </w:t>
            </w:r>
            <w:r w:rsidR="0052533F" w:rsidRPr="00B17EB9">
              <w:rPr>
                <w:sz w:val="25"/>
                <w:szCs w:val="25"/>
              </w:rPr>
              <w:t xml:space="preserve">Ministru </w:t>
            </w:r>
            <w:r w:rsidRPr="00B17EB9">
              <w:rPr>
                <w:sz w:val="25"/>
                <w:szCs w:val="25"/>
              </w:rPr>
              <w:t xml:space="preserve">kabinetam dotais deleģējums, kas sevī aptver šādus jautājumus: 1) nosaka prasības mērīšanas līdzekļiem; 2) nosaka kalibrēšanas periodiskumu un mērīšanas līdzekļu precizitātes klases; 3) nosaka </w:t>
            </w:r>
            <w:r w:rsidR="0052533F" w:rsidRPr="00B17EB9">
              <w:rPr>
                <w:sz w:val="25"/>
                <w:szCs w:val="25"/>
              </w:rPr>
              <w:t xml:space="preserve">mērīšanas līdzekļu </w:t>
            </w:r>
            <w:r w:rsidRPr="00B17EB9">
              <w:rPr>
                <w:sz w:val="25"/>
                <w:szCs w:val="25"/>
              </w:rPr>
              <w:t xml:space="preserve">metroloģiskās kontroles kārtību, tajā skaitā arī kārtību, kādā tiek veikta </w:t>
            </w:r>
            <w:r w:rsidR="0052533F" w:rsidRPr="00B17EB9">
              <w:rPr>
                <w:sz w:val="25"/>
                <w:szCs w:val="25"/>
              </w:rPr>
              <w:t xml:space="preserve">mērīšanas līdzekļu </w:t>
            </w:r>
            <w:r w:rsidRPr="00B17EB9">
              <w:rPr>
                <w:sz w:val="25"/>
                <w:szCs w:val="25"/>
              </w:rPr>
              <w:t>ārpuskārtas kalibrēšana.</w:t>
            </w:r>
          </w:p>
          <w:p w:rsidR="008853A9" w:rsidRPr="00B17EB9" w:rsidRDefault="00033A93" w:rsidP="008F0F68">
            <w:pPr>
              <w:pStyle w:val="Heading1"/>
              <w:rPr>
                <w:sz w:val="25"/>
                <w:szCs w:val="25"/>
                <w:u w:val="none"/>
              </w:rPr>
            </w:pPr>
            <w:r w:rsidRPr="00B124C9">
              <w:rPr>
                <w:sz w:val="25"/>
                <w:szCs w:val="25"/>
                <w:u w:val="none"/>
              </w:rPr>
              <w:t xml:space="preserve">Tāpat </w:t>
            </w:r>
            <w:r w:rsidR="000A70E7" w:rsidRPr="00B87935">
              <w:rPr>
                <w:sz w:val="25"/>
                <w:szCs w:val="25"/>
                <w:u w:val="none"/>
              </w:rPr>
              <w:t>noteikumu projektā</w:t>
            </w:r>
            <w:r w:rsidR="008F0F68">
              <w:rPr>
                <w:sz w:val="25"/>
                <w:szCs w:val="25"/>
                <w:u w:val="none"/>
              </w:rPr>
              <w:t xml:space="preserve"> </w:t>
            </w:r>
            <w:r w:rsidRPr="00B124C9">
              <w:rPr>
                <w:sz w:val="25"/>
                <w:szCs w:val="25"/>
                <w:u w:val="none"/>
              </w:rPr>
              <w:t>ir paredzēts</w:t>
            </w:r>
            <w:r w:rsidR="000A70E7" w:rsidRPr="00B124C9">
              <w:rPr>
                <w:sz w:val="25"/>
                <w:szCs w:val="25"/>
                <w:u w:val="none"/>
              </w:rPr>
              <w:t xml:space="preserve"> </w:t>
            </w:r>
            <w:r w:rsidR="008853A9" w:rsidRPr="00B124C9">
              <w:rPr>
                <w:sz w:val="25"/>
                <w:szCs w:val="25"/>
                <w:u w:val="none"/>
              </w:rPr>
              <w:t>redakcionāli</w:t>
            </w:r>
            <w:r w:rsidR="000A70E7" w:rsidRPr="00B124C9">
              <w:rPr>
                <w:sz w:val="25"/>
                <w:szCs w:val="25"/>
                <w:u w:val="none"/>
              </w:rPr>
              <w:t xml:space="preserve"> </w:t>
            </w:r>
            <w:r w:rsidR="008853A9" w:rsidRPr="00B124C9">
              <w:rPr>
                <w:sz w:val="25"/>
                <w:szCs w:val="25"/>
                <w:u w:val="none"/>
              </w:rPr>
              <w:t>precizēt</w:t>
            </w:r>
            <w:r w:rsidR="000A70E7" w:rsidRPr="00B124C9">
              <w:rPr>
                <w:sz w:val="25"/>
                <w:szCs w:val="25"/>
                <w:u w:val="none"/>
              </w:rPr>
              <w:t xml:space="preserve"> </w:t>
            </w:r>
            <w:r w:rsidR="00206681" w:rsidRPr="00B124C9">
              <w:rPr>
                <w:sz w:val="25"/>
                <w:szCs w:val="25"/>
                <w:u w:val="none"/>
              </w:rPr>
              <w:t xml:space="preserve">noteiktās </w:t>
            </w:r>
            <w:r w:rsidR="000A70E7" w:rsidRPr="00B124C9">
              <w:rPr>
                <w:sz w:val="25"/>
                <w:szCs w:val="25"/>
                <w:u w:val="none"/>
              </w:rPr>
              <w:t xml:space="preserve">normas par </w:t>
            </w:r>
            <w:r w:rsidR="008A6C53" w:rsidRPr="00B124C9">
              <w:rPr>
                <w:sz w:val="25"/>
                <w:szCs w:val="25"/>
                <w:u w:val="none"/>
              </w:rPr>
              <w:t>laboratorijām</w:t>
            </w:r>
            <w:r w:rsidR="000A70E7" w:rsidRPr="00B124C9">
              <w:rPr>
                <w:sz w:val="25"/>
                <w:szCs w:val="25"/>
                <w:u w:val="none"/>
              </w:rPr>
              <w:t>, kas veic</w:t>
            </w:r>
            <w:r w:rsidR="008A6C53" w:rsidRPr="00B124C9">
              <w:rPr>
                <w:sz w:val="25"/>
                <w:szCs w:val="25"/>
                <w:u w:val="none"/>
              </w:rPr>
              <w:t xml:space="preserve"> </w:t>
            </w:r>
            <w:r w:rsidR="00206681" w:rsidRPr="00B17EB9">
              <w:rPr>
                <w:sz w:val="25"/>
                <w:szCs w:val="25"/>
                <w:u w:val="none"/>
              </w:rPr>
              <w:lastRenderedPageBreak/>
              <w:t>mērīšanas līdzekļu kalibrēšanu</w:t>
            </w:r>
            <w:r w:rsidR="00900386" w:rsidRPr="00B17EB9">
              <w:rPr>
                <w:sz w:val="25"/>
                <w:szCs w:val="25"/>
                <w:u w:val="none"/>
              </w:rPr>
              <w:t>, proti, noteikumu tekstā paredzēt</w:t>
            </w:r>
            <w:r w:rsidR="004053C3" w:rsidRPr="00B17EB9">
              <w:rPr>
                <w:sz w:val="25"/>
                <w:szCs w:val="25"/>
                <w:u w:val="none"/>
              </w:rPr>
              <w:t>s</w:t>
            </w:r>
            <w:r w:rsidR="00900386" w:rsidRPr="00B17EB9">
              <w:rPr>
                <w:sz w:val="25"/>
                <w:szCs w:val="25"/>
                <w:u w:val="none"/>
              </w:rPr>
              <w:t xml:space="preserve"> svītrot tiešās atsauces uz standartiem un to vietā </w:t>
            </w:r>
            <w:r w:rsidR="004053C3" w:rsidRPr="00B17EB9">
              <w:rPr>
                <w:sz w:val="25"/>
                <w:szCs w:val="25"/>
                <w:u w:val="none"/>
              </w:rPr>
              <w:t xml:space="preserve">izmantot </w:t>
            </w:r>
            <w:r w:rsidR="00900386" w:rsidRPr="00B17EB9">
              <w:rPr>
                <w:sz w:val="25"/>
                <w:szCs w:val="25"/>
                <w:u w:val="none"/>
              </w:rPr>
              <w:t>atsauci uz attiecīgo jomu reglamentējošajiem normatīvajiem aktiem. Šobrīd akreditācijas sistēmas darbības pamatprincipus un kārtību nosaka Ministru kabineta 2008.gada 16.decembra noteikumi Nr.1059 „Noteikumi par atbilstības novērtēšanas institūciju novērtēšanu, akreditāciju un uzraudzību”.</w:t>
            </w:r>
          </w:p>
          <w:p w:rsidR="008F0F68" w:rsidRPr="00A60E52" w:rsidRDefault="008F0F68" w:rsidP="009F44E8">
            <w:pPr>
              <w:jc w:val="both"/>
              <w:rPr>
                <w:sz w:val="25"/>
                <w:szCs w:val="25"/>
                <w:u w:val="single"/>
              </w:rPr>
            </w:pPr>
            <w:r w:rsidRPr="00B17EB9">
              <w:rPr>
                <w:sz w:val="25"/>
                <w:szCs w:val="25"/>
              </w:rPr>
              <w:t>Vienlaikus noteikumu projektā</w:t>
            </w:r>
            <w:r w:rsidR="001D3FEE" w:rsidRPr="00B17EB9">
              <w:rPr>
                <w:sz w:val="25"/>
                <w:szCs w:val="25"/>
              </w:rPr>
              <w:t xml:space="preserve"> ir paredzēts, ka veicot ārpuskārtas kalibrēšanu šo noteikumu pielikumā minētajām tvertnēm spirta, alkoholisko dzērienu un naftas produktu uzglabāšanai</w:t>
            </w:r>
            <w:r w:rsidR="00A60E52" w:rsidRPr="00B17EB9">
              <w:rPr>
                <w:sz w:val="25"/>
                <w:szCs w:val="25"/>
              </w:rPr>
              <w:t xml:space="preserve"> ir noteikta speciāla kārtība, kādā Patērētāju tiesību aizsardzības centrs rīkojas veicot </w:t>
            </w:r>
            <w:r w:rsidR="00A60E52" w:rsidRPr="00B17EB9">
              <w:rPr>
                <w:rFonts w:cs="Times New Roman"/>
                <w:sz w:val="25"/>
                <w:szCs w:val="25"/>
              </w:rPr>
              <w:t>mērīšanas līdzekļa</w:t>
            </w:r>
            <w:r w:rsidR="009F44E8" w:rsidRPr="00B17EB9">
              <w:rPr>
                <w:sz w:val="25"/>
                <w:szCs w:val="25"/>
              </w:rPr>
              <w:t xml:space="preserve"> ārpuskārtas kalibrēšanu</w:t>
            </w:r>
            <w:r w:rsidR="00A60E52" w:rsidRPr="00B17EB9">
              <w:rPr>
                <w:rFonts w:cs="Times New Roman"/>
                <w:sz w:val="25"/>
                <w:szCs w:val="25"/>
              </w:rPr>
              <w:t xml:space="preserve"> lietošanas vietā</w:t>
            </w:r>
            <w:r w:rsidR="00A60E52" w:rsidRPr="00B17EB9">
              <w:rPr>
                <w:sz w:val="25"/>
                <w:szCs w:val="25"/>
              </w:rPr>
              <w:t>.</w:t>
            </w:r>
            <w:r w:rsidR="009F44E8" w:rsidRPr="00B17EB9">
              <w:rPr>
                <w:sz w:val="25"/>
                <w:szCs w:val="25"/>
              </w:rPr>
              <w:t xml:space="preserve"> Pirms organizēt šo mērīšanas līdzekļu ārpuskārtas kalibrēšanu Patērētāju tiesību aizsardzības centram  jāizvērtē, vai šādu darbību veikšana ir lietderīga, pamatota, samērīga un nerada būtisku administratīvo slogu attiecīgā mērīšanas līdzekļa lietotājam.</w:t>
            </w:r>
          </w:p>
        </w:tc>
      </w:tr>
      <w:tr w:rsidR="005A2ACB" w:rsidRPr="00B124C9"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spacing w:before="100" w:beforeAutospacing="1" w:after="100" w:afterAutospacing="1"/>
              <w:jc w:val="center"/>
              <w:rPr>
                <w:rFonts w:eastAsia="Times New Roman" w:cs="Times New Roman"/>
                <w:sz w:val="25"/>
                <w:szCs w:val="25"/>
                <w:lang w:eastAsia="lv-LV"/>
              </w:rPr>
            </w:pPr>
            <w:r w:rsidRPr="00B124C9">
              <w:rPr>
                <w:rFonts w:eastAsia="Times New Roman" w:cs="Times New Roman"/>
                <w:sz w:val="25"/>
                <w:szCs w:val="25"/>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A2ACB" w:rsidRPr="00B124C9" w:rsidRDefault="00F11664" w:rsidP="007F71CA">
            <w:pPr>
              <w:jc w:val="both"/>
              <w:rPr>
                <w:rFonts w:eastAsia="Times New Roman" w:cs="Times New Roman"/>
                <w:sz w:val="25"/>
                <w:szCs w:val="25"/>
                <w:lang w:eastAsia="lv-LV"/>
              </w:rPr>
            </w:pPr>
            <w:r w:rsidRPr="00B124C9">
              <w:rPr>
                <w:sz w:val="25"/>
                <w:szCs w:val="25"/>
              </w:rPr>
              <w:t>Patērētāju tiesību aizsardzības centrs</w:t>
            </w:r>
            <w:r w:rsidR="004053C3">
              <w:rPr>
                <w:sz w:val="25"/>
                <w:szCs w:val="25"/>
              </w:rPr>
              <w:t>.</w:t>
            </w:r>
          </w:p>
        </w:tc>
      </w:tr>
      <w:tr w:rsidR="005A2ACB" w:rsidRPr="00B124C9" w:rsidTr="00EA08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spacing w:before="100" w:beforeAutospacing="1" w:after="100" w:afterAutospacing="1"/>
              <w:jc w:val="center"/>
              <w:rPr>
                <w:rFonts w:eastAsia="Times New Roman" w:cs="Times New Roman"/>
                <w:sz w:val="25"/>
                <w:szCs w:val="25"/>
                <w:lang w:eastAsia="lv-LV"/>
              </w:rPr>
            </w:pPr>
            <w:r w:rsidRPr="00B124C9">
              <w:rPr>
                <w:rFonts w:eastAsia="Times New Roman" w:cs="Times New Roman"/>
                <w:sz w:val="25"/>
                <w:szCs w:val="25"/>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5A2ACB" w:rsidRPr="00B124C9" w:rsidRDefault="00466D77" w:rsidP="005A2ACB">
            <w:pPr>
              <w:spacing w:before="100" w:beforeAutospacing="1" w:after="100" w:afterAutospacing="1"/>
              <w:rPr>
                <w:rFonts w:eastAsia="Times New Roman" w:cs="Times New Roman"/>
                <w:sz w:val="25"/>
                <w:szCs w:val="25"/>
                <w:lang w:eastAsia="lv-LV"/>
              </w:rPr>
            </w:pPr>
            <w:r w:rsidRPr="00B124C9">
              <w:rPr>
                <w:rFonts w:eastAsia="Times New Roman" w:cs="Times New Roman"/>
                <w:sz w:val="25"/>
                <w:szCs w:val="25"/>
                <w:lang w:eastAsia="lv-LV"/>
              </w:rPr>
              <w:t>Nav</w:t>
            </w:r>
            <w:r w:rsidR="004053C3">
              <w:rPr>
                <w:rFonts w:eastAsia="Times New Roman" w:cs="Times New Roman"/>
                <w:sz w:val="25"/>
                <w:szCs w:val="25"/>
                <w:lang w:eastAsia="lv-LV"/>
              </w:rPr>
              <w:t>.</w:t>
            </w:r>
          </w:p>
        </w:tc>
      </w:tr>
    </w:tbl>
    <w:p w:rsidR="005A2ACB" w:rsidRPr="00B124C9" w:rsidRDefault="005A2ACB" w:rsidP="00EA086E">
      <w:pPr>
        <w:rPr>
          <w:rFonts w:eastAsia="Times New Roman" w:cs="Times New Roman"/>
          <w:sz w:val="25"/>
          <w:szCs w:val="25"/>
          <w:lang w:eastAsia="lv-LV"/>
        </w:rPr>
      </w:pPr>
      <w:r w:rsidRPr="00B124C9">
        <w:rPr>
          <w:rFonts w:eastAsia="Times New Roman" w:cs="Times New Roman"/>
          <w:sz w:val="25"/>
          <w:szCs w:val="25"/>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B124C9"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B124C9" w:rsidRDefault="005A2ACB" w:rsidP="005A2ACB">
            <w:pPr>
              <w:spacing w:before="100" w:beforeAutospacing="1" w:after="100" w:afterAutospacing="1"/>
              <w:jc w:val="center"/>
              <w:rPr>
                <w:rFonts w:eastAsia="Times New Roman" w:cs="Times New Roman"/>
                <w:b/>
                <w:bCs/>
                <w:sz w:val="25"/>
                <w:szCs w:val="25"/>
                <w:lang w:eastAsia="lv-LV"/>
              </w:rPr>
            </w:pPr>
            <w:r w:rsidRPr="00B124C9">
              <w:rPr>
                <w:rFonts w:eastAsia="Times New Roman" w:cs="Times New Roman"/>
                <w:b/>
                <w:bCs/>
                <w:sz w:val="25"/>
                <w:szCs w:val="25"/>
                <w:lang w:eastAsia="lv-LV"/>
              </w:rPr>
              <w:t>II. Tiesību akta projekta ietekme uz sabiedrību, tautsaimniecības attīstību un administratīvo slogu</w:t>
            </w:r>
          </w:p>
        </w:tc>
      </w:tr>
      <w:tr w:rsidR="005A2ACB" w:rsidRPr="00B124C9"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7F71CA" w:rsidRPr="00B124C9" w:rsidRDefault="008128C6" w:rsidP="008128C6">
            <w:pPr>
              <w:jc w:val="both"/>
              <w:rPr>
                <w:rFonts w:eastAsia="Times New Roman" w:cs="Times New Roman"/>
                <w:sz w:val="25"/>
                <w:szCs w:val="25"/>
                <w:lang w:eastAsia="lv-LV"/>
              </w:rPr>
            </w:pPr>
            <w:r w:rsidRPr="00B124C9">
              <w:rPr>
                <w:sz w:val="25"/>
                <w:szCs w:val="25"/>
              </w:rPr>
              <w:t>Mērīšanas līdzekļu lietotāji un laboratorijas, kas kalibrē mērīšanas līdzekļus, kā arī Patērētāju tiesību aizsardzības centrs, kas veic mērīšanas līdzekļu valsts metroloģisko uzraudzību</w:t>
            </w:r>
            <w:r w:rsidR="004053C3">
              <w:rPr>
                <w:sz w:val="25"/>
                <w:szCs w:val="25"/>
              </w:rPr>
              <w:t>.</w:t>
            </w:r>
          </w:p>
        </w:tc>
      </w:tr>
      <w:tr w:rsidR="005A2ACB" w:rsidRPr="00B124C9"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3F5A60" w:rsidRPr="00B17EB9" w:rsidRDefault="002E61FF" w:rsidP="00840F0F">
            <w:pPr>
              <w:jc w:val="both"/>
              <w:rPr>
                <w:rFonts w:eastAsia="Times New Roman" w:cs="Times New Roman"/>
                <w:sz w:val="25"/>
                <w:szCs w:val="25"/>
                <w:lang w:eastAsia="lv-LV"/>
              </w:rPr>
            </w:pPr>
            <w:r w:rsidRPr="00B17EB9">
              <w:rPr>
                <w:sz w:val="25"/>
                <w:szCs w:val="25"/>
              </w:rPr>
              <w:t>Gadījumos</w:t>
            </w:r>
            <w:r w:rsidR="00BE17BC" w:rsidRPr="00B17EB9">
              <w:rPr>
                <w:iCs/>
                <w:sz w:val="25"/>
                <w:szCs w:val="25"/>
              </w:rPr>
              <w:t xml:space="preserve">, kad </w:t>
            </w:r>
            <w:r w:rsidR="00FA7551" w:rsidRPr="00B17EB9">
              <w:rPr>
                <w:sz w:val="25"/>
                <w:szCs w:val="25"/>
              </w:rPr>
              <w:t>ro</w:t>
            </w:r>
            <w:r w:rsidR="00D92F81" w:rsidRPr="00B17EB9">
              <w:rPr>
                <w:sz w:val="25"/>
                <w:szCs w:val="25"/>
              </w:rPr>
              <w:t>d</w:t>
            </w:r>
            <w:r w:rsidR="00FA7551" w:rsidRPr="00B17EB9">
              <w:rPr>
                <w:sz w:val="25"/>
                <w:szCs w:val="25"/>
              </w:rPr>
              <w:t xml:space="preserve">as pamatotas </w:t>
            </w:r>
            <w:r w:rsidR="00390480" w:rsidRPr="00B17EB9">
              <w:rPr>
                <w:sz w:val="25"/>
                <w:szCs w:val="25"/>
              </w:rPr>
              <w:t>šaubas</w:t>
            </w:r>
            <w:r w:rsidR="00D92F81" w:rsidRPr="00B17EB9">
              <w:rPr>
                <w:sz w:val="25"/>
                <w:szCs w:val="25"/>
              </w:rPr>
              <w:t xml:space="preserve"> par mērīšanas līdzekļu neatbilstību</w:t>
            </w:r>
            <w:r w:rsidR="00FA7551" w:rsidRPr="00B17EB9">
              <w:rPr>
                <w:sz w:val="25"/>
                <w:szCs w:val="25"/>
              </w:rPr>
              <w:t xml:space="preserve"> normatīvajiem aktiem</w:t>
            </w:r>
            <w:r w:rsidR="00BE17BC" w:rsidRPr="00B17EB9">
              <w:rPr>
                <w:sz w:val="25"/>
                <w:szCs w:val="25"/>
              </w:rPr>
              <w:t>, Patērētāju tiesību aizsardzības centrs ir tiesīgs veikt</w:t>
            </w:r>
            <w:r w:rsidR="00563F3F" w:rsidRPr="00B17EB9">
              <w:rPr>
                <w:sz w:val="25"/>
                <w:szCs w:val="25"/>
              </w:rPr>
              <w:t xml:space="preserve"> mērīšanas līdzekļu</w:t>
            </w:r>
            <w:r w:rsidR="00BE17BC" w:rsidRPr="00B17EB9">
              <w:rPr>
                <w:sz w:val="25"/>
                <w:szCs w:val="25"/>
              </w:rPr>
              <w:t xml:space="preserve"> </w:t>
            </w:r>
            <w:r w:rsidR="00563F3F" w:rsidRPr="00B17EB9">
              <w:rPr>
                <w:sz w:val="25"/>
                <w:szCs w:val="25"/>
              </w:rPr>
              <w:t>ārpus</w:t>
            </w:r>
            <w:r w:rsidR="00BE17BC" w:rsidRPr="00B17EB9">
              <w:rPr>
                <w:sz w:val="25"/>
                <w:szCs w:val="25"/>
              </w:rPr>
              <w:t>kārtas kalibrēšanu.</w:t>
            </w:r>
            <w:r w:rsidR="00B124C9" w:rsidRPr="00B17EB9">
              <w:rPr>
                <w:sz w:val="25"/>
                <w:szCs w:val="25"/>
              </w:rPr>
              <w:t xml:space="preserve"> </w:t>
            </w:r>
            <w:r w:rsidR="00BC7AF6" w:rsidRPr="00B17EB9">
              <w:rPr>
                <w:sz w:val="25"/>
                <w:szCs w:val="25"/>
              </w:rPr>
              <w:t>Š</w:t>
            </w:r>
            <w:r w:rsidR="00B124C9" w:rsidRPr="00B17EB9">
              <w:rPr>
                <w:sz w:val="25"/>
                <w:szCs w:val="25"/>
              </w:rPr>
              <w:t xml:space="preserve">ādos </w:t>
            </w:r>
            <w:r w:rsidR="00563F3F" w:rsidRPr="00B17EB9">
              <w:rPr>
                <w:sz w:val="25"/>
                <w:szCs w:val="25"/>
              </w:rPr>
              <w:t>ārpuskārtas gadījumos</w:t>
            </w:r>
            <w:r w:rsidR="00563F3F" w:rsidRPr="00B17EB9">
              <w:rPr>
                <w:iCs/>
                <w:sz w:val="25"/>
                <w:szCs w:val="25"/>
              </w:rPr>
              <w:t xml:space="preserve"> mērīšanas līdzekļu lietotājiem minimāli varētu palielināties</w:t>
            </w:r>
            <w:r w:rsidR="00BE17BC" w:rsidRPr="00B17EB9">
              <w:rPr>
                <w:sz w:val="25"/>
                <w:szCs w:val="25"/>
              </w:rPr>
              <w:t xml:space="preserve"> a</w:t>
            </w:r>
            <w:r w:rsidR="00563F3F" w:rsidRPr="00B17EB9">
              <w:rPr>
                <w:iCs/>
                <w:sz w:val="25"/>
                <w:szCs w:val="25"/>
              </w:rPr>
              <w:t xml:space="preserve">dministratīvais slogs, kas būtu </w:t>
            </w:r>
            <w:r w:rsidR="00BC7AF6" w:rsidRPr="00B17EB9">
              <w:rPr>
                <w:iCs/>
                <w:sz w:val="25"/>
                <w:szCs w:val="25"/>
              </w:rPr>
              <w:t>attaisnojams</w:t>
            </w:r>
            <w:r w:rsidR="00563F3F" w:rsidRPr="00B17EB9">
              <w:rPr>
                <w:iCs/>
                <w:sz w:val="25"/>
                <w:szCs w:val="25"/>
              </w:rPr>
              <w:t xml:space="preserve"> ar riskiem, ko rad</w:t>
            </w:r>
            <w:r w:rsidR="00BC7AF6" w:rsidRPr="00B17EB9">
              <w:rPr>
                <w:iCs/>
                <w:sz w:val="25"/>
                <w:szCs w:val="25"/>
              </w:rPr>
              <w:t>a</w:t>
            </w:r>
            <w:r w:rsidR="00563F3F" w:rsidRPr="00B17EB9">
              <w:rPr>
                <w:iCs/>
                <w:sz w:val="25"/>
                <w:szCs w:val="25"/>
              </w:rPr>
              <w:t xml:space="preserve"> </w:t>
            </w:r>
            <w:r w:rsidR="00B124C9" w:rsidRPr="00B17EB9">
              <w:rPr>
                <w:iCs/>
                <w:sz w:val="25"/>
                <w:szCs w:val="25"/>
              </w:rPr>
              <w:t>lietošanā esoši</w:t>
            </w:r>
            <w:r w:rsidR="00390480" w:rsidRPr="00B17EB9">
              <w:rPr>
                <w:iCs/>
                <w:sz w:val="25"/>
                <w:szCs w:val="25"/>
              </w:rPr>
              <w:t>e</w:t>
            </w:r>
            <w:r w:rsidR="00B124C9" w:rsidRPr="00B17EB9">
              <w:rPr>
                <w:iCs/>
                <w:sz w:val="25"/>
                <w:szCs w:val="25"/>
              </w:rPr>
              <w:t xml:space="preserve"> </w:t>
            </w:r>
            <w:r w:rsidR="00563F3F" w:rsidRPr="00B17EB9">
              <w:rPr>
                <w:iCs/>
                <w:sz w:val="25"/>
                <w:szCs w:val="25"/>
              </w:rPr>
              <w:t>neatbilstoši</w:t>
            </w:r>
            <w:r w:rsidR="00390480" w:rsidRPr="00B17EB9">
              <w:rPr>
                <w:iCs/>
                <w:sz w:val="25"/>
                <w:szCs w:val="25"/>
              </w:rPr>
              <w:t>e</w:t>
            </w:r>
            <w:r w:rsidR="00563F3F" w:rsidRPr="00B17EB9">
              <w:rPr>
                <w:iCs/>
                <w:sz w:val="25"/>
                <w:szCs w:val="25"/>
              </w:rPr>
              <w:t xml:space="preserve"> mērīšanas līdzekļi</w:t>
            </w:r>
            <w:r w:rsidR="00390480" w:rsidRPr="00B17EB9">
              <w:rPr>
                <w:iCs/>
                <w:sz w:val="25"/>
                <w:szCs w:val="25"/>
              </w:rPr>
              <w:t>. Ņemot vērā mērīšanas līdzekļu daudzveidību</w:t>
            </w:r>
            <w:r w:rsidR="00C53DD0" w:rsidRPr="00B17EB9">
              <w:rPr>
                <w:iCs/>
                <w:sz w:val="25"/>
                <w:szCs w:val="25"/>
              </w:rPr>
              <w:t xml:space="preserve"> un to</w:t>
            </w:r>
            <w:r w:rsidR="00390480" w:rsidRPr="00B17EB9">
              <w:rPr>
                <w:iCs/>
                <w:sz w:val="25"/>
                <w:szCs w:val="25"/>
              </w:rPr>
              <w:t xml:space="preserve"> nepārtraukt</w:t>
            </w:r>
            <w:r w:rsidR="00C53DD0" w:rsidRPr="00B17EB9">
              <w:rPr>
                <w:iCs/>
                <w:sz w:val="25"/>
                <w:szCs w:val="25"/>
              </w:rPr>
              <w:t>u</w:t>
            </w:r>
            <w:r w:rsidR="00390480" w:rsidRPr="00B17EB9">
              <w:rPr>
                <w:iCs/>
                <w:sz w:val="25"/>
                <w:szCs w:val="25"/>
              </w:rPr>
              <w:t xml:space="preserve"> uzlabo</w:t>
            </w:r>
            <w:r w:rsidR="00C53DD0" w:rsidRPr="00B17EB9">
              <w:rPr>
                <w:iCs/>
                <w:sz w:val="25"/>
                <w:szCs w:val="25"/>
              </w:rPr>
              <w:t>šanu</w:t>
            </w:r>
            <w:r w:rsidR="00390480" w:rsidRPr="00B17EB9">
              <w:rPr>
                <w:iCs/>
                <w:sz w:val="25"/>
                <w:szCs w:val="25"/>
              </w:rPr>
              <w:t xml:space="preserve"> un atjauno</w:t>
            </w:r>
            <w:r w:rsidR="00C53DD0" w:rsidRPr="00B17EB9">
              <w:rPr>
                <w:iCs/>
                <w:sz w:val="25"/>
                <w:szCs w:val="25"/>
              </w:rPr>
              <w:t>šanu</w:t>
            </w:r>
            <w:r w:rsidR="00390480" w:rsidRPr="00B17EB9">
              <w:rPr>
                <w:iCs/>
                <w:sz w:val="25"/>
                <w:szCs w:val="25"/>
              </w:rPr>
              <w:t xml:space="preserve">, </w:t>
            </w:r>
            <w:r w:rsidR="00C53DD0" w:rsidRPr="00B17EB9">
              <w:rPr>
                <w:iCs/>
                <w:sz w:val="25"/>
                <w:szCs w:val="25"/>
              </w:rPr>
              <w:t>ievērojot</w:t>
            </w:r>
            <w:r w:rsidR="00390480" w:rsidRPr="00B17EB9">
              <w:rPr>
                <w:iCs/>
                <w:sz w:val="25"/>
                <w:szCs w:val="25"/>
              </w:rPr>
              <w:t xml:space="preserve"> jaunāk</w:t>
            </w:r>
            <w:r w:rsidR="00C53DD0" w:rsidRPr="00B17EB9">
              <w:rPr>
                <w:iCs/>
                <w:sz w:val="25"/>
                <w:szCs w:val="25"/>
              </w:rPr>
              <w:t>ās</w:t>
            </w:r>
            <w:r w:rsidR="00390480" w:rsidRPr="00B17EB9">
              <w:rPr>
                <w:iCs/>
                <w:sz w:val="25"/>
                <w:szCs w:val="25"/>
              </w:rPr>
              <w:t xml:space="preserve"> zinātnisk</w:t>
            </w:r>
            <w:r w:rsidR="00C53DD0" w:rsidRPr="00B17EB9">
              <w:rPr>
                <w:iCs/>
                <w:sz w:val="25"/>
                <w:szCs w:val="25"/>
              </w:rPr>
              <w:t>ās</w:t>
            </w:r>
            <w:r w:rsidR="00390480" w:rsidRPr="00B17EB9">
              <w:rPr>
                <w:iCs/>
                <w:sz w:val="25"/>
                <w:szCs w:val="25"/>
              </w:rPr>
              <w:t xml:space="preserve"> un tehnoloģisk</w:t>
            </w:r>
            <w:r w:rsidR="00C53DD0" w:rsidRPr="00B17EB9">
              <w:rPr>
                <w:iCs/>
                <w:sz w:val="25"/>
                <w:szCs w:val="25"/>
              </w:rPr>
              <w:t>ās</w:t>
            </w:r>
            <w:r w:rsidR="00390480" w:rsidRPr="00B17EB9">
              <w:rPr>
                <w:iCs/>
                <w:sz w:val="25"/>
                <w:szCs w:val="25"/>
              </w:rPr>
              <w:t xml:space="preserve"> attīstības tendenc</w:t>
            </w:r>
            <w:r w:rsidR="00C53DD0" w:rsidRPr="00B17EB9">
              <w:rPr>
                <w:iCs/>
                <w:sz w:val="25"/>
                <w:szCs w:val="25"/>
              </w:rPr>
              <w:t>es</w:t>
            </w:r>
            <w:r w:rsidR="00390480" w:rsidRPr="00B17EB9">
              <w:rPr>
                <w:iCs/>
                <w:sz w:val="25"/>
                <w:szCs w:val="25"/>
              </w:rPr>
              <w:t>, prognozēt atbilstošu administratīvā sloga apmēru saistībā ar ārpuskārtas kalibrēšanu nav iespējams, jo katra mērīšanas līdzekļa lietotājam šis slogs būs atšķirīgs. Ja iekārta, uz kuras ir uzstādīts mērīšanas līdzeklis</w:t>
            </w:r>
            <w:r w:rsidR="00840F0F" w:rsidRPr="00B17EB9">
              <w:rPr>
                <w:iCs/>
                <w:sz w:val="25"/>
                <w:szCs w:val="25"/>
              </w:rPr>
              <w:t>,</w:t>
            </w:r>
            <w:r w:rsidR="00390480" w:rsidRPr="00B17EB9">
              <w:rPr>
                <w:iCs/>
                <w:sz w:val="25"/>
                <w:szCs w:val="25"/>
              </w:rPr>
              <w:t xml:space="preserve"> netiks lietota ārpuskārtas </w:t>
            </w:r>
            <w:r w:rsidR="00390480" w:rsidRPr="00B17EB9">
              <w:rPr>
                <w:iCs/>
                <w:sz w:val="25"/>
                <w:szCs w:val="25"/>
              </w:rPr>
              <w:lastRenderedPageBreak/>
              <w:t xml:space="preserve">kalibrēšanas laikā, tad administratīvais slogs pēc būtības netiks radīts. Tāpat administratīvais slogs būs atšķirīgs gadījumos, kad ārpuskārtas kalibrēšana tiks veikta </w:t>
            </w:r>
            <w:r w:rsidR="00840F0F" w:rsidRPr="00B17EB9">
              <w:rPr>
                <w:iCs/>
                <w:sz w:val="25"/>
                <w:szCs w:val="25"/>
              </w:rPr>
              <w:t xml:space="preserve">lietošanas </w:t>
            </w:r>
            <w:r w:rsidR="00390480" w:rsidRPr="00B17EB9">
              <w:rPr>
                <w:iCs/>
                <w:sz w:val="25"/>
                <w:szCs w:val="25"/>
              </w:rPr>
              <w:t>vietā, pretstatā gadījumiem, kad mērīšanas līdzeklis būs jādemontē un jānosūta akreditētai laboratorijai</w:t>
            </w:r>
            <w:r w:rsidR="00C53DD0" w:rsidRPr="00B17EB9">
              <w:rPr>
                <w:iCs/>
                <w:sz w:val="25"/>
                <w:szCs w:val="25"/>
              </w:rPr>
              <w:t xml:space="preserve"> pārbaudes veikšanai</w:t>
            </w:r>
            <w:r w:rsidR="00390480" w:rsidRPr="00B17EB9">
              <w:rPr>
                <w:iCs/>
                <w:sz w:val="25"/>
                <w:szCs w:val="25"/>
              </w:rPr>
              <w:t xml:space="preserve">. </w:t>
            </w:r>
          </w:p>
        </w:tc>
      </w:tr>
      <w:tr w:rsidR="005A2ACB" w:rsidRPr="00B124C9"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B17EB9" w:rsidRDefault="00390480" w:rsidP="00DE5270">
            <w:pPr>
              <w:jc w:val="both"/>
              <w:rPr>
                <w:rFonts w:eastAsia="Times New Roman" w:cs="Times New Roman"/>
                <w:sz w:val="25"/>
                <w:szCs w:val="25"/>
                <w:lang w:eastAsia="lv-LV"/>
              </w:rPr>
            </w:pPr>
            <w:r w:rsidRPr="00B17EB9">
              <w:rPr>
                <w:rFonts w:eastAsia="Times New Roman" w:cs="Times New Roman"/>
                <w:sz w:val="25"/>
                <w:szCs w:val="25"/>
                <w:lang w:eastAsia="lv-LV"/>
              </w:rPr>
              <w:t xml:space="preserve">Paredzamās administratīvās izmaksas </w:t>
            </w:r>
            <w:r w:rsidR="00B24B87" w:rsidRPr="00B17EB9">
              <w:rPr>
                <w:rFonts w:eastAsia="Times New Roman" w:cs="Times New Roman"/>
                <w:sz w:val="25"/>
                <w:szCs w:val="25"/>
                <w:lang w:eastAsia="lv-LV"/>
              </w:rPr>
              <w:t>nepārsniedz noteiktās robežas</w:t>
            </w:r>
            <w:r w:rsidRPr="00B17EB9">
              <w:rPr>
                <w:rFonts w:eastAsia="Times New Roman" w:cs="Times New Roman"/>
                <w:sz w:val="25"/>
                <w:szCs w:val="25"/>
                <w:lang w:eastAsia="lv-LV"/>
              </w:rPr>
              <w:t xml:space="preserve">, līdz ar to </w:t>
            </w:r>
            <w:r w:rsidR="00FE3357" w:rsidRPr="00B17EB9">
              <w:rPr>
                <w:rFonts w:eastAsia="Times New Roman" w:cs="Times New Roman"/>
                <w:sz w:val="25"/>
                <w:szCs w:val="25"/>
                <w:lang w:eastAsia="lv-LV"/>
              </w:rPr>
              <w:t xml:space="preserve">noteikumu </w:t>
            </w:r>
            <w:r w:rsidRPr="00B17EB9">
              <w:rPr>
                <w:rFonts w:eastAsia="Times New Roman" w:cs="Times New Roman"/>
                <w:sz w:val="25"/>
                <w:szCs w:val="25"/>
                <w:lang w:eastAsia="lv-LV"/>
              </w:rPr>
              <w:t>projekts šo jomu neskar</w:t>
            </w:r>
            <w:r w:rsidR="00840F0F" w:rsidRPr="00B17EB9">
              <w:rPr>
                <w:rFonts w:eastAsia="Times New Roman" w:cs="Times New Roman"/>
                <w:sz w:val="25"/>
                <w:szCs w:val="25"/>
                <w:lang w:eastAsia="lv-LV"/>
              </w:rPr>
              <w:t>.</w:t>
            </w:r>
          </w:p>
        </w:tc>
      </w:tr>
      <w:tr w:rsidR="005A2ACB" w:rsidRPr="00B124C9"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B124C9" w:rsidRDefault="003F5A60" w:rsidP="005A2ACB">
            <w:pPr>
              <w:spacing w:before="100" w:beforeAutospacing="1" w:after="100" w:afterAutospacing="1"/>
              <w:rPr>
                <w:rFonts w:eastAsia="Times New Roman" w:cs="Times New Roman"/>
                <w:sz w:val="25"/>
                <w:szCs w:val="25"/>
                <w:lang w:eastAsia="lv-LV"/>
              </w:rPr>
            </w:pPr>
            <w:r w:rsidRPr="00B124C9">
              <w:rPr>
                <w:rFonts w:eastAsia="Times New Roman" w:cs="Times New Roman"/>
                <w:sz w:val="25"/>
                <w:szCs w:val="25"/>
                <w:lang w:eastAsia="lv-LV"/>
              </w:rPr>
              <w:t>Nav</w:t>
            </w:r>
            <w:r w:rsidR="00840F0F">
              <w:rPr>
                <w:rFonts w:eastAsia="Times New Roman" w:cs="Times New Roman"/>
                <w:sz w:val="25"/>
                <w:szCs w:val="25"/>
                <w:lang w:eastAsia="lv-LV"/>
              </w:rPr>
              <w:t>.</w:t>
            </w:r>
          </w:p>
        </w:tc>
      </w:tr>
    </w:tbl>
    <w:p w:rsidR="005A2ACB" w:rsidRPr="00B124C9" w:rsidRDefault="005A2ACB" w:rsidP="00EA086E">
      <w:pPr>
        <w:rPr>
          <w:rFonts w:eastAsia="Times New Roman" w:cs="Times New Roman"/>
          <w:sz w:val="25"/>
          <w:szCs w:val="25"/>
          <w:lang w:eastAsia="lv-LV"/>
        </w:rPr>
      </w:pPr>
      <w:r w:rsidRPr="00B124C9">
        <w:rPr>
          <w:rFonts w:eastAsia="Times New Roman" w:cs="Times New Roman"/>
          <w:sz w:val="25"/>
          <w:szCs w:val="25"/>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A2ACB" w:rsidRPr="00B124C9"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B124C9" w:rsidRDefault="005A2ACB" w:rsidP="005A2ACB">
            <w:pPr>
              <w:spacing w:before="100" w:beforeAutospacing="1" w:after="100" w:afterAutospacing="1"/>
              <w:jc w:val="center"/>
              <w:rPr>
                <w:rFonts w:eastAsia="Times New Roman" w:cs="Times New Roman"/>
                <w:b/>
                <w:bCs/>
                <w:sz w:val="25"/>
                <w:szCs w:val="25"/>
                <w:lang w:eastAsia="lv-LV"/>
              </w:rPr>
            </w:pPr>
            <w:r w:rsidRPr="00B124C9">
              <w:rPr>
                <w:rFonts w:eastAsia="Times New Roman" w:cs="Times New Roman"/>
                <w:b/>
                <w:bCs/>
                <w:sz w:val="25"/>
                <w:szCs w:val="25"/>
                <w:lang w:eastAsia="lv-LV"/>
              </w:rPr>
              <w:t>VII. Tiesību akta projekta izpildes nodrošināšana un tās ietekme uz institūcijām</w:t>
            </w:r>
          </w:p>
        </w:tc>
      </w:tr>
      <w:tr w:rsidR="005A2ACB" w:rsidRPr="00B124C9" w:rsidTr="007F71C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A2ACB" w:rsidRPr="00B124C9" w:rsidRDefault="00E51797" w:rsidP="00E51797">
            <w:pPr>
              <w:jc w:val="both"/>
              <w:rPr>
                <w:rFonts w:eastAsia="Times New Roman" w:cs="Times New Roman"/>
                <w:sz w:val="25"/>
                <w:szCs w:val="25"/>
                <w:lang w:eastAsia="lv-LV"/>
              </w:rPr>
            </w:pPr>
            <w:r w:rsidRPr="00B124C9">
              <w:rPr>
                <w:rFonts w:cs="Times New Roman"/>
                <w:iCs/>
                <w:sz w:val="25"/>
                <w:szCs w:val="25"/>
              </w:rPr>
              <w:t>Patērētāju tiesību aizsardzības centrs</w:t>
            </w:r>
            <w:r w:rsidR="00840F0F">
              <w:rPr>
                <w:rFonts w:cs="Times New Roman"/>
                <w:iCs/>
                <w:sz w:val="25"/>
                <w:szCs w:val="25"/>
              </w:rPr>
              <w:t>.</w:t>
            </w:r>
          </w:p>
        </w:tc>
      </w:tr>
      <w:tr w:rsidR="005A2ACB" w:rsidRPr="00B124C9" w:rsidTr="007F71C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 xml:space="preserve">Projekta izpildes ietekme uz pārvaldes funkcijām un institucionālo struktūru. </w:t>
            </w:r>
          </w:p>
          <w:p w:rsidR="005A2ACB" w:rsidRPr="00B124C9" w:rsidRDefault="005A2ACB" w:rsidP="005A2ACB">
            <w:pPr>
              <w:spacing w:before="100" w:beforeAutospacing="1" w:after="100" w:afterAutospacing="1"/>
              <w:rPr>
                <w:rFonts w:eastAsia="Times New Roman" w:cs="Times New Roman"/>
                <w:sz w:val="25"/>
                <w:szCs w:val="25"/>
                <w:lang w:eastAsia="lv-LV"/>
              </w:rPr>
            </w:pPr>
            <w:r w:rsidRPr="00B124C9">
              <w:rPr>
                <w:rFonts w:eastAsia="Times New Roman" w:cs="Times New Roman"/>
                <w:sz w:val="25"/>
                <w:szCs w:val="25"/>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5A2ACB" w:rsidRPr="00B124C9" w:rsidRDefault="00CD401D" w:rsidP="00CD401D">
            <w:pPr>
              <w:rPr>
                <w:rFonts w:eastAsia="Times New Roman" w:cs="Times New Roman"/>
                <w:sz w:val="25"/>
                <w:szCs w:val="25"/>
                <w:lang w:eastAsia="lv-LV"/>
              </w:rPr>
            </w:pPr>
            <w:r>
              <w:rPr>
                <w:rFonts w:eastAsia="Times New Roman" w:cs="Times New Roman"/>
                <w:sz w:val="25"/>
                <w:szCs w:val="25"/>
                <w:lang w:eastAsia="lv-LV"/>
              </w:rPr>
              <w:t>Noteikumu p</w:t>
            </w:r>
            <w:r w:rsidR="00E51797" w:rsidRPr="00B124C9">
              <w:rPr>
                <w:rFonts w:eastAsia="Times New Roman" w:cs="Times New Roman"/>
                <w:sz w:val="25"/>
                <w:szCs w:val="25"/>
                <w:lang w:eastAsia="lv-LV"/>
              </w:rPr>
              <w:t>rojekts šo jomu neskar</w:t>
            </w:r>
            <w:r w:rsidR="00840F0F">
              <w:rPr>
                <w:rFonts w:eastAsia="Times New Roman" w:cs="Times New Roman"/>
                <w:sz w:val="25"/>
                <w:szCs w:val="25"/>
                <w:lang w:eastAsia="lv-LV"/>
              </w:rPr>
              <w:t>.</w:t>
            </w:r>
          </w:p>
        </w:tc>
      </w:tr>
      <w:tr w:rsidR="005A2ACB" w:rsidRPr="00B124C9" w:rsidTr="007F71C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5A2ACB" w:rsidRPr="00B124C9" w:rsidRDefault="005A2ACB" w:rsidP="005A2ACB">
            <w:pPr>
              <w:rPr>
                <w:rFonts w:eastAsia="Times New Roman" w:cs="Times New Roman"/>
                <w:sz w:val="25"/>
                <w:szCs w:val="25"/>
                <w:lang w:eastAsia="lv-LV"/>
              </w:rPr>
            </w:pPr>
            <w:r w:rsidRPr="00B124C9">
              <w:rPr>
                <w:rFonts w:eastAsia="Times New Roman" w:cs="Times New Roman"/>
                <w:sz w:val="25"/>
                <w:szCs w:val="25"/>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5A2ACB" w:rsidRPr="00B17EB9" w:rsidRDefault="00FE3357" w:rsidP="00FE3357">
            <w:pPr>
              <w:spacing w:before="100" w:beforeAutospacing="1" w:after="100" w:afterAutospacing="1"/>
              <w:rPr>
                <w:rFonts w:eastAsia="Times New Roman" w:cs="Times New Roman"/>
                <w:sz w:val="25"/>
                <w:szCs w:val="25"/>
                <w:lang w:eastAsia="lv-LV"/>
              </w:rPr>
            </w:pPr>
            <w:r w:rsidRPr="00B17EB9">
              <w:rPr>
                <w:rFonts w:eastAsia="Times New Roman" w:cs="Times New Roman"/>
                <w:sz w:val="25"/>
                <w:szCs w:val="25"/>
                <w:lang w:eastAsia="lv-LV"/>
              </w:rPr>
              <w:t>Noteikumu p</w:t>
            </w:r>
            <w:r w:rsidR="004B2237" w:rsidRPr="00B17EB9">
              <w:rPr>
                <w:rFonts w:eastAsia="Times New Roman" w:cs="Times New Roman"/>
                <w:sz w:val="25"/>
                <w:szCs w:val="25"/>
                <w:lang w:eastAsia="lv-LV"/>
              </w:rPr>
              <w:t xml:space="preserve">rojekta papildus ietekme uz valsts budžetu netiek plānota. </w:t>
            </w:r>
            <w:r w:rsidRPr="00B17EB9">
              <w:rPr>
                <w:rFonts w:eastAsia="Times New Roman" w:cs="Times New Roman"/>
                <w:sz w:val="25"/>
                <w:szCs w:val="25"/>
                <w:lang w:eastAsia="lv-LV"/>
              </w:rPr>
              <w:t xml:space="preserve">Noteikumu projektā </w:t>
            </w:r>
            <w:r w:rsidR="004B2237" w:rsidRPr="00B17EB9">
              <w:rPr>
                <w:rFonts w:eastAsia="Times New Roman" w:cs="Times New Roman"/>
                <w:sz w:val="25"/>
                <w:szCs w:val="25"/>
                <w:lang w:eastAsia="lv-LV"/>
              </w:rPr>
              <w:t>minētās funkcijas tiks īstenot</w:t>
            </w:r>
            <w:r w:rsidR="00840F0F" w:rsidRPr="00B17EB9">
              <w:rPr>
                <w:rFonts w:eastAsia="Times New Roman" w:cs="Times New Roman"/>
                <w:sz w:val="25"/>
                <w:szCs w:val="25"/>
                <w:lang w:eastAsia="lv-LV"/>
              </w:rPr>
              <w:t>a</w:t>
            </w:r>
            <w:r w:rsidR="004B2237" w:rsidRPr="00B17EB9">
              <w:rPr>
                <w:rFonts w:eastAsia="Times New Roman" w:cs="Times New Roman"/>
                <w:sz w:val="25"/>
                <w:szCs w:val="25"/>
                <w:lang w:eastAsia="lv-LV"/>
              </w:rPr>
              <w:t>s esošā budžeta ietvaros.</w:t>
            </w:r>
          </w:p>
        </w:tc>
      </w:tr>
    </w:tbl>
    <w:p w:rsidR="005A2ACB" w:rsidRPr="00B124C9" w:rsidRDefault="007F71CA">
      <w:pPr>
        <w:rPr>
          <w:rFonts w:cs="Times New Roman"/>
          <w:i/>
          <w:sz w:val="25"/>
          <w:szCs w:val="25"/>
        </w:rPr>
      </w:pPr>
      <w:r w:rsidRPr="00B124C9">
        <w:rPr>
          <w:rFonts w:cs="Times New Roman"/>
          <w:i/>
          <w:sz w:val="25"/>
          <w:szCs w:val="25"/>
        </w:rPr>
        <w:t xml:space="preserve">Anotācijas III, </w:t>
      </w:r>
      <w:r w:rsidRPr="00B124C9">
        <w:rPr>
          <w:rFonts w:cs="Times New Roman"/>
          <w:bCs/>
          <w:i/>
          <w:sz w:val="25"/>
          <w:szCs w:val="25"/>
        </w:rPr>
        <w:t xml:space="preserve">IV, V un VI. sadaļa </w:t>
      </w:r>
      <w:r w:rsidRPr="00B124C9">
        <w:rPr>
          <w:rFonts w:cs="Times New Roman"/>
          <w:i/>
          <w:sz w:val="25"/>
          <w:szCs w:val="25"/>
        </w:rPr>
        <w:t>–</w:t>
      </w:r>
      <w:r w:rsidRPr="00B124C9">
        <w:rPr>
          <w:rFonts w:cs="Times New Roman"/>
          <w:bCs/>
          <w:i/>
          <w:color w:val="000000"/>
          <w:sz w:val="25"/>
          <w:szCs w:val="25"/>
        </w:rPr>
        <w:t xml:space="preserve"> p</w:t>
      </w:r>
      <w:r w:rsidRPr="00B124C9">
        <w:rPr>
          <w:rFonts w:cs="Times New Roman"/>
          <w:i/>
          <w:sz w:val="25"/>
          <w:szCs w:val="25"/>
        </w:rPr>
        <w:t>rojekts šīs jomas neskar.</w:t>
      </w:r>
    </w:p>
    <w:p w:rsidR="00733BFD" w:rsidRPr="00B124C9" w:rsidRDefault="00733BFD" w:rsidP="00733BFD">
      <w:pPr>
        <w:rPr>
          <w:rFonts w:cs="Times New Roman"/>
          <w:sz w:val="25"/>
          <w:szCs w:val="25"/>
        </w:rPr>
      </w:pPr>
    </w:p>
    <w:p w:rsidR="00733BFD" w:rsidRPr="00B124C9" w:rsidRDefault="00733BFD" w:rsidP="00733BFD">
      <w:pPr>
        <w:pStyle w:val="naisf"/>
        <w:tabs>
          <w:tab w:val="left" w:pos="6710"/>
        </w:tabs>
        <w:spacing w:before="0" w:after="0"/>
        <w:ind w:right="-1" w:firstLine="0"/>
        <w:rPr>
          <w:sz w:val="25"/>
          <w:szCs w:val="25"/>
        </w:rPr>
      </w:pPr>
    </w:p>
    <w:p w:rsidR="00733BFD" w:rsidRPr="00B124C9" w:rsidRDefault="00733BFD" w:rsidP="00733BFD">
      <w:pPr>
        <w:rPr>
          <w:rFonts w:cs="Times New Roman"/>
          <w:bCs/>
          <w:sz w:val="25"/>
          <w:szCs w:val="25"/>
        </w:rPr>
      </w:pPr>
      <w:r w:rsidRPr="00B124C9">
        <w:rPr>
          <w:rFonts w:cs="Times New Roman"/>
          <w:bCs/>
          <w:sz w:val="25"/>
          <w:szCs w:val="25"/>
        </w:rPr>
        <w:t xml:space="preserve">Iesniedzējs: </w:t>
      </w:r>
    </w:p>
    <w:p w:rsidR="00733BFD" w:rsidRPr="00B124C9" w:rsidRDefault="00733BFD" w:rsidP="00733BFD">
      <w:pPr>
        <w:rPr>
          <w:rFonts w:cs="Times New Roman"/>
          <w:bCs/>
          <w:sz w:val="25"/>
          <w:szCs w:val="25"/>
        </w:rPr>
      </w:pPr>
      <w:r w:rsidRPr="00B124C9">
        <w:rPr>
          <w:rFonts w:cs="Times New Roman"/>
          <w:bCs/>
          <w:sz w:val="25"/>
          <w:szCs w:val="25"/>
        </w:rPr>
        <w:t xml:space="preserve">Ekonomikas ministrs </w:t>
      </w:r>
      <w:r w:rsidRPr="00B124C9">
        <w:rPr>
          <w:rFonts w:cs="Times New Roman"/>
          <w:bCs/>
          <w:sz w:val="25"/>
          <w:szCs w:val="25"/>
        </w:rPr>
        <w:tab/>
      </w:r>
      <w:r w:rsidRPr="00B124C9">
        <w:rPr>
          <w:rFonts w:cs="Times New Roman"/>
          <w:bCs/>
          <w:sz w:val="25"/>
          <w:szCs w:val="25"/>
        </w:rPr>
        <w:tab/>
      </w:r>
      <w:r w:rsidRPr="00B124C9">
        <w:rPr>
          <w:rFonts w:cs="Times New Roman"/>
          <w:bCs/>
          <w:sz w:val="25"/>
          <w:szCs w:val="25"/>
        </w:rPr>
        <w:tab/>
      </w:r>
      <w:r w:rsidRPr="00B124C9">
        <w:rPr>
          <w:rFonts w:cs="Times New Roman"/>
          <w:bCs/>
          <w:sz w:val="25"/>
          <w:szCs w:val="25"/>
        </w:rPr>
        <w:tab/>
      </w:r>
      <w:r w:rsidRPr="00B124C9">
        <w:rPr>
          <w:rFonts w:cs="Times New Roman"/>
          <w:bCs/>
          <w:sz w:val="25"/>
          <w:szCs w:val="25"/>
        </w:rPr>
        <w:tab/>
      </w:r>
      <w:r w:rsidRPr="00B124C9">
        <w:rPr>
          <w:rFonts w:cs="Times New Roman"/>
          <w:bCs/>
          <w:sz w:val="25"/>
          <w:szCs w:val="25"/>
        </w:rPr>
        <w:tab/>
      </w:r>
      <w:r w:rsidRPr="00B124C9">
        <w:rPr>
          <w:rFonts w:cs="Times New Roman"/>
          <w:bCs/>
          <w:sz w:val="25"/>
          <w:szCs w:val="25"/>
        </w:rPr>
        <w:tab/>
      </w:r>
      <w:r w:rsidR="007F71CA" w:rsidRPr="00B124C9">
        <w:rPr>
          <w:rFonts w:cs="Times New Roman"/>
          <w:bCs/>
          <w:sz w:val="25"/>
          <w:szCs w:val="25"/>
        </w:rPr>
        <w:t>V</w:t>
      </w:r>
      <w:r w:rsidR="00CC0BAC" w:rsidRPr="00B124C9">
        <w:rPr>
          <w:rFonts w:cs="Times New Roman"/>
          <w:bCs/>
          <w:sz w:val="25"/>
          <w:szCs w:val="25"/>
        </w:rPr>
        <w:t>.</w:t>
      </w:r>
      <w:r w:rsidR="007F71CA" w:rsidRPr="00B124C9">
        <w:rPr>
          <w:rFonts w:cs="Times New Roman"/>
          <w:bCs/>
          <w:sz w:val="25"/>
          <w:szCs w:val="25"/>
        </w:rPr>
        <w:t>Dombrovskis</w:t>
      </w:r>
    </w:p>
    <w:p w:rsidR="00733BFD" w:rsidRPr="00B124C9" w:rsidRDefault="00733BFD" w:rsidP="00733BFD">
      <w:pPr>
        <w:rPr>
          <w:rFonts w:cs="Times New Roman"/>
          <w:bCs/>
          <w:sz w:val="25"/>
          <w:szCs w:val="25"/>
        </w:rPr>
      </w:pPr>
    </w:p>
    <w:p w:rsidR="00733BFD" w:rsidRPr="00B124C9" w:rsidRDefault="00733BFD" w:rsidP="00733BFD">
      <w:pPr>
        <w:rPr>
          <w:rFonts w:cs="Times New Roman"/>
          <w:bCs/>
          <w:sz w:val="25"/>
          <w:szCs w:val="25"/>
        </w:rPr>
      </w:pPr>
      <w:r w:rsidRPr="00B124C9">
        <w:rPr>
          <w:rFonts w:cs="Times New Roman"/>
          <w:bCs/>
          <w:sz w:val="25"/>
          <w:szCs w:val="25"/>
        </w:rPr>
        <w:t xml:space="preserve">Vīza: </w:t>
      </w:r>
    </w:p>
    <w:p w:rsidR="00733BFD" w:rsidRPr="00B124C9" w:rsidRDefault="004846F5" w:rsidP="00733BFD">
      <w:pPr>
        <w:rPr>
          <w:rFonts w:cs="Times New Roman"/>
          <w:sz w:val="25"/>
          <w:szCs w:val="25"/>
        </w:rPr>
      </w:pPr>
      <w:r w:rsidRPr="00B124C9">
        <w:rPr>
          <w:rFonts w:cs="Times New Roman"/>
          <w:sz w:val="25"/>
          <w:szCs w:val="25"/>
        </w:rPr>
        <w:t>valsts sekretārs</w:t>
      </w:r>
      <w:r w:rsidRPr="00B124C9">
        <w:rPr>
          <w:rFonts w:cs="Times New Roman"/>
          <w:sz w:val="25"/>
          <w:szCs w:val="25"/>
        </w:rPr>
        <w:tab/>
      </w:r>
      <w:r w:rsidR="00F2278C" w:rsidRPr="00B124C9">
        <w:rPr>
          <w:rFonts w:cs="Times New Roman"/>
          <w:sz w:val="25"/>
          <w:szCs w:val="25"/>
        </w:rPr>
        <w:tab/>
      </w:r>
      <w:r w:rsidR="00F2278C" w:rsidRPr="00B124C9">
        <w:rPr>
          <w:rFonts w:cs="Times New Roman"/>
          <w:sz w:val="25"/>
          <w:szCs w:val="25"/>
        </w:rPr>
        <w:tab/>
      </w:r>
      <w:r w:rsidR="00F2278C" w:rsidRPr="00B124C9">
        <w:rPr>
          <w:rFonts w:cs="Times New Roman"/>
          <w:sz w:val="25"/>
          <w:szCs w:val="25"/>
        </w:rPr>
        <w:tab/>
      </w:r>
      <w:r w:rsidR="00F2278C" w:rsidRPr="00B124C9">
        <w:rPr>
          <w:rFonts w:cs="Times New Roman"/>
          <w:sz w:val="25"/>
          <w:szCs w:val="25"/>
        </w:rPr>
        <w:tab/>
      </w:r>
      <w:r w:rsidR="00F2278C" w:rsidRPr="00B124C9">
        <w:rPr>
          <w:rFonts w:cs="Times New Roman"/>
          <w:sz w:val="25"/>
          <w:szCs w:val="25"/>
        </w:rPr>
        <w:tab/>
      </w:r>
      <w:r w:rsidR="00F2278C" w:rsidRPr="00B124C9">
        <w:rPr>
          <w:rFonts w:cs="Times New Roman"/>
          <w:sz w:val="25"/>
          <w:szCs w:val="25"/>
        </w:rPr>
        <w:tab/>
      </w:r>
      <w:r w:rsidR="00F2278C" w:rsidRPr="00B124C9">
        <w:rPr>
          <w:rFonts w:cs="Times New Roman"/>
          <w:sz w:val="25"/>
          <w:szCs w:val="25"/>
        </w:rPr>
        <w:tab/>
      </w:r>
      <w:r w:rsidRPr="00B124C9">
        <w:rPr>
          <w:rFonts w:cs="Times New Roman"/>
          <w:sz w:val="25"/>
          <w:szCs w:val="25"/>
        </w:rPr>
        <w:t>  </w:t>
      </w:r>
      <w:r w:rsidR="00CC0BAC" w:rsidRPr="00B124C9">
        <w:rPr>
          <w:rFonts w:cs="Times New Roman"/>
          <w:sz w:val="25"/>
          <w:szCs w:val="25"/>
        </w:rPr>
        <w:t>M.</w:t>
      </w:r>
      <w:r w:rsidRPr="00B124C9">
        <w:rPr>
          <w:rFonts w:cs="Times New Roman"/>
          <w:sz w:val="25"/>
          <w:szCs w:val="25"/>
        </w:rPr>
        <w:t>Lazdovskis</w:t>
      </w:r>
    </w:p>
    <w:p w:rsidR="00733BFD" w:rsidRPr="005E6216" w:rsidRDefault="00733BFD" w:rsidP="00733BFD">
      <w:pPr>
        <w:rPr>
          <w:sz w:val="26"/>
          <w:szCs w:val="26"/>
        </w:rPr>
      </w:pPr>
    </w:p>
    <w:p w:rsidR="00733BFD" w:rsidRPr="00905C0E" w:rsidRDefault="008F0F68" w:rsidP="00B124C9">
      <w:pPr>
        <w:spacing w:before="240"/>
        <w:rPr>
          <w:sz w:val="20"/>
          <w:szCs w:val="20"/>
        </w:rPr>
      </w:pPr>
      <w:r>
        <w:rPr>
          <w:sz w:val="20"/>
          <w:szCs w:val="20"/>
        </w:rPr>
        <w:t>1</w:t>
      </w:r>
      <w:r w:rsidR="006F6B6D">
        <w:rPr>
          <w:sz w:val="20"/>
          <w:szCs w:val="20"/>
        </w:rPr>
        <w:t>2</w:t>
      </w:r>
      <w:r w:rsidR="0019410B">
        <w:rPr>
          <w:sz w:val="20"/>
          <w:szCs w:val="20"/>
        </w:rPr>
        <w:t>.</w:t>
      </w:r>
      <w:r w:rsidR="00584CFE">
        <w:rPr>
          <w:sz w:val="20"/>
          <w:szCs w:val="20"/>
        </w:rPr>
        <w:t>0</w:t>
      </w:r>
      <w:r w:rsidR="00B17EB9">
        <w:rPr>
          <w:sz w:val="20"/>
          <w:szCs w:val="20"/>
        </w:rPr>
        <w:t>8</w:t>
      </w:r>
      <w:r w:rsidR="00733BFD">
        <w:rPr>
          <w:sz w:val="20"/>
          <w:szCs w:val="20"/>
        </w:rPr>
        <w:t>.</w:t>
      </w:r>
      <w:r w:rsidR="00F2278C">
        <w:rPr>
          <w:sz w:val="20"/>
          <w:szCs w:val="20"/>
        </w:rPr>
        <w:t>2014</w:t>
      </w:r>
      <w:r w:rsidR="00733BFD">
        <w:rPr>
          <w:sz w:val="20"/>
          <w:szCs w:val="20"/>
        </w:rPr>
        <w:t xml:space="preserve">. </w:t>
      </w:r>
      <w:r w:rsidR="008128C6">
        <w:rPr>
          <w:sz w:val="20"/>
          <w:szCs w:val="20"/>
        </w:rPr>
        <w:t>1</w:t>
      </w:r>
      <w:r w:rsidR="00BD69EC">
        <w:rPr>
          <w:sz w:val="20"/>
          <w:szCs w:val="20"/>
        </w:rPr>
        <w:t>6</w:t>
      </w:r>
      <w:r w:rsidR="00AB4786">
        <w:rPr>
          <w:sz w:val="20"/>
          <w:szCs w:val="20"/>
        </w:rPr>
        <w:t>:</w:t>
      </w:r>
      <w:r w:rsidR="00BD69EC">
        <w:rPr>
          <w:sz w:val="20"/>
          <w:szCs w:val="20"/>
        </w:rPr>
        <w:t>04</w:t>
      </w:r>
    </w:p>
    <w:p w:rsidR="00733BFD" w:rsidRDefault="009F44E8" w:rsidP="00733BFD">
      <w:pPr>
        <w:rPr>
          <w:sz w:val="20"/>
          <w:szCs w:val="20"/>
        </w:rPr>
      </w:pPr>
      <w:bookmarkStart w:id="1" w:name="OLE_LINK1"/>
      <w:bookmarkStart w:id="2" w:name="OLE_LINK2"/>
      <w:bookmarkStart w:id="3" w:name="OLE_LINK3"/>
      <w:bookmarkStart w:id="4" w:name="OLE_LINK4"/>
      <w:r>
        <w:rPr>
          <w:sz w:val="20"/>
          <w:szCs w:val="20"/>
        </w:rPr>
        <w:t>982</w:t>
      </w:r>
    </w:p>
    <w:p w:rsidR="00733BFD" w:rsidRPr="00905C0E" w:rsidRDefault="008F0F68" w:rsidP="00733BFD">
      <w:pPr>
        <w:rPr>
          <w:sz w:val="20"/>
          <w:szCs w:val="20"/>
        </w:rPr>
      </w:pPr>
      <w:r>
        <w:rPr>
          <w:sz w:val="20"/>
          <w:szCs w:val="20"/>
        </w:rPr>
        <w:t>Freibergs</w:t>
      </w:r>
    </w:p>
    <w:bookmarkEnd w:id="1"/>
    <w:bookmarkEnd w:id="2"/>
    <w:bookmarkEnd w:id="3"/>
    <w:bookmarkEnd w:id="4"/>
    <w:p w:rsidR="00733BFD" w:rsidRDefault="00733BFD">
      <w:pPr>
        <w:rPr>
          <w:sz w:val="20"/>
          <w:szCs w:val="20"/>
        </w:rPr>
      </w:pPr>
      <w:r w:rsidRPr="00733BFD">
        <w:rPr>
          <w:sz w:val="20"/>
          <w:szCs w:val="20"/>
        </w:rPr>
        <w:t>67013</w:t>
      </w:r>
      <w:r w:rsidR="008F0F68">
        <w:rPr>
          <w:sz w:val="20"/>
          <w:szCs w:val="20"/>
        </w:rPr>
        <w:t>268</w:t>
      </w:r>
      <w:r w:rsidRPr="00733BFD">
        <w:rPr>
          <w:sz w:val="20"/>
          <w:szCs w:val="20"/>
        </w:rPr>
        <w:t>,</w:t>
      </w:r>
      <w:r w:rsidR="00AB4786">
        <w:rPr>
          <w:sz w:val="20"/>
          <w:szCs w:val="20"/>
        </w:rPr>
        <w:t xml:space="preserve"> </w:t>
      </w:r>
      <w:hyperlink r:id="rId8" w:history="1">
        <w:r w:rsidR="008F0F68" w:rsidRPr="008879A2">
          <w:rPr>
            <w:rStyle w:val="Hyperlink"/>
            <w:sz w:val="20"/>
            <w:szCs w:val="20"/>
          </w:rPr>
          <w:t>Normunds.Freibergs@em.gov.lv</w:t>
        </w:r>
      </w:hyperlink>
      <w:r w:rsidR="008F0F68">
        <w:rPr>
          <w:sz w:val="20"/>
          <w:szCs w:val="20"/>
        </w:rPr>
        <w:t xml:space="preserve">  </w:t>
      </w:r>
    </w:p>
    <w:p w:rsidR="0019410B" w:rsidRPr="00733BFD" w:rsidRDefault="0019410B">
      <w:pPr>
        <w:rPr>
          <w:sz w:val="20"/>
          <w:szCs w:val="20"/>
        </w:rPr>
      </w:pPr>
    </w:p>
    <w:sectPr w:rsidR="0019410B" w:rsidRPr="00733BFD" w:rsidSect="00B124C9">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8E" w:rsidRDefault="00355C8E" w:rsidP="003F5A60">
      <w:r>
        <w:separator/>
      </w:r>
    </w:p>
  </w:endnote>
  <w:endnote w:type="continuationSeparator" w:id="0">
    <w:p w:rsidR="00355C8E" w:rsidRDefault="00355C8E"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Pr="008E1BB7" w:rsidRDefault="008E1BB7" w:rsidP="008E1BB7">
    <w:pPr>
      <w:jc w:val="both"/>
      <w:rPr>
        <w:sz w:val="20"/>
        <w:szCs w:val="20"/>
      </w:rPr>
    </w:pPr>
    <w:r w:rsidRPr="008E1BB7">
      <w:rPr>
        <w:sz w:val="20"/>
        <w:szCs w:val="20"/>
      </w:rPr>
      <w:fldChar w:fldCharType="begin"/>
    </w:r>
    <w:r w:rsidRPr="008E1BB7">
      <w:rPr>
        <w:sz w:val="20"/>
        <w:szCs w:val="20"/>
      </w:rPr>
      <w:instrText xml:space="preserve"> FILENAME   \* MERGEFORMAT </w:instrText>
    </w:r>
    <w:r w:rsidRPr="008E1BB7">
      <w:rPr>
        <w:sz w:val="20"/>
        <w:szCs w:val="20"/>
      </w:rPr>
      <w:fldChar w:fldCharType="separate"/>
    </w:r>
    <w:r w:rsidR="0019410B">
      <w:rPr>
        <w:noProof/>
        <w:sz w:val="20"/>
        <w:szCs w:val="20"/>
      </w:rPr>
      <w:t>EM</w:t>
    </w:r>
    <w:r w:rsidR="00BD69EC">
      <w:rPr>
        <w:noProof/>
        <w:sz w:val="20"/>
        <w:szCs w:val="20"/>
      </w:rPr>
      <w:t>A</w:t>
    </w:r>
    <w:r w:rsidR="0019410B">
      <w:rPr>
        <w:noProof/>
        <w:sz w:val="20"/>
        <w:szCs w:val="20"/>
      </w:rPr>
      <w:t>not_</w:t>
    </w:r>
    <w:r w:rsidR="008F0F68">
      <w:rPr>
        <w:noProof/>
        <w:sz w:val="20"/>
        <w:szCs w:val="20"/>
      </w:rPr>
      <w:t>1</w:t>
    </w:r>
    <w:r w:rsidR="006F6B6D">
      <w:rPr>
        <w:noProof/>
        <w:sz w:val="20"/>
        <w:szCs w:val="20"/>
      </w:rPr>
      <w:t>2</w:t>
    </w:r>
    <w:r w:rsidR="00FE3357">
      <w:rPr>
        <w:noProof/>
        <w:sz w:val="20"/>
        <w:szCs w:val="20"/>
      </w:rPr>
      <w:t>0</w:t>
    </w:r>
    <w:r w:rsidR="00B17EB9">
      <w:rPr>
        <w:noProof/>
        <w:sz w:val="20"/>
        <w:szCs w:val="20"/>
      </w:rPr>
      <w:t>8</w:t>
    </w:r>
    <w:r w:rsidR="006F1952">
      <w:rPr>
        <w:noProof/>
        <w:sz w:val="20"/>
        <w:szCs w:val="20"/>
      </w:rPr>
      <w:t>14_kalib</w:t>
    </w:r>
    <w:r w:rsidRPr="008E1BB7">
      <w:rPr>
        <w:sz w:val="20"/>
        <w:szCs w:val="20"/>
      </w:rPr>
      <w:fldChar w:fldCharType="end"/>
    </w:r>
    <w:r>
      <w:rPr>
        <w:sz w:val="20"/>
        <w:szCs w:val="20"/>
      </w:rPr>
      <w:t xml:space="preserve">; </w:t>
    </w:r>
    <w:r w:rsidRPr="008E1BB7">
      <w:rPr>
        <w:sz w:val="20"/>
        <w:szCs w:val="20"/>
      </w:rPr>
      <w:t>Ministru kabineta noteikumu projekta „</w:t>
    </w:r>
    <w:r w:rsidRPr="008E1BB7">
      <w:rPr>
        <w:rFonts w:cs="Times New Roman"/>
        <w:sz w:val="20"/>
        <w:szCs w:val="20"/>
      </w:rPr>
      <w:t>Grozījumi Ministru kabineta 2008.gada 25.augusta noteikumos Nr.693 „Noteikumi par mērīšanas līdzekļu kalibrēšanu””</w:t>
    </w:r>
    <w:r w:rsidRPr="008E1BB7">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Pr="008E1BB7" w:rsidRDefault="003F5A60" w:rsidP="003F5A60">
    <w:pPr>
      <w:jc w:val="both"/>
      <w:rPr>
        <w:sz w:val="20"/>
        <w:szCs w:val="20"/>
      </w:rPr>
    </w:pPr>
    <w:r w:rsidRPr="008E1BB7">
      <w:rPr>
        <w:sz w:val="20"/>
        <w:szCs w:val="20"/>
      </w:rPr>
      <w:fldChar w:fldCharType="begin"/>
    </w:r>
    <w:r w:rsidRPr="008E1BB7">
      <w:rPr>
        <w:sz w:val="20"/>
        <w:szCs w:val="20"/>
      </w:rPr>
      <w:instrText xml:space="preserve"> FILENAME   \* MERGEFORMAT </w:instrText>
    </w:r>
    <w:r w:rsidRPr="008E1BB7">
      <w:rPr>
        <w:sz w:val="20"/>
        <w:szCs w:val="20"/>
      </w:rPr>
      <w:fldChar w:fldCharType="separate"/>
    </w:r>
    <w:r w:rsidR="00BD69EC">
      <w:rPr>
        <w:noProof/>
        <w:sz w:val="20"/>
        <w:szCs w:val="20"/>
      </w:rPr>
      <w:t>EMA</w:t>
    </w:r>
    <w:r w:rsidR="0019410B">
      <w:rPr>
        <w:noProof/>
        <w:sz w:val="20"/>
        <w:szCs w:val="20"/>
      </w:rPr>
      <w:t>not_</w:t>
    </w:r>
    <w:r w:rsidR="00BC7A6E">
      <w:rPr>
        <w:noProof/>
        <w:sz w:val="20"/>
        <w:szCs w:val="20"/>
      </w:rPr>
      <w:t>1</w:t>
    </w:r>
    <w:r w:rsidR="006F6B6D">
      <w:rPr>
        <w:noProof/>
        <w:sz w:val="20"/>
        <w:szCs w:val="20"/>
      </w:rPr>
      <w:t>2</w:t>
    </w:r>
    <w:r w:rsidR="00FE3357">
      <w:rPr>
        <w:noProof/>
        <w:sz w:val="20"/>
        <w:szCs w:val="20"/>
      </w:rPr>
      <w:t>0</w:t>
    </w:r>
    <w:r w:rsidR="00B17EB9">
      <w:rPr>
        <w:noProof/>
        <w:sz w:val="20"/>
        <w:szCs w:val="20"/>
      </w:rPr>
      <w:t>8</w:t>
    </w:r>
    <w:r w:rsidR="006F1952">
      <w:rPr>
        <w:noProof/>
        <w:sz w:val="20"/>
        <w:szCs w:val="20"/>
      </w:rPr>
      <w:t>14_kalib</w:t>
    </w:r>
    <w:r w:rsidRPr="008E1BB7">
      <w:rPr>
        <w:sz w:val="20"/>
        <w:szCs w:val="20"/>
      </w:rPr>
      <w:fldChar w:fldCharType="end"/>
    </w:r>
    <w:r w:rsidR="008E1BB7">
      <w:rPr>
        <w:sz w:val="20"/>
        <w:szCs w:val="20"/>
      </w:rPr>
      <w:t xml:space="preserve">; </w:t>
    </w:r>
    <w:r w:rsidRPr="008E1BB7">
      <w:rPr>
        <w:sz w:val="20"/>
        <w:szCs w:val="20"/>
      </w:rPr>
      <w:t>Ministru kabineta noteikumu projekta „</w:t>
    </w:r>
    <w:r w:rsidR="008E1BB7" w:rsidRPr="008E1BB7">
      <w:rPr>
        <w:rFonts w:cs="Times New Roman"/>
        <w:sz w:val="20"/>
        <w:szCs w:val="20"/>
      </w:rPr>
      <w:t>Grozījumi Ministru kabineta 2008.gada 25.augusta noteikumos Nr.693 „Noteikumi par mērīšanas līdzekļu kalibrēšanu””</w:t>
    </w:r>
    <w:r w:rsidRPr="008E1BB7">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8E" w:rsidRDefault="00355C8E" w:rsidP="003F5A60">
      <w:r>
        <w:separator/>
      </w:r>
    </w:p>
  </w:footnote>
  <w:footnote w:type="continuationSeparator" w:id="0">
    <w:p w:rsidR="00355C8E" w:rsidRDefault="00355C8E"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990A23">
          <w:rPr>
            <w:noProof/>
            <w:sz w:val="24"/>
            <w:szCs w:val="24"/>
          </w:rPr>
          <w:t>4</w:t>
        </w:r>
        <w:r w:rsidRPr="003F5A60">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078F3"/>
    <w:multiLevelType w:val="hybridMultilevel"/>
    <w:tmpl w:val="2640EE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0015D8"/>
    <w:rsid w:val="00033A93"/>
    <w:rsid w:val="00083D03"/>
    <w:rsid w:val="000908C7"/>
    <w:rsid w:val="000A70E7"/>
    <w:rsid w:val="000E2BFE"/>
    <w:rsid w:val="00115559"/>
    <w:rsid w:val="0013332F"/>
    <w:rsid w:val="001347FF"/>
    <w:rsid w:val="00164675"/>
    <w:rsid w:val="0019410B"/>
    <w:rsid w:val="001D181E"/>
    <w:rsid w:val="001D3FEE"/>
    <w:rsid w:val="001D6E24"/>
    <w:rsid w:val="00206681"/>
    <w:rsid w:val="002225EF"/>
    <w:rsid w:val="00230697"/>
    <w:rsid w:val="002E55ED"/>
    <w:rsid w:val="002E61FF"/>
    <w:rsid w:val="00355C8E"/>
    <w:rsid w:val="00390480"/>
    <w:rsid w:val="003D6027"/>
    <w:rsid w:val="003F049B"/>
    <w:rsid w:val="003F17C8"/>
    <w:rsid w:val="003F5A60"/>
    <w:rsid w:val="004053C3"/>
    <w:rsid w:val="004607B8"/>
    <w:rsid w:val="00466D77"/>
    <w:rsid w:val="00476D0A"/>
    <w:rsid w:val="004846F5"/>
    <w:rsid w:val="004B082E"/>
    <w:rsid w:val="004B2237"/>
    <w:rsid w:val="004C2A9B"/>
    <w:rsid w:val="00504EA3"/>
    <w:rsid w:val="0052129C"/>
    <w:rsid w:val="0052533F"/>
    <w:rsid w:val="00556F4E"/>
    <w:rsid w:val="00563F3F"/>
    <w:rsid w:val="00565440"/>
    <w:rsid w:val="00584CFE"/>
    <w:rsid w:val="005A2ACB"/>
    <w:rsid w:val="005A555C"/>
    <w:rsid w:val="005C72D3"/>
    <w:rsid w:val="005E4387"/>
    <w:rsid w:val="00627712"/>
    <w:rsid w:val="00635F92"/>
    <w:rsid w:val="0064027D"/>
    <w:rsid w:val="0064540E"/>
    <w:rsid w:val="00655D9A"/>
    <w:rsid w:val="00691473"/>
    <w:rsid w:val="006C463D"/>
    <w:rsid w:val="006F1952"/>
    <w:rsid w:val="006F6B6D"/>
    <w:rsid w:val="00713AC5"/>
    <w:rsid w:val="00733BFD"/>
    <w:rsid w:val="00745A3D"/>
    <w:rsid w:val="007F71CA"/>
    <w:rsid w:val="008128C6"/>
    <w:rsid w:val="00820EA3"/>
    <w:rsid w:val="00840F0F"/>
    <w:rsid w:val="008704BE"/>
    <w:rsid w:val="008853A9"/>
    <w:rsid w:val="008A6C53"/>
    <w:rsid w:val="008E1BB7"/>
    <w:rsid w:val="008F0F68"/>
    <w:rsid w:val="00900386"/>
    <w:rsid w:val="0095220A"/>
    <w:rsid w:val="00952D25"/>
    <w:rsid w:val="00955CAB"/>
    <w:rsid w:val="00990A23"/>
    <w:rsid w:val="009E5083"/>
    <w:rsid w:val="009F44E8"/>
    <w:rsid w:val="009F6D0C"/>
    <w:rsid w:val="00A003A8"/>
    <w:rsid w:val="00A071A7"/>
    <w:rsid w:val="00A1403C"/>
    <w:rsid w:val="00A307AC"/>
    <w:rsid w:val="00A40AD3"/>
    <w:rsid w:val="00A502B9"/>
    <w:rsid w:val="00A60E52"/>
    <w:rsid w:val="00A61703"/>
    <w:rsid w:val="00AB4786"/>
    <w:rsid w:val="00AB5CE5"/>
    <w:rsid w:val="00AC1AEA"/>
    <w:rsid w:val="00AE34EF"/>
    <w:rsid w:val="00B107E4"/>
    <w:rsid w:val="00B124C9"/>
    <w:rsid w:val="00B17EB9"/>
    <w:rsid w:val="00B204BD"/>
    <w:rsid w:val="00B24B87"/>
    <w:rsid w:val="00B87935"/>
    <w:rsid w:val="00B92A07"/>
    <w:rsid w:val="00BC0E59"/>
    <w:rsid w:val="00BC7A6E"/>
    <w:rsid w:val="00BC7AF6"/>
    <w:rsid w:val="00BD40A3"/>
    <w:rsid w:val="00BD69EC"/>
    <w:rsid w:val="00BE17BC"/>
    <w:rsid w:val="00C20510"/>
    <w:rsid w:val="00C2613C"/>
    <w:rsid w:val="00C53DD0"/>
    <w:rsid w:val="00CC0BAC"/>
    <w:rsid w:val="00CD401D"/>
    <w:rsid w:val="00D862C2"/>
    <w:rsid w:val="00D92F81"/>
    <w:rsid w:val="00DD7FBD"/>
    <w:rsid w:val="00DE5270"/>
    <w:rsid w:val="00E07E16"/>
    <w:rsid w:val="00E51797"/>
    <w:rsid w:val="00EA086E"/>
    <w:rsid w:val="00EA243F"/>
    <w:rsid w:val="00ED21A7"/>
    <w:rsid w:val="00F11664"/>
    <w:rsid w:val="00F2278C"/>
    <w:rsid w:val="00FA0673"/>
    <w:rsid w:val="00FA3BE6"/>
    <w:rsid w:val="00FA7551"/>
    <w:rsid w:val="00FA7B67"/>
    <w:rsid w:val="00FE33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4786"/>
    <w:pPr>
      <w:keepNext/>
      <w:jc w:val="both"/>
      <w:outlineLvl w:val="0"/>
    </w:pPr>
    <w:rPr>
      <w:rFonts w:eastAsia="Times New Roman" w:cs="Times New Roman"/>
      <w:szCs w:val="20"/>
      <w:u w:val="single"/>
    </w:rPr>
  </w:style>
  <w:style w:type="paragraph" w:styleId="Heading3">
    <w:name w:val="heading 3"/>
    <w:basedOn w:val="Normal"/>
    <w:next w:val="Normal"/>
    <w:link w:val="Heading3Char"/>
    <w:uiPriority w:val="9"/>
    <w:semiHidden/>
    <w:unhideWhenUsed/>
    <w:qFormat/>
    <w:rsid w:val="00A071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Heading1Char">
    <w:name w:val="Heading 1 Char"/>
    <w:basedOn w:val="DefaultParagraphFont"/>
    <w:link w:val="Heading1"/>
    <w:rsid w:val="00AB4786"/>
    <w:rPr>
      <w:rFonts w:eastAsia="Times New Roman" w:cs="Times New Roman"/>
      <w:szCs w:val="20"/>
      <w:u w:val="single"/>
    </w:rPr>
  </w:style>
  <w:style w:type="character" w:customStyle="1" w:styleId="Heading3Char">
    <w:name w:val="Heading 3 Char"/>
    <w:basedOn w:val="DefaultParagraphFont"/>
    <w:link w:val="Heading3"/>
    <w:uiPriority w:val="9"/>
    <w:semiHidden/>
    <w:rsid w:val="00A071A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76D0A"/>
    <w:pPr>
      <w:ind w:left="720"/>
      <w:contextualSpacing/>
    </w:pPr>
  </w:style>
  <w:style w:type="paragraph" w:styleId="BalloonText">
    <w:name w:val="Balloon Text"/>
    <w:basedOn w:val="Normal"/>
    <w:link w:val="BalloonTextChar"/>
    <w:uiPriority w:val="99"/>
    <w:semiHidden/>
    <w:unhideWhenUsed/>
    <w:rsid w:val="00AE34EF"/>
    <w:rPr>
      <w:rFonts w:ascii="Tahoma" w:hAnsi="Tahoma" w:cs="Tahoma"/>
      <w:sz w:val="16"/>
      <w:szCs w:val="16"/>
    </w:rPr>
  </w:style>
  <w:style w:type="character" w:customStyle="1" w:styleId="BalloonTextChar">
    <w:name w:val="Balloon Text Char"/>
    <w:basedOn w:val="DefaultParagraphFont"/>
    <w:link w:val="BalloonText"/>
    <w:uiPriority w:val="99"/>
    <w:semiHidden/>
    <w:rsid w:val="00AE34EF"/>
    <w:rPr>
      <w:rFonts w:ascii="Tahoma" w:hAnsi="Tahoma" w:cs="Tahoma"/>
      <w:sz w:val="16"/>
      <w:szCs w:val="16"/>
    </w:rPr>
  </w:style>
  <w:style w:type="character" w:styleId="CommentReference">
    <w:name w:val="annotation reference"/>
    <w:basedOn w:val="DefaultParagraphFont"/>
    <w:uiPriority w:val="99"/>
    <w:semiHidden/>
    <w:unhideWhenUsed/>
    <w:rsid w:val="00AE34EF"/>
    <w:rPr>
      <w:sz w:val="16"/>
      <w:szCs w:val="16"/>
    </w:rPr>
  </w:style>
  <w:style w:type="paragraph" w:styleId="CommentText">
    <w:name w:val="annotation text"/>
    <w:basedOn w:val="Normal"/>
    <w:link w:val="CommentTextChar"/>
    <w:uiPriority w:val="99"/>
    <w:semiHidden/>
    <w:unhideWhenUsed/>
    <w:rsid w:val="00AE34EF"/>
    <w:rPr>
      <w:sz w:val="20"/>
      <w:szCs w:val="20"/>
    </w:rPr>
  </w:style>
  <w:style w:type="character" w:customStyle="1" w:styleId="CommentTextChar">
    <w:name w:val="Comment Text Char"/>
    <w:basedOn w:val="DefaultParagraphFont"/>
    <w:link w:val="CommentText"/>
    <w:uiPriority w:val="99"/>
    <w:semiHidden/>
    <w:rsid w:val="00AE34EF"/>
    <w:rPr>
      <w:sz w:val="20"/>
      <w:szCs w:val="20"/>
    </w:rPr>
  </w:style>
  <w:style w:type="paragraph" w:styleId="CommentSubject">
    <w:name w:val="annotation subject"/>
    <w:basedOn w:val="CommentText"/>
    <w:next w:val="CommentText"/>
    <w:link w:val="CommentSubjectChar"/>
    <w:uiPriority w:val="99"/>
    <w:semiHidden/>
    <w:unhideWhenUsed/>
    <w:rsid w:val="00AE34EF"/>
    <w:rPr>
      <w:b/>
      <w:bCs/>
    </w:rPr>
  </w:style>
  <w:style w:type="character" w:customStyle="1" w:styleId="CommentSubjectChar">
    <w:name w:val="Comment Subject Char"/>
    <w:basedOn w:val="CommentTextChar"/>
    <w:link w:val="CommentSubject"/>
    <w:uiPriority w:val="99"/>
    <w:semiHidden/>
    <w:rsid w:val="00AE34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4786"/>
    <w:pPr>
      <w:keepNext/>
      <w:jc w:val="both"/>
      <w:outlineLvl w:val="0"/>
    </w:pPr>
    <w:rPr>
      <w:rFonts w:eastAsia="Times New Roman" w:cs="Times New Roman"/>
      <w:szCs w:val="20"/>
      <w:u w:val="single"/>
    </w:rPr>
  </w:style>
  <w:style w:type="paragraph" w:styleId="Heading3">
    <w:name w:val="heading 3"/>
    <w:basedOn w:val="Normal"/>
    <w:next w:val="Normal"/>
    <w:link w:val="Heading3Char"/>
    <w:uiPriority w:val="9"/>
    <w:semiHidden/>
    <w:unhideWhenUsed/>
    <w:qFormat/>
    <w:rsid w:val="00A071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Heading1Char">
    <w:name w:val="Heading 1 Char"/>
    <w:basedOn w:val="DefaultParagraphFont"/>
    <w:link w:val="Heading1"/>
    <w:rsid w:val="00AB4786"/>
    <w:rPr>
      <w:rFonts w:eastAsia="Times New Roman" w:cs="Times New Roman"/>
      <w:szCs w:val="20"/>
      <w:u w:val="single"/>
    </w:rPr>
  </w:style>
  <w:style w:type="character" w:customStyle="1" w:styleId="Heading3Char">
    <w:name w:val="Heading 3 Char"/>
    <w:basedOn w:val="DefaultParagraphFont"/>
    <w:link w:val="Heading3"/>
    <w:uiPriority w:val="9"/>
    <w:semiHidden/>
    <w:rsid w:val="00A071A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76D0A"/>
    <w:pPr>
      <w:ind w:left="720"/>
      <w:contextualSpacing/>
    </w:pPr>
  </w:style>
  <w:style w:type="paragraph" w:styleId="BalloonText">
    <w:name w:val="Balloon Text"/>
    <w:basedOn w:val="Normal"/>
    <w:link w:val="BalloonTextChar"/>
    <w:uiPriority w:val="99"/>
    <w:semiHidden/>
    <w:unhideWhenUsed/>
    <w:rsid w:val="00AE34EF"/>
    <w:rPr>
      <w:rFonts w:ascii="Tahoma" w:hAnsi="Tahoma" w:cs="Tahoma"/>
      <w:sz w:val="16"/>
      <w:szCs w:val="16"/>
    </w:rPr>
  </w:style>
  <w:style w:type="character" w:customStyle="1" w:styleId="BalloonTextChar">
    <w:name w:val="Balloon Text Char"/>
    <w:basedOn w:val="DefaultParagraphFont"/>
    <w:link w:val="BalloonText"/>
    <w:uiPriority w:val="99"/>
    <w:semiHidden/>
    <w:rsid w:val="00AE34EF"/>
    <w:rPr>
      <w:rFonts w:ascii="Tahoma" w:hAnsi="Tahoma" w:cs="Tahoma"/>
      <w:sz w:val="16"/>
      <w:szCs w:val="16"/>
    </w:rPr>
  </w:style>
  <w:style w:type="character" w:styleId="CommentReference">
    <w:name w:val="annotation reference"/>
    <w:basedOn w:val="DefaultParagraphFont"/>
    <w:uiPriority w:val="99"/>
    <w:semiHidden/>
    <w:unhideWhenUsed/>
    <w:rsid w:val="00AE34EF"/>
    <w:rPr>
      <w:sz w:val="16"/>
      <w:szCs w:val="16"/>
    </w:rPr>
  </w:style>
  <w:style w:type="paragraph" w:styleId="CommentText">
    <w:name w:val="annotation text"/>
    <w:basedOn w:val="Normal"/>
    <w:link w:val="CommentTextChar"/>
    <w:uiPriority w:val="99"/>
    <w:semiHidden/>
    <w:unhideWhenUsed/>
    <w:rsid w:val="00AE34EF"/>
    <w:rPr>
      <w:sz w:val="20"/>
      <w:szCs w:val="20"/>
    </w:rPr>
  </w:style>
  <w:style w:type="character" w:customStyle="1" w:styleId="CommentTextChar">
    <w:name w:val="Comment Text Char"/>
    <w:basedOn w:val="DefaultParagraphFont"/>
    <w:link w:val="CommentText"/>
    <w:uiPriority w:val="99"/>
    <w:semiHidden/>
    <w:rsid w:val="00AE34EF"/>
    <w:rPr>
      <w:sz w:val="20"/>
      <w:szCs w:val="20"/>
    </w:rPr>
  </w:style>
  <w:style w:type="paragraph" w:styleId="CommentSubject">
    <w:name w:val="annotation subject"/>
    <w:basedOn w:val="CommentText"/>
    <w:next w:val="CommentText"/>
    <w:link w:val="CommentSubjectChar"/>
    <w:uiPriority w:val="99"/>
    <w:semiHidden/>
    <w:unhideWhenUsed/>
    <w:rsid w:val="00AE34EF"/>
    <w:rPr>
      <w:b/>
      <w:bCs/>
    </w:rPr>
  </w:style>
  <w:style w:type="character" w:customStyle="1" w:styleId="CommentSubjectChar">
    <w:name w:val="Comment Subject Char"/>
    <w:basedOn w:val="CommentTextChar"/>
    <w:link w:val="CommentSubject"/>
    <w:uiPriority w:val="99"/>
    <w:semiHidden/>
    <w:rsid w:val="00AE3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7120">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636371599">
      <w:bodyDiv w:val="1"/>
      <w:marLeft w:val="0"/>
      <w:marRight w:val="0"/>
      <w:marTop w:val="0"/>
      <w:marBottom w:val="0"/>
      <w:divBdr>
        <w:top w:val="none" w:sz="0" w:space="0" w:color="auto"/>
        <w:left w:val="none" w:sz="0" w:space="0" w:color="auto"/>
        <w:bottom w:val="none" w:sz="0" w:space="0" w:color="auto"/>
        <w:right w:val="none" w:sz="0" w:space="0" w:color="auto"/>
      </w:divBdr>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Freibergs@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5391</Words>
  <Characters>3073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Freibergs</dc:creator>
  <cp:lastModifiedBy>Normunds Freibergs</cp:lastModifiedBy>
  <cp:revision>2</cp:revision>
  <cp:lastPrinted>2014-03-14T07:10:00Z</cp:lastPrinted>
  <dcterms:created xsi:type="dcterms:W3CDTF">2014-08-12T13:10:00Z</dcterms:created>
  <dcterms:modified xsi:type="dcterms:W3CDTF">2014-08-12T13:10:00Z</dcterms:modified>
</cp:coreProperties>
</file>