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B4615" w14:textId="77777777" w:rsidR="00C40A88" w:rsidRPr="00D97140" w:rsidRDefault="00C40A88" w:rsidP="00C40A88">
      <w:pPr>
        <w:jc w:val="right"/>
        <w:rPr>
          <w:rFonts w:asciiTheme="minorHAnsi" w:eastAsia="Times New Roman" w:hAnsiTheme="minorHAnsi" w:cstheme="minorHAnsi"/>
          <w:b/>
          <w:bCs/>
          <w:color w:val="414142"/>
          <w:sz w:val="28"/>
          <w:szCs w:val="24"/>
          <w:lang w:eastAsia="lv-LV"/>
        </w:rPr>
      </w:pPr>
      <w:r w:rsidRPr="00D97140">
        <w:rPr>
          <w:rFonts w:asciiTheme="minorHAnsi" w:eastAsia="Times New Roman" w:hAnsiTheme="minorHAnsi" w:cstheme="minorHAnsi"/>
          <w:b/>
          <w:bCs/>
          <w:color w:val="414142"/>
          <w:sz w:val="28"/>
          <w:szCs w:val="24"/>
          <w:lang w:eastAsia="lv-LV"/>
        </w:rPr>
        <w:t>Ekonomikas ministrijas iesniegtajā redakcijā</w:t>
      </w:r>
    </w:p>
    <w:p w14:paraId="001B4617" w14:textId="76DB75CC" w:rsidR="00C40A88" w:rsidRPr="00D97140" w:rsidRDefault="00C40A88" w:rsidP="00C40A88">
      <w:pPr>
        <w:tabs>
          <w:tab w:val="right" w:pos="9992"/>
        </w:tabs>
        <w:spacing w:after="0"/>
        <w:jc w:val="right"/>
        <w:rPr>
          <w:sz w:val="28"/>
          <w:szCs w:val="28"/>
          <w:lang w:val="pl-PL"/>
        </w:rPr>
      </w:pPr>
      <w:r w:rsidRPr="00D97140">
        <w:rPr>
          <w:sz w:val="28"/>
          <w:szCs w:val="28"/>
          <w:lang w:val="pl-PL"/>
        </w:rPr>
        <w:t>1.</w:t>
      </w:r>
      <w:r w:rsidR="00D97140">
        <w:rPr>
          <w:sz w:val="28"/>
          <w:szCs w:val="28"/>
          <w:lang w:val="pl-PL"/>
        </w:rPr>
        <w:t> </w:t>
      </w:r>
      <w:r w:rsidRPr="00D97140">
        <w:rPr>
          <w:sz w:val="28"/>
          <w:szCs w:val="28"/>
          <w:lang w:val="pl-PL"/>
        </w:rPr>
        <w:t>pielikums</w:t>
      </w:r>
    </w:p>
    <w:p w14:paraId="001B4618" w14:textId="77777777" w:rsidR="00C40A88" w:rsidRPr="00D97140" w:rsidRDefault="00C40A88" w:rsidP="00C40A88">
      <w:pPr>
        <w:tabs>
          <w:tab w:val="right" w:pos="9992"/>
        </w:tabs>
        <w:spacing w:after="0"/>
        <w:jc w:val="right"/>
        <w:rPr>
          <w:sz w:val="28"/>
          <w:szCs w:val="28"/>
          <w:lang w:val="pl-PL"/>
        </w:rPr>
      </w:pPr>
      <w:r w:rsidRPr="00D97140">
        <w:rPr>
          <w:sz w:val="28"/>
          <w:szCs w:val="28"/>
          <w:lang w:val="pl-PL"/>
        </w:rPr>
        <w:t>Ministru kabineta</w:t>
      </w:r>
    </w:p>
    <w:p w14:paraId="0DA9FDDF" w14:textId="35BDE400" w:rsidR="00D97140" w:rsidRPr="00D97140" w:rsidRDefault="00D97140" w:rsidP="00D97140">
      <w:pPr>
        <w:tabs>
          <w:tab w:val="right" w:pos="9992"/>
        </w:tabs>
        <w:spacing w:after="0"/>
        <w:jc w:val="right"/>
        <w:rPr>
          <w:sz w:val="28"/>
          <w:szCs w:val="28"/>
          <w:lang w:val="pl-PL"/>
        </w:rPr>
      </w:pPr>
      <w:r w:rsidRPr="00D97140">
        <w:rPr>
          <w:sz w:val="28"/>
          <w:szCs w:val="28"/>
          <w:lang w:val="pl-PL"/>
        </w:rPr>
        <w:t xml:space="preserve">2014. gada </w:t>
      </w:r>
      <w:r w:rsidR="00CC6C86">
        <w:rPr>
          <w:sz w:val="28"/>
          <w:szCs w:val="28"/>
        </w:rPr>
        <w:t>3. novembr</w:t>
      </w:r>
      <w:r w:rsidR="00CC6C86">
        <w:rPr>
          <w:sz w:val="28"/>
          <w:szCs w:val="28"/>
        </w:rPr>
        <w:t>a</w:t>
      </w:r>
    </w:p>
    <w:p w14:paraId="4D7D13DA" w14:textId="3FCF0090" w:rsidR="00D97140" w:rsidRPr="00D97140" w:rsidRDefault="00D97140" w:rsidP="00D97140">
      <w:pPr>
        <w:tabs>
          <w:tab w:val="right" w:pos="9992"/>
        </w:tabs>
        <w:spacing w:after="0"/>
        <w:jc w:val="right"/>
        <w:rPr>
          <w:sz w:val="28"/>
          <w:szCs w:val="28"/>
          <w:lang w:val="pl-PL"/>
        </w:rPr>
      </w:pPr>
      <w:r w:rsidRPr="00D97140">
        <w:rPr>
          <w:sz w:val="28"/>
          <w:szCs w:val="28"/>
          <w:lang w:val="pl-PL"/>
        </w:rPr>
        <w:t>noteikumiem Nr. </w:t>
      </w:r>
      <w:r w:rsidR="00CC6C86">
        <w:rPr>
          <w:sz w:val="28"/>
          <w:szCs w:val="28"/>
          <w:lang w:val="pl-PL"/>
        </w:rPr>
        <w:t>678</w:t>
      </w:r>
      <w:bookmarkStart w:id="0" w:name="_GoBack"/>
      <w:bookmarkEnd w:id="0"/>
    </w:p>
    <w:p w14:paraId="001B461B" w14:textId="77777777" w:rsidR="00C40A88" w:rsidRPr="00D97140" w:rsidRDefault="00C40A88" w:rsidP="00C40A88">
      <w:pPr>
        <w:tabs>
          <w:tab w:val="right" w:pos="9992"/>
        </w:tabs>
        <w:spacing w:after="0"/>
        <w:jc w:val="right"/>
        <w:rPr>
          <w:sz w:val="28"/>
          <w:szCs w:val="28"/>
        </w:rPr>
      </w:pPr>
    </w:p>
    <w:p w14:paraId="001B461C" w14:textId="2FAEBA80" w:rsidR="00C40A88" w:rsidRPr="00D97140" w:rsidRDefault="00C40A88" w:rsidP="00C40A88">
      <w:pPr>
        <w:tabs>
          <w:tab w:val="right" w:pos="9992"/>
        </w:tabs>
        <w:spacing w:after="0"/>
        <w:jc w:val="right"/>
        <w:rPr>
          <w:sz w:val="28"/>
          <w:szCs w:val="28"/>
        </w:rPr>
      </w:pPr>
      <w:r w:rsidRPr="00D97140">
        <w:rPr>
          <w:sz w:val="28"/>
          <w:szCs w:val="28"/>
        </w:rPr>
        <w:t>"1.</w:t>
      </w:r>
      <w:r w:rsidR="00D97140">
        <w:rPr>
          <w:sz w:val="28"/>
          <w:szCs w:val="28"/>
        </w:rPr>
        <w:t> </w:t>
      </w:r>
      <w:r w:rsidRPr="00D97140">
        <w:rPr>
          <w:sz w:val="28"/>
          <w:szCs w:val="28"/>
        </w:rPr>
        <w:t>pielikums</w:t>
      </w:r>
    </w:p>
    <w:p w14:paraId="001B461D" w14:textId="77777777" w:rsidR="00C40A88" w:rsidRPr="00D97140" w:rsidRDefault="00C40A88" w:rsidP="00C40A88">
      <w:pPr>
        <w:tabs>
          <w:tab w:val="right" w:pos="9992"/>
        </w:tabs>
        <w:spacing w:after="0"/>
        <w:jc w:val="right"/>
        <w:rPr>
          <w:sz w:val="28"/>
          <w:szCs w:val="28"/>
        </w:rPr>
      </w:pPr>
      <w:r w:rsidRPr="00D97140">
        <w:rPr>
          <w:sz w:val="28"/>
          <w:szCs w:val="28"/>
        </w:rPr>
        <w:t>Ministru kabineta</w:t>
      </w:r>
    </w:p>
    <w:p w14:paraId="001B461E" w14:textId="697ACF4A" w:rsidR="00C40A88" w:rsidRPr="00D97140" w:rsidRDefault="00C40A88" w:rsidP="00C40A88">
      <w:pPr>
        <w:tabs>
          <w:tab w:val="right" w:pos="9992"/>
        </w:tabs>
        <w:spacing w:after="0"/>
        <w:jc w:val="right"/>
        <w:rPr>
          <w:sz w:val="28"/>
          <w:szCs w:val="28"/>
        </w:rPr>
      </w:pPr>
      <w:r w:rsidRPr="00D97140">
        <w:rPr>
          <w:sz w:val="28"/>
          <w:szCs w:val="28"/>
        </w:rPr>
        <w:t>2013.</w:t>
      </w:r>
      <w:r w:rsidR="00D97140">
        <w:rPr>
          <w:sz w:val="28"/>
          <w:szCs w:val="28"/>
        </w:rPr>
        <w:t> </w:t>
      </w:r>
      <w:r w:rsidRPr="00D97140">
        <w:rPr>
          <w:sz w:val="28"/>
          <w:szCs w:val="28"/>
        </w:rPr>
        <w:t>gada 10.</w:t>
      </w:r>
      <w:r w:rsidR="00D97140">
        <w:rPr>
          <w:sz w:val="28"/>
          <w:szCs w:val="28"/>
        </w:rPr>
        <w:t> </w:t>
      </w:r>
      <w:r w:rsidRPr="00D97140">
        <w:rPr>
          <w:sz w:val="28"/>
          <w:szCs w:val="28"/>
        </w:rPr>
        <w:t>decembra</w:t>
      </w:r>
    </w:p>
    <w:p w14:paraId="001B461F" w14:textId="276F2CF1" w:rsidR="00C40A88" w:rsidRPr="00D97140" w:rsidRDefault="00C40A88" w:rsidP="00C40A88">
      <w:pPr>
        <w:spacing w:after="0"/>
        <w:jc w:val="right"/>
        <w:rPr>
          <w:sz w:val="28"/>
          <w:szCs w:val="28"/>
        </w:rPr>
      </w:pPr>
      <w:r w:rsidRPr="00D97140">
        <w:rPr>
          <w:sz w:val="28"/>
          <w:szCs w:val="28"/>
        </w:rPr>
        <w:t>noteikumiem Nr.</w:t>
      </w:r>
      <w:r w:rsidR="00D97140">
        <w:rPr>
          <w:sz w:val="28"/>
          <w:szCs w:val="28"/>
        </w:rPr>
        <w:t> </w:t>
      </w:r>
      <w:r w:rsidRPr="00D97140">
        <w:rPr>
          <w:sz w:val="28"/>
          <w:szCs w:val="28"/>
        </w:rPr>
        <w:t>1442</w:t>
      </w:r>
    </w:p>
    <w:p w14:paraId="001B4620" w14:textId="77777777" w:rsidR="00C40A88" w:rsidRDefault="00C40A88" w:rsidP="00AE3BA4">
      <w:pPr>
        <w:jc w:val="center"/>
        <w:rPr>
          <w:rFonts w:asciiTheme="minorHAnsi" w:eastAsia="Times New Roman" w:hAnsiTheme="minorHAnsi" w:cstheme="minorHAnsi"/>
          <w:b/>
          <w:bCs/>
          <w:color w:val="414142"/>
          <w:szCs w:val="24"/>
          <w:lang w:eastAsia="lv-LV"/>
        </w:rPr>
      </w:pPr>
    </w:p>
    <w:p w14:paraId="001B4621" w14:textId="77777777" w:rsidR="00AE3BA4" w:rsidRPr="00C40A88" w:rsidRDefault="00AE3BA4" w:rsidP="00AE3BA4">
      <w:pPr>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Nozares un darbības, kurām nav paredzēts atbalsts</w:t>
      </w:r>
    </w:p>
    <w:p w14:paraId="001B4622"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Atklāta projektu konkursa otrās kārtas ietvaros projekta līdzfinansējums netiek sniegts šādās nozarēs un šādām darbībām (neatbalstāmo nozaru un darbību ierobežojumi ir attiecināmi uz komersantu plānoto darbības jomu, izņemot gadījumus, ja specifiski norādīts citādi):</w:t>
      </w:r>
    </w:p>
    <w:p w14:paraId="001B4623" w14:textId="77777777" w:rsidR="00AE3BA4" w:rsidRPr="00C40A88" w:rsidRDefault="00AE3BA4" w:rsidP="00AE3BA4">
      <w:pPr>
        <w:spacing w:before="100" w:beforeAutospacing="1" w:after="100" w:afterAutospacing="1" w:line="293" w:lineRule="atLeast"/>
        <w:ind w:left="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Lauksaimniecības produktu ražošanas nozarē, kā arī komersantiem, kuri darbojas Līguma par Eiropas Savienības darbību I pielikumā minēto lauksaimniecības produktu pārstrādē un tirdzniecībā.</w:t>
      </w:r>
    </w:p>
    <w:p w14:paraId="001B4624"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bCs/>
          <w:color w:val="414142"/>
          <w:szCs w:val="24"/>
          <w:lang w:eastAsia="lv-LV"/>
        </w:rPr>
      </w:pPr>
      <w:r w:rsidRPr="00C40A88">
        <w:rPr>
          <w:rFonts w:asciiTheme="minorHAnsi" w:eastAsia="Times New Roman" w:hAnsiTheme="minorHAnsi" w:cstheme="minorHAnsi"/>
          <w:bCs/>
          <w:color w:val="414142"/>
          <w:szCs w:val="24"/>
          <w:lang w:eastAsia="lv-LV"/>
        </w:rPr>
        <w:t>Komisijas regulas Nr.651/2014 1.panta 3.punkta b) un c) apakšpunktā minētās lauksaimniecības nozares, kā definētas Komisijas regulas Nr.651/2014 2.panta 8., 9., 10. un 11.punktā..</w:t>
      </w:r>
    </w:p>
    <w:p w14:paraId="001B4625"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Zivsaimniecības un akvakultūras nozare</w:t>
      </w:r>
    </w:p>
    <w:p w14:paraId="001B4626"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bCs/>
          <w:color w:val="414142"/>
          <w:szCs w:val="24"/>
          <w:lang w:eastAsia="lv-LV"/>
        </w:rPr>
      </w:pPr>
      <w:r w:rsidRPr="00C40A88">
        <w:rPr>
          <w:rFonts w:asciiTheme="minorHAnsi" w:eastAsia="Times New Roman" w:hAnsiTheme="minorHAnsi" w:cstheme="minorHAnsi"/>
          <w:bCs/>
          <w:color w:val="414142"/>
          <w:szCs w:val="24"/>
          <w:lang w:eastAsia="lv-LV"/>
        </w:rPr>
        <w:t xml:space="preserve">Komisijas regulas Nr.651/2014 13.panta „c” apakšpunkta </w:t>
      </w:r>
      <w:proofErr w:type="spellStart"/>
      <w:r w:rsidRPr="00C40A88">
        <w:rPr>
          <w:rFonts w:asciiTheme="minorHAnsi" w:eastAsia="Times New Roman" w:hAnsiTheme="minorHAnsi" w:cstheme="minorHAnsi"/>
          <w:bCs/>
          <w:color w:val="414142"/>
          <w:szCs w:val="24"/>
          <w:lang w:eastAsia="lv-LV"/>
        </w:rPr>
        <w:t>ii</w:t>
      </w:r>
      <w:proofErr w:type="spellEnd"/>
      <w:r w:rsidRPr="00C40A88">
        <w:rPr>
          <w:rFonts w:asciiTheme="minorHAnsi" w:eastAsia="Times New Roman" w:hAnsiTheme="minorHAnsi" w:cstheme="minorHAnsi"/>
          <w:bCs/>
          <w:color w:val="414142"/>
          <w:szCs w:val="24"/>
          <w:lang w:eastAsia="lv-LV"/>
        </w:rPr>
        <w:t>) daļā minētā zivsaimniecības nozare, kā arī Komisijas regulas Nr.651/2014 1.panta 3.punkta „a” apakšpunktā minētās zivsaimniecības un akvakultūras nozares komersantiem produktu ražošanai, kas minēti Komisijas regulas Nr.651/2014 2.panta 11.punktā.</w:t>
      </w:r>
    </w:p>
    <w:p w14:paraId="001B4627"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Enerģijas ražošanas, sadales un infrastruktūras nozare</w:t>
      </w:r>
    </w:p>
    <w:p w14:paraId="001B4628"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bCs/>
          <w:color w:val="414142"/>
          <w:szCs w:val="24"/>
          <w:lang w:eastAsia="lv-LV"/>
        </w:rPr>
      </w:pPr>
      <w:r w:rsidRPr="00C40A88">
        <w:rPr>
          <w:rFonts w:asciiTheme="minorHAnsi" w:eastAsia="Times New Roman" w:hAnsiTheme="minorHAnsi" w:cstheme="minorHAnsi"/>
          <w:bCs/>
          <w:color w:val="414142"/>
          <w:szCs w:val="24"/>
          <w:lang w:eastAsia="lv-LV"/>
        </w:rPr>
        <w:t>Komisijas regulas Nr.651/2014 13.panta „a” apakšpunktā minētā enerģijas ražošanas nozare, kā arī Komisijas regulas Nr.651/2014 13.panta „a” apakšpunktā minētā enerģijas sadales un infrastruktūras nozare, kā definēts Komisijas regulas Nr.651/2014 2.panta 130.punktā.</w:t>
      </w:r>
    </w:p>
    <w:p w14:paraId="001B4629" w14:textId="77777777" w:rsidR="00AE3BA4" w:rsidRPr="00C40A88" w:rsidRDefault="00AE3BA4" w:rsidP="00AE3BA4">
      <w:pPr>
        <w:spacing w:before="100" w:beforeAutospacing="1" w:after="100" w:afterAutospacing="1" w:line="293" w:lineRule="atLeast"/>
        <w:ind w:firstLine="300"/>
        <w:rPr>
          <w:rFonts w:asciiTheme="minorHAnsi" w:eastAsia="Times New Roman" w:hAnsiTheme="minorHAnsi" w:cstheme="minorHAnsi"/>
          <w:bCs/>
          <w:color w:val="414142"/>
          <w:szCs w:val="24"/>
          <w:lang w:eastAsia="lv-LV"/>
        </w:rPr>
      </w:pPr>
      <w:r w:rsidRPr="00C40A88">
        <w:rPr>
          <w:rFonts w:asciiTheme="minorHAnsi" w:eastAsia="Times New Roman" w:hAnsiTheme="minorHAnsi" w:cstheme="minorHAnsi"/>
          <w:bCs/>
          <w:color w:val="414142"/>
          <w:szCs w:val="24"/>
          <w:lang w:eastAsia="lv-LV"/>
        </w:rPr>
        <w:t xml:space="preserve">NACE 2.red. D nodaļu „Elektroenerģija, gāzes apgāde, siltumapgāde un gaisa kondicionēšana”. </w:t>
      </w:r>
    </w:p>
    <w:p w14:paraId="1EE58351" w14:textId="77777777" w:rsidR="00D97140" w:rsidRDefault="00D97140">
      <w:pPr>
        <w:spacing w:after="0" w:line="240" w:lineRule="auto"/>
        <w:rPr>
          <w:rFonts w:asciiTheme="minorHAnsi" w:eastAsia="Times New Roman" w:hAnsiTheme="minorHAnsi" w:cstheme="minorHAnsi"/>
          <w:b/>
          <w:bCs/>
          <w:color w:val="414142"/>
          <w:szCs w:val="24"/>
          <w:u w:val="single"/>
          <w:lang w:eastAsia="lv-LV"/>
        </w:rPr>
      </w:pPr>
      <w:r>
        <w:rPr>
          <w:rFonts w:asciiTheme="minorHAnsi" w:eastAsia="Times New Roman" w:hAnsiTheme="minorHAnsi" w:cstheme="minorHAnsi"/>
          <w:b/>
          <w:bCs/>
          <w:color w:val="414142"/>
          <w:szCs w:val="24"/>
          <w:u w:val="single"/>
          <w:lang w:eastAsia="lv-LV"/>
        </w:rPr>
        <w:br w:type="page"/>
      </w:r>
    </w:p>
    <w:p w14:paraId="001B462A" w14:textId="5601D216" w:rsidR="00AE3BA4" w:rsidRPr="00D97140"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u w:val="single"/>
          <w:lang w:eastAsia="lv-LV"/>
        </w:rPr>
      </w:pPr>
      <w:r w:rsidRPr="00D97140">
        <w:rPr>
          <w:rFonts w:asciiTheme="minorHAnsi" w:eastAsia="Times New Roman" w:hAnsiTheme="minorHAnsi" w:cstheme="minorHAnsi"/>
          <w:b/>
          <w:bCs/>
          <w:color w:val="414142"/>
          <w:szCs w:val="24"/>
          <w:u w:val="single"/>
          <w:lang w:eastAsia="lv-LV"/>
        </w:rPr>
        <w:lastRenderedPageBreak/>
        <w:t>Transporta nozare</w:t>
      </w:r>
    </w:p>
    <w:p w14:paraId="001B462B" w14:textId="77777777" w:rsidR="00AE3BA4" w:rsidRPr="00C40A88" w:rsidRDefault="00AE3BA4" w:rsidP="00AE3BA4">
      <w:pPr>
        <w:spacing w:before="100" w:beforeAutospacing="1" w:after="100" w:afterAutospacing="1" w:line="293" w:lineRule="atLeast"/>
        <w:ind w:firstLine="300"/>
        <w:rPr>
          <w:rFonts w:asciiTheme="minorHAnsi" w:eastAsia="Times New Roman" w:hAnsiTheme="minorHAnsi" w:cstheme="minorHAnsi"/>
          <w:bCs/>
          <w:color w:val="414142"/>
          <w:szCs w:val="24"/>
          <w:lang w:eastAsia="lv-LV"/>
        </w:rPr>
      </w:pPr>
      <w:r w:rsidRPr="00C40A88">
        <w:rPr>
          <w:rFonts w:asciiTheme="minorHAnsi" w:eastAsia="Times New Roman" w:hAnsiTheme="minorHAnsi" w:cstheme="minorHAnsi"/>
          <w:bCs/>
          <w:color w:val="414142"/>
          <w:szCs w:val="24"/>
          <w:lang w:eastAsia="lv-LV"/>
        </w:rPr>
        <w:t>Komisijas regulas Nr.651/2014 13.panta „a” apakšpunktā minētā transporta nozare, kā definēts Komisijas regulas Nr.651/2014 2.panta 45.punktā.</w:t>
      </w:r>
    </w:p>
    <w:p w14:paraId="001B462C" w14:textId="77777777" w:rsidR="00AE3BA4" w:rsidRPr="00C40A88" w:rsidRDefault="00AE3BA4" w:rsidP="00AE3BA4">
      <w:pPr>
        <w:spacing w:before="100" w:beforeAutospacing="1" w:after="100" w:afterAutospacing="1" w:line="293" w:lineRule="atLeast"/>
        <w:ind w:firstLine="300"/>
        <w:rPr>
          <w:rFonts w:asciiTheme="minorHAnsi" w:eastAsia="Times New Roman" w:hAnsiTheme="minorHAnsi" w:cstheme="minorHAnsi"/>
          <w:bCs/>
          <w:color w:val="414142"/>
          <w:szCs w:val="24"/>
          <w:lang w:eastAsia="lv-LV"/>
        </w:rPr>
      </w:pPr>
      <w:r w:rsidRPr="00C40A88">
        <w:rPr>
          <w:rFonts w:asciiTheme="minorHAnsi" w:eastAsia="Times New Roman" w:hAnsiTheme="minorHAnsi" w:cstheme="minorHAnsi"/>
          <w:color w:val="414142"/>
          <w:szCs w:val="24"/>
          <w:lang w:eastAsia="lv-LV"/>
        </w:rPr>
        <w:t>Nav paredzēts sniegt atbalstu nekāda veida transportlīdzekļu iegādei uzņēmumiem.</w:t>
      </w:r>
    </w:p>
    <w:p w14:paraId="001B462D"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Ogļu rūpniecības nozare</w:t>
      </w:r>
    </w:p>
    <w:p w14:paraId="001B462E"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 xml:space="preserve">Komisijas regulas Nr.651/2014 13.panta „a” apakšpunktā minētā ogļrūpniecības nozare, uz ko attiecas arī Komisijas regulas Nr.651/2014 1.panta 3.punkta „d” apakšpunktā noteiktais ierobežojums, kā definēts Komisijas regulas Nr.651/2014 2.panta 13.punktā. </w:t>
      </w:r>
    </w:p>
    <w:p w14:paraId="001B462F"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NACE 2.red. 05.nodaļā "Ogļu un brūnogļu (</w:t>
      </w:r>
      <w:proofErr w:type="spellStart"/>
      <w:r w:rsidRPr="00C40A88">
        <w:rPr>
          <w:rFonts w:asciiTheme="minorHAnsi" w:eastAsia="Times New Roman" w:hAnsiTheme="minorHAnsi" w:cstheme="minorHAnsi"/>
          <w:color w:val="414142"/>
          <w:szCs w:val="24"/>
          <w:lang w:eastAsia="lv-LV"/>
        </w:rPr>
        <w:t>lignīta</w:t>
      </w:r>
      <w:proofErr w:type="spellEnd"/>
      <w:r w:rsidRPr="00C40A88">
        <w:rPr>
          <w:rFonts w:asciiTheme="minorHAnsi" w:eastAsia="Times New Roman" w:hAnsiTheme="minorHAnsi" w:cstheme="minorHAnsi"/>
          <w:color w:val="414142"/>
          <w:szCs w:val="24"/>
          <w:lang w:eastAsia="lv-LV"/>
        </w:rPr>
        <w:t>) ieguve" (NACE 1.1.red. grupā 10.1 "Akmeņogļu ieguve, apstrāde un aglomerācija" un grupā 10.2 "Brūnogļu (</w:t>
      </w:r>
      <w:proofErr w:type="spellStart"/>
      <w:r w:rsidRPr="00C40A88">
        <w:rPr>
          <w:rFonts w:asciiTheme="minorHAnsi" w:eastAsia="Times New Roman" w:hAnsiTheme="minorHAnsi" w:cstheme="minorHAnsi"/>
          <w:color w:val="414142"/>
          <w:szCs w:val="24"/>
          <w:lang w:eastAsia="lv-LV"/>
        </w:rPr>
        <w:t>lignīta</w:t>
      </w:r>
      <w:proofErr w:type="spellEnd"/>
      <w:r w:rsidRPr="00C40A88">
        <w:rPr>
          <w:rFonts w:asciiTheme="minorHAnsi" w:eastAsia="Times New Roman" w:hAnsiTheme="minorHAnsi" w:cstheme="minorHAnsi"/>
          <w:color w:val="414142"/>
          <w:szCs w:val="24"/>
          <w:lang w:eastAsia="lv-LV"/>
        </w:rPr>
        <w:t>) ieguve, apstrāde un aglomerācija").</w:t>
      </w:r>
    </w:p>
    <w:p w14:paraId="001B4630"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Alkoholisko dzērienu ražošanas nozare</w:t>
      </w:r>
    </w:p>
    <w:p w14:paraId="001B4631"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NACE 2.red. 11.nodaļu "Dzērienu ražošana", izņemot klasi 11.06 "Iesala ražošana" un klasi 11.07 "Bezalkohola dzērienu ražošana; minerālūdeņu un pudelēs iepildītu citu ūdeņu ražošana" (NACE 1.1.red. grupa 15.9 "Dzērienu ražošana", izņemot klasi 15.97 "Iesala ražošana" un klasi 15.98 "Minerālūdeņu un bezalkoholisko dzērienu ražošana").</w:t>
      </w:r>
    </w:p>
    <w:p w14:paraId="001B4632"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Tabakas izstrādājumu ražošanas nozare</w:t>
      </w:r>
    </w:p>
    <w:p w14:paraId="001B4633"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NACE 2.red. 12.nodaļu "Tabakas izstrādājumu ražošana" (NACE 1.1.red. 16.nodaļa "Tabakas izstrādājumu ražošana").</w:t>
      </w:r>
    </w:p>
    <w:p w14:paraId="001B4634"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Tirdzniecības nozare</w:t>
      </w:r>
    </w:p>
    <w:p w14:paraId="001B4635"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 xml:space="preserve">NACE 2.red. G sadaļu "Vairumtirdzniecība un mazumtirdzniecība; automobiļu un motociklu remonts", izņemot grupu 45.2 "Automobiļu apkope un remonts" </w:t>
      </w:r>
      <w:proofErr w:type="gramStart"/>
      <w:r w:rsidRPr="00C40A88">
        <w:rPr>
          <w:rFonts w:asciiTheme="minorHAnsi" w:eastAsia="Times New Roman" w:hAnsiTheme="minorHAnsi" w:cstheme="minorHAnsi"/>
          <w:color w:val="414142"/>
          <w:szCs w:val="24"/>
          <w:lang w:eastAsia="lv-LV"/>
        </w:rPr>
        <w:t>(</w:t>
      </w:r>
      <w:proofErr w:type="gramEnd"/>
      <w:r w:rsidRPr="00C40A88">
        <w:rPr>
          <w:rFonts w:asciiTheme="minorHAnsi" w:eastAsia="Times New Roman" w:hAnsiTheme="minorHAnsi" w:cstheme="minorHAnsi"/>
          <w:color w:val="414142"/>
          <w:szCs w:val="24"/>
          <w:lang w:eastAsia="lv-LV"/>
        </w:rPr>
        <w:t>NACE 1.1.red. G sekcija "Vairumtirdzniecība un mazumtirdzniecība; automobiļu, motociklu, individuālās lietošanas priekšmetu, sadzīves aparatūras un iekārtu remonts", izņemot grupu 50.2 "Automobiļu apkope un remonts" un grupu 52.7 "Individuālās lietošanas priekšmetu, sadzīves aparatūras un iekārtu remonts").</w:t>
      </w:r>
    </w:p>
    <w:p w14:paraId="001B4636"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Finanšu starpniecības nozare</w:t>
      </w:r>
    </w:p>
    <w:p w14:paraId="001B4637"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 xml:space="preserve">NACE 2.red. K sadaļu "Finanšu un apdrošināšanas darbības" </w:t>
      </w:r>
      <w:proofErr w:type="gramStart"/>
      <w:r w:rsidRPr="00C40A88">
        <w:rPr>
          <w:rFonts w:asciiTheme="minorHAnsi" w:eastAsia="Times New Roman" w:hAnsiTheme="minorHAnsi" w:cstheme="minorHAnsi"/>
          <w:color w:val="414142"/>
          <w:szCs w:val="24"/>
          <w:lang w:eastAsia="lv-LV"/>
        </w:rPr>
        <w:t>(</w:t>
      </w:r>
      <w:proofErr w:type="gramEnd"/>
      <w:r w:rsidRPr="00C40A88">
        <w:rPr>
          <w:rFonts w:asciiTheme="minorHAnsi" w:eastAsia="Times New Roman" w:hAnsiTheme="minorHAnsi" w:cstheme="minorHAnsi"/>
          <w:color w:val="414142"/>
          <w:szCs w:val="24"/>
          <w:lang w:eastAsia="lv-LV"/>
        </w:rPr>
        <w:t>NACE 1.1.red. J sekcija "Finanšu starpniecība").</w:t>
      </w:r>
    </w:p>
    <w:p w14:paraId="001B4638"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 xml:space="preserve"> Komercpakalpojumu nozare</w:t>
      </w:r>
    </w:p>
    <w:p w14:paraId="001B4639"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NACE 2.red. L sadaļu "Operācijas ar nekustamo īpašumu" un 77.nodaļu "Iznomāšana un ekspluatācijas līzings" (NACE 1.1.red. 70.nodaļa "Operācijas ar nekustamo īpašumu" un 71.nodaļa "Transportlīdzekļu, mašīnu un iekārtu, individuālās lietošanas priekšmetu, sadzīves aparatūras un iekārtu iznomāšana").</w:t>
      </w:r>
    </w:p>
    <w:p w14:paraId="001B463A"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lastRenderedPageBreak/>
        <w:t>Azartspēļu nozare</w:t>
      </w:r>
    </w:p>
    <w:p w14:paraId="001B463B"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NACE 2.red. 92.nodaļu "Azartspēles un derības" (NACE 1.1.red. klase 92.71 "Azartspēles un derības").</w:t>
      </w:r>
    </w:p>
    <w:p w14:paraId="001B463C"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Kuģu būve</w:t>
      </w:r>
    </w:p>
    <w:p w14:paraId="001B463D"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Komisijas regulas Nr.651/2014 13.pantā „a” apakšpunktā minētās kuģu būves nozare.</w:t>
      </w:r>
    </w:p>
    <w:p w14:paraId="001B463E"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NACE 2.red. klasē 30.11 "Kuģu un peldošo iekārtu būve" (NACE 1.1.red. klase 35.11 "Kuģu būve un remonts").</w:t>
      </w:r>
    </w:p>
    <w:p w14:paraId="001B463F"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Cs/>
          <w:color w:val="414142"/>
          <w:szCs w:val="24"/>
          <w:lang w:eastAsia="lv-LV"/>
        </w:rPr>
      </w:pPr>
      <w:r w:rsidRPr="00C40A88">
        <w:rPr>
          <w:rFonts w:asciiTheme="minorHAnsi" w:eastAsia="Times New Roman" w:hAnsiTheme="minorHAnsi" w:cstheme="minorHAnsi"/>
          <w:b/>
          <w:bCs/>
          <w:color w:val="414142"/>
          <w:szCs w:val="24"/>
          <w:lang w:eastAsia="lv-LV"/>
        </w:rPr>
        <w:t>Tērauda nozare</w:t>
      </w:r>
    </w:p>
    <w:p w14:paraId="001B4640" w14:textId="77777777" w:rsidR="00AE3BA4" w:rsidRPr="00C40A88"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Komisijas regulas Nr.651/2014 13.panta „a” apakšpunktā minētā tērauda nozare, kā arī visas darbības, kas saistītas ar viena vai vairāku šādu produktu ražošanu, kā definēts Komisijas regulas Nr.651/2014 2.panta 43.punktā.</w:t>
      </w:r>
    </w:p>
    <w:p w14:paraId="001B4641" w14:textId="77777777" w:rsidR="00AE3BA4" w:rsidRPr="00C40A88" w:rsidRDefault="00AE3BA4" w:rsidP="00AE3BA4">
      <w:pPr>
        <w:spacing w:before="100" w:beforeAutospacing="1" w:after="100" w:afterAutospacing="1" w:line="293" w:lineRule="atLeast"/>
        <w:ind w:firstLine="300"/>
        <w:jc w:val="center"/>
        <w:rPr>
          <w:rFonts w:asciiTheme="minorHAnsi" w:eastAsia="Times New Roman" w:hAnsiTheme="minorHAnsi" w:cstheme="minorHAnsi"/>
          <w:b/>
          <w:bCs/>
          <w:color w:val="414142"/>
          <w:szCs w:val="24"/>
          <w:lang w:eastAsia="lv-LV"/>
        </w:rPr>
      </w:pPr>
      <w:r w:rsidRPr="00C40A88">
        <w:rPr>
          <w:rFonts w:asciiTheme="minorHAnsi" w:eastAsia="Times New Roman" w:hAnsiTheme="minorHAnsi" w:cstheme="minorHAnsi"/>
          <w:b/>
          <w:bCs/>
          <w:color w:val="414142"/>
          <w:szCs w:val="24"/>
          <w:lang w:eastAsia="lv-LV"/>
        </w:rPr>
        <w:t>Sintētisko šķiedru ražošanas nozare</w:t>
      </w:r>
    </w:p>
    <w:p w14:paraId="001B4642" w14:textId="77777777" w:rsidR="00AE3BA4" w:rsidRPr="00C40A88" w:rsidRDefault="00AE3BA4" w:rsidP="00AE3BA4">
      <w:pPr>
        <w:spacing w:before="100" w:beforeAutospacing="1" w:after="100" w:afterAutospacing="1" w:line="293" w:lineRule="atLeast"/>
        <w:ind w:firstLine="300"/>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Komisijas regulas Nr.651/2014 13.panta „a” apakšpunktā minētā sintētisko šķiedru nozare, kā definēts Komisijas regulas Nr.651/2014 2.panta 44.punktā.</w:t>
      </w:r>
    </w:p>
    <w:p w14:paraId="001B4643" w14:textId="3B5C5B2B" w:rsidR="00AE3BA4" w:rsidRDefault="00AE3BA4" w:rsidP="00C40A88">
      <w:pPr>
        <w:spacing w:before="100" w:beforeAutospacing="1" w:after="100" w:afterAutospacing="1" w:line="293" w:lineRule="atLeast"/>
        <w:ind w:firstLine="300"/>
        <w:jc w:val="both"/>
        <w:rPr>
          <w:rFonts w:asciiTheme="minorHAnsi" w:eastAsia="Times New Roman" w:hAnsiTheme="minorHAnsi" w:cstheme="minorHAnsi"/>
          <w:color w:val="414142"/>
          <w:szCs w:val="24"/>
          <w:lang w:eastAsia="lv-LV"/>
        </w:rPr>
      </w:pPr>
      <w:r w:rsidRPr="00C40A88">
        <w:rPr>
          <w:rFonts w:asciiTheme="minorHAnsi" w:eastAsia="Times New Roman" w:hAnsiTheme="minorHAnsi" w:cstheme="minorHAnsi"/>
          <w:color w:val="414142"/>
          <w:szCs w:val="24"/>
          <w:lang w:eastAsia="lv-LV"/>
        </w:rPr>
        <w:t>NACE 2.red. grupā 20.6 "Sintētisko šķiedru ražošana" (NACE 1.1.red. grupa 24.7 "Sintētisko šķiedru ražošana").</w:t>
      </w:r>
      <w:r w:rsidR="00623AB7">
        <w:rPr>
          <w:rFonts w:asciiTheme="minorHAnsi" w:eastAsia="Times New Roman" w:hAnsiTheme="minorHAnsi" w:cstheme="minorHAnsi"/>
          <w:color w:val="414142"/>
          <w:szCs w:val="24"/>
          <w:lang w:eastAsia="lv-LV"/>
        </w:rPr>
        <w:t>"</w:t>
      </w:r>
    </w:p>
    <w:p w14:paraId="001B4644" w14:textId="77777777" w:rsidR="00C40A88" w:rsidRDefault="00C40A88" w:rsidP="00AE3BA4">
      <w:pPr>
        <w:spacing w:before="100" w:beforeAutospacing="1" w:after="100" w:afterAutospacing="1" w:line="293" w:lineRule="atLeast"/>
        <w:ind w:firstLine="300"/>
        <w:rPr>
          <w:rFonts w:asciiTheme="minorHAnsi" w:eastAsia="Times New Roman" w:hAnsiTheme="minorHAnsi" w:cstheme="minorHAnsi"/>
          <w:color w:val="414142"/>
          <w:szCs w:val="24"/>
          <w:lang w:eastAsia="lv-LV"/>
        </w:rPr>
      </w:pPr>
    </w:p>
    <w:p w14:paraId="001B4645" w14:textId="5B406B6D" w:rsidR="00C40A88" w:rsidRPr="00D97140" w:rsidRDefault="00C40A88" w:rsidP="00D97140">
      <w:pPr>
        <w:tabs>
          <w:tab w:val="left" w:pos="6237"/>
        </w:tabs>
        <w:spacing w:before="100" w:beforeAutospacing="1" w:after="100" w:afterAutospacing="1" w:line="293" w:lineRule="atLeast"/>
        <w:ind w:firstLine="709"/>
        <w:rPr>
          <w:rFonts w:asciiTheme="minorHAnsi" w:eastAsia="Times New Roman" w:hAnsiTheme="minorHAnsi" w:cstheme="minorHAnsi"/>
          <w:color w:val="414142"/>
          <w:sz w:val="28"/>
          <w:szCs w:val="24"/>
          <w:lang w:eastAsia="lv-LV"/>
        </w:rPr>
      </w:pPr>
      <w:r w:rsidRPr="00D97140">
        <w:rPr>
          <w:rFonts w:asciiTheme="minorHAnsi" w:eastAsia="Times New Roman" w:hAnsiTheme="minorHAnsi" w:cstheme="minorHAnsi"/>
          <w:color w:val="414142"/>
          <w:sz w:val="28"/>
          <w:szCs w:val="24"/>
          <w:lang w:eastAsia="lv-LV"/>
        </w:rPr>
        <w:t xml:space="preserve">Ekonomikas ministrs </w:t>
      </w:r>
      <w:r w:rsidRPr="00D97140">
        <w:rPr>
          <w:rFonts w:asciiTheme="minorHAnsi" w:eastAsia="Times New Roman" w:hAnsiTheme="minorHAnsi" w:cstheme="minorHAnsi"/>
          <w:color w:val="414142"/>
          <w:sz w:val="28"/>
          <w:szCs w:val="24"/>
          <w:lang w:eastAsia="lv-LV"/>
        </w:rPr>
        <w:tab/>
        <w:t>Vjačeslavs Dombrovskis</w:t>
      </w:r>
    </w:p>
    <w:sectPr w:rsidR="00C40A88" w:rsidRPr="00D97140" w:rsidSect="00D97140">
      <w:headerReference w:type="default" r:id="rId7"/>
      <w:footerReference w:type="default" r:id="rId8"/>
      <w:footerReference w:type="first" r:id="rId9"/>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F9248" w14:textId="77777777" w:rsidR="003422E3" w:rsidRDefault="003422E3" w:rsidP="003422E3">
      <w:pPr>
        <w:spacing w:after="0" w:line="240" w:lineRule="auto"/>
      </w:pPr>
      <w:r>
        <w:separator/>
      </w:r>
    </w:p>
  </w:endnote>
  <w:endnote w:type="continuationSeparator" w:id="0">
    <w:p w14:paraId="2358311B" w14:textId="77777777" w:rsidR="003422E3" w:rsidRDefault="003422E3" w:rsidP="0034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08429808"/>
      <w:docPartObj>
        <w:docPartGallery w:val="Page Numbers (Bottom of Page)"/>
        <w:docPartUnique/>
      </w:docPartObj>
    </w:sdtPr>
    <w:sdtEndPr>
      <w:rPr>
        <w:noProof/>
      </w:rPr>
    </w:sdtEndPr>
    <w:sdtContent>
      <w:p w14:paraId="1FD2F7CB" w14:textId="35D128E0" w:rsidR="003422E3" w:rsidRPr="00D97140" w:rsidRDefault="00D97140" w:rsidP="00D97140">
        <w:pPr>
          <w:pStyle w:val="Footer"/>
          <w:rPr>
            <w:sz w:val="16"/>
            <w:szCs w:val="16"/>
          </w:rPr>
        </w:pPr>
        <w:r w:rsidRPr="00D97140">
          <w:rPr>
            <w:sz w:val="16"/>
            <w:szCs w:val="16"/>
          </w:rPr>
          <w:t>N2373_4p1_EM</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4949" w14:textId="3E03612F" w:rsidR="00D97140" w:rsidRPr="00D97140" w:rsidRDefault="00D97140">
    <w:pPr>
      <w:pStyle w:val="Footer"/>
      <w:rPr>
        <w:sz w:val="16"/>
        <w:szCs w:val="16"/>
      </w:rPr>
    </w:pPr>
    <w:r w:rsidRPr="00D97140">
      <w:rPr>
        <w:sz w:val="16"/>
        <w:szCs w:val="16"/>
      </w:rPr>
      <w:t>N2373_</w:t>
    </w:r>
    <w:r>
      <w:rPr>
        <w:sz w:val="16"/>
        <w:szCs w:val="16"/>
      </w:rPr>
      <w:t>4</w:t>
    </w:r>
    <w:r w:rsidRPr="00D97140">
      <w:rPr>
        <w:sz w:val="16"/>
        <w:szCs w:val="16"/>
      </w:rPr>
      <w:t>p1_EM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809F7" w14:textId="77777777" w:rsidR="003422E3" w:rsidRDefault="003422E3" w:rsidP="003422E3">
      <w:pPr>
        <w:spacing w:after="0" w:line="240" w:lineRule="auto"/>
      </w:pPr>
      <w:r>
        <w:separator/>
      </w:r>
    </w:p>
  </w:footnote>
  <w:footnote w:type="continuationSeparator" w:id="0">
    <w:p w14:paraId="3070846F" w14:textId="77777777" w:rsidR="003422E3" w:rsidRDefault="003422E3" w:rsidP="00342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48833"/>
      <w:docPartObj>
        <w:docPartGallery w:val="Page Numbers (Top of Page)"/>
        <w:docPartUnique/>
      </w:docPartObj>
    </w:sdtPr>
    <w:sdtEndPr>
      <w:rPr>
        <w:noProof/>
      </w:rPr>
    </w:sdtEndPr>
    <w:sdtContent>
      <w:p w14:paraId="29A6F0E7" w14:textId="0A434FEE" w:rsidR="00D97140" w:rsidRDefault="00D97140">
        <w:pPr>
          <w:pStyle w:val="Header"/>
          <w:jc w:val="center"/>
        </w:pPr>
        <w:r>
          <w:fldChar w:fldCharType="begin"/>
        </w:r>
        <w:r>
          <w:instrText xml:space="preserve"> PAGE   \* MERGEFORMAT </w:instrText>
        </w:r>
        <w:r>
          <w:fldChar w:fldCharType="separate"/>
        </w:r>
        <w:r w:rsidR="00CC6C86">
          <w:rPr>
            <w:noProof/>
          </w:rPr>
          <w:t>3</w:t>
        </w:r>
        <w:r>
          <w:rPr>
            <w:noProof/>
          </w:rPr>
          <w:fldChar w:fldCharType="end"/>
        </w:r>
      </w:p>
    </w:sdtContent>
  </w:sdt>
  <w:p w14:paraId="4478BA91" w14:textId="77777777" w:rsidR="00D97140" w:rsidRDefault="00D97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A4"/>
    <w:rsid w:val="00096549"/>
    <w:rsid w:val="003422E3"/>
    <w:rsid w:val="00623AB7"/>
    <w:rsid w:val="007D4072"/>
    <w:rsid w:val="00AA26F1"/>
    <w:rsid w:val="00AE3BA4"/>
    <w:rsid w:val="00C40A88"/>
    <w:rsid w:val="00CC6C86"/>
    <w:rsid w:val="00D971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A4"/>
    <w:pPr>
      <w:spacing w:after="200" w:line="276" w:lineRule="auto"/>
    </w:pPr>
    <w:rPr>
      <w:rFonts w:ascii="Times New Roman" w:eastAsia="Calibri" w:hAnsi="Times New Roman"/>
      <w:sz w:val="24"/>
    </w:rPr>
  </w:style>
  <w:style w:type="paragraph" w:styleId="Heading1">
    <w:name w:val="heading 1"/>
    <w:basedOn w:val="Normal"/>
    <w:next w:val="Normal"/>
    <w:link w:val="Heading1Char"/>
    <w:uiPriority w:val="9"/>
    <w:qFormat/>
    <w:rsid w:val="00AA26F1"/>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A26F1"/>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line="240" w:lineRule="auto"/>
      <w:outlineLvl w:val="5"/>
    </w:pPr>
    <w:rPr>
      <w:rFonts w:asciiTheme="minorHAnsi" w:eastAsiaTheme="minorHAnsi" w:hAnsiTheme="minorHAnsi"/>
      <w:b/>
      <w:bCs/>
      <w:sz w:val="22"/>
    </w:rPr>
  </w:style>
  <w:style w:type="paragraph" w:styleId="Heading7">
    <w:name w:val="heading 7"/>
    <w:basedOn w:val="Normal"/>
    <w:next w:val="Normal"/>
    <w:link w:val="Heading7Char"/>
    <w:uiPriority w:val="9"/>
    <w:semiHidden/>
    <w:unhideWhenUsed/>
    <w:qFormat/>
    <w:rsid w:val="00AA26F1"/>
    <w:pPr>
      <w:spacing w:before="240" w:after="60" w:line="240" w:lineRule="auto"/>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AA26F1"/>
    <w:pPr>
      <w:spacing w:before="240" w:after="60" w:line="240" w:lineRule="auto"/>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AA26F1"/>
    <w:pPr>
      <w:spacing w:before="240" w:after="60" w:line="240" w:lineRule="auto"/>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line="240" w:lineRule="auto"/>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pPr>
      <w:spacing w:after="0" w:line="240" w:lineRule="auto"/>
    </w:pPr>
    <w:rPr>
      <w:rFonts w:asciiTheme="minorHAnsi" w:eastAsiaTheme="minorHAnsi" w:hAnsiTheme="minorHAnsi"/>
      <w:szCs w:val="32"/>
    </w:rPr>
  </w:style>
  <w:style w:type="paragraph" w:styleId="ListParagraph">
    <w:name w:val="List Paragraph"/>
    <w:basedOn w:val="Normal"/>
    <w:uiPriority w:val="34"/>
    <w:qFormat/>
    <w:rsid w:val="00AA26F1"/>
    <w:pPr>
      <w:spacing w:after="0" w:line="240" w:lineRule="auto"/>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AA26F1"/>
    <w:pPr>
      <w:spacing w:after="0" w:line="240" w:lineRule="auto"/>
    </w:pPr>
    <w:rPr>
      <w:rFonts w:asciiTheme="minorHAnsi" w:eastAsiaTheme="minorHAnsi" w:hAnsiTheme="minorHAnsi"/>
      <w:i/>
      <w:szCs w:val="24"/>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spacing w:after="0" w:line="240" w:lineRule="auto"/>
      <w:ind w:left="720" w:right="720"/>
    </w:pPr>
    <w:rPr>
      <w:rFonts w:asciiTheme="minorHAnsi" w:eastAsiaTheme="minorHAnsi" w:hAnsiTheme="minorHAnsi"/>
      <w:b/>
      <w:i/>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Header">
    <w:name w:val="header"/>
    <w:basedOn w:val="Normal"/>
    <w:link w:val="HeaderChar"/>
    <w:uiPriority w:val="99"/>
    <w:unhideWhenUsed/>
    <w:rsid w:val="003422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2E3"/>
    <w:rPr>
      <w:rFonts w:ascii="Times New Roman" w:eastAsia="Calibri" w:hAnsi="Times New Roman"/>
      <w:sz w:val="24"/>
    </w:rPr>
  </w:style>
  <w:style w:type="paragraph" w:styleId="Footer">
    <w:name w:val="footer"/>
    <w:basedOn w:val="Normal"/>
    <w:link w:val="FooterChar"/>
    <w:uiPriority w:val="99"/>
    <w:unhideWhenUsed/>
    <w:rsid w:val="003422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2E3"/>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A4"/>
    <w:pPr>
      <w:spacing w:after="200" w:line="276" w:lineRule="auto"/>
    </w:pPr>
    <w:rPr>
      <w:rFonts w:ascii="Times New Roman" w:eastAsia="Calibri" w:hAnsi="Times New Roman"/>
      <w:sz w:val="24"/>
    </w:rPr>
  </w:style>
  <w:style w:type="paragraph" w:styleId="Heading1">
    <w:name w:val="heading 1"/>
    <w:basedOn w:val="Normal"/>
    <w:next w:val="Normal"/>
    <w:link w:val="Heading1Char"/>
    <w:uiPriority w:val="9"/>
    <w:qFormat/>
    <w:rsid w:val="00AA26F1"/>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A26F1"/>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line="240" w:lineRule="auto"/>
      <w:outlineLvl w:val="5"/>
    </w:pPr>
    <w:rPr>
      <w:rFonts w:asciiTheme="minorHAnsi" w:eastAsiaTheme="minorHAnsi" w:hAnsiTheme="minorHAnsi"/>
      <w:b/>
      <w:bCs/>
      <w:sz w:val="22"/>
    </w:rPr>
  </w:style>
  <w:style w:type="paragraph" w:styleId="Heading7">
    <w:name w:val="heading 7"/>
    <w:basedOn w:val="Normal"/>
    <w:next w:val="Normal"/>
    <w:link w:val="Heading7Char"/>
    <w:uiPriority w:val="9"/>
    <w:semiHidden/>
    <w:unhideWhenUsed/>
    <w:qFormat/>
    <w:rsid w:val="00AA26F1"/>
    <w:pPr>
      <w:spacing w:before="240" w:after="60" w:line="240" w:lineRule="auto"/>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AA26F1"/>
    <w:pPr>
      <w:spacing w:before="240" w:after="60" w:line="240" w:lineRule="auto"/>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AA26F1"/>
    <w:pPr>
      <w:spacing w:before="240" w:after="60" w:line="240" w:lineRule="auto"/>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line="240" w:lineRule="auto"/>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pPr>
      <w:spacing w:after="0" w:line="240" w:lineRule="auto"/>
    </w:pPr>
    <w:rPr>
      <w:rFonts w:asciiTheme="minorHAnsi" w:eastAsiaTheme="minorHAnsi" w:hAnsiTheme="minorHAnsi"/>
      <w:szCs w:val="32"/>
    </w:rPr>
  </w:style>
  <w:style w:type="paragraph" w:styleId="ListParagraph">
    <w:name w:val="List Paragraph"/>
    <w:basedOn w:val="Normal"/>
    <w:uiPriority w:val="34"/>
    <w:qFormat/>
    <w:rsid w:val="00AA26F1"/>
    <w:pPr>
      <w:spacing w:after="0" w:line="240" w:lineRule="auto"/>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AA26F1"/>
    <w:pPr>
      <w:spacing w:after="0" w:line="240" w:lineRule="auto"/>
    </w:pPr>
    <w:rPr>
      <w:rFonts w:asciiTheme="minorHAnsi" w:eastAsiaTheme="minorHAnsi" w:hAnsiTheme="minorHAnsi"/>
      <w:i/>
      <w:szCs w:val="24"/>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spacing w:after="0" w:line="240" w:lineRule="auto"/>
      <w:ind w:left="720" w:right="720"/>
    </w:pPr>
    <w:rPr>
      <w:rFonts w:asciiTheme="minorHAnsi" w:eastAsiaTheme="minorHAnsi" w:hAnsiTheme="minorHAnsi"/>
      <w:b/>
      <w:i/>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Header">
    <w:name w:val="header"/>
    <w:basedOn w:val="Normal"/>
    <w:link w:val="HeaderChar"/>
    <w:uiPriority w:val="99"/>
    <w:unhideWhenUsed/>
    <w:rsid w:val="003422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2E3"/>
    <w:rPr>
      <w:rFonts w:ascii="Times New Roman" w:eastAsia="Calibri" w:hAnsi="Times New Roman"/>
      <w:sz w:val="24"/>
    </w:rPr>
  </w:style>
  <w:style w:type="paragraph" w:styleId="Footer">
    <w:name w:val="footer"/>
    <w:basedOn w:val="Normal"/>
    <w:link w:val="FooterChar"/>
    <w:uiPriority w:val="99"/>
    <w:unhideWhenUsed/>
    <w:rsid w:val="003422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2E3"/>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3010</Words>
  <Characters>1716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Leontīne Babkina</cp:lastModifiedBy>
  <cp:revision>6</cp:revision>
  <cp:lastPrinted>2014-10-23T12:22:00Z</cp:lastPrinted>
  <dcterms:created xsi:type="dcterms:W3CDTF">2014-10-21T11:02:00Z</dcterms:created>
  <dcterms:modified xsi:type="dcterms:W3CDTF">2014-11-04T06:37:00Z</dcterms:modified>
</cp:coreProperties>
</file>