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BF" w:rsidRDefault="003C66BF" w:rsidP="00BE5E1F">
      <w:pPr>
        <w:jc w:val="center"/>
        <w:rPr>
          <w:b/>
          <w:sz w:val="28"/>
          <w:szCs w:val="28"/>
        </w:rPr>
      </w:pPr>
      <w:proofErr w:type="spellStart"/>
      <w:r>
        <w:rPr>
          <w:b/>
          <w:sz w:val="28"/>
          <w:szCs w:val="28"/>
        </w:rPr>
        <w:t>Ministru</w:t>
      </w:r>
      <w:proofErr w:type="spellEnd"/>
      <w:r>
        <w:rPr>
          <w:b/>
          <w:sz w:val="28"/>
          <w:szCs w:val="28"/>
        </w:rPr>
        <w:t xml:space="preserve"> </w:t>
      </w:r>
      <w:proofErr w:type="spellStart"/>
      <w:r>
        <w:rPr>
          <w:b/>
          <w:sz w:val="28"/>
          <w:szCs w:val="28"/>
        </w:rPr>
        <w:t>kabineta</w:t>
      </w:r>
      <w:proofErr w:type="spellEnd"/>
      <w:r>
        <w:rPr>
          <w:b/>
          <w:sz w:val="28"/>
          <w:szCs w:val="28"/>
        </w:rPr>
        <w:t xml:space="preserve"> </w:t>
      </w:r>
      <w:proofErr w:type="spellStart"/>
      <w:r>
        <w:rPr>
          <w:b/>
          <w:sz w:val="28"/>
          <w:szCs w:val="28"/>
        </w:rPr>
        <w:t>noteikumu</w:t>
      </w:r>
      <w:proofErr w:type="spellEnd"/>
      <w:r>
        <w:rPr>
          <w:b/>
          <w:sz w:val="28"/>
          <w:szCs w:val="28"/>
        </w:rPr>
        <w:t xml:space="preserve"> </w:t>
      </w:r>
      <w:proofErr w:type="spellStart"/>
      <w:r>
        <w:rPr>
          <w:b/>
          <w:sz w:val="28"/>
          <w:szCs w:val="28"/>
        </w:rPr>
        <w:t>projekta</w:t>
      </w:r>
      <w:proofErr w:type="spellEnd"/>
    </w:p>
    <w:p w:rsidR="003C66BF" w:rsidRDefault="003C66BF" w:rsidP="00BE5E1F">
      <w:pPr>
        <w:jc w:val="center"/>
        <w:rPr>
          <w:b/>
          <w:sz w:val="28"/>
          <w:szCs w:val="28"/>
        </w:rPr>
      </w:pPr>
      <w:r>
        <w:rPr>
          <w:b/>
          <w:sz w:val="28"/>
          <w:szCs w:val="28"/>
        </w:rPr>
        <w:t>„</w:t>
      </w:r>
      <w:proofErr w:type="spellStart"/>
      <w:r>
        <w:rPr>
          <w:b/>
          <w:sz w:val="28"/>
          <w:szCs w:val="28"/>
        </w:rPr>
        <w:t>Grozījumi</w:t>
      </w:r>
      <w:proofErr w:type="spellEnd"/>
      <w:r>
        <w:rPr>
          <w:b/>
          <w:sz w:val="28"/>
          <w:szCs w:val="28"/>
        </w:rPr>
        <w:t xml:space="preserve"> </w:t>
      </w:r>
      <w:proofErr w:type="spellStart"/>
      <w:r>
        <w:rPr>
          <w:b/>
          <w:sz w:val="28"/>
          <w:szCs w:val="28"/>
        </w:rPr>
        <w:t>Ministru</w:t>
      </w:r>
      <w:proofErr w:type="spellEnd"/>
      <w:r>
        <w:rPr>
          <w:b/>
          <w:sz w:val="28"/>
          <w:szCs w:val="28"/>
        </w:rPr>
        <w:t xml:space="preserve"> </w:t>
      </w:r>
      <w:proofErr w:type="spellStart"/>
      <w:r>
        <w:rPr>
          <w:b/>
          <w:sz w:val="28"/>
          <w:szCs w:val="28"/>
        </w:rPr>
        <w:t>kabineta</w:t>
      </w:r>
      <w:proofErr w:type="spellEnd"/>
      <w:r>
        <w:rPr>
          <w:b/>
          <w:sz w:val="28"/>
          <w:szCs w:val="28"/>
        </w:rPr>
        <w:t xml:space="preserve"> 2013.gada 19.novembra </w:t>
      </w:r>
      <w:proofErr w:type="spellStart"/>
      <w:r>
        <w:rPr>
          <w:b/>
          <w:sz w:val="28"/>
          <w:szCs w:val="28"/>
        </w:rPr>
        <w:t>noteikumos</w:t>
      </w:r>
      <w:proofErr w:type="spellEnd"/>
      <w:r>
        <w:rPr>
          <w:b/>
          <w:sz w:val="28"/>
          <w:szCs w:val="28"/>
        </w:rPr>
        <w:t xml:space="preserve"> Nr.1317 „</w:t>
      </w:r>
      <w:proofErr w:type="spellStart"/>
      <w:r>
        <w:rPr>
          <w:b/>
          <w:sz w:val="28"/>
          <w:szCs w:val="28"/>
        </w:rPr>
        <w:t>Noteikumi</w:t>
      </w:r>
      <w:proofErr w:type="spellEnd"/>
      <w:r>
        <w:rPr>
          <w:b/>
          <w:sz w:val="28"/>
          <w:szCs w:val="28"/>
        </w:rPr>
        <w:t xml:space="preserve"> par </w:t>
      </w:r>
      <w:proofErr w:type="spellStart"/>
      <w:r>
        <w:rPr>
          <w:b/>
          <w:sz w:val="28"/>
          <w:szCs w:val="28"/>
        </w:rPr>
        <w:t>speciālo</w:t>
      </w:r>
      <w:proofErr w:type="spellEnd"/>
      <w:r>
        <w:rPr>
          <w:b/>
          <w:sz w:val="28"/>
          <w:szCs w:val="28"/>
        </w:rPr>
        <w:t xml:space="preserve"> </w:t>
      </w:r>
      <w:proofErr w:type="spellStart"/>
      <w:r>
        <w:rPr>
          <w:b/>
          <w:sz w:val="28"/>
          <w:szCs w:val="28"/>
        </w:rPr>
        <w:t>līdzekļu</w:t>
      </w:r>
      <w:proofErr w:type="spellEnd"/>
      <w:r>
        <w:rPr>
          <w:b/>
          <w:sz w:val="28"/>
          <w:szCs w:val="28"/>
        </w:rPr>
        <w:t xml:space="preserve"> </w:t>
      </w:r>
      <w:proofErr w:type="spellStart"/>
      <w:r>
        <w:rPr>
          <w:b/>
          <w:sz w:val="28"/>
          <w:szCs w:val="28"/>
        </w:rPr>
        <w:t>veidiem</w:t>
      </w:r>
      <w:proofErr w:type="spellEnd"/>
      <w:r>
        <w:rPr>
          <w:b/>
          <w:sz w:val="28"/>
          <w:szCs w:val="28"/>
        </w:rPr>
        <w:t xml:space="preserve"> </w:t>
      </w:r>
      <w:proofErr w:type="gramStart"/>
      <w:r>
        <w:rPr>
          <w:b/>
          <w:sz w:val="28"/>
          <w:szCs w:val="28"/>
        </w:rPr>
        <w:t>un</w:t>
      </w:r>
      <w:proofErr w:type="gramEnd"/>
      <w:r>
        <w:rPr>
          <w:b/>
          <w:sz w:val="28"/>
          <w:szCs w:val="28"/>
        </w:rPr>
        <w:t xml:space="preserve"> </w:t>
      </w:r>
      <w:proofErr w:type="spellStart"/>
      <w:r>
        <w:rPr>
          <w:b/>
          <w:sz w:val="28"/>
          <w:szCs w:val="28"/>
        </w:rPr>
        <w:t>kārtību</w:t>
      </w:r>
      <w:proofErr w:type="spellEnd"/>
      <w:r>
        <w:rPr>
          <w:b/>
          <w:sz w:val="28"/>
          <w:szCs w:val="28"/>
        </w:rPr>
        <w:t xml:space="preserve">, </w:t>
      </w:r>
      <w:proofErr w:type="spellStart"/>
      <w:r>
        <w:rPr>
          <w:b/>
          <w:sz w:val="28"/>
          <w:szCs w:val="28"/>
        </w:rPr>
        <w:t>kādā</w:t>
      </w:r>
      <w:proofErr w:type="spellEnd"/>
      <w:r>
        <w:rPr>
          <w:b/>
          <w:sz w:val="28"/>
          <w:szCs w:val="28"/>
        </w:rPr>
        <w:t xml:space="preserve"> </w:t>
      </w:r>
      <w:proofErr w:type="spellStart"/>
      <w:r>
        <w:rPr>
          <w:b/>
          <w:sz w:val="28"/>
          <w:szCs w:val="28"/>
        </w:rPr>
        <w:t>karavīri</w:t>
      </w:r>
      <w:proofErr w:type="spellEnd"/>
      <w:r>
        <w:rPr>
          <w:b/>
          <w:sz w:val="28"/>
          <w:szCs w:val="28"/>
        </w:rPr>
        <w:t xml:space="preserve"> </w:t>
      </w:r>
      <w:proofErr w:type="spellStart"/>
      <w:r>
        <w:rPr>
          <w:b/>
          <w:sz w:val="28"/>
          <w:szCs w:val="28"/>
        </w:rPr>
        <w:t>glabā</w:t>
      </w:r>
      <w:proofErr w:type="spellEnd"/>
      <w:r>
        <w:rPr>
          <w:b/>
          <w:sz w:val="28"/>
          <w:szCs w:val="28"/>
        </w:rPr>
        <w:t xml:space="preserve">, </w:t>
      </w:r>
      <w:proofErr w:type="spellStart"/>
      <w:r>
        <w:rPr>
          <w:b/>
          <w:sz w:val="28"/>
          <w:szCs w:val="28"/>
        </w:rPr>
        <w:t>nēsā</w:t>
      </w:r>
      <w:proofErr w:type="spellEnd"/>
      <w:r>
        <w:rPr>
          <w:b/>
          <w:sz w:val="28"/>
          <w:szCs w:val="28"/>
        </w:rPr>
        <w:t xml:space="preserve"> un </w:t>
      </w:r>
      <w:proofErr w:type="spellStart"/>
      <w:r>
        <w:rPr>
          <w:b/>
          <w:sz w:val="28"/>
          <w:szCs w:val="28"/>
        </w:rPr>
        <w:t>lieto</w:t>
      </w:r>
      <w:proofErr w:type="spellEnd"/>
      <w:r>
        <w:rPr>
          <w:b/>
          <w:sz w:val="28"/>
          <w:szCs w:val="28"/>
        </w:rPr>
        <w:t xml:space="preserve"> </w:t>
      </w:r>
      <w:proofErr w:type="spellStart"/>
      <w:r>
        <w:rPr>
          <w:b/>
          <w:sz w:val="28"/>
          <w:szCs w:val="28"/>
        </w:rPr>
        <w:t>speciālos</w:t>
      </w:r>
      <w:proofErr w:type="spellEnd"/>
      <w:r>
        <w:rPr>
          <w:b/>
          <w:sz w:val="28"/>
          <w:szCs w:val="28"/>
        </w:rPr>
        <w:t xml:space="preserve"> </w:t>
      </w:r>
      <w:proofErr w:type="spellStart"/>
      <w:r>
        <w:rPr>
          <w:b/>
          <w:sz w:val="28"/>
          <w:szCs w:val="28"/>
        </w:rPr>
        <w:t>līdzekļus</w:t>
      </w:r>
      <w:proofErr w:type="spellEnd"/>
      <w:r>
        <w:rPr>
          <w:b/>
          <w:sz w:val="28"/>
          <w:szCs w:val="28"/>
        </w:rPr>
        <w:t xml:space="preserve">”” </w:t>
      </w:r>
      <w:proofErr w:type="spellStart"/>
      <w:r>
        <w:rPr>
          <w:b/>
          <w:sz w:val="28"/>
          <w:szCs w:val="28"/>
        </w:rPr>
        <w:t>sākotnējās</w:t>
      </w:r>
      <w:proofErr w:type="spellEnd"/>
      <w:r>
        <w:rPr>
          <w:b/>
          <w:sz w:val="28"/>
          <w:szCs w:val="28"/>
        </w:rPr>
        <w:t xml:space="preserve"> </w:t>
      </w:r>
      <w:proofErr w:type="spellStart"/>
      <w:r>
        <w:rPr>
          <w:b/>
          <w:sz w:val="28"/>
          <w:szCs w:val="28"/>
        </w:rPr>
        <w:t>ietekmes</w:t>
      </w:r>
      <w:proofErr w:type="spellEnd"/>
      <w:r>
        <w:rPr>
          <w:b/>
          <w:sz w:val="28"/>
          <w:szCs w:val="28"/>
        </w:rPr>
        <w:t xml:space="preserve"> </w:t>
      </w:r>
      <w:proofErr w:type="spellStart"/>
      <w:r>
        <w:rPr>
          <w:b/>
          <w:sz w:val="28"/>
          <w:szCs w:val="28"/>
        </w:rPr>
        <w:t>novērtējuma</w:t>
      </w:r>
      <w:proofErr w:type="spellEnd"/>
      <w:r>
        <w:rPr>
          <w:b/>
          <w:sz w:val="28"/>
          <w:szCs w:val="28"/>
        </w:rPr>
        <w:t xml:space="preserve"> </w:t>
      </w:r>
      <w:proofErr w:type="spellStart"/>
      <w:r>
        <w:rPr>
          <w:b/>
          <w:sz w:val="28"/>
          <w:szCs w:val="28"/>
        </w:rPr>
        <w:t>ziņojums</w:t>
      </w:r>
      <w:proofErr w:type="spellEnd"/>
      <w:r>
        <w:rPr>
          <w:b/>
          <w:sz w:val="28"/>
          <w:szCs w:val="28"/>
        </w:rPr>
        <w:t xml:space="preserve"> (</w:t>
      </w:r>
      <w:proofErr w:type="spellStart"/>
      <w:r>
        <w:rPr>
          <w:b/>
          <w:sz w:val="28"/>
          <w:szCs w:val="28"/>
        </w:rPr>
        <w:t>anotācija</w:t>
      </w:r>
      <w:proofErr w:type="spellEnd"/>
      <w:r>
        <w:rPr>
          <w:b/>
          <w:sz w:val="28"/>
          <w:szCs w:val="28"/>
        </w:rPr>
        <w:t>)</w:t>
      </w:r>
    </w:p>
    <w:p w:rsidR="00DA55F2" w:rsidRPr="00E65F9E" w:rsidRDefault="00DA55F2" w:rsidP="00BE5E1F">
      <w:pPr>
        <w:shd w:val="clear" w:color="auto" w:fill="FFFFFF"/>
        <w:spacing w:before="45" w:line="240" w:lineRule="atLeast"/>
        <w:ind w:firstLine="300"/>
        <w:jc w:val="both"/>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3C66BF" w:rsidTr="0079325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3C66BF" w:rsidRDefault="00DA55F2" w:rsidP="00BE5E1F">
            <w:pPr>
              <w:spacing w:before="100" w:beforeAutospacing="1" w:after="100" w:afterAutospacing="1" w:line="315" w:lineRule="atLeast"/>
              <w:jc w:val="both"/>
              <w:rPr>
                <w:rFonts w:cs="Times New Roman"/>
                <w:b/>
                <w:bCs/>
                <w:sz w:val="28"/>
                <w:szCs w:val="28"/>
                <w:lang w:val="lv-LV" w:eastAsia="lv-LV" w:bidi="ar-SA"/>
              </w:rPr>
            </w:pPr>
            <w:r w:rsidRPr="003C66BF">
              <w:rPr>
                <w:rFonts w:cs="Times New Roman"/>
                <w:b/>
                <w:bCs/>
                <w:sz w:val="28"/>
                <w:szCs w:val="28"/>
                <w:lang w:val="lv-LV" w:eastAsia="lv-LV" w:bidi="ar-SA"/>
              </w:rPr>
              <w:t>I. Tiesību akta projekta izstrādes nepieciešamība</w:t>
            </w:r>
          </w:p>
        </w:tc>
      </w:tr>
      <w:tr w:rsidR="00065F37" w:rsidRPr="0031223B" w:rsidTr="00793251">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spacing w:before="100" w:beforeAutospacing="1" w:after="100" w:afterAutospacing="1" w:line="315" w:lineRule="atLeast"/>
              <w:jc w:val="both"/>
              <w:rPr>
                <w:rFonts w:cs="Times New Roman"/>
                <w:sz w:val="28"/>
                <w:szCs w:val="28"/>
                <w:lang w:val="lv-LV" w:eastAsia="lv-LV" w:bidi="ar-SA"/>
              </w:rPr>
            </w:pPr>
            <w:r w:rsidRPr="003C66BF">
              <w:rPr>
                <w:rFonts w:cs="Times New Roman"/>
                <w:sz w:val="28"/>
                <w:szCs w:val="28"/>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3C66BF" w:rsidRDefault="003C66BF" w:rsidP="00BE5E1F">
            <w:pPr>
              <w:jc w:val="both"/>
              <w:rPr>
                <w:rFonts w:cs="Times New Roman"/>
                <w:sz w:val="28"/>
                <w:szCs w:val="28"/>
                <w:lang w:val="lv-LV" w:eastAsia="lv-LV" w:bidi="ar-SA"/>
              </w:rPr>
            </w:pPr>
            <w:r w:rsidRPr="003C66BF">
              <w:rPr>
                <w:sz w:val="28"/>
                <w:szCs w:val="28"/>
                <w:lang w:val="lv-LV"/>
              </w:rPr>
              <w:t xml:space="preserve">Ministru kabineta noteikumu projekts „Grozījumi Ministru kabineta 2013.gada 19.novembra noteikumos Nr.1317 „Noteikumi par speciālo līdzekļu veidiem un kārtību, kādā karavīri glabā, nēsā un lieto speciālos līdzekļus”” izstrādāts, lai spēkā esošo noteikumu regulējumu precizētu atbilstoši Saeimā 2014.gada 22.maijā pieņemtajiem grozījumiem </w:t>
            </w:r>
            <w:r w:rsidRPr="003C66BF">
              <w:rPr>
                <w:rFonts w:eastAsia="Calibri"/>
                <w:sz w:val="28"/>
                <w:szCs w:val="28"/>
                <w:lang w:val="lv-LV"/>
              </w:rPr>
              <w:t xml:space="preserve">Latvijas Republikas Zemessardzes likuma 22.pantā, kas stājušies spēkā 2014.gada 18.jūnijā un paredz deleģējumu Ministru kabinetam noteikt kārtību, kādā </w:t>
            </w:r>
            <w:r w:rsidRPr="003C66BF">
              <w:rPr>
                <w:sz w:val="28"/>
                <w:szCs w:val="28"/>
                <w:lang w:val="lv-LV"/>
              </w:rPr>
              <w:t>zemessargam, pildot dienestu, ir tiesības glabāt, nēsāt un lietot speciālos līdzekļus.</w:t>
            </w:r>
          </w:p>
        </w:tc>
      </w:tr>
      <w:tr w:rsidR="00065F37" w:rsidRPr="0031223B" w:rsidTr="0014533C">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spacing w:before="100" w:beforeAutospacing="1" w:after="100" w:afterAutospacing="1" w:line="315" w:lineRule="atLeast"/>
              <w:jc w:val="both"/>
              <w:rPr>
                <w:rFonts w:cs="Times New Roman"/>
                <w:sz w:val="28"/>
                <w:szCs w:val="28"/>
                <w:lang w:val="lv-LV" w:eastAsia="lv-LV" w:bidi="ar-SA"/>
              </w:rPr>
            </w:pPr>
            <w:r w:rsidRPr="003C66BF">
              <w:rPr>
                <w:rFonts w:cs="Times New Roman"/>
                <w:sz w:val="28"/>
                <w:szCs w:val="28"/>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rsidR="00065F37" w:rsidRDefault="003C66BF" w:rsidP="00BE5E1F">
            <w:pPr>
              <w:jc w:val="both"/>
              <w:rPr>
                <w:sz w:val="28"/>
                <w:szCs w:val="28"/>
                <w:lang w:val="lv-LV"/>
              </w:rPr>
            </w:pPr>
            <w:r w:rsidRPr="003C66BF">
              <w:rPr>
                <w:sz w:val="28"/>
                <w:szCs w:val="28"/>
                <w:lang w:val="lv-LV"/>
              </w:rPr>
              <w:t>Saeima 2014.gada 22.maijā ir pieņēmusi likumprojektu „Grozījumi Latvijas Republikas Zemessardzes likumā”, kura 10.pants paredz grozījumu Latvijas Republikas Zemessardzes likuma 22.pantā - deleģējumu Ministru kabinetam noteikt kārtību, kādā zemessargam, pildot dienestu, ir tiesības glabāt, nēsāt un lietot speciālos līdzekļus. Līdz grozījumu Latvijas Republikas Zemessardzes likuma 22.pantā pieņemšanai, kārtību, kādā zemessargi glabā, nēsā un lieto speciālos līdzekļus, noteica aizsardzības ministrs. Vienlaikus, tā kā ne visos gadījumos karavīri vai zemessargi ir nodrošināti ar elektrošoka ierīcēm, nepieciešams precizēt spēkā esošo noteikumu 17.punktu, paredzot iespēju karavīram vai zemessargam lietot speciālo līdzekli – steku, lai atvairītu ne tikai personas, bet arī dzīvnieka uzbrukumu.</w:t>
            </w:r>
          </w:p>
          <w:p w:rsidR="003C66BF" w:rsidRPr="003C66BF" w:rsidRDefault="003C66BF" w:rsidP="00BE5E1F">
            <w:pPr>
              <w:jc w:val="both"/>
              <w:rPr>
                <w:sz w:val="28"/>
                <w:szCs w:val="28"/>
                <w:lang w:val="lv-LV"/>
              </w:rPr>
            </w:pPr>
            <w:r w:rsidRPr="003C66BF">
              <w:rPr>
                <w:sz w:val="28"/>
                <w:szCs w:val="28"/>
                <w:lang w:val="lv-LV"/>
              </w:rPr>
              <w:t xml:space="preserve">Grozījumi Ministru kabineta 2013.gada </w:t>
            </w:r>
            <w:r w:rsidRPr="003C66BF">
              <w:rPr>
                <w:sz w:val="28"/>
                <w:szCs w:val="28"/>
                <w:lang w:val="lv-LV"/>
              </w:rPr>
              <w:lastRenderedPageBreak/>
              <w:t>19.novembra noteikumos Nr.1317 „Noteikumi par speciālo līdzekļu veidiem un kārtību, kādā karavīri glabā, nēsā un lieto speciālos līdzekļus</w:t>
            </w:r>
            <w:r w:rsidR="00BE44AD">
              <w:rPr>
                <w:sz w:val="28"/>
                <w:szCs w:val="28"/>
                <w:lang w:val="lv-LV"/>
              </w:rPr>
              <w:t>” izstrādāti</w:t>
            </w:r>
            <w:r w:rsidRPr="003C66BF">
              <w:rPr>
                <w:sz w:val="28"/>
                <w:szCs w:val="28"/>
                <w:lang w:val="lv-LV"/>
              </w:rPr>
              <w:t>, lai:</w:t>
            </w:r>
          </w:p>
          <w:p w:rsidR="00A44056" w:rsidRDefault="003C66BF" w:rsidP="00AE3777">
            <w:pPr>
              <w:numPr>
                <w:ilvl w:val="0"/>
                <w:numId w:val="4"/>
              </w:numPr>
              <w:ind w:left="27" w:firstLine="284"/>
              <w:jc w:val="both"/>
              <w:rPr>
                <w:sz w:val="28"/>
                <w:szCs w:val="28"/>
                <w:lang w:val="lv-LV"/>
              </w:rPr>
            </w:pPr>
            <w:r w:rsidRPr="003C66BF">
              <w:rPr>
                <w:sz w:val="28"/>
                <w:szCs w:val="28"/>
                <w:lang w:val="lv-LV"/>
              </w:rPr>
              <w:t xml:space="preserve">izpildītu Latvijas Republikas Zemessardzes likuma 22.panta </w:t>
            </w:r>
            <w:r w:rsidRPr="003C66BF">
              <w:rPr>
                <w:spacing w:val="-3"/>
                <w:szCs w:val="28"/>
                <w:lang w:val="lv-LV"/>
              </w:rPr>
              <w:t>1.</w:t>
            </w:r>
            <w:r w:rsidRPr="003C66BF">
              <w:rPr>
                <w:spacing w:val="-3"/>
                <w:szCs w:val="28"/>
                <w:vertAlign w:val="superscript"/>
                <w:lang w:val="lv-LV"/>
              </w:rPr>
              <w:t>1</w:t>
            </w:r>
            <w:r w:rsidRPr="003C66BF">
              <w:rPr>
                <w:spacing w:val="-3"/>
                <w:szCs w:val="28"/>
                <w:lang w:val="lv-LV"/>
              </w:rPr>
              <w:t xml:space="preserve"> </w:t>
            </w:r>
            <w:r w:rsidRPr="003C66BF">
              <w:rPr>
                <w:sz w:val="28"/>
                <w:szCs w:val="28"/>
                <w:lang w:val="lv-LV"/>
              </w:rPr>
              <w:t>daļā Ministru kabinetam doto deleģējumu noteikt kārtību, kādā zemessargam, pildot dienestu, ir tiesības glabāt, nēsāt un lietot speciālos līdzekļus;</w:t>
            </w:r>
          </w:p>
          <w:p w:rsidR="003C66BF" w:rsidRPr="00A44056" w:rsidRDefault="003C66BF" w:rsidP="00AE3777">
            <w:pPr>
              <w:numPr>
                <w:ilvl w:val="0"/>
                <w:numId w:val="4"/>
              </w:numPr>
              <w:ind w:left="27" w:firstLine="284"/>
              <w:jc w:val="both"/>
              <w:rPr>
                <w:sz w:val="28"/>
                <w:szCs w:val="28"/>
                <w:lang w:val="lv-LV"/>
              </w:rPr>
            </w:pPr>
            <w:r w:rsidRPr="00A44056">
              <w:rPr>
                <w:sz w:val="28"/>
                <w:szCs w:val="28"/>
                <w:lang w:val="lv-LV"/>
              </w:rPr>
              <w:t>precizētu spēkā esošo noteikumu 17.punktu, paredzot iespēju karavīram vai zemessargam lietot speciālo līdzekli – steku, lai nepieciešamības gadījumā atvairītu arī dzīvnieka uzbrukumu.</w:t>
            </w:r>
          </w:p>
        </w:tc>
      </w:tr>
      <w:tr w:rsidR="00065F37" w:rsidRPr="0031223B"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spacing w:before="100" w:beforeAutospacing="1" w:after="100" w:afterAutospacing="1" w:line="315" w:lineRule="atLeast"/>
              <w:jc w:val="both"/>
              <w:rPr>
                <w:rFonts w:cs="Times New Roman"/>
                <w:sz w:val="28"/>
                <w:szCs w:val="28"/>
                <w:lang w:val="lv-LV" w:eastAsia="lv-LV" w:bidi="ar-SA"/>
              </w:rPr>
            </w:pPr>
            <w:r w:rsidRPr="003C66BF">
              <w:rPr>
                <w:rFonts w:cs="Times New Roman"/>
                <w:sz w:val="28"/>
                <w:szCs w:val="28"/>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3C66BF" w:rsidRDefault="003C66BF" w:rsidP="00BE5E1F">
            <w:pPr>
              <w:jc w:val="both"/>
              <w:rPr>
                <w:rFonts w:cs="Times New Roman"/>
                <w:sz w:val="28"/>
                <w:szCs w:val="28"/>
                <w:lang w:val="lv-LV" w:eastAsia="lv-LV" w:bidi="ar-SA"/>
              </w:rPr>
            </w:pPr>
            <w:r w:rsidRPr="003C66BF">
              <w:rPr>
                <w:sz w:val="28"/>
                <w:szCs w:val="28"/>
                <w:lang w:val="lv-LV"/>
              </w:rPr>
              <w:t>Noteikumu projekts ir izstrādāts Aizsardzības ministrijā sadarbībā ar Nacionālajiem bruņotajiem spēkiem.</w:t>
            </w:r>
          </w:p>
        </w:tc>
      </w:tr>
      <w:tr w:rsidR="00065F37" w:rsidRPr="003C66BF" w:rsidTr="00793251">
        <w:tc>
          <w:tcPr>
            <w:tcW w:w="217"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spacing w:before="100" w:beforeAutospacing="1" w:after="100" w:afterAutospacing="1" w:line="315" w:lineRule="atLeast"/>
              <w:jc w:val="both"/>
              <w:rPr>
                <w:rFonts w:cs="Times New Roman"/>
                <w:sz w:val="28"/>
                <w:szCs w:val="28"/>
                <w:lang w:val="lv-LV" w:eastAsia="lv-LV" w:bidi="ar-SA"/>
              </w:rPr>
            </w:pPr>
            <w:r w:rsidRPr="003C66BF">
              <w:rPr>
                <w:rFonts w:cs="Times New Roman"/>
                <w:sz w:val="28"/>
                <w:szCs w:val="28"/>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Na</w:t>
            </w:r>
            <w:r w:rsidR="000637B5" w:rsidRPr="003C66BF">
              <w:rPr>
                <w:rFonts w:cs="Times New Roman"/>
                <w:sz w:val="28"/>
                <w:szCs w:val="28"/>
                <w:lang w:val="lv-LV" w:eastAsia="lv-LV" w:bidi="ar-SA"/>
              </w:rPr>
              <w:t>v.</w:t>
            </w:r>
          </w:p>
        </w:tc>
      </w:tr>
    </w:tbl>
    <w:p w:rsidR="00DA55F2" w:rsidRPr="003C66BF" w:rsidRDefault="00DA55F2" w:rsidP="00BE5E1F">
      <w:pPr>
        <w:shd w:val="clear" w:color="auto" w:fill="FFFFFF"/>
        <w:spacing w:before="100" w:beforeAutospacing="1" w:after="100" w:afterAutospacing="1" w:line="315" w:lineRule="atLeast"/>
        <w:jc w:val="both"/>
        <w:rPr>
          <w:rFonts w:cs="Times New Roman"/>
          <w:sz w:val="28"/>
          <w:szCs w:val="28"/>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31223B"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3C66BF" w:rsidRDefault="00DA55F2" w:rsidP="00BE5E1F">
            <w:pPr>
              <w:spacing w:before="100" w:beforeAutospacing="1" w:after="100" w:afterAutospacing="1" w:line="315" w:lineRule="atLeast"/>
              <w:jc w:val="both"/>
              <w:rPr>
                <w:rFonts w:cs="Times New Roman"/>
                <w:b/>
                <w:bCs/>
                <w:sz w:val="28"/>
                <w:szCs w:val="28"/>
                <w:lang w:val="lv-LV" w:eastAsia="lv-LV" w:bidi="ar-SA"/>
              </w:rPr>
            </w:pPr>
            <w:r w:rsidRPr="003C66BF">
              <w:rPr>
                <w:rFonts w:cs="Times New Roman"/>
                <w:b/>
                <w:bCs/>
                <w:sz w:val="28"/>
                <w:szCs w:val="28"/>
                <w:lang w:val="lv-LV" w:eastAsia="lv-LV" w:bidi="ar-SA"/>
              </w:rPr>
              <w:t>II. Tiesību akta projekta ietekme uz sabiedrību, tautsaimniecības attīstību un administratīvo slogu</w:t>
            </w:r>
          </w:p>
        </w:tc>
      </w:tr>
      <w:tr w:rsidR="00065F37" w:rsidRPr="00306223"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 xml:space="preserve">Sabiedrības </w:t>
            </w:r>
            <w:proofErr w:type="spellStart"/>
            <w:r w:rsidRPr="003C66BF">
              <w:rPr>
                <w:rFonts w:cs="Times New Roman"/>
                <w:sz w:val="28"/>
                <w:szCs w:val="28"/>
                <w:lang w:val="lv-LV" w:eastAsia="lv-LV" w:bidi="ar-SA"/>
              </w:rPr>
              <w:t>mērķgrupas</w:t>
            </w:r>
            <w:proofErr w:type="spellEnd"/>
            <w:r w:rsidRPr="003C66BF">
              <w:rPr>
                <w:rFonts w:cs="Times New Roman"/>
                <w:sz w:val="28"/>
                <w:szCs w:val="28"/>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C66BF" w:rsidRPr="003C66BF" w:rsidRDefault="003C66BF" w:rsidP="00BE5E1F">
            <w:pPr>
              <w:jc w:val="both"/>
              <w:rPr>
                <w:sz w:val="28"/>
                <w:szCs w:val="28"/>
                <w:lang w:val="lv-LV"/>
              </w:rPr>
            </w:pPr>
            <w:r w:rsidRPr="003C66BF">
              <w:rPr>
                <w:sz w:val="28"/>
                <w:szCs w:val="28"/>
                <w:lang w:val="lv-LV"/>
              </w:rPr>
              <w:t>Noteikumu projekt</w:t>
            </w:r>
            <w:r w:rsidR="00306223">
              <w:rPr>
                <w:sz w:val="28"/>
                <w:szCs w:val="28"/>
                <w:lang w:val="lv-LV"/>
              </w:rPr>
              <w:t xml:space="preserve">s </w:t>
            </w:r>
            <w:r w:rsidRPr="003C66BF">
              <w:rPr>
                <w:sz w:val="28"/>
                <w:szCs w:val="28"/>
                <w:lang w:val="lv-LV"/>
              </w:rPr>
              <w:t>attiecināms tikai uz zemessargiem.</w:t>
            </w:r>
          </w:p>
        </w:tc>
      </w:tr>
      <w:tr w:rsidR="00065F37" w:rsidRPr="0031223B"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3C66BF" w:rsidRDefault="003B3394" w:rsidP="00BE5E1F">
            <w:pPr>
              <w:jc w:val="both"/>
              <w:rPr>
                <w:rFonts w:cs="Times New Roman"/>
                <w:sz w:val="28"/>
                <w:szCs w:val="28"/>
                <w:lang w:val="lv-LV" w:eastAsia="lv-LV" w:bidi="ar-SA"/>
              </w:rPr>
            </w:pPr>
            <w:r>
              <w:rPr>
                <w:rFonts w:cs="Times New Roman"/>
                <w:sz w:val="28"/>
                <w:szCs w:val="28"/>
                <w:lang w:val="lv-LV" w:eastAsia="lv-LV" w:bidi="ar-SA"/>
              </w:rPr>
              <w:t>Noteikumu projekts nemaina tiesības un pienākumus, kā arī veicamās darbības.</w:t>
            </w:r>
          </w:p>
        </w:tc>
      </w:tr>
      <w:tr w:rsidR="00065F37" w:rsidRPr="003C66BF"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3C66BF" w:rsidRDefault="00E20B65" w:rsidP="00BE5E1F">
            <w:pPr>
              <w:jc w:val="both"/>
              <w:rPr>
                <w:rFonts w:cs="Times New Roman"/>
                <w:sz w:val="28"/>
                <w:szCs w:val="28"/>
                <w:lang w:val="lv-LV" w:eastAsia="lv-LV" w:bidi="ar-SA"/>
              </w:rPr>
            </w:pPr>
            <w:r w:rsidRPr="003C66BF">
              <w:rPr>
                <w:rFonts w:cs="Times New Roman"/>
                <w:sz w:val="28"/>
                <w:szCs w:val="28"/>
                <w:lang w:val="lv-LV" w:eastAsia="lv-LV" w:bidi="ar-SA"/>
              </w:rPr>
              <w:t>Projekts šo jomu neskar.</w:t>
            </w:r>
          </w:p>
        </w:tc>
      </w:tr>
      <w:tr w:rsidR="00065F37" w:rsidRPr="003C66BF"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spacing w:before="100" w:beforeAutospacing="1" w:after="100" w:afterAutospacing="1" w:line="315" w:lineRule="atLeast"/>
              <w:jc w:val="both"/>
              <w:rPr>
                <w:rFonts w:cs="Times New Roman"/>
                <w:sz w:val="28"/>
                <w:szCs w:val="28"/>
                <w:lang w:val="lv-LV" w:eastAsia="lv-LV" w:bidi="ar-SA"/>
              </w:rPr>
            </w:pPr>
            <w:r w:rsidRPr="003C66BF">
              <w:rPr>
                <w:rFonts w:cs="Times New Roman"/>
                <w:sz w:val="28"/>
                <w:szCs w:val="28"/>
                <w:lang w:val="lv-LV" w:eastAsia="lv-LV" w:bidi="ar-SA"/>
              </w:rPr>
              <w:t>Nav</w:t>
            </w:r>
            <w:r w:rsidR="00D50FA7" w:rsidRPr="003C66BF">
              <w:rPr>
                <w:rFonts w:cs="Times New Roman"/>
                <w:sz w:val="28"/>
                <w:szCs w:val="28"/>
                <w:lang w:val="lv-LV" w:eastAsia="lv-LV" w:bidi="ar-SA"/>
              </w:rPr>
              <w:t>.</w:t>
            </w:r>
          </w:p>
        </w:tc>
      </w:tr>
    </w:tbl>
    <w:p w:rsidR="00DA55F2" w:rsidRDefault="00DA55F2" w:rsidP="00BE5E1F">
      <w:pPr>
        <w:shd w:val="clear" w:color="auto" w:fill="FFFFFF"/>
        <w:spacing w:before="100" w:beforeAutospacing="1" w:after="100" w:afterAutospacing="1" w:line="315" w:lineRule="atLeast"/>
        <w:jc w:val="both"/>
        <w:rPr>
          <w:rFonts w:cs="Times New Roman"/>
          <w:sz w:val="28"/>
          <w:szCs w:val="28"/>
          <w:lang w:val="lv-LV" w:eastAsia="lv-LV" w:bidi="ar-SA"/>
        </w:rPr>
      </w:pPr>
    </w:p>
    <w:p w:rsidR="003C66BF" w:rsidRPr="003C66BF" w:rsidRDefault="003C66BF" w:rsidP="00BE5E1F">
      <w:pPr>
        <w:shd w:val="clear" w:color="auto" w:fill="FFFFFF"/>
        <w:spacing w:before="100" w:beforeAutospacing="1" w:after="100" w:afterAutospacing="1" w:line="315" w:lineRule="atLeast"/>
        <w:jc w:val="both"/>
        <w:rPr>
          <w:rFonts w:cs="Times New Roman"/>
          <w:sz w:val="28"/>
          <w:szCs w:val="28"/>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31223B"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3C66BF" w:rsidRDefault="00DA55F2" w:rsidP="00BE5E1F">
            <w:pPr>
              <w:spacing w:before="100" w:beforeAutospacing="1" w:after="100" w:afterAutospacing="1" w:line="315" w:lineRule="atLeast"/>
              <w:jc w:val="both"/>
              <w:rPr>
                <w:rFonts w:cs="Times New Roman"/>
                <w:b/>
                <w:bCs/>
                <w:sz w:val="28"/>
                <w:szCs w:val="28"/>
                <w:lang w:val="lv-LV" w:eastAsia="lv-LV" w:bidi="ar-SA"/>
              </w:rPr>
            </w:pPr>
            <w:r w:rsidRPr="003C66BF">
              <w:rPr>
                <w:rFonts w:cs="Times New Roman"/>
                <w:b/>
                <w:bCs/>
                <w:sz w:val="28"/>
                <w:szCs w:val="28"/>
                <w:lang w:val="lv-LV" w:eastAsia="lv-LV" w:bidi="ar-SA"/>
              </w:rPr>
              <w:t xml:space="preserve">VII. Tiesību akta projekta izpildes nodrošināšana un tās ietekme uz </w:t>
            </w:r>
            <w:r w:rsidRPr="003C66BF">
              <w:rPr>
                <w:rFonts w:cs="Times New Roman"/>
                <w:b/>
                <w:bCs/>
                <w:sz w:val="28"/>
                <w:szCs w:val="28"/>
                <w:lang w:val="lv-LV" w:eastAsia="lv-LV" w:bidi="ar-SA"/>
              </w:rPr>
              <w:lastRenderedPageBreak/>
              <w:t>institūcijām</w:t>
            </w:r>
          </w:p>
        </w:tc>
      </w:tr>
      <w:tr w:rsidR="00065F37" w:rsidRPr="003C66BF"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3C66BF" w:rsidRDefault="003C66BF" w:rsidP="00BE5E1F">
            <w:pPr>
              <w:jc w:val="both"/>
              <w:rPr>
                <w:rFonts w:cs="Times New Roman"/>
                <w:sz w:val="28"/>
                <w:szCs w:val="28"/>
                <w:lang w:val="lv-LV" w:eastAsia="lv-LV" w:bidi="ar-SA"/>
              </w:rPr>
            </w:pPr>
            <w:proofErr w:type="spellStart"/>
            <w:r>
              <w:rPr>
                <w:sz w:val="28"/>
                <w:szCs w:val="28"/>
              </w:rPr>
              <w:t>Aizsardzības</w:t>
            </w:r>
            <w:proofErr w:type="spellEnd"/>
            <w:r>
              <w:rPr>
                <w:sz w:val="28"/>
                <w:szCs w:val="28"/>
              </w:rPr>
              <w:t xml:space="preserve"> </w:t>
            </w:r>
            <w:proofErr w:type="spellStart"/>
            <w:r>
              <w:rPr>
                <w:sz w:val="28"/>
                <w:szCs w:val="28"/>
              </w:rPr>
              <w:t>ministrija</w:t>
            </w:r>
            <w:proofErr w:type="spellEnd"/>
            <w:r>
              <w:rPr>
                <w:sz w:val="28"/>
                <w:szCs w:val="28"/>
              </w:rPr>
              <w:t xml:space="preserve"> un </w:t>
            </w:r>
            <w:proofErr w:type="spellStart"/>
            <w:r>
              <w:rPr>
                <w:sz w:val="28"/>
                <w:szCs w:val="28"/>
              </w:rPr>
              <w:t>Nacionālie</w:t>
            </w:r>
            <w:proofErr w:type="spellEnd"/>
            <w:r>
              <w:rPr>
                <w:sz w:val="28"/>
                <w:szCs w:val="28"/>
              </w:rPr>
              <w:t xml:space="preserve"> </w:t>
            </w:r>
            <w:proofErr w:type="spellStart"/>
            <w:r>
              <w:rPr>
                <w:sz w:val="28"/>
                <w:szCs w:val="28"/>
              </w:rPr>
              <w:t>bruņotie</w:t>
            </w:r>
            <w:proofErr w:type="spellEnd"/>
            <w:r>
              <w:rPr>
                <w:sz w:val="28"/>
                <w:szCs w:val="28"/>
              </w:rPr>
              <w:t xml:space="preserve"> </w:t>
            </w:r>
            <w:proofErr w:type="spellStart"/>
            <w:r>
              <w:rPr>
                <w:sz w:val="28"/>
                <w:szCs w:val="28"/>
              </w:rPr>
              <w:t>spēki</w:t>
            </w:r>
            <w:proofErr w:type="spellEnd"/>
            <w:r>
              <w:rPr>
                <w:sz w:val="28"/>
                <w:szCs w:val="28"/>
              </w:rPr>
              <w:t>.</w:t>
            </w:r>
          </w:p>
        </w:tc>
      </w:tr>
      <w:tr w:rsidR="00065F37" w:rsidRPr="003C66BF"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BE5E1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Projekta izpildes ietekme uz pārvaldes funkcijām un institucionālo struktūru.</w:t>
            </w:r>
          </w:p>
          <w:p w:rsidR="00DA55F2" w:rsidRPr="003C66BF" w:rsidRDefault="00DA55F2" w:rsidP="00BE5E1F">
            <w:pPr>
              <w:jc w:val="both"/>
              <w:rPr>
                <w:rFonts w:cs="Times New Roman"/>
                <w:sz w:val="28"/>
                <w:szCs w:val="28"/>
                <w:lang w:val="lv-LV" w:eastAsia="lv-LV" w:bidi="ar-SA"/>
              </w:rPr>
            </w:pPr>
            <w:r w:rsidRPr="003C66BF">
              <w:rPr>
                <w:rFonts w:cs="Times New Roman"/>
                <w:sz w:val="28"/>
                <w:szCs w:val="28"/>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3C66BF" w:rsidRDefault="00B42912" w:rsidP="00BE5E1F">
            <w:pPr>
              <w:jc w:val="both"/>
              <w:rPr>
                <w:rFonts w:cs="Times New Roman"/>
                <w:sz w:val="28"/>
                <w:szCs w:val="28"/>
                <w:lang w:val="lv-LV" w:eastAsia="lv-LV" w:bidi="ar-SA"/>
              </w:rPr>
            </w:pPr>
            <w:proofErr w:type="spellStart"/>
            <w:r w:rsidRPr="003C66BF">
              <w:rPr>
                <w:rFonts w:cs="Times New Roman"/>
                <w:sz w:val="28"/>
                <w:szCs w:val="28"/>
              </w:rPr>
              <w:t>Projekta</w:t>
            </w:r>
            <w:proofErr w:type="spellEnd"/>
            <w:r w:rsidRPr="003C66BF">
              <w:rPr>
                <w:rFonts w:cs="Times New Roman"/>
                <w:sz w:val="28"/>
                <w:szCs w:val="28"/>
              </w:rPr>
              <w:t xml:space="preserve"> </w:t>
            </w:r>
            <w:proofErr w:type="spellStart"/>
            <w:r w:rsidRPr="003C66BF">
              <w:rPr>
                <w:rFonts w:cs="Times New Roman"/>
                <w:sz w:val="28"/>
                <w:szCs w:val="28"/>
              </w:rPr>
              <w:t>izpilde</w:t>
            </w:r>
            <w:proofErr w:type="spellEnd"/>
            <w:r w:rsidRPr="003C66BF">
              <w:rPr>
                <w:rFonts w:cs="Times New Roman"/>
                <w:sz w:val="28"/>
                <w:szCs w:val="28"/>
              </w:rPr>
              <w:t xml:space="preserve"> </w:t>
            </w:r>
            <w:proofErr w:type="spellStart"/>
            <w:r w:rsidRPr="003C66BF">
              <w:rPr>
                <w:rFonts w:cs="Times New Roman"/>
                <w:sz w:val="28"/>
                <w:szCs w:val="28"/>
              </w:rPr>
              <w:t>notiks</w:t>
            </w:r>
            <w:proofErr w:type="spellEnd"/>
            <w:r w:rsidRPr="003C66BF">
              <w:rPr>
                <w:rFonts w:cs="Times New Roman"/>
                <w:sz w:val="28"/>
                <w:szCs w:val="28"/>
              </w:rPr>
              <w:t xml:space="preserve"> </w:t>
            </w:r>
            <w:proofErr w:type="spellStart"/>
            <w:r w:rsidRPr="003C66BF">
              <w:rPr>
                <w:rFonts w:cs="Times New Roman"/>
                <w:sz w:val="28"/>
                <w:szCs w:val="28"/>
              </w:rPr>
              <w:t>esošo</w:t>
            </w:r>
            <w:proofErr w:type="spellEnd"/>
            <w:r w:rsidRPr="003C66BF">
              <w:rPr>
                <w:rFonts w:cs="Times New Roman"/>
                <w:sz w:val="28"/>
                <w:szCs w:val="28"/>
              </w:rPr>
              <w:t xml:space="preserve"> </w:t>
            </w:r>
            <w:proofErr w:type="spellStart"/>
            <w:r w:rsidRPr="003C66BF">
              <w:rPr>
                <w:rFonts w:cs="Times New Roman"/>
                <w:sz w:val="28"/>
                <w:szCs w:val="28"/>
              </w:rPr>
              <w:t>pārvaldes</w:t>
            </w:r>
            <w:proofErr w:type="spellEnd"/>
            <w:r w:rsidRPr="003C66BF">
              <w:rPr>
                <w:rFonts w:cs="Times New Roman"/>
                <w:sz w:val="28"/>
                <w:szCs w:val="28"/>
              </w:rPr>
              <w:t xml:space="preserve"> </w:t>
            </w:r>
            <w:proofErr w:type="spellStart"/>
            <w:r w:rsidRPr="003C66BF">
              <w:rPr>
                <w:rFonts w:cs="Times New Roman"/>
                <w:sz w:val="28"/>
                <w:szCs w:val="28"/>
              </w:rPr>
              <w:t>funkciju</w:t>
            </w:r>
            <w:proofErr w:type="spellEnd"/>
            <w:r w:rsidRPr="003C66BF">
              <w:rPr>
                <w:rFonts w:cs="Times New Roman"/>
                <w:sz w:val="28"/>
                <w:szCs w:val="28"/>
              </w:rPr>
              <w:t xml:space="preserve"> </w:t>
            </w:r>
            <w:proofErr w:type="spellStart"/>
            <w:r w:rsidRPr="003C66BF">
              <w:rPr>
                <w:rFonts w:cs="Times New Roman"/>
                <w:sz w:val="28"/>
                <w:szCs w:val="28"/>
              </w:rPr>
              <w:t>ietvaros</w:t>
            </w:r>
            <w:proofErr w:type="spellEnd"/>
            <w:r w:rsidRPr="003C66BF">
              <w:rPr>
                <w:rFonts w:cs="Times New Roman"/>
                <w:sz w:val="28"/>
                <w:szCs w:val="28"/>
              </w:rPr>
              <w:t>.</w:t>
            </w:r>
          </w:p>
        </w:tc>
      </w:tr>
      <w:tr w:rsidR="00DA55F2" w:rsidRPr="003C66BF"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DA55F2">
            <w:pPr>
              <w:rPr>
                <w:rFonts w:cs="Times New Roman"/>
                <w:sz w:val="28"/>
                <w:szCs w:val="28"/>
                <w:lang w:val="lv-LV" w:eastAsia="lv-LV" w:bidi="ar-SA"/>
              </w:rPr>
            </w:pPr>
            <w:r w:rsidRPr="003C66BF">
              <w:rPr>
                <w:rFonts w:cs="Times New Roman"/>
                <w:sz w:val="28"/>
                <w:szCs w:val="28"/>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DA55F2">
            <w:pPr>
              <w:rPr>
                <w:rFonts w:cs="Times New Roman"/>
                <w:sz w:val="28"/>
                <w:szCs w:val="28"/>
                <w:lang w:val="lv-LV" w:eastAsia="lv-LV" w:bidi="ar-SA"/>
              </w:rPr>
            </w:pPr>
            <w:r w:rsidRPr="003C66BF">
              <w:rPr>
                <w:rFonts w:cs="Times New Roman"/>
                <w:sz w:val="28"/>
                <w:szCs w:val="28"/>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3C66BF" w:rsidRDefault="00DA55F2" w:rsidP="00DA55F2">
            <w:pPr>
              <w:spacing w:before="100" w:beforeAutospacing="1" w:after="100" w:afterAutospacing="1" w:line="315" w:lineRule="atLeast"/>
              <w:rPr>
                <w:rFonts w:cs="Times New Roman"/>
                <w:sz w:val="28"/>
                <w:szCs w:val="28"/>
                <w:lang w:val="lv-LV" w:eastAsia="lv-LV" w:bidi="ar-SA"/>
              </w:rPr>
            </w:pPr>
            <w:r w:rsidRPr="003C66BF">
              <w:rPr>
                <w:rFonts w:cs="Times New Roman"/>
                <w:sz w:val="28"/>
                <w:szCs w:val="28"/>
                <w:lang w:val="lv-LV" w:eastAsia="lv-LV" w:bidi="ar-SA"/>
              </w:rPr>
              <w:t>Nav.</w:t>
            </w:r>
          </w:p>
        </w:tc>
      </w:tr>
    </w:tbl>
    <w:p w:rsidR="00085A58" w:rsidRPr="003C66BF" w:rsidRDefault="00085A58" w:rsidP="00085A58">
      <w:pPr>
        <w:rPr>
          <w:rFonts w:cs="Times New Roman"/>
          <w:sz w:val="28"/>
          <w:szCs w:val="28"/>
          <w:lang w:val="lv-LV" w:eastAsia="lv-LV" w:bidi="ar-SA"/>
        </w:rPr>
      </w:pPr>
    </w:p>
    <w:p w:rsidR="003C66BF" w:rsidRDefault="003C66BF" w:rsidP="00085A58">
      <w:pPr>
        <w:rPr>
          <w:rFonts w:cs="Times New Roman"/>
          <w:color w:val="0000FF"/>
          <w:sz w:val="16"/>
          <w:szCs w:val="16"/>
          <w:u w:val="single"/>
          <w:lang w:val="lv-LV" w:eastAsia="lv-LV" w:bidi="ar-SA"/>
        </w:rPr>
      </w:pPr>
    </w:p>
    <w:p w:rsidR="003C66BF" w:rsidRDefault="003C66BF" w:rsidP="003C66BF">
      <w:pPr>
        <w:rPr>
          <w:sz w:val="28"/>
          <w:szCs w:val="28"/>
        </w:rPr>
      </w:pPr>
      <w:proofErr w:type="spellStart"/>
      <w:r w:rsidRPr="0023314C">
        <w:rPr>
          <w:i/>
          <w:sz w:val="28"/>
          <w:szCs w:val="28"/>
        </w:rPr>
        <w:t>Anotācijas</w:t>
      </w:r>
      <w:proofErr w:type="spellEnd"/>
      <w:r w:rsidRPr="0023314C">
        <w:rPr>
          <w:i/>
          <w:sz w:val="28"/>
          <w:szCs w:val="28"/>
        </w:rPr>
        <w:t xml:space="preserve"> III, IV, V </w:t>
      </w:r>
      <w:proofErr w:type="gramStart"/>
      <w:r w:rsidRPr="0023314C">
        <w:rPr>
          <w:i/>
          <w:sz w:val="28"/>
          <w:szCs w:val="28"/>
        </w:rPr>
        <w:t>un</w:t>
      </w:r>
      <w:proofErr w:type="gramEnd"/>
      <w:r w:rsidRPr="0023314C">
        <w:rPr>
          <w:i/>
          <w:sz w:val="28"/>
          <w:szCs w:val="28"/>
        </w:rPr>
        <w:t xml:space="preserve"> VI </w:t>
      </w:r>
      <w:proofErr w:type="spellStart"/>
      <w:r w:rsidRPr="0023314C">
        <w:rPr>
          <w:i/>
          <w:sz w:val="28"/>
          <w:szCs w:val="28"/>
        </w:rPr>
        <w:t>sadaļa</w:t>
      </w:r>
      <w:proofErr w:type="spellEnd"/>
      <w:r w:rsidRPr="0023314C">
        <w:rPr>
          <w:i/>
          <w:sz w:val="28"/>
          <w:szCs w:val="28"/>
        </w:rPr>
        <w:t xml:space="preserve"> – </w:t>
      </w:r>
      <w:proofErr w:type="spellStart"/>
      <w:r w:rsidRPr="0023314C">
        <w:rPr>
          <w:i/>
          <w:sz w:val="28"/>
          <w:szCs w:val="28"/>
        </w:rPr>
        <w:t>projekts</w:t>
      </w:r>
      <w:proofErr w:type="spellEnd"/>
      <w:r w:rsidRPr="0023314C">
        <w:rPr>
          <w:i/>
          <w:sz w:val="28"/>
          <w:szCs w:val="28"/>
        </w:rPr>
        <w:t xml:space="preserve"> </w:t>
      </w:r>
      <w:proofErr w:type="spellStart"/>
      <w:r w:rsidRPr="0023314C">
        <w:rPr>
          <w:i/>
          <w:sz w:val="28"/>
          <w:szCs w:val="28"/>
        </w:rPr>
        <w:t>šīs</w:t>
      </w:r>
      <w:proofErr w:type="spellEnd"/>
      <w:r w:rsidRPr="0023314C">
        <w:rPr>
          <w:i/>
          <w:sz w:val="28"/>
          <w:szCs w:val="28"/>
        </w:rPr>
        <w:t xml:space="preserve"> </w:t>
      </w:r>
      <w:proofErr w:type="spellStart"/>
      <w:r w:rsidRPr="0023314C">
        <w:rPr>
          <w:i/>
          <w:sz w:val="28"/>
          <w:szCs w:val="28"/>
        </w:rPr>
        <w:t>jomas</w:t>
      </w:r>
      <w:proofErr w:type="spellEnd"/>
      <w:r w:rsidRPr="0023314C">
        <w:rPr>
          <w:i/>
          <w:sz w:val="28"/>
          <w:szCs w:val="28"/>
        </w:rPr>
        <w:t xml:space="preserve"> </w:t>
      </w:r>
      <w:proofErr w:type="spellStart"/>
      <w:r w:rsidRPr="0023314C">
        <w:rPr>
          <w:i/>
          <w:sz w:val="28"/>
          <w:szCs w:val="28"/>
        </w:rPr>
        <w:t>neskar</w:t>
      </w:r>
      <w:proofErr w:type="spellEnd"/>
      <w:r w:rsidRPr="0023314C">
        <w:rPr>
          <w:i/>
          <w:sz w:val="28"/>
          <w:szCs w:val="28"/>
        </w:rPr>
        <w:t>.</w:t>
      </w:r>
    </w:p>
    <w:p w:rsidR="003C66BF" w:rsidRDefault="003C66BF" w:rsidP="003C66BF">
      <w:pPr>
        <w:rPr>
          <w:sz w:val="28"/>
          <w:szCs w:val="28"/>
        </w:rPr>
      </w:pPr>
    </w:p>
    <w:p w:rsidR="003C66BF" w:rsidRDefault="003C66BF" w:rsidP="003C66BF">
      <w:pPr>
        <w:rPr>
          <w:sz w:val="28"/>
          <w:szCs w:val="28"/>
        </w:rPr>
      </w:pPr>
    </w:p>
    <w:p w:rsidR="003C66BF" w:rsidRDefault="003C66BF" w:rsidP="003C66BF">
      <w:pPr>
        <w:rPr>
          <w:sz w:val="28"/>
          <w:szCs w:val="28"/>
        </w:rPr>
      </w:pPr>
    </w:p>
    <w:p w:rsidR="003C66BF" w:rsidRDefault="003C66BF" w:rsidP="003C66BF">
      <w:pPr>
        <w:jc w:val="both"/>
        <w:rPr>
          <w:sz w:val="28"/>
          <w:szCs w:val="28"/>
        </w:rPr>
      </w:pPr>
      <w:proofErr w:type="spellStart"/>
      <w:r>
        <w:rPr>
          <w:sz w:val="28"/>
          <w:szCs w:val="28"/>
        </w:rPr>
        <w:t>Aizsardzības</w:t>
      </w:r>
      <w:proofErr w:type="spellEnd"/>
      <w:r>
        <w:rPr>
          <w:sz w:val="28"/>
          <w:szCs w:val="28"/>
        </w:rPr>
        <w:t xml:space="preserve"> </w:t>
      </w:r>
      <w:proofErr w:type="spellStart"/>
      <w:r>
        <w:rPr>
          <w:sz w:val="28"/>
          <w:szCs w:val="28"/>
        </w:rPr>
        <w:t>ministrs</w:t>
      </w:r>
      <w:proofErr w:type="spellEnd"/>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R.Vējonis</w:t>
      </w:r>
      <w:proofErr w:type="spellEnd"/>
    </w:p>
    <w:p w:rsidR="003C66BF" w:rsidRDefault="003C66BF" w:rsidP="003C66B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C66BF" w:rsidRDefault="003C66BF" w:rsidP="003C66BF">
      <w:pPr>
        <w:rPr>
          <w:sz w:val="28"/>
          <w:szCs w:val="28"/>
        </w:rPr>
      </w:pPr>
    </w:p>
    <w:p w:rsidR="003C66BF" w:rsidRDefault="003C66BF" w:rsidP="003C66BF">
      <w:pPr>
        <w:pStyle w:val="naisf"/>
        <w:tabs>
          <w:tab w:val="right" w:pos="8280"/>
        </w:tabs>
        <w:spacing w:before="0" w:beforeAutospacing="0" w:after="0" w:afterAutospacing="0"/>
        <w:rPr>
          <w:sz w:val="28"/>
          <w:szCs w:val="28"/>
        </w:rPr>
      </w:pPr>
      <w:r>
        <w:rPr>
          <w:sz w:val="28"/>
          <w:szCs w:val="28"/>
        </w:rPr>
        <w:t xml:space="preserve">Vīza: Valsts sekretāra </w:t>
      </w:r>
      <w:proofErr w:type="spellStart"/>
      <w:r>
        <w:rPr>
          <w:sz w:val="28"/>
          <w:szCs w:val="28"/>
        </w:rPr>
        <w:t>p.i</w:t>
      </w:r>
      <w:proofErr w:type="spellEnd"/>
      <w:r>
        <w:rPr>
          <w:sz w:val="28"/>
          <w:szCs w:val="28"/>
        </w:rPr>
        <w:t>.</w:t>
      </w:r>
      <w:proofErr w:type="gramStart"/>
      <w:r>
        <w:rPr>
          <w:sz w:val="28"/>
          <w:szCs w:val="28"/>
        </w:rPr>
        <w:t xml:space="preserve">                                                  </w:t>
      </w:r>
      <w:proofErr w:type="gramEnd"/>
      <w:r w:rsidR="0031223B">
        <w:rPr>
          <w:sz w:val="28"/>
          <w:szCs w:val="28"/>
        </w:rPr>
        <w:t>I.Dreģe</w:t>
      </w:r>
    </w:p>
    <w:p w:rsidR="003C66BF" w:rsidRDefault="003C66BF" w:rsidP="003C66BF">
      <w:pPr>
        <w:rPr>
          <w:sz w:val="28"/>
          <w:szCs w:val="28"/>
        </w:rPr>
      </w:pPr>
    </w:p>
    <w:p w:rsidR="003C66BF" w:rsidRDefault="003C66BF" w:rsidP="003C66BF">
      <w:pPr>
        <w:rPr>
          <w:sz w:val="28"/>
          <w:szCs w:val="28"/>
        </w:rPr>
      </w:pPr>
    </w:p>
    <w:p w:rsidR="003C66BF" w:rsidRDefault="003C66BF" w:rsidP="003C66BF"/>
    <w:p w:rsidR="003C66BF" w:rsidRDefault="003C66BF" w:rsidP="003C66BF"/>
    <w:p w:rsidR="003C66BF" w:rsidRDefault="003C66BF" w:rsidP="003C66BF"/>
    <w:p w:rsidR="003C66BF" w:rsidRPr="006D60D3" w:rsidRDefault="0031223B" w:rsidP="003C66BF">
      <w:r>
        <w:t>2</w:t>
      </w:r>
      <w:r w:rsidR="003C66BF">
        <w:t>4.07</w:t>
      </w:r>
      <w:r w:rsidR="003C66BF" w:rsidRPr="006D60D3">
        <w:t xml:space="preserve">.2014. </w:t>
      </w:r>
      <w:r>
        <w:t>09:15</w:t>
      </w:r>
      <w:bookmarkStart w:id="0" w:name="_GoBack"/>
      <w:bookmarkEnd w:id="0"/>
    </w:p>
    <w:p w:rsidR="003C66BF" w:rsidRPr="006D60D3" w:rsidRDefault="003C1939" w:rsidP="003C66BF">
      <w:r>
        <w:t>45</w:t>
      </w:r>
      <w:r w:rsidR="003B3394">
        <w:t>8</w:t>
      </w:r>
    </w:p>
    <w:p w:rsidR="003C66BF" w:rsidRPr="006D60D3" w:rsidRDefault="003C66BF" w:rsidP="003C66BF">
      <w:proofErr w:type="spellStart"/>
      <w:r w:rsidRPr="006D60D3">
        <w:t>I.Ruka-Kāpostiņa</w:t>
      </w:r>
      <w:proofErr w:type="spellEnd"/>
      <w:r w:rsidRPr="006D60D3">
        <w:t>, 67071901</w:t>
      </w:r>
    </w:p>
    <w:p w:rsidR="003C66BF" w:rsidRPr="006D60D3" w:rsidRDefault="0031223B" w:rsidP="003C66BF">
      <w:hyperlink r:id="rId9" w:history="1">
        <w:r w:rsidR="003C66BF" w:rsidRPr="006D60D3">
          <w:rPr>
            <w:rStyle w:val="Hyperlink"/>
          </w:rPr>
          <w:t>Inita.Ruka@mil.lv</w:t>
        </w:r>
      </w:hyperlink>
    </w:p>
    <w:p w:rsidR="003C66BF" w:rsidRPr="006D60D3" w:rsidRDefault="003C66BF" w:rsidP="003C66BF">
      <w:proofErr w:type="spellStart"/>
      <w:r w:rsidRPr="006D60D3">
        <w:t>R.Dreiškena-Lāce</w:t>
      </w:r>
      <w:proofErr w:type="spellEnd"/>
      <w:r w:rsidRPr="006D60D3">
        <w:t>, 67335247</w:t>
      </w:r>
    </w:p>
    <w:p w:rsidR="003C66BF" w:rsidRPr="006D60D3" w:rsidRDefault="0031223B" w:rsidP="003C66BF">
      <w:hyperlink r:id="rId10" w:history="1">
        <w:r w:rsidR="003C66BF" w:rsidRPr="006D60D3">
          <w:rPr>
            <w:rStyle w:val="Hyperlink"/>
          </w:rPr>
          <w:t>Rita.Dreiskena@mod.gov.lv</w:t>
        </w:r>
      </w:hyperlink>
    </w:p>
    <w:p w:rsidR="003C66BF" w:rsidRPr="003C66BF" w:rsidRDefault="003C66BF" w:rsidP="003C66BF">
      <w:pPr>
        <w:rPr>
          <w:rFonts w:cs="Times New Roman"/>
          <w:lang w:val="lv-LV" w:eastAsia="lv-LV" w:bidi="ar-SA"/>
        </w:rPr>
      </w:pPr>
      <w:r w:rsidRPr="003C66BF">
        <w:rPr>
          <w:rFonts w:cs="Times New Roman"/>
          <w:lang w:val="lv-LV" w:eastAsia="lv-LV" w:bidi="ar-SA"/>
        </w:rPr>
        <w:t xml:space="preserve">fakss: </w:t>
      </w:r>
      <w:smartTag w:uri="schemas-tilde-lv/tildestengine" w:element="phone">
        <w:smartTagPr>
          <w:attr w:name="phone_number" w:val="7212307"/>
          <w:attr w:name="phone_prefix" w:val="6"/>
        </w:smartTagPr>
        <w:r w:rsidRPr="003C66BF">
          <w:rPr>
            <w:rFonts w:cs="Times New Roman"/>
            <w:lang w:val="lv-LV" w:eastAsia="lv-LV" w:bidi="ar-SA"/>
          </w:rPr>
          <w:t>67212307</w:t>
        </w:r>
      </w:smartTag>
    </w:p>
    <w:p w:rsidR="003C66BF" w:rsidRDefault="003C66BF" w:rsidP="003C66BF"/>
    <w:p w:rsidR="003C66BF" w:rsidRPr="003C66BF" w:rsidRDefault="003C66BF" w:rsidP="00085A58">
      <w:pPr>
        <w:rPr>
          <w:rFonts w:cs="Times New Roman"/>
          <w:sz w:val="16"/>
          <w:szCs w:val="16"/>
        </w:rPr>
      </w:pPr>
    </w:p>
    <w:sectPr w:rsidR="003C66BF" w:rsidRPr="003C66BF" w:rsidSect="00793251">
      <w:headerReference w:type="default"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51" w:rsidRDefault="00793251" w:rsidP="00793251">
      <w:r>
        <w:separator/>
      </w:r>
    </w:p>
  </w:endnote>
  <w:endnote w:type="continuationSeparator" w:id="0">
    <w:p w:rsidR="00793251" w:rsidRDefault="00793251"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Pr="00793251" w:rsidRDefault="00793251" w:rsidP="009B4033">
    <w:pPr>
      <w:pStyle w:val="Footer"/>
      <w:jc w:val="both"/>
      <w:rPr>
        <w:lang w:val="lv-LV"/>
      </w:rPr>
    </w:pPr>
    <w:r>
      <w:rPr>
        <w:lang w:val="lv-LV"/>
      </w:rPr>
      <w:t>AIMAnot_</w:t>
    </w:r>
    <w:r w:rsidR="0031223B">
      <w:rPr>
        <w:lang w:val="lv-LV"/>
      </w:rPr>
      <w:t>2</w:t>
    </w:r>
    <w:r w:rsidR="003C66BF">
      <w:rPr>
        <w:lang w:val="lv-LV"/>
      </w:rPr>
      <w:t>4</w:t>
    </w:r>
    <w:r w:rsidR="002447A7">
      <w:rPr>
        <w:lang w:val="lv-LV"/>
      </w:rPr>
      <w:t>0</w:t>
    </w:r>
    <w:r w:rsidR="003C66BF">
      <w:rPr>
        <w:lang w:val="lv-LV"/>
      </w:rPr>
      <w:t>7</w:t>
    </w:r>
    <w:r>
      <w:rPr>
        <w:lang w:val="lv-LV"/>
      </w:rPr>
      <w:t>14_</w:t>
    </w:r>
    <w:r w:rsidR="003C66BF">
      <w:rPr>
        <w:lang w:val="lv-LV"/>
      </w:rPr>
      <w:t>MK1317</w:t>
    </w:r>
    <w:r>
      <w:rPr>
        <w:lang w:val="lv-LV"/>
      </w:rPr>
      <w:t xml:space="preserve">; </w:t>
    </w:r>
    <w:proofErr w:type="spellStart"/>
    <w:r w:rsidR="006E2700" w:rsidRPr="0023314C">
      <w:t>Ministru</w:t>
    </w:r>
    <w:proofErr w:type="spellEnd"/>
    <w:r w:rsidR="006E2700" w:rsidRPr="0023314C">
      <w:t xml:space="preserve"> </w:t>
    </w:r>
    <w:proofErr w:type="spellStart"/>
    <w:r w:rsidR="006E2700" w:rsidRPr="0023314C">
      <w:t>kabineta</w:t>
    </w:r>
    <w:proofErr w:type="spellEnd"/>
    <w:r w:rsidR="006E2700" w:rsidRPr="0023314C">
      <w:t xml:space="preserve"> </w:t>
    </w:r>
    <w:proofErr w:type="spellStart"/>
    <w:r w:rsidR="006E2700" w:rsidRPr="0023314C">
      <w:t>noteikumu</w:t>
    </w:r>
    <w:proofErr w:type="spellEnd"/>
    <w:r w:rsidR="006E2700" w:rsidRPr="0023314C">
      <w:t xml:space="preserve"> </w:t>
    </w:r>
    <w:proofErr w:type="spellStart"/>
    <w:r w:rsidR="006E2700" w:rsidRPr="0023314C">
      <w:t>projekta</w:t>
    </w:r>
    <w:proofErr w:type="spellEnd"/>
    <w:r w:rsidR="006E2700">
      <w:t xml:space="preserve"> </w:t>
    </w:r>
    <w:r w:rsidR="006E2700" w:rsidRPr="0023314C">
      <w:t>„</w:t>
    </w:r>
    <w:proofErr w:type="spellStart"/>
    <w:r w:rsidR="006E2700" w:rsidRPr="0023314C">
      <w:t>Grozījumi</w:t>
    </w:r>
    <w:proofErr w:type="spellEnd"/>
    <w:r w:rsidR="006E2700" w:rsidRPr="0023314C">
      <w:t xml:space="preserve"> </w:t>
    </w:r>
    <w:proofErr w:type="spellStart"/>
    <w:r w:rsidR="006E2700" w:rsidRPr="0023314C">
      <w:t>Ministru</w:t>
    </w:r>
    <w:proofErr w:type="spellEnd"/>
    <w:r w:rsidR="006E2700" w:rsidRPr="0023314C">
      <w:t xml:space="preserve"> </w:t>
    </w:r>
    <w:proofErr w:type="spellStart"/>
    <w:r w:rsidR="006E2700" w:rsidRPr="0023314C">
      <w:t>kabineta</w:t>
    </w:r>
    <w:proofErr w:type="spellEnd"/>
    <w:r w:rsidR="006E2700" w:rsidRPr="0023314C">
      <w:t xml:space="preserve"> 2013.gada 19.novembra </w:t>
    </w:r>
    <w:proofErr w:type="spellStart"/>
    <w:r w:rsidR="006E2700" w:rsidRPr="0023314C">
      <w:t>noteikumos</w:t>
    </w:r>
    <w:proofErr w:type="spellEnd"/>
    <w:r w:rsidR="006E2700" w:rsidRPr="0023314C">
      <w:t xml:space="preserve"> Nr.1317 „</w:t>
    </w:r>
    <w:proofErr w:type="spellStart"/>
    <w:r w:rsidR="006E2700" w:rsidRPr="0023314C">
      <w:t>Noteikumi</w:t>
    </w:r>
    <w:proofErr w:type="spellEnd"/>
    <w:r w:rsidR="006E2700" w:rsidRPr="0023314C">
      <w:t xml:space="preserve"> par </w:t>
    </w:r>
    <w:proofErr w:type="spellStart"/>
    <w:r w:rsidR="006E2700" w:rsidRPr="0023314C">
      <w:t>speciālo</w:t>
    </w:r>
    <w:proofErr w:type="spellEnd"/>
    <w:r w:rsidR="006E2700" w:rsidRPr="0023314C">
      <w:t xml:space="preserve"> </w:t>
    </w:r>
    <w:proofErr w:type="spellStart"/>
    <w:r w:rsidR="006E2700" w:rsidRPr="0023314C">
      <w:t>līdzekļu</w:t>
    </w:r>
    <w:proofErr w:type="spellEnd"/>
    <w:r w:rsidR="006E2700" w:rsidRPr="0023314C">
      <w:t xml:space="preserve"> </w:t>
    </w:r>
    <w:proofErr w:type="spellStart"/>
    <w:r w:rsidR="006E2700" w:rsidRPr="0023314C">
      <w:t>veidiem</w:t>
    </w:r>
    <w:proofErr w:type="spellEnd"/>
    <w:r w:rsidR="006E2700" w:rsidRPr="0023314C">
      <w:t xml:space="preserve"> un </w:t>
    </w:r>
    <w:proofErr w:type="spellStart"/>
    <w:r w:rsidR="006E2700" w:rsidRPr="0023314C">
      <w:t>kārtību</w:t>
    </w:r>
    <w:proofErr w:type="spellEnd"/>
    <w:r w:rsidR="006E2700" w:rsidRPr="0023314C">
      <w:t xml:space="preserve">, </w:t>
    </w:r>
    <w:proofErr w:type="spellStart"/>
    <w:r w:rsidR="006E2700" w:rsidRPr="0023314C">
      <w:t>kādā</w:t>
    </w:r>
    <w:proofErr w:type="spellEnd"/>
    <w:r w:rsidR="006E2700" w:rsidRPr="0023314C">
      <w:t xml:space="preserve"> </w:t>
    </w:r>
    <w:proofErr w:type="spellStart"/>
    <w:r w:rsidR="006E2700" w:rsidRPr="0023314C">
      <w:t>karavīri</w:t>
    </w:r>
    <w:proofErr w:type="spellEnd"/>
    <w:r w:rsidR="006E2700" w:rsidRPr="0023314C">
      <w:t xml:space="preserve"> </w:t>
    </w:r>
    <w:proofErr w:type="spellStart"/>
    <w:r w:rsidR="006E2700" w:rsidRPr="0023314C">
      <w:t>glabā</w:t>
    </w:r>
    <w:proofErr w:type="spellEnd"/>
    <w:r w:rsidR="006E2700" w:rsidRPr="0023314C">
      <w:t xml:space="preserve">, </w:t>
    </w:r>
    <w:proofErr w:type="spellStart"/>
    <w:r w:rsidR="006E2700" w:rsidRPr="0023314C">
      <w:t>nēsā</w:t>
    </w:r>
    <w:proofErr w:type="spellEnd"/>
    <w:r w:rsidR="006E2700" w:rsidRPr="0023314C">
      <w:t xml:space="preserve"> un </w:t>
    </w:r>
    <w:proofErr w:type="spellStart"/>
    <w:r w:rsidR="006E2700" w:rsidRPr="0023314C">
      <w:t>lieto</w:t>
    </w:r>
    <w:proofErr w:type="spellEnd"/>
    <w:r w:rsidR="006E2700" w:rsidRPr="0023314C">
      <w:t xml:space="preserve"> </w:t>
    </w:r>
    <w:proofErr w:type="spellStart"/>
    <w:r w:rsidR="006E2700" w:rsidRPr="0023314C">
      <w:t>speciālos</w:t>
    </w:r>
    <w:proofErr w:type="spellEnd"/>
    <w:r w:rsidR="006E2700" w:rsidRPr="0023314C">
      <w:t xml:space="preserve"> </w:t>
    </w:r>
    <w:proofErr w:type="spellStart"/>
    <w:r w:rsidR="006E2700" w:rsidRPr="0023314C">
      <w:t>līdzekļus</w:t>
    </w:r>
    <w:proofErr w:type="spellEnd"/>
    <w:r w:rsidR="006E2700" w:rsidRPr="0023314C">
      <w:t xml:space="preserve">”” </w:t>
    </w:r>
    <w:proofErr w:type="spellStart"/>
    <w:r w:rsidR="006E2700" w:rsidRPr="0023314C">
      <w:t>sākotnējās</w:t>
    </w:r>
    <w:proofErr w:type="spellEnd"/>
    <w:r w:rsidR="006E2700" w:rsidRPr="0023314C">
      <w:t xml:space="preserve"> </w:t>
    </w:r>
    <w:proofErr w:type="spellStart"/>
    <w:r w:rsidR="006E2700" w:rsidRPr="0023314C">
      <w:t>ietekmes</w:t>
    </w:r>
    <w:proofErr w:type="spellEnd"/>
    <w:r w:rsidR="006E2700" w:rsidRPr="0023314C">
      <w:t xml:space="preserve"> </w:t>
    </w:r>
    <w:proofErr w:type="spellStart"/>
    <w:r w:rsidR="006E2700" w:rsidRPr="0023314C">
      <w:t>novērtējuma</w:t>
    </w:r>
    <w:proofErr w:type="spellEnd"/>
    <w:r w:rsidR="006E2700" w:rsidRPr="0023314C">
      <w:t xml:space="preserve"> </w:t>
    </w:r>
    <w:proofErr w:type="spellStart"/>
    <w:r w:rsidR="006E2700" w:rsidRPr="0023314C">
      <w:t>ziņojums</w:t>
    </w:r>
    <w:proofErr w:type="spellEnd"/>
    <w:r w:rsidR="006E2700" w:rsidRPr="0023314C">
      <w:t xml:space="preserve"> (</w:t>
    </w:r>
    <w:proofErr w:type="spellStart"/>
    <w:r w:rsidR="006E2700" w:rsidRPr="0023314C">
      <w:t>anotācija</w:t>
    </w:r>
    <w:proofErr w:type="spellEnd"/>
    <w:r w:rsidR="006E2700" w:rsidRPr="0023314C">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51" w:rsidRDefault="00793251" w:rsidP="00793251">
      <w:r>
        <w:separator/>
      </w:r>
    </w:p>
  </w:footnote>
  <w:footnote w:type="continuationSeparator" w:id="0">
    <w:p w:rsidR="00793251" w:rsidRDefault="00793251"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793251" w:rsidRDefault="00793251">
        <w:pPr>
          <w:pStyle w:val="Header"/>
          <w:jc w:val="center"/>
        </w:pPr>
        <w:r>
          <w:fldChar w:fldCharType="begin"/>
        </w:r>
        <w:r>
          <w:instrText xml:space="preserve"> PAGE   \* MERGEFORMAT </w:instrText>
        </w:r>
        <w:r>
          <w:fldChar w:fldCharType="separate"/>
        </w:r>
        <w:r w:rsidR="0031223B">
          <w:rPr>
            <w:noProof/>
          </w:rPr>
          <w:t>3</w:t>
        </w:r>
        <w:r>
          <w:rPr>
            <w:noProof/>
          </w:rPr>
          <w:fldChar w:fldCharType="end"/>
        </w:r>
      </w:p>
    </w:sdtContent>
  </w:sdt>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35482F"/>
    <w:multiLevelType w:val="hybridMultilevel"/>
    <w:tmpl w:val="B50C0740"/>
    <w:lvl w:ilvl="0" w:tplc="33E070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BA5"/>
    <w:rsid w:val="00042947"/>
    <w:rsid w:val="000637B5"/>
    <w:rsid w:val="00065F37"/>
    <w:rsid w:val="00085A58"/>
    <w:rsid w:val="000E4F01"/>
    <w:rsid w:val="000E69BF"/>
    <w:rsid w:val="000F24DA"/>
    <w:rsid w:val="0014533C"/>
    <w:rsid w:val="001919C8"/>
    <w:rsid w:val="0019390A"/>
    <w:rsid w:val="001C25DB"/>
    <w:rsid w:val="001E4F19"/>
    <w:rsid w:val="001F2472"/>
    <w:rsid w:val="00224D82"/>
    <w:rsid w:val="002447A7"/>
    <w:rsid w:val="0026236D"/>
    <w:rsid w:val="002768AB"/>
    <w:rsid w:val="00304507"/>
    <w:rsid w:val="00306223"/>
    <w:rsid w:val="0031223B"/>
    <w:rsid w:val="00320588"/>
    <w:rsid w:val="003B1EE2"/>
    <w:rsid w:val="003B3394"/>
    <w:rsid w:val="003C1939"/>
    <w:rsid w:val="003C66BF"/>
    <w:rsid w:val="003F7185"/>
    <w:rsid w:val="0043361D"/>
    <w:rsid w:val="004600D1"/>
    <w:rsid w:val="004630A0"/>
    <w:rsid w:val="004917C2"/>
    <w:rsid w:val="004A1C41"/>
    <w:rsid w:val="00504AE1"/>
    <w:rsid w:val="0058356D"/>
    <w:rsid w:val="005E2B7A"/>
    <w:rsid w:val="005E5934"/>
    <w:rsid w:val="005F1F40"/>
    <w:rsid w:val="00650AAC"/>
    <w:rsid w:val="0065610B"/>
    <w:rsid w:val="006673C3"/>
    <w:rsid w:val="006E2700"/>
    <w:rsid w:val="0074627E"/>
    <w:rsid w:val="007635F3"/>
    <w:rsid w:val="00793251"/>
    <w:rsid w:val="00797A20"/>
    <w:rsid w:val="007C6210"/>
    <w:rsid w:val="007F1D73"/>
    <w:rsid w:val="008118E4"/>
    <w:rsid w:val="008804EF"/>
    <w:rsid w:val="008E0711"/>
    <w:rsid w:val="009213E1"/>
    <w:rsid w:val="0093126B"/>
    <w:rsid w:val="009504AB"/>
    <w:rsid w:val="00961EAA"/>
    <w:rsid w:val="00963455"/>
    <w:rsid w:val="00972D20"/>
    <w:rsid w:val="00976F2C"/>
    <w:rsid w:val="009A48D6"/>
    <w:rsid w:val="009B01A8"/>
    <w:rsid w:val="009B0629"/>
    <w:rsid w:val="009B32A9"/>
    <w:rsid w:val="009B4033"/>
    <w:rsid w:val="009D7E83"/>
    <w:rsid w:val="009F1792"/>
    <w:rsid w:val="00A03F07"/>
    <w:rsid w:val="00A26527"/>
    <w:rsid w:val="00A44056"/>
    <w:rsid w:val="00A669D6"/>
    <w:rsid w:val="00AE08B7"/>
    <w:rsid w:val="00AE3777"/>
    <w:rsid w:val="00AE5374"/>
    <w:rsid w:val="00AF3AC3"/>
    <w:rsid w:val="00B3041C"/>
    <w:rsid w:val="00B42912"/>
    <w:rsid w:val="00B47AF6"/>
    <w:rsid w:val="00B56DB1"/>
    <w:rsid w:val="00B80259"/>
    <w:rsid w:val="00B91C5E"/>
    <w:rsid w:val="00BA6DC0"/>
    <w:rsid w:val="00BE44AD"/>
    <w:rsid w:val="00BE5E1F"/>
    <w:rsid w:val="00C15175"/>
    <w:rsid w:val="00C53718"/>
    <w:rsid w:val="00C729FB"/>
    <w:rsid w:val="00C97EAA"/>
    <w:rsid w:val="00CB7EEF"/>
    <w:rsid w:val="00D50FA7"/>
    <w:rsid w:val="00D71725"/>
    <w:rsid w:val="00D7483A"/>
    <w:rsid w:val="00DA55F2"/>
    <w:rsid w:val="00DD0703"/>
    <w:rsid w:val="00DE7D87"/>
    <w:rsid w:val="00E07C6A"/>
    <w:rsid w:val="00E20B65"/>
    <w:rsid w:val="00E64ADC"/>
    <w:rsid w:val="00E65F9E"/>
    <w:rsid w:val="00EB5489"/>
    <w:rsid w:val="00EC3825"/>
    <w:rsid w:val="00F22346"/>
    <w:rsid w:val="00F44D94"/>
    <w:rsid w:val="00F64DAF"/>
    <w:rsid w:val="00F74DE5"/>
    <w:rsid w:val="00FD2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naisf">
    <w:name w:val="naisf"/>
    <w:basedOn w:val="Normal"/>
    <w:rsid w:val="003C66BF"/>
    <w:pPr>
      <w:spacing w:before="100" w:beforeAutospacing="1" w:after="100" w:afterAutospacing="1"/>
    </w:pPr>
    <w:rPr>
      <w:rFonts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naisf">
    <w:name w:val="naisf"/>
    <w:basedOn w:val="Normal"/>
    <w:rsid w:val="003C66BF"/>
    <w:pPr>
      <w:spacing w:before="100" w:beforeAutospacing="1" w:after="100" w:afterAutospacing="1"/>
    </w:pPr>
    <w:rPr>
      <w:rFonts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ta.Dreiskena@mod.gov.lv" TargetMode="External"/><Relationship Id="rId4" Type="http://schemas.microsoft.com/office/2007/relationships/stylesWithEffects" Target="stylesWithEffects.xml"/><Relationship Id="rId9" Type="http://schemas.openxmlformats.org/officeDocument/2006/relationships/hyperlink" Target="mailto:Inita.Ruka@mil.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E382-2A71-461B-9CEA-BDC8C1B1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65786AF0.dotm</Template>
  <TotalTime>188</TotalTime>
  <Pages>3</Pages>
  <Words>458</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Anotācija</vt:lpstr>
    </vt:vector>
  </TitlesOfParts>
  <Manager>Juridiskā pārvalde, Juridiskais departaments</Manager>
  <Company>NBS AŠ, AiM</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projekts „Grozījumi Ministru kabineta 2013.gada 19.novembra noteikumos Nr.1317 „Noteikumi par speciālo līdzekļu veidiem un kārtību, kādā karavīri glabā, nēsā un lieto speciālos līdzekļus” </dc:subject>
  <dc:creator>I.Ruka-Kāpostiņa, R.Dreiškena-Lāce</dc:creator>
  <dc:description>Inita.Ruka@mil.lv, 67071901_x000d_
Rita.Dreiskena@mod.gov.lv; 67335247</dc:description>
  <cp:lastModifiedBy>Rita Dreiškena</cp:lastModifiedBy>
  <cp:revision>58</cp:revision>
  <cp:lastPrinted>2014-01-24T08:19:00Z</cp:lastPrinted>
  <dcterms:created xsi:type="dcterms:W3CDTF">2014-01-23T14:18:00Z</dcterms:created>
  <dcterms:modified xsi:type="dcterms:W3CDTF">2014-07-24T06:15:00Z</dcterms:modified>
</cp:coreProperties>
</file>