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5A" w:rsidRPr="006008A0" w:rsidRDefault="0060785A" w:rsidP="0060785A">
      <w:pPr>
        <w:jc w:val="center"/>
        <w:rPr>
          <w:b/>
          <w:bCs/>
          <w:iCs/>
          <w:sz w:val="26"/>
          <w:szCs w:val="26"/>
          <w:lang w:val="lv-LV"/>
        </w:rPr>
      </w:pPr>
      <w:r w:rsidRPr="006008A0">
        <w:rPr>
          <w:b/>
          <w:bCs/>
          <w:sz w:val="26"/>
          <w:szCs w:val="26"/>
          <w:lang w:val="lv-LV"/>
        </w:rPr>
        <w:t xml:space="preserve">Ministru kabineta rīkojuma </w:t>
      </w:r>
      <w:r w:rsidR="008F0A29">
        <w:rPr>
          <w:b/>
          <w:bCs/>
          <w:sz w:val="26"/>
          <w:szCs w:val="26"/>
          <w:lang w:val="lv-LV"/>
        </w:rPr>
        <w:t>„P</w:t>
      </w:r>
      <w:r w:rsidRPr="006008A0">
        <w:rPr>
          <w:b/>
          <w:bCs/>
          <w:iCs/>
          <w:sz w:val="26"/>
          <w:szCs w:val="26"/>
          <w:lang w:val="lv-LV"/>
        </w:rPr>
        <w:t>ar nepieciešamo finansējumu Latvijas prezidentūras Eiropas Savienības Padomē 2015.gadā sagatavošanai un nodrošināšanai 2014.gadam</w:t>
      </w:r>
      <w:r w:rsidR="008F0A29">
        <w:rPr>
          <w:b/>
          <w:bCs/>
          <w:sz w:val="26"/>
          <w:szCs w:val="26"/>
          <w:lang w:val="lv-LV"/>
        </w:rPr>
        <w:t>”</w:t>
      </w:r>
      <w:r w:rsidRPr="006008A0">
        <w:rPr>
          <w:b/>
          <w:bCs/>
          <w:sz w:val="26"/>
          <w:szCs w:val="26"/>
          <w:lang w:val="lv-LV"/>
        </w:rPr>
        <w:t xml:space="preserve"> projekta sākotnējās ietekmes novērtējuma ziņojums (anotācija)</w:t>
      </w: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37"/>
        <w:gridCol w:w="6951"/>
      </w:tblGrid>
      <w:tr w:rsidR="0060785A" w:rsidRPr="00DE1701" w:rsidTr="008F0A29">
        <w:trPr>
          <w:trHeight w:val="414"/>
        </w:trPr>
        <w:tc>
          <w:tcPr>
            <w:tcW w:w="9219" w:type="dxa"/>
            <w:gridSpan w:val="3"/>
            <w:vAlign w:val="center"/>
          </w:tcPr>
          <w:p w:rsidR="0060785A" w:rsidRPr="00694D69" w:rsidRDefault="0060785A" w:rsidP="00C50DD9">
            <w:pPr>
              <w:pStyle w:val="naisnod"/>
              <w:spacing w:before="0" w:after="0"/>
            </w:pPr>
            <w:r w:rsidRPr="00694D69">
              <w:t>I. Tiesību akta projekta izstrādes nepieciešamība</w:t>
            </w:r>
          </w:p>
        </w:tc>
      </w:tr>
      <w:tr w:rsidR="0060785A" w:rsidRPr="00707073" w:rsidTr="008F0A29">
        <w:trPr>
          <w:trHeight w:val="433"/>
        </w:trPr>
        <w:tc>
          <w:tcPr>
            <w:tcW w:w="431" w:type="dxa"/>
          </w:tcPr>
          <w:p w:rsidR="0060785A" w:rsidRPr="00694D69" w:rsidRDefault="0060785A" w:rsidP="008F0A29">
            <w:pPr>
              <w:pStyle w:val="naiskr"/>
              <w:spacing w:before="0" w:after="0"/>
              <w:jc w:val="center"/>
            </w:pPr>
            <w:r w:rsidRPr="00694D69">
              <w:t>1.</w:t>
            </w:r>
          </w:p>
        </w:tc>
        <w:tc>
          <w:tcPr>
            <w:tcW w:w="1837" w:type="dxa"/>
          </w:tcPr>
          <w:p w:rsidR="0060785A" w:rsidRPr="00694D69" w:rsidRDefault="0060785A" w:rsidP="00C50DD9">
            <w:pPr>
              <w:pStyle w:val="naiskr"/>
              <w:spacing w:before="0" w:after="0"/>
              <w:ind w:hanging="10"/>
            </w:pPr>
            <w:r w:rsidRPr="00694D69">
              <w:t>Pamatojums</w:t>
            </w:r>
          </w:p>
        </w:tc>
        <w:tc>
          <w:tcPr>
            <w:tcW w:w="6951" w:type="dxa"/>
          </w:tcPr>
          <w:p w:rsidR="00845887" w:rsidRPr="00694D69" w:rsidRDefault="00845887" w:rsidP="00845887">
            <w:pPr>
              <w:jc w:val="both"/>
              <w:rPr>
                <w:szCs w:val="24"/>
                <w:lang w:val="lv-LV"/>
              </w:rPr>
            </w:pPr>
            <w:r w:rsidRPr="00694D69">
              <w:rPr>
                <w:szCs w:val="24"/>
                <w:lang w:val="lv-LV"/>
              </w:rPr>
              <w:t>Saskaņā ar Ministru kabineta 2013.gada 28.augusta rīkojuma Nr.401 "Par nepieciešamo finansējumu 2014.gadam, lai nodrošinātu Latvijas prezidentūru Eiropas Savienības Padomē 2015.gadā</w:t>
            </w:r>
            <w:r w:rsidRPr="00694D69">
              <w:rPr>
                <w:bCs/>
                <w:szCs w:val="24"/>
                <w:lang w:val="lv-LV"/>
              </w:rPr>
              <w:t>"</w:t>
            </w:r>
            <w:r w:rsidRPr="00694D69">
              <w:rPr>
                <w:szCs w:val="24"/>
                <w:lang w:val="lv-LV"/>
              </w:rPr>
              <w:t xml:space="preserve"> (turpmāk – rīkojums) 6.punktā noteikto uzdevumu 74.resora "Gadskārtējā valsts budžeta izpildes procesā pārdalāmais finansējums" budžeta programmas "Latvijas prezidentūras Eiropas Savienības Padomē nodrošināšana 2015.gadā" nesadalītais finansējums 2014.gadam </w:t>
            </w:r>
            <w:r w:rsidRPr="00694D69">
              <w:rPr>
                <w:color w:val="000000"/>
                <w:szCs w:val="24"/>
                <w:lang w:val="lv-LV"/>
              </w:rPr>
              <w:t xml:space="preserve">581 690 </w:t>
            </w:r>
            <w:proofErr w:type="spellStart"/>
            <w:r w:rsidRPr="00694D69">
              <w:rPr>
                <w:i/>
                <w:color w:val="000000"/>
                <w:szCs w:val="24"/>
                <w:lang w:val="lv-LV"/>
              </w:rPr>
              <w:t>euro</w:t>
            </w:r>
            <w:proofErr w:type="spellEnd"/>
            <w:r w:rsidRPr="00694D69">
              <w:rPr>
                <w:szCs w:val="24"/>
                <w:lang w:val="lv-LV"/>
              </w:rPr>
              <w:t xml:space="preserve"> apmērā sadalāms</w:t>
            </w:r>
            <w:r w:rsidR="00604704">
              <w:rPr>
                <w:szCs w:val="24"/>
                <w:lang w:val="lv-LV"/>
              </w:rPr>
              <w:t xml:space="preserve"> </w:t>
            </w:r>
            <w:r w:rsidRPr="00694D69">
              <w:rPr>
                <w:szCs w:val="24"/>
                <w:lang w:val="lv-LV"/>
              </w:rPr>
              <w:t xml:space="preserve">rīkojuma 1.2.3., 1.3.3., 1.4.1., 1.6.2., 1.12.2. un 1.13.3.apakšpunktā minētajām papildu amata vietām līdz 2014.gada 1.martam, ņemot vērā precizēto </w:t>
            </w:r>
            <w:r w:rsidR="00924E3C">
              <w:rPr>
                <w:szCs w:val="24"/>
                <w:lang w:val="lv-LV"/>
              </w:rPr>
              <w:t xml:space="preserve">Latvijas prezidentūras Eiropas Savienības Padomē (turpmāk – </w:t>
            </w:r>
            <w:r w:rsidR="00017F24">
              <w:rPr>
                <w:szCs w:val="24"/>
                <w:lang w:val="lv-LV"/>
              </w:rPr>
              <w:t xml:space="preserve">Latvijas </w:t>
            </w:r>
            <w:r w:rsidRPr="00694D69">
              <w:rPr>
                <w:szCs w:val="24"/>
                <w:lang w:val="lv-LV"/>
              </w:rPr>
              <w:t>prezidentūra</w:t>
            </w:r>
            <w:r w:rsidR="00924E3C">
              <w:rPr>
                <w:szCs w:val="24"/>
                <w:lang w:val="lv-LV"/>
              </w:rPr>
              <w:t>)</w:t>
            </w:r>
            <w:r w:rsidRPr="00694D69">
              <w:rPr>
                <w:szCs w:val="24"/>
                <w:lang w:val="lv-LV"/>
              </w:rPr>
              <w:t xml:space="preserve"> programmu, kā arī ministriju faktiski aizpildīto amata vietu skaitu</w:t>
            </w:r>
            <w:r w:rsidR="00924E3C">
              <w:rPr>
                <w:szCs w:val="24"/>
                <w:lang w:val="lv-LV"/>
              </w:rPr>
              <w:t>,</w:t>
            </w:r>
            <w:r w:rsidRPr="00694D69">
              <w:rPr>
                <w:szCs w:val="24"/>
                <w:lang w:val="lv-LV"/>
              </w:rPr>
              <w:t xml:space="preserve"> vai arī jaunu papildu amata vietu izveidei saskaņā ar Ministru kabineta lēmumu.</w:t>
            </w:r>
          </w:p>
          <w:p w:rsidR="0060785A" w:rsidRPr="00694D69" w:rsidRDefault="00845887" w:rsidP="0065232E">
            <w:pPr>
              <w:pStyle w:val="NoSpacing"/>
              <w:jc w:val="both"/>
              <w:rPr>
                <w:szCs w:val="24"/>
                <w:lang w:val="lv-LV"/>
              </w:rPr>
            </w:pPr>
            <w:r w:rsidRPr="00694D69">
              <w:rPr>
                <w:szCs w:val="24"/>
                <w:lang w:val="lv-LV"/>
              </w:rPr>
              <w:t xml:space="preserve">Saskaņā ar Ministru Kabineta 2014.gada 19.marta rīkojuma Nr.127 "Par nepieciešamo finansējumu 2014.gadam, lai nodrošinātu Latvijas prezidentūru Eiropas Savienības Padomē 2015.gadā" 3.punktā noteikto uzdevumu 74. resora "Gadskārtējā valsts budžeta izpildes procesā pārdalāmais finansējums" budžeta programmas 04.00.00 "Latvijas prezidentūras Eiropas Savienības Padomē nodrošināšana 2015. gadā" nesadalītais finansējums 2014. gadam 385 064 </w:t>
            </w:r>
            <w:proofErr w:type="spellStart"/>
            <w:r w:rsidRPr="00924E3C">
              <w:rPr>
                <w:i/>
                <w:szCs w:val="24"/>
                <w:lang w:val="lv-LV"/>
              </w:rPr>
              <w:t>euro</w:t>
            </w:r>
            <w:proofErr w:type="spellEnd"/>
            <w:r w:rsidRPr="00694D69">
              <w:rPr>
                <w:szCs w:val="24"/>
                <w:lang w:val="lv-LV"/>
              </w:rPr>
              <w:t xml:space="preserve"> apmērā sadalāms līdz 2014. gada 1.jūlijam, ņemot vērā precizēto </w:t>
            </w:r>
            <w:r w:rsidR="00B27859">
              <w:rPr>
                <w:szCs w:val="24"/>
                <w:lang w:val="lv-LV"/>
              </w:rPr>
              <w:t xml:space="preserve">Latvijas </w:t>
            </w:r>
            <w:r w:rsidRPr="00694D69">
              <w:rPr>
                <w:szCs w:val="24"/>
                <w:lang w:val="lv-LV"/>
              </w:rPr>
              <w:t>prezidentūras programmu, ministriju faktiski aizpildīto amata vietu skaitu, kā arī jaunu papildu amata vietu izveidei saskaņā ar Ministru kabineta lēmumu.</w:t>
            </w:r>
          </w:p>
        </w:tc>
      </w:tr>
      <w:tr w:rsidR="0060785A" w:rsidRPr="00707073" w:rsidTr="008F0A29">
        <w:trPr>
          <w:trHeight w:val="472"/>
        </w:trPr>
        <w:tc>
          <w:tcPr>
            <w:tcW w:w="431" w:type="dxa"/>
          </w:tcPr>
          <w:p w:rsidR="0060785A" w:rsidRPr="00694D69" w:rsidRDefault="0060785A" w:rsidP="008F0A29">
            <w:pPr>
              <w:pStyle w:val="naiskr"/>
              <w:spacing w:before="0" w:after="0"/>
              <w:jc w:val="center"/>
            </w:pPr>
            <w:r w:rsidRPr="00694D69">
              <w:t>2.</w:t>
            </w:r>
          </w:p>
        </w:tc>
        <w:tc>
          <w:tcPr>
            <w:tcW w:w="1837" w:type="dxa"/>
          </w:tcPr>
          <w:p w:rsidR="0060785A" w:rsidRPr="00694D69" w:rsidRDefault="0060785A" w:rsidP="00C50DD9">
            <w:pPr>
              <w:pStyle w:val="naiskr"/>
              <w:tabs>
                <w:tab w:val="left" w:pos="170"/>
              </w:tabs>
              <w:spacing w:before="0" w:after="0"/>
            </w:pPr>
            <w:r w:rsidRPr="00694D69">
              <w:t>Pašreizējā situācija un problēmas, kuru risināšanai tiesību akta projekta izstrādāts,</w:t>
            </w:r>
            <w:r w:rsidR="00171A36" w:rsidRPr="00694D69">
              <w:t xml:space="preserve"> </w:t>
            </w:r>
            <w:r w:rsidRPr="00694D69">
              <w:t>tiesiskā regulējuma mērķis un būtība</w:t>
            </w:r>
          </w:p>
        </w:tc>
        <w:tc>
          <w:tcPr>
            <w:tcW w:w="6951" w:type="dxa"/>
          </w:tcPr>
          <w:p w:rsidR="00E166D4" w:rsidRDefault="00FD40C0" w:rsidP="00E166D4">
            <w:pPr>
              <w:jc w:val="both"/>
              <w:rPr>
                <w:szCs w:val="24"/>
                <w:lang w:val="lv-LV"/>
              </w:rPr>
            </w:pPr>
            <w:r w:rsidRPr="0094198D">
              <w:rPr>
                <w:b/>
                <w:lang w:val="lv-LV"/>
              </w:rPr>
              <w:t>Aizsardzības ministrijai</w:t>
            </w:r>
            <w:r w:rsidRPr="00FD40C0">
              <w:rPr>
                <w:lang w:val="lv-LV"/>
              </w:rPr>
              <w:t xml:space="preserve">, </w:t>
            </w:r>
            <w:r w:rsidR="006A0A86">
              <w:rPr>
                <w:lang w:val="lv-LV"/>
              </w:rPr>
              <w:t xml:space="preserve">papildus </w:t>
            </w:r>
            <w:r w:rsidR="006A0A86" w:rsidRPr="006A0A86">
              <w:rPr>
                <w:lang w:val="lv-LV"/>
              </w:rPr>
              <w:t>trīs izveidotajām un aizpildītajām amata vietām Latvijas Republikas Pastāvīgajā pārstāvniecībā Eiropas Savienībā,</w:t>
            </w:r>
            <w:r w:rsidR="006A0A86" w:rsidRPr="00FD40C0">
              <w:rPr>
                <w:lang w:val="lv-LV"/>
              </w:rPr>
              <w:t xml:space="preserve"> </w:t>
            </w:r>
            <w:r w:rsidRPr="00FD40C0">
              <w:rPr>
                <w:lang w:val="lv-LV"/>
              </w:rPr>
              <w:t xml:space="preserve">ņemot vērā īpašo situāciju pārņemot nacionālās </w:t>
            </w:r>
            <w:proofErr w:type="spellStart"/>
            <w:r w:rsidRPr="00FD40C0">
              <w:rPr>
                <w:lang w:val="lv-LV"/>
              </w:rPr>
              <w:t>kiberdrošības</w:t>
            </w:r>
            <w:proofErr w:type="spellEnd"/>
            <w:r w:rsidRPr="00FD40C0">
              <w:rPr>
                <w:lang w:val="lv-LV"/>
              </w:rPr>
              <w:t xml:space="preserve"> politikas koordināciju pēc Latvijas prezidentūrai nepieciešamo personāla resursu apzināšanas, kā arī digitālo un </w:t>
            </w:r>
            <w:proofErr w:type="spellStart"/>
            <w:r w:rsidRPr="00FD40C0">
              <w:rPr>
                <w:lang w:val="lv-LV"/>
              </w:rPr>
              <w:t>kiberdrošības</w:t>
            </w:r>
            <w:proofErr w:type="spellEnd"/>
            <w:r w:rsidRPr="00FD40C0">
              <w:rPr>
                <w:lang w:val="lv-LV"/>
              </w:rPr>
              <w:t xml:space="preserve"> jautājumu nozīmību Latvijas prezidentūrai prioritāro darba virzienu ietvaros, nepieciešams izveidot vienu papildus amata vietu </w:t>
            </w:r>
            <w:r w:rsidR="006A0A86">
              <w:rPr>
                <w:lang w:val="lv-LV"/>
              </w:rPr>
              <w:t xml:space="preserve">centrālajā aparātā </w:t>
            </w:r>
            <w:r w:rsidRPr="00FD40C0">
              <w:rPr>
                <w:lang w:val="lv-LV"/>
              </w:rPr>
              <w:t>1</w:t>
            </w:r>
            <w:r w:rsidR="00F416C7">
              <w:rPr>
                <w:lang w:val="lv-LV"/>
              </w:rPr>
              <w:t xml:space="preserve">1.mēnešalgu grupā, 36.saime un III līmenis </w:t>
            </w:r>
            <w:r w:rsidRPr="00FD40C0">
              <w:rPr>
                <w:lang w:val="lv-LV"/>
              </w:rPr>
              <w:t xml:space="preserve">no 2014.gada 1.augusta līdz 2015.gada 31.jūlijam, kas nodrošinātu Latvijas prezidentūras sagatavošanu un īstenošanu </w:t>
            </w:r>
            <w:proofErr w:type="spellStart"/>
            <w:r w:rsidRPr="00FD40C0">
              <w:rPr>
                <w:lang w:val="lv-LV"/>
              </w:rPr>
              <w:t>kiberdrošības</w:t>
            </w:r>
            <w:proofErr w:type="spellEnd"/>
            <w:r w:rsidRPr="00FD40C0">
              <w:rPr>
                <w:lang w:val="lv-LV"/>
              </w:rPr>
              <w:t xml:space="preserve"> jautājumos</w:t>
            </w:r>
            <w:r w:rsidR="00E166D4">
              <w:rPr>
                <w:lang w:val="lv-LV"/>
              </w:rPr>
              <w:t xml:space="preserve"> </w:t>
            </w:r>
            <w:r w:rsidR="00E166D4">
              <w:rPr>
                <w:szCs w:val="24"/>
                <w:lang w:val="lv-LV"/>
              </w:rPr>
              <w:t xml:space="preserve">(2014.gadam atalgojumam 1382 * 5 mēneši = 6 910 </w:t>
            </w:r>
            <w:proofErr w:type="spellStart"/>
            <w:r w:rsidR="00E166D4" w:rsidRPr="00612A21">
              <w:rPr>
                <w:i/>
                <w:szCs w:val="24"/>
                <w:lang w:val="lv-LV"/>
              </w:rPr>
              <w:t>euro</w:t>
            </w:r>
            <w:proofErr w:type="spellEnd"/>
            <w:r w:rsidR="00E166D4">
              <w:rPr>
                <w:szCs w:val="24"/>
                <w:lang w:val="lv-LV"/>
              </w:rPr>
              <w:t xml:space="preserve">; darba devēja valsts sociālās apdrošināšanas iemaksām </w:t>
            </w:r>
            <w:r w:rsidR="006A0A86">
              <w:rPr>
                <w:szCs w:val="24"/>
                <w:lang w:val="lv-LV"/>
              </w:rPr>
              <w:t xml:space="preserve">1 630 </w:t>
            </w:r>
            <w:proofErr w:type="spellStart"/>
            <w:r w:rsidR="006A0A86">
              <w:rPr>
                <w:szCs w:val="24"/>
                <w:lang w:val="lv-LV"/>
              </w:rPr>
              <w:t>euro</w:t>
            </w:r>
            <w:proofErr w:type="spellEnd"/>
            <w:r w:rsidR="006A0A86">
              <w:rPr>
                <w:szCs w:val="24"/>
                <w:lang w:val="lv-LV"/>
              </w:rPr>
              <w:t xml:space="preserve"> </w:t>
            </w:r>
            <w:r w:rsidR="00AB3BDD">
              <w:rPr>
                <w:szCs w:val="24"/>
                <w:lang w:val="lv-LV"/>
              </w:rPr>
              <w:t xml:space="preserve">un veselības apdrošināšanas </w:t>
            </w:r>
            <w:r w:rsidR="00E166D4">
              <w:rPr>
                <w:szCs w:val="24"/>
                <w:lang w:val="lv-LV"/>
              </w:rPr>
              <w:t xml:space="preserve">maksājumiem </w:t>
            </w:r>
            <w:r w:rsidR="006A0A86">
              <w:rPr>
                <w:szCs w:val="24"/>
                <w:lang w:val="lv-LV"/>
              </w:rPr>
              <w:t>215</w:t>
            </w:r>
            <w:r w:rsidR="00E166D4">
              <w:rPr>
                <w:szCs w:val="24"/>
                <w:lang w:val="lv-LV"/>
              </w:rPr>
              <w:t xml:space="preserve"> </w:t>
            </w:r>
            <w:proofErr w:type="spellStart"/>
            <w:r w:rsidR="00E166D4" w:rsidRPr="00612A21">
              <w:rPr>
                <w:i/>
                <w:szCs w:val="24"/>
                <w:lang w:val="lv-LV"/>
              </w:rPr>
              <w:t>euro</w:t>
            </w:r>
            <w:proofErr w:type="spellEnd"/>
            <w:r w:rsidR="006A0A86">
              <w:rPr>
                <w:i/>
                <w:szCs w:val="24"/>
                <w:lang w:val="lv-LV"/>
              </w:rPr>
              <w:t xml:space="preserve"> </w:t>
            </w:r>
            <w:r w:rsidR="006A0A86">
              <w:rPr>
                <w:szCs w:val="24"/>
                <w:lang w:val="lv-LV"/>
              </w:rPr>
              <w:t xml:space="preserve">2015.gadam atalgojumam 1382 * 7 mēneši + atvaļinājuma kompensācija </w:t>
            </w:r>
            <w:r w:rsidR="009F354A">
              <w:rPr>
                <w:szCs w:val="24"/>
                <w:lang w:val="lv-LV"/>
              </w:rPr>
              <w:t>1382</w:t>
            </w:r>
            <w:r w:rsidR="006A0A86">
              <w:rPr>
                <w:szCs w:val="24"/>
                <w:lang w:val="lv-LV"/>
              </w:rPr>
              <w:t xml:space="preserve"> = 11 056 </w:t>
            </w:r>
            <w:proofErr w:type="spellStart"/>
            <w:r w:rsidR="006A0A86" w:rsidRPr="00612A21">
              <w:rPr>
                <w:i/>
                <w:szCs w:val="24"/>
                <w:lang w:val="lv-LV"/>
              </w:rPr>
              <w:t>euro</w:t>
            </w:r>
            <w:proofErr w:type="spellEnd"/>
            <w:r w:rsidR="006A0A86">
              <w:rPr>
                <w:szCs w:val="24"/>
                <w:lang w:val="lv-LV"/>
              </w:rPr>
              <w:t xml:space="preserve">; darba devēja valsts sociālās apdrošināšanas iemaksām 2 608 </w:t>
            </w:r>
            <w:proofErr w:type="spellStart"/>
            <w:r w:rsidR="006A0A86">
              <w:rPr>
                <w:szCs w:val="24"/>
                <w:lang w:val="lv-LV"/>
              </w:rPr>
              <w:t>euro</w:t>
            </w:r>
            <w:proofErr w:type="spellEnd"/>
            <w:r w:rsidR="006A0A86">
              <w:rPr>
                <w:szCs w:val="24"/>
                <w:lang w:val="lv-LV"/>
              </w:rPr>
              <w:t xml:space="preserve"> un atvaļinājuma pabalsts 346 </w:t>
            </w:r>
            <w:proofErr w:type="spellStart"/>
            <w:r w:rsidR="006A0A86">
              <w:rPr>
                <w:szCs w:val="24"/>
                <w:lang w:val="lv-LV"/>
              </w:rPr>
              <w:t>euro</w:t>
            </w:r>
            <w:proofErr w:type="spellEnd"/>
            <w:r w:rsidR="00E166D4" w:rsidRPr="00E166D4">
              <w:rPr>
                <w:szCs w:val="24"/>
                <w:lang w:val="lv-LV"/>
              </w:rPr>
              <w:t>)</w:t>
            </w:r>
            <w:r w:rsidR="00E166D4">
              <w:rPr>
                <w:i/>
                <w:szCs w:val="24"/>
                <w:lang w:val="lv-LV"/>
              </w:rPr>
              <w:t>.</w:t>
            </w:r>
          </w:p>
          <w:p w:rsidR="00681122" w:rsidRPr="00694D69" w:rsidRDefault="00681122" w:rsidP="00DF4F72">
            <w:pPr>
              <w:pStyle w:val="NoSpacing"/>
              <w:jc w:val="both"/>
              <w:rPr>
                <w:szCs w:val="24"/>
                <w:lang w:val="lv-LV"/>
              </w:rPr>
            </w:pPr>
            <w:r w:rsidRPr="00FD40C0">
              <w:rPr>
                <w:szCs w:val="24"/>
                <w:lang w:val="lv-LV"/>
              </w:rPr>
              <w:t xml:space="preserve">Risinot </w:t>
            </w:r>
            <w:r w:rsidR="00DF4F72" w:rsidRPr="00FD40C0">
              <w:rPr>
                <w:szCs w:val="24"/>
                <w:lang w:val="lv-LV"/>
              </w:rPr>
              <w:t xml:space="preserve">drošības </w:t>
            </w:r>
            <w:r w:rsidRPr="00FD40C0">
              <w:rPr>
                <w:szCs w:val="24"/>
                <w:lang w:val="lv-LV"/>
              </w:rPr>
              <w:t>jautājumu</w:t>
            </w:r>
            <w:r w:rsidR="00DF4F72" w:rsidRPr="00FD40C0">
              <w:rPr>
                <w:szCs w:val="24"/>
                <w:lang w:val="lv-LV"/>
              </w:rPr>
              <w:t>s</w:t>
            </w:r>
            <w:r w:rsidRPr="00FD40C0">
              <w:rPr>
                <w:szCs w:val="24"/>
                <w:lang w:val="lv-LV"/>
              </w:rPr>
              <w:t xml:space="preserve"> par amatpersonu apsardzi, objektu apsardzi, autovadītāji</w:t>
            </w:r>
            <w:r w:rsidR="00DF4F72" w:rsidRPr="00FD40C0">
              <w:rPr>
                <w:szCs w:val="24"/>
                <w:lang w:val="lv-LV"/>
              </w:rPr>
              <w:t>em</w:t>
            </w:r>
            <w:r w:rsidRPr="00FD40C0">
              <w:rPr>
                <w:szCs w:val="24"/>
                <w:lang w:val="lv-LV"/>
              </w:rPr>
              <w:t xml:space="preserve"> autokolonnām un autokolonnu eskortēšan</w:t>
            </w:r>
            <w:r w:rsidR="00DF4F72" w:rsidRPr="00FD40C0">
              <w:rPr>
                <w:szCs w:val="24"/>
                <w:lang w:val="lv-LV"/>
              </w:rPr>
              <w:t xml:space="preserve">u, kā risinājums ir </w:t>
            </w:r>
            <w:r w:rsidRPr="00FD40C0">
              <w:rPr>
                <w:szCs w:val="24"/>
                <w:lang w:val="lv-LV"/>
              </w:rPr>
              <w:t>Nacionālo bruņoto spēku militār</w:t>
            </w:r>
            <w:r w:rsidR="00DF4F72" w:rsidRPr="00FD40C0">
              <w:rPr>
                <w:szCs w:val="24"/>
                <w:lang w:val="lv-LV"/>
              </w:rPr>
              <w:t>ās</w:t>
            </w:r>
            <w:r w:rsidRPr="00FD40C0">
              <w:rPr>
                <w:szCs w:val="24"/>
                <w:lang w:val="lv-LV"/>
              </w:rPr>
              <w:t xml:space="preserve"> policija</w:t>
            </w:r>
            <w:r w:rsidR="00DF4F72" w:rsidRPr="00FD40C0">
              <w:rPr>
                <w:szCs w:val="24"/>
                <w:lang w:val="lv-LV"/>
              </w:rPr>
              <w:t>s karavīru piesaiste</w:t>
            </w:r>
            <w:r w:rsidRPr="00FD40C0">
              <w:rPr>
                <w:szCs w:val="24"/>
                <w:lang w:val="lv-LV"/>
              </w:rPr>
              <w:t xml:space="preserve">. Piesaistāmajam personālam saskaņā ar </w:t>
            </w:r>
            <w:r w:rsidR="00ED6C1F">
              <w:rPr>
                <w:szCs w:val="24"/>
                <w:lang w:val="lv-LV"/>
              </w:rPr>
              <w:t xml:space="preserve">Ministru kabineta </w:t>
            </w:r>
            <w:r w:rsidRPr="00FD40C0">
              <w:rPr>
                <w:szCs w:val="24"/>
                <w:lang w:val="lv-LV"/>
              </w:rPr>
              <w:lastRenderedPageBreak/>
              <w:t>2010.gada 16.novembra</w:t>
            </w:r>
            <w:r w:rsidRPr="00694D69">
              <w:rPr>
                <w:szCs w:val="24"/>
                <w:lang w:val="lv-LV"/>
              </w:rPr>
              <w:t xml:space="preserve"> noteikumu Nr.1042</w:t>
            </w:r>
            <w:r w:rsidR="00ED6C1F">
              <w:rPr>
                <w:szCs w:val="24"/>
                <w:lang w:val="lv-LV"/>
              </w:rPr>
              <w:t xml:space="preserve"> „</w:t>
            </w:r>
            <w:r w:rsidR="00ED6C1F" w:rsidRPr="00ED6C1F">
              <w:rPr>
                <w:lang w:val="lv-LV"/>
              </w:rPr>
              <w:t>Noteikumi par karavīru sociālajām garantijām</w:t>
            </w:r>
            <w:r w:rsidR="00ED6C1F">
              <w:rPr>
                <w:lang w:val="lv-LV"/>
              </w:rPr>
              <w:t>”</w:t>
            </w:r>
            <w:r w:rsidRPr="00694D69">
              <w:rPr>
                <w:szCs w:val="24"/>
                <w:lang w:val="lv-LV"/>
              </w:rPr>
              <w:t xml:space="preserve"> 7.pielikuma prasībām ir jāiegādājas 20 civilā apģērba komplekti </w:t>
            </w:r>
            <w:r w:rsidR="002D60C7">
              <w:rPr>
                <w:szCs w:val="24"/>
                <w:lang w:val="lv-LV"/>
              </w:rPr>
              <w:t>(</w:t>
            </w:r>
            <w:r w:rsidR="00CE688D">
              <w:rPr>
                <w:szCs w:val="24"/>
                <w:lang w:val="lv-LV"/>
              </w:rPr>
              <w:t xml:space="preserve">455 </w:t>
            </w:r>
            <w:proofErr w:type="spellStart"/>
            <w:r w:rsidR="00CE688D" w:rsidRPr="00CE688D">
              <w:rPr>
                <w:i/>
                <w:szCs w:val="24"/>
                <w:lang w:val="lv-LV"/>
              </w:rPr>
              <w:t>euro</w:t>
            </w:r>
            <w:proofErr w:type="spellEnd"/>
            <w:r w:rsidR="00CE688D">
              <w:rPr>
                <w:szCs w:val="24"/>
                <w:lang w:val="lv-LV"/>
              </w:rPr>
              <w:t xml:space="preserve"> katrs)</w:t>
            </w:r>
            <w:r w:rsidR="002D60C7">
              <w:rPr>
                <w:szCs w:val="24"/>
                <w:lang w:val="lv-LV"/>
              </w:rPr>
              <w:t xml:space="preserve"> </w:t>
            </w:r>
            <w:r w:rsidRPr="00694D69">
              <w:rPr>
                <w:szCs w:val="24"/>
                <w:lang w:val="lv-LV"/>
              </w:rPr>
              <w:t>un 114 uzvalki/kostīmi</w:t>
            </w:r>
            <w:r w:rsidR="00CE688D">
              <w:rPr>
                <w:szCs w:val="24"/>
                <w:lang w:val="lv-LV"/>
              </w:rPr>
              <w:t xml:space="preserve"> (171 </w:t>
            </w:r>
            <w:proofErr w:type="spellStart"/>
            <w:r w:rsidR="00CE688D" w:rsidRPr="00CE688D">
              <w:rPr>
                <w:i/>
                <w:szCs w:val="24"/>
                <w:lang w:val="lv-LV"/>
              </w:rPr>
              <w:t>euro</w:t>
            </w:r>
            <w:proofErr w:type="spellEnd"/>
            <w:r w:rsidR="00CE688D">
              <w:rPr>
                <w:szCs w:val="24"/>
                <w:lang w:val="lv-LV"/>
              </w:rPr>
              <w:t xml:space="preserve"> katrs)</w:t>
            </w:r>
            <w:r w:rsidRPr="00694D69">
              <w:rPr>
                <w:szCs w:val="24"/>
                <w:lang w:val="lv-LV"/>
              </w:rPr>
              <w:t>.</w:t>
            </w:r>
          </w:p>
          <w:p w:rsidR="00707073" w:rsidRPr="00707073" w:rsidRDefault="00845887" w:rsidP="00707073">
            <w:pPr>
              <w:pStyle w:val="NoSpacing"/>
              <w:ind w:left="5"/>
              <w:jc w:val="both"/>
              <w:rPr>
                <w:szCs w:val="24"/>
                <w:lang w:val="lv-LV"/>
              </w:rPr>
            </w:pPr>
            <w:r w:rsidRPr="00707073">
              <w:rPr>
                <w:b/>
                <w:szCs w:val="24"/>
                <w:lang w:val="lv-LV"/>
              </w:rPr>
              <w:t>Ārlietu ministrijai</w:t>
            </w:r>
            <w:r w:rsidRPr="00694D69">
              <w:rPr>
                <w:szCs w:val="24"/>
                <w:lang w:val="lv-LV"/>
              </w:rPr>
              <w:t xml:space="preserve"> </w:t>
            </w:r>
            <w:r w:rsidR="00285A91">
              <w:rPr>
                <w:szCs w:val="24"/>
                <w:lang w:val="lv-LV"/>
              </w:rPr>
              <w:t xml:space="preserve">nepieciešams </w:t>
            </w:r>
            <w:r w:rsidRPr="00694D69">
              <w:rPr>
                <w:szCs w:val="24"/>
                <w:lang w:val="lv-LV"/>
              </w:rPr>
              <w:t>palielināt izdevumus 2014.gadam</w:t>
            </w:r>
            <w:r w:rsidR="00906380" w:rsidRPr="00694D69">
              <w:rPr>
                <w:szCs w:val="24"/>
                <w:lang w:val="lv-LV"/>
              </w:rPr>
              <w:t xml:space="preserve"> </w:t>
            </w:r>
            <w:r w:rsidR="0014795B">
              <w:rPr>
                <w:szCs w:val="24"/>
                <w:lang w:val="lv-LV"/>
              </w:rPr>
              <w:t>„</w:t>
            </w:r>
            <w:r w:rsidR="00906380" w:rsidRPr="00694D69">
              <w:rPr>
                <w:szCs w:val="24"/>
                <w:lang w:val="lv-LV"/>
              </w:rPr>
              <w:t>Rīgas Procesa</w:t>
            </w:r>
            <w:r w:rsidR="0014795B">
              <w:rPr>
                <w:szCs w:val="24"/>
                <w:lang w:val="lv-LV"/>
              </w:rPr>
              <w:t xml:space="preserve">” </w:t>
            </w:r>
            <w:r w:rsidR="00906380" w:rsidRPr="00694D69">
              <w:rPr>
                <w:szCs w:val="24"/>
                <w:lang w:val="lv-LV"/>
              </w:rPr>
              <w:t xml:space="preserve">darba grupas izmaksām, lai nodrošinātu ekspertu viedokļu un zinātnisko izvērtējumu </w:t>
            </w:r>
            <w:r w:rsidR="0065232E">
              <w:rPr>
                <w:szCs w:val="24"/>
                <w:lang w:val="lv-LV"/>
              </w:rPr>
              <w:t xml:space="preserve">un </w:t>
            </w:r>
            <w:r w:rsidR="0065232E" w:rsidRPr="0065232E">
              <w:rPr>
                <w:szCs w:val="24"/>
                <w:lang w:val="lv-LV"/>
              </w:rPr>
              <w:t>publisku diskusiju</w:t>
            </w:r>
            <w:r w:rsidR="0065232E" w:rsidRPr="00694D69">
              <w:rPr>
                <w:szCs w:val="24"/>
                <w:lang w:val="lv-LV"/>
              </w:rPr>
              <w:t xml:space="preserve"> </w:t>
            </w:r>
            <w:r w:rsidR="00906380" w:rsidRPr="00694D69">
              <w:rPr>
                <w:szCs w:val="24"/>
                <w:lang w:val="lv-LV"/>
              </w:rPr>
              <w:t>par Eiropas nākotnes</w:t>
            </w:r>
            <w:r w:rsidR="00694D69">
              <w:rPr>
                <w:szCs w:val="24"/>
                <w:lang w:val="lv-LV"/>
              </w:rPr>
              <w:t xml:space="preserve"> jautājumiem, kas cieši sasaistās ar </w:t>
            </w:r>
            <w:r w:rsidR="005473A2">
              <w:rPr>
                <w:szCs w:val="24"/>
                <w:lang w:val="lv-LV"/>
              </w:rPr>
              <w:t xml:space="preserve">Latvijas </w:t>
            </w:r>
            <w:r w:rsidR="00694D69">
              <w:rPr>
                <w:szCs w:val="24"/>
                <w:lang w:val="lv-LV"/>
              </w:rPr>
              <w:t>prezidentūras programmas saturu un prioritātēm</w:t>
            </w:r>
            <w:r w:rsidR="00AB3BDD">
              <w:rPr>
                <w:szCs w:val="24"/>
                <w:lang w:val="lv-LV"/>
              </w:rPr>
              <w:t xml:space="preserve"> 85 526 </w:t>
            </w:r>
            <w:proofErr w:type="spellStart"/>
            <w:r w:rsidR="00AB3BDD" w:rsidRPr="00707073">
              <w:rPr>
                <w:i/>
                <w:szCs w:val="24"/>
                <w:lang w:val="lv-LV"/>
              </w:rPr>
              <w:t>euro</w:t>
            </w:r>
            <w:proofErr w:type="spellEnd"/>
            <w:r w:rsidR="00694D69">
              <w:rPr>
                <w:szCs w:val="24"/>
                <w:lang w:val="lv-LV"/>
              </w:rPr>
              <w:t>.</w:t>
            </w:r>
            <w:r w:rsidR="00584D21">
              <w:rPr>
                <w:szCs w:val="24"/>
                <w:lang w:val="lv-LV"/>
              </w:rPr>
              <w:t xml:space="preserve"> </w:t>
            </w:r>
            <w:r w:rsidR="00584D21" w:rsidRPr="00584D21">
              <w:rPr>
                <w:szCs w:val="24"/>
                <w:lang w:val="lv-LV"/>
              </w:rPr>
              <w:t>Finansējums paredzēts sadarbības līguma ietvaros, kas nodrošinās ekspertu piesaisti un „Rīgas procesa” norisi.</w:t>
            </w:r>
            <w:r w:rsidR="00707073">
              <w:rPr>
                <w:szCs w:val="24"/>
                <w:lang w:val="lv-LV"/>
              </w:rPr>
              <w:t xml:space="preserve"> </w:t>
            </w:r>
            <w:r w:rsidR="00707073" w:rsidRPr="00707073">
              <w:rPr>
                <w:szCs w:val="24"/>
                <w:lang w:val="lv-LV"/>
              </w:rPr>
              <w:t>Finansējumu nepieciešams piešķirt valstiski nozīmīgajam semināru ciklam „Rīgas process”, kas palīdzēs Latvijai sagatavoties prezidentūras ES padomē vadīšanai un veiksmīgai norisei.</w:t>
            </w:r>
          </w:p>
          <w:p w:rsidR="00707073" w:rsidRDefault="00707073" w:rsidP="00707073">
            <w:pPr>
              <w:pStyle w:val="NoSpacing"/>
              <w:ind w:left="5"/>
              <w:jc w:val="both"/>
              <w:rPr>
                <w:color w:val="1F497D"/>
              </w:rPr>
            </w:pPr>
            <w:r w:rsidRPr="00707073">
              <w:rPr>
                <w:szCs w:val="24"/>
                <w:lang w:val="lv-LV"/>
              </w:rPr>
              <w:t xml:space="preserve">„Rīgas procesa” 2014.gada semināru cikla kopējā tāme veido 300 300 USD jeb 221 984 </w:t>
            </w:r>
            <w:proofErr w:type="spellStart"/>
            <w:r w:rsidRPr="00707073">
              <w:rPr>
                <w:i/>
                <w:szCs w:val="24"/>
                <w:lang w:val="lv-LV"/>
              </w:rPr>
              <w:t>euro</w:t>
            </w:r>
            <w:proofErr w:type="spellEnd"/>
            <w:r w:rsidRPr="00707073">
              <w:rPr>
                <w:szCs w:val="24"/>
                <w:lang w:val="lv-LV"/>
              </w:rPr>
              <w:t xml:space="preserve">, no kuriem 184 600 USD jeb 136 458 </w:t>
            </w:r>
            <w:proofErr w:type="spellStart"/>
            <w:r w:rsidRPr="00707073">
              <w:rPr>
                <w:i/>
                <w:szCs w:val="24"/>
                <w:lang w:val="lv-LV"/>
              </w:rPr>
              <w:t>euro</w:t>
            </w:r>
            <w:proofErr w:type="spellEnd"/>
            <w:r w:rsidRPr="00707073">
              <w:rPr>
                <w:szCs w:val="24"/>
                <w:lang w:val="lv-LV"/>
              </w:rPr>
              <w:t xml:space="preserve"> ir apņēmies segt Eiropas sadarbības partneris, bet 115 700 USD jeb 85 526 </w:t>
            </w:r>
            <w:proofErr w:type="spellStart"/>
            <w:r w:rsidRPr="00707073">
              <w:rPr>
                <w:i/>
                <w:szCs w:val="24"/>
                <w:lang w:val="lv-LV"/>
              </w:rPr>
              <w:t>euro</w:t>
            </w:r>
            <w:proofErr w:type="spellEnd"/>
            <w:r w:rsidRPr="00707073">
              <w:rPr>
                <w:szCs w:val="24"/>
                <w:lang w:val="lv-LV"/>
              </w:rPr>
              <w:t xml:space="preserve"> Latvijas Republikas Ārlietu ministrija.</w:t>
            </w:r>
            <w:r>
              <w:rPr>
                <w:szCs w:val="24"/>
                <w:lang w:val="lv-LV"/>
              </w:rPr>
              <w:t xml:space="preserve"> </w:t>
            </w:r>
            <w:r w:rsidRPr="00707073">
              <w:rPr>
                <w:szCs w:val="24"/>
                <w:lang w:val="lv-LV"/>
              </w:rPr>
              <w:t xml:space="preserve">2013.gadā finansējums tika piešķirts saskaņā ar </w:t>
            </w:r>
            <w:r w:rsidR="007A0A8B" w:rsidRPr="007A0A8B">
              <w:rPr>
                <w:rFonts w:cs="Mangal"/>
                <w:bCs/>
                <w:kern w:val="1"/>
                <w:szCs w:val="24"/>
                <w:lang w:val="lv-LV" w:eastAsia="hi-IN" w:bidi="hi-IN"/>
              </w:rPr>
              <w:t xml:space="preserve"> </w:t>
            </w:r>
            <w:r w:rsidR="007A0A8B" w:rsidRPr="007A0A8B">
              <w:rPr>
                <w:bCs/>
                <w:szCs w:val="24"/>
                <w:lang w:val="lv-LV"/>
              </w:rPr>
              <w:t xml:space="preserve">Ministru kabineta 2013.gada 6.septembra rīkojumu </w:t>
            </w:r>
            <w:r w:rsidR="007A0A8B">
              <w:rPr>
                <w:bCs/>
                <w:szCs w:val="24"/>
                <w:lang w:val="lv-LV"/>
              </w:rPr>
              <w:t>Nr.410</w:t>
            </w:r>
            <w:r w:rsidRPr="00707073">
              <w:rPr>
                <w:szCs w:val="24"/>
                <w:lang w:val="lv-LV"/>
              </w:rPr>
              <w:t>.</w:t>
            </w:r>
          </w:p>
          <w:p w:rsidR="00845887" w:rsidRPr="00694D69" w:rsidRDefault="00845887" w:rsidP="00845887">
            <w:pPr>
              <w:jc w:val="both"/>
              <w:rPr>
                <w:szCs w:val="24"/>
                <w:lang w:val="lv-LV"/>
              </w:rPr>
            </w:pPr>
            <w:r w:rsidRPr="0094198D">
              <w:rPr>
                <w:b/>
                <w:szCs w:val="24"/>
                <w:lang w:val="lv-LV"/>
              </w:rPr>
              <w:t>Ekonomikas ministrijai</w:t>
            </w:r>
            <w:r w:rsidRPr="00694D69">
              <w:rPr>
                <w:szCs w:val="24"/>
                <w:lang w:val="lv-LV"/>
              </w:rPr>
              <w:t xml:space="preserve"> ievērojot, ka plānotās</w:t>
            </w:r>
            <w:r w:rsidR="00530BE1">
              <w:rPr>
                <w:szCs w:val="24"/>
                <w:lang w:val="lv-LV"/>
              </w:rPr>
              <w:t xml:space="preserve"> amata vietas aizpildītas vēlāk</w:t>
            </w:r>
            <w:r w:rsidRPr="00694D69">
              <w:rPr>
                <w:szCs w:val="24"/>
                <w:lang w:val="lv-LV"/>
              </w:rPr>
              <w:t xml:space="preserve"> kā plānots finansējumā, no 74.resora „Gadskārtējā valsts budžeta izpildes procesā pārdalāmā finansējuma 2014.gadam” nepiešķirt papildu finansējumu 18 409 </w:t>
            </w:r>
            <w:proofErr w:type="spellStart"/>
            <w:r w:rsidRPr="00ED6C1F">
              <w:rPr>
                <w:i/>
                <w:szCs w:val="24"/>
                <w:lang w:val="lv-LV"/>
              </w:rPr>
              <w:t>euro</w:t>
            </w:r>
            <w:proofErr w:type="spellEnd"/>
            <w:r w:rsidRPr="00694D69">
              <w:rPr>
                <w:szCs w:val="24"/>
                <w:lang w:val="lv-LV"/>
              </w:rPr>
              <w:t xml:space="preserve"> 2014.gadā izveidotajām amata vietām.</w:t>
            </w:r>
          </w:p>
          <w:p w:rsidR="00845887" w:rsidRPr="00694D69" w:rsidRDefault="00845887" w:rsidP="00845887">
            <w:pPr>
              <w:jc w:val="both"/>
              <w:rPr>
                <w:szCs w:val="24"/>
                <w:lang w:val="lv-LV"/>
              </w:rPr>
            </w:pPr>
            <w:r w:rsidRPr="0094198D">
              <w:rPr>
                <w:b/>
                <w:szCs w:val="24"/>
                <w:lang w:val="lv-LV"/>
              </w:rPr>
              <w:t>Finanšu ministrijai</w:t>
            </w:r>
            <w:r w:rsidRPr="00694D69">
              <w:rPr>
                <w:szCs w:val="24"/>
                <w:lang w:val="lv-LV"/>
              </w:rPr>
              <w:t xml:space="preserve"> ievērojot, ka plānotās</w:t>
            </w:r>
            <w:r w:rsidR="00530BE1">
              <w:rPr>
                <w:szCs w:val="24"/>
                <w:lang w:val="lv-LV"/>
              </w:rPr>
              <w:t xml:space="preserve"> amata vietas aizpildītas vēlāk</w:t>
            </w:r>
            <w:r w:rsidRPr="00694D69">
              <w:rPr>
                <w:szCs w:val="24"/>
                <w:lang w:val="lv-LV"/>
              </w:rPr>
              <w:t xml:space="preserve"> kā </w:t>
            </w:r>
            <w:r w:rsidR="0094198D">
              <w:rPr>
                <w:szCs w:val="24"/>
                <w:lang w:val="lv-LV"/>
              </w:rPr>
              <w:t>plānots</w:t>
            </w:r>
            <w:r w:rsidRPr="00694D69">
              <w:rPr>
                <w:szCs w:val="24"/>
                <w:lang w:val="lv-LV"/>
              </w:rPr>
              <w:t xml:space="preserve"> finansējumā, no 74.resora „Gadskārtējā valsts budžeta izpildes procesā pārdalāmā finansējuma 2014.gadam” nepiešķirt papildu finansējumu 31 408 </w:t>
            </w:r>
            <w:proofErr w:type="spellStart"/>
            <w:r w:rsidRPr="0065232E">
              <w:rPr>
                <w:i/>
                <w:szCs w:val="24"/>
                <w:lang w:val="lv-LV"/>
              </w:rPr>
              <w:t>euro</w:t>
            </w:r>
            <w:proofErr w:type="spellEnd"/>
            <w:r w:rsidRPr="00694D69">
              <w:rPr>
                <w:szCs w:val="24"/>
                <w:lang w:val="lv-LV"/>
              </w:rPr>
              <w:t xml:space="preserve"> 2014.gadā izveidotajām amata vietām.</w:t>
            </w:r>
          </w:p>
          <w:p w:rsidR="00394B37" w:rsidRDefault="00845887" w:rsidP="00845887">
            <w:pPr>
              <w:jc w:val="both"/>
              <w:rPr>
                <w:szCs w:val="24"/>
                <w:lang w:val="lv-LV"/>
              </w:rPr>
            </w:pPr>
            <w:r w:rsidRPr="0094198D">
              <w:rPr>
                <w:b/>
                <w:szCs w:val="24"/>
                <w:lang w:val="lv-LV"/>
              </w:rPr>
              <w:t>Izglītības un zinātnes ministrijai</w:t>
            </w:r>
            <w:r w:rsidRPr="00694D69">
              <w:rPr>
                <w:szCs w:val="24"/>
                <w:lang w:val="lv-LV"/>
              </w:rPr>
              <w:t xml:space="preserve"> </w:t>
            </w:r>
            <w:r w:rsidR="00285A91">
              <w:rPr>
                <w:szCs w:val="24"/>
                <w:lang w:val="lv-LV"/>
              </w:rPr>
              <w:t xml:space="preserve">nepieciešams </w:t>
            </w:r>
            <w:r w:rsidRPr="00694D69">
              <w:rPr>
                <w:szCs w:val="24"/>
                <w:lang w:val="lv-LV"/>
              </w:rPr>
              <w:t>izveidot divas jaunas ekspertu amata vietas 11.mēnešalgu grupā</w:t>
            </w:r>
            <w:r w:rsidR="00F416C7">
              <w:rPr>
                <w:szCs w:val="24"/>
                <w:lang w:val="lv-LV"/>
              </w:rPr>
              <w:t xml:space="preserve"> </w:t>
            </w:r>
            <w:r w:rsidR="00F416C7">
              <w:rPr>
                <w:lang w:val="lv-LV"/>
              </w:rPr>
              <w:t xml:space="preserve">36.saime un III līmenis </w:t>
            </w:r>
            <w:r w:rsidRPr="00694D69">
              <w:rPr>
                <w:szCs w:val="24"/>
                <w:lang w:val="lv-LV"/>
              </w:rPr>
              <w:t>no 2014.gada 1.au</w:t>
            </w:r>
            <w:r w:rsidR="00EE54A5">
              <w:rPr>
                <w:szCs w:val="24"/>
                <w:lang w:val="lv-LV"/>
              </w:rPr>
              <w:t>gusta līdz 2015.gada 31.jūlijam</w:t>
            </w:r>
            <w:r w:rsidRPr="00694D69">
              <w:rPr>
                <w:szCs w:val="24"/>
                <w:lang w:val="lv-LV"/>
              </w:rPr>
              <w:t xml:space="preserve"> Eiropas pētniecībai un inovāciju attīstībai</w:t>
            </w:r>
            <w:r w:rsidR="00EE54A5">
              <w:rPr>
                <w:szCs w:val="24"/>
                <w:lang w:val="lv-LV"/>
              </w:rPr>
              <w:t xml:space="preserve">. </w:t>
            </w:r>
            <w:r w:rsidRPr="00694D69">
              <w:rPr>
                <w:szCs w:val="24"/>
                <w:lang w:val="lv-LV"/>
              </w:rPr>
              <w:t xml:space="preserve">Latvijas prezidentūras </w:t>
            </w:r>
            <w:r w:rsidR="00394B37">
              <w:rPr>
                <w:szCs w:val="24"/>
                <w:lang w:val="lv-LV"/>
              </w:rPr>
              <w:t>prioritārais virziens</w:t>
            </w:r>
            <w:r w:rsidRPr="00694D69">
              <w:rPr>
                <w:szCs w:val="24"/>
                <w:lang w:val="lv-LV"/>
              </w:rPr>
              <w:t xml:space="preserve"> ir E</w:t>
            </w:r>
            <w:r w:rsidR="005473A2">
              <w:rPr>
                <w:szCs w:val="24"/>
                <w:lang w:val="lv-LV"/>
              </w:rPr>
              <w:t xml:space="preserve">iropas </w:t>
            </w:r>
            <w:r w:rsidRPr="00694D69">
              <w:rPr>
                <w:szCs w:val="24"/>
                <w:lang w:val="lv-LV"/>
              </w:rPr>
              <w:t>S</w:t>
            </w:r>
            <w:r w:rsidR="005473A2">
              <w:rPr>
                <w:szCs w:val="24"/>
                <w:lang w:val="lv-LV"/>
              </w:rPr>
              <w:t>avienības</w:t>
            </w:r>
            <w:r w:rsidRPr="00694D69">
              <w:rPr>
                <w:szCs w:val="24"/>
                <w:lang w:val="lv-LV"/>
              </w:rPr>
              <w:t xml:space="preserve"> konkurētspēj</w:t>
            </w:r>
            <w:r w:rsidR="00394B37">
              <w:rPr>
                <w:szCs w:val="24"/>
                <w:lang w:val="lv-LV"/>
              </w:rPr>
              <w:t>as stiprināšana</w:t>
            </w:r>
            <w:r w:rsidRPr="00694D69">
              <w:rPr>
                <w:szCs w:val="24"/>
                <w:lang w:val="lv-LV"/>
              </w:rPr>
              <w:t xml:space="preserve">, </w:t>
            </w:r>
            <w:r w:rsidR="00394B37">
              <w:rPr>
                <w:szCs w:val="24"/>
                <w:lang w:val="lv-LV"/>
              </w:rPr>
              <w:t>tai skaitā, sekmējot</w:t>
            </w:r>
            <w:r w:rsidRPr="00694D69">
              <w:rPr>
                <w:szCs w:val="24"/>
                <w:lang w:val="lv-LV"/>
              </w:rPr>
              <w:t xml:space="preserve"> zinātnes, pētniecības un inovāciju attīstīb</w:t>
            </w:r>
            <w:r w:rsidR="00394B37">
              <w:rPr>
                <w:szCs w:val="24"/>
                <w:lang w:val="lv-LV"/>
              </w:rPr>
              <w:t>u</w:t>
            </w:r>
            <w:r w:rsidRPr="00694D69">
              <w:rPr>
                <w:szCs w:val="24"/>
                <w:lang w:val="lv-LV"/>
              </w:rPr>
              <w:t xml:space="preserve">. </w:t>
            </w:r>
            <w:r w:rsidR="005473A2">
              <w:rPr>
                <w:szCs w:val="24"/>
                <w:lang w:val="lv-LV"/>
              </w:rPr>
              <w:t>Latvijas p</w:t>
            </w:r>
            <w:r w:rsidR="00394B37">
              <w:rPr>
                <w:szCs w:val="24"/>
                <w:lang w:val="lv-LV"/>
              </w:rPr>
              <w:t>rezidentūras laikā plānots darbs ar</w:t>
            </w:r>
            <w:r w:rsidR="00394B37" w:rsidRPr="00694D69">
              <w:rPr>
                <w:szCs w:val="24"/>
                <w:lang w:val="lv-LV"/>
              </w:rPr>
              <w:t xml:space="preserve"> Eiropas pētniecības telpas</w:t>
            </w:r>
            <w:r w:rsidR="00394B37">
              <w:rPr>
                <w:szCs w:val="24"/>
                <w:lang w:val="lv-LV"/>
              </w:rPr>
              <w:t xml:space="preserve"> stratēģiskajiem mērķiem un to īstenošanas instrumentiem</w:t>
            </w:r>
            <w:r w:rsidR="00394B37" w:rsidRPr="00694D69">
              <w:rPr>
                <w:szCs w:val="24"/>
                <w:lang w:val="lv-LV"/>
              </w:rPr>
              <w:t xml:space="preserve"> nākamajiem gadiem</w:t>
            </w:r>
            <w:r w:rsidR="00394B37">
              <w:rPr>
                <w:szCs w:val="24"/>
                <w:lang w:val="lv-LV"/>
              </w:rPr>
              <w:t>, kā arī virkne pasākumu zinātnes un inovāciju jomā. Lai nodrošinātu prezidentūras viedokļa un ekspertīzes, kā arī pasākumu sagatavošanu,</w:t>
            </w:r>
            <w:r w:rsidR="00394B37" w:rsidRPr="00BB6257">
              <w:rPr>
                <w:szCs w:val="24"/>
                <w:lang w:val="lv-LV"/>
              </w:rPr>
              <w:t xml:space="preserve"> nepieciešama divu papildus ekspertu piesaiste</w:t>
            </w:r>
            <w:r w:rsidR="00E166D4">
              <w:rPr>
                <w:szCs w:val="24"/>
                <w:lang w:val="lv-LV"/>
              </w:rPr>
              <w:t xml:space="preserve"> (</w:t>
            </w:r>
            <w:r w:rsidR="00612A21">
              <w:rPr>
                <w:szCs w:val="24"/>
                <w:lang w:val="lv-LV"/>
              </w:rPr>
              <w:t xml:space="preserve">2014.gadam </w:t>
            </w:r>
            <w:r w:rsidR="00E166D4">
              <w:rPr>
                <w:szCs w:val="24"/>
                <w:lang w:val="lv-LV"/>
              </w:rPr>
              <w:t>atalgojumam</w:t>
            </w:r>
            <w:r w:rsidR="00612A21">
              <w:rPr>
                <w:szCs w:val="24"/>
                <w:lang w:val="lv-LV"/>
              </w:rPr>
              <w:t xml:space="preserve"> 1382 * 5 mēneši * 2 darbinieki = 13 820 </w:t>
            </w:r>
            <w:proofErr w:type="spellStart"/>
            <w:r w:rsidR="00612A21" w:rsidRPr="00612A21">
              <w:rPr>
                <w:i/>
                <w:szCs w:val="24"/>
                <w:lang w:val="lv-LV"/>
              </w:rPr>
              <w:t>euro</w:t>
            </w:r>
            <w:proofErr w:type="spellEnd"/>
            <w:r w:rsidR="00612A21">
              <w:rPr>
                <w:szCs w:val="24"/>
                <w:lang w:val="lv-LV"/>
              </w:rPr>
              <w:t xml:space="preserve">; darba devēja valsts sociālās apdrošināšanas iemaksām </w:t>
            </w:r>
            <w:r w:rsidR="00637135">
              <w:rPr>
                <w:szCs w:val="24"/>
                <w:lang w:val="lv-LV"/>
              </w:rPr>
              <w:t xml:space="preserve">3260 </w:t>
            </w:r>
            <w:proofErr w:type="spellStart"/>
            <w:r w:rsidR="00637135" w:rsidRPr="00707073">
              <w:rPr>
                <w:i/>
                <w:szCs w:val="24"/>
                <w:lang w:val="lv-LV"/>
              </w:rPr>
              <w:t>euro</w:t>
            </w:r>
            <w:proofErr w:type="spellEnd"/>
            <w:r w:rsidR="00637135">
              <w:rPr>
                <w:szCs w:val="24"/>
                <w:lang w:val="lv-LV"/>
              </w:rPr>
              <w:t xml:space="preserve"> </w:t>
            </w:r>
            <w:r w:rsidR="00AB3BDD">
              <w:rPr>
                <w:szCs w:val="24"/>
                <w:lang w:val="lv-LV"/>
              </w:rPr>
              <w:t xml:space="preserve">un veselības apdrošināšanas </w:t>
            </w:r>
            <w:r w:rsidR="00612A21">
              <w:rPr>
                <w:szCs w:val="24"/>
                <w:lang w:val="lv-LV"/>
              </w:rPr>
              <w:t xml:space="preserve">maksājumiem </w:t>
            </w:r>
            <w:r w:rsidR="00637135">
              <w:rPr>
                <w:szCs w:val="24"/>
                <w:lang w:val="lv-LV"/>
              </w:rPr>
              <w:t>178</w:t>
            </w:r>
            <w:r w:rsidR="00612A21">
              <w:rPr>
                <w:szCs w:val="24"/>
                <w:lang w:val="lv-LV"/>
              </w:rPr>
              <w:t xml:space="preserve"> </w:t>
            </w:r>
            <w:proofErr w:type="spellStart"/>
            <w:r w:rsidR="00612A21" w:rsidRPr="00612A21">
              <w:rPr>
                <w:i/>
                <w:szCs w:val="24"/>
                <w:lang w:val="lv-LV"/>
              </w:rPr>
              <w:t>euro</w:t>
            </w:r>
            <w:proofErr w:type="spellEnd"/>
            <w:r w:rsidR="00612A21">
              <w:rPr>
                <w:szCs w:val="24"/>
                <w:lang w:val="lv-LV"/>
              </w:rPr>
              <w:t xml:space="preserve">; precēm un pakalpojumiem 520 </w:t>
            </w:r>
            <w:proofErr w:type="spellStart"/>
            <w:r w:rsidR="00612A21" w:rsidRPr="00612A21">
              <w:rPr>
                <w:i/>
                <w:szCs w:val="24"/>
                <w:lang w:val="lv-LV"/>
              </w:rPr>
              <w:t>euro</w:t>
            </w:r>
            <w:proofErr w:type="spellEnd"/>
            <w:r w:rsidR="00637135">
              <w:rPr>
                <w:i/>
                <w:szCs w:val="24"/>
                <w:lang w:val="lv-LV"/>
              </w:rPr>
              <w:t xml:space="preserve"> </w:t>
            </w:r>
            <w:r w:rsidR="00637135">
              <w:rPr>
                <w:szCs w:val="24"/>
                <w:lang w:val="lv-LV"/>
              </w:rPr>
              <w:t xml:space="preserve">2015.gadam atalgojumam 1382 * 7 mēneši * 2 darbinieki + atvaļinājuma kompensācija 2764 </w:t>
            </w:r>
            <w:proofErr w:type="spellStart"/>
            <w:r w:rsidR="00637135">
              <w:rPr>
                <w:szCs w:val="24"/>
                <w:lang w:val="lv-LV"/>
              </w:rPr>
              <w:t>euro</w:t>
            </w:r>
            <w:proofErr w:type="spellEnd"/>
            <w:r w:rsidR="00637135">
              <w:rPr>
                <w:szCs w:val="24"/>
                <w:lang w:val="lv-LV"/>
              </w:rPr>
              <w:t xml:space="preserve"> = 22 112 </w:t>
            </w:r>
            <w:proofErr w:type="spellStart"/>
            <w:r w:rsidR="00637135" w:rsidRPr="00612A21">
              <w:rPr>
                <w:i/>
                <w:szCs w:val="24"/>
                <w:lang w:val="lv-LV"/>
              </w:rPr>
              <w:t>euro</w:t>
            </w:r>
            <w:proofErr w:type="spellEnd"/>
            <w:r w:rsidR="00637135">
              <w:rPr>
                <w:szCs w:val="24"/>
                <w:lang w:val="lv-LV"/>
              </w:rPr>
              <w:t xml:space="preserve">; darba devēja valsts sociālās apdrošināšanas iemaksām 5 216 </w:t>
            </w:r>
            <w:proofErr w:type="spellStart"/>
            <w:r w:rsidR="00637135">
              <w:rPr>
                <w:szCs w:val="24"/>
                <w:lang w:val="lv-LV"/>
              </w:rPr>
              <w:t>euro</w:t>
            </w:r>
            <w:proofErr w:type="spellEnd"/>
            <w:r w:rsidR="00637135">
              <w:rPr>
                <w:szCs w:val="24"/>
                <w:lang w:val="lv-LV"/>
              </w:rPr>
              <w:t xml:space="preserve"> un veselības apdrošināšanas maksājumiem 249 </w:t>
            </w:r>
            <w:proofErr w:type="spellStart"/>
            <w:r w:rsidR="00637135" w:rsidRPr="00612A21">
              <w:rPr>
                <w:i/>
                <w:szCs w:val="24"/>
                <w:lang w:val="lv-LV"/>
              </w:rPr>
              <w:t>euro</w:t>
            </w:r>
            <w:proofErr w:type="spellEnd"/>
            <w:r w:rsidR="00637135">
              <w:rPr>
                <w:szCs w:val="24"/>
                <w:lang w:val="lv-LV"/>
              </w:rPr>
              <w:t xml:space="preserve">; precēm un pakalpojumiem 728 </w:t>
            </w:r>
            <w:proofErr w:type="spellStart"/>
            <w:r w:rsidR="00637135" w:rsidRPr="00612A21">
              <w:rPr>
                <w:i/>
                <w:szCs w:val="24"/>
                <w:lang w:val="lv-LV"/>
              </w:rPr>
              <w:t>euro</w:t>
            </w:r>
            <w:proofErr w:type="spellEnd"/>
            <w:r w:rsidR="00E166D4" w:rsidRPr="00E166D4">
              <w:rPr>
                <w:szCs w:val="24"/>
                <w:lang w:val="lv-LV"/>
              </w:rPr>
              <w:t>)</w:t>
            </w:r>
            <w:r w:rsidR="00612A21">
              <w:rPr>
                <w:i/>
                <w:szCs w:val="24"/>
                <w:lang w:val="lv-LV"/>
              </w:rPr>
              <w:t>.</w:t>
            </w:r>
          </w:p>
          <w:p w:rsidR="007C4D98" w:rsidRPr="00694D69" w:rsidRDefault="00845887" w:rsidP="00845887">
            <w:pPr>
              <w:pStyle w:val="NoSpacing"/>
              <w:jc w:val="both"/>
              <w:rPr>
                <w:szCs w:val="24"/>
                <w:lang w:val="lv-LV"/>
              </w:rPr>
            </w:pPr>
            <w:r w:rsidRPr="0094198D">
              <w:rPr>
                <w:b/>
                <w:szCs w:val="24"/>
                <w:lang w:val="lv-LV"/>
              </w:rPr>
              <w:t>Labklājības ministrijai</w:t>
            </w:r>
            <w:r w:rsidRPr="00694D69">
              <w:rPr>
                <w:szCs w:val="24"/>
                <w:lang w:val="lv-LV"/>
              </w:rPr>
              <w:t xml:space="preserve"> </w:t>
            </w:r>
            <w:r w:rsidR="00EE54A5">
              <w:rPr>
                <w:szCs w:val="24"/>
                <w:lang w:val="lv-LV"/>
              </w:rPr>
              <w:t xml:space="preserve">nepieciešams </w:t>
            </w:r>
            <w:r w:rsidRPr="00694D69">
              <w:rPr>
                <w:szCs w:val="24"/>
                <w:lang w:val="lv-LV"/>
              </w:rPr>
              <w:t>pal</w:t>
            </w:r>
            <w:r w:rsidR="00EE54A5">
              <w:rPr>
                <w:szCs w:val="24"/>
                <w:lang w:val="lv-LV"/>
              </w:rPr>
              <w:t>ielināt izdevumus komandējumiem,</w:t>
            </w:r>
            <w:r w:rsidRPr="00694D69">
              <w:rPr>
                <w:szCs w:val="24"/>
                <w:lang w:val="lv-LV"/>
              </w:rPr>
              <w:t xml:space="preserve"> </w:t>
            </w:r>
            <w:r w:rsidR="00EE54A5">
              <w:rPr>
                <w:szCs w:val="24"/>
                <w:lang w:val="lv-LV"/>
              </w:rPr>
              <w:t>l</w:t>
            </w:r>
            <w:r w:rsidRPr="00694D69">
              <w:rPr>
                <w:szCs w:val="24"/>
                <w:lang w:val="lv-LV"/>
              </w:rPr>
              <w:t xml:space="preserve">ai </w:t>
            </w:r>
            <w:r w:rsidR="005473A2">
              <w:rPr>
                <w:szCs w:val="24"/>
                <w:lang w:val="lv-LV"/>
              </w:rPr>
              <w:t xml:space="preserve">papildus </w:t>
            </w:r>
            <w:r w:rsidRPr="00694D69">
              <w:rPr>
                <w:szCs w:val="24"/>
                <w:lang w:val="lv-LV"/>
              </w:rPr>
              <w:t xml:space="preserve">nodrošinātu divu Labklājības ministrijas darbinieku dalību Starptautiskās darba organizācijas 103.sesijā š.g. </w:t>
            </w:r>
            <w:r w:rsidRPr="00694D69">
              <w:rPr>
                <w:szCs w:val="24"/>
                <w:lang w:val="lv-LV"/>
              </w:rPr>
              <w:lastRenderedPageBreak/>
              <w:t xml:space="preserve">maijā – jūnijā. </w:t>
            </w:r>
            <w:r w:rsidRPr="00134D7A">
              <w:rPr>
                <w:szCs w:val="24"/>
                <w:lang w:val="lv-LV"/>
              </w:rPr>
              <w:t>Labklājības ministrijas delegācijas palielināšan</w:t>
            </w:r>
            <w:r w:rsidR="0065232E">
              <w:rPr>
                <w:szCs w:val="24"/>
                <w:lang w:val="lv-LV"/>
              </w:rPr>
              <w:t>a</w:t>
            </w:r>
            <w:r w:rsidRPr="00694D69">
              <w:rPr>
                <w:szCs w:val="24"/>
                <w:lang w:val="lv-LV"/>
              </w:rPr>
              <w:t xml:space="preserve"> saistīta ar padziļinātu </w:t>
            </w:r>
            <w:r w:rsidR="00134D7A">
              <w:rPr>
                <w:szCs w:val="24"/>
                <w:lang w:val="lv-LV"/>
              </w:rPr>
              <w:t>jautājumu</w:t>
            </w:r>
            <w:r w:rsidRPr="00694D69">
              <w:rPr>
                <w:szCs w:val="24"/>
                <w:lang w:val="lv-LV"/>
              </w:rPr>
              <w:t xml:space="preserve"> </w:t>
            </w:r>
            <w:r w:rsidRPr="00BB6257">
              <w:rPr>
                <w:szCs w:val="24"/>
                <w:lang w:val="lv-LV"/>
              </w:rPr>
              <w:t>izpēti</w:t>
            </w:r>
            <w:r w:rsidRPr="00694D69">
              <w:rPr>
                <w:szCs w:val="24"/>
                <w:lang w:val="lv-LV"/>
              </w:rPr>
              <w:t>, kur</w:t>
            </w:r>
            <w:r w:rsidR="00134D7A">
              <w:rPr>
                <w:szCs w:val="24"/>
                <w:lang w:val="lv-LV"/>
              </w:rPr>
              <w:t>i</w:t>
            </w:r>
            <w:r w:rsidRPr="00694D69">
              <w:rPr>
                <w:szCs w:val="24"/>
                <w:lang w:val="lv-LV"/>
              </w:rPr>
              <w:t xml:space="preserve"> Latvijas prezidentūras laikā būs dienas kārtībā</w:t>
            </w:r>
            <w:r w:rsidR="00EE54A5">
              <w:rPr>
                <w:szCs w:val="24"/>
                <w:lang w:val="lv-LV"/>
              </w:rPr>
              <w:t>,</w:t>
            </w:r>
            <w:r w:rsidRPr="00694D69">
              <w:rPr>
                <w:szCs w:val="24"/>
                <w:lang w:val="lv-LV"/>
              </w:rPr>
              <w:t xml:space="preserve"> u</w:t>
            </w:r>
            <w:r w:rsidR="0094198D">
              <w:rPr>
                <w:szCs w:val="24"/>
                <w:lang w:val="lv-LV"/>
              </w:rPr>
              <w:t xml:space="preserve">n </w:t>
            </w:r>
            <w:r w:rsidR="0065232E">
              <w:rPr>
                <w:szCs w:val="24"/>
                <w:lang w:val="lv-LV"/>
              </w:rPr>
              <w:t xml:space="preserve">ievērojot </w:t>
            </w:r>
            <w:r w:rsidR="0094198D">
              <w:rPr>
                <w:szCs w:val="24"/>
                <w:lang w:val="lv-LV"/>
              </w:rPr>
              <w:t>2014.gada 29.aprīļa Ministru k</w:t>
            </w:r>
            <w:r w:rsidRPr="00694D69">
              <w:rPr>
                <w:szCs w:val="24"/>
                <w:lang w:val="lv-LV"/>
              </w:rPr>
              <w:t>abineta sēdē pausto atbalstu</w:t>
            </w:r>
            <w:r w:rsidR="00530BE1">
              <w:rPr>
                <w:szCs w:val="24"/>
                <w:lang w:val="lv-LV"/>
              </w:rPr>
              <w:t>,</w:t>
            </w:r>
            <w:r w:rsidRPr="00694D69">
              <w:rPr>
                <w:szCs w:val="24"/>
                <w:lang w:val="lv-LV"/>
              </w:rPr>
              <w:t xml:space="preserve"> </w:t>
            </w:r>
            <w:r w:rsidR="00AB7134">
              <w:rPr>
                <w:szCs w:val="24"/>
                <w:lang w:val="lv-LV"/>
              </w:rPr>
              <w:t>nepieciešam</w:t>
            </w:r>
            <w:r w:rsidR="0065232E">
              <w:rPr>
                <w:szCs w:val="24"/>
                <w:lang w:val="lv-LV"/>
              </w:rPr>
              <w:t>i</w:t>
            </w:r>
            <w:r w:rsidRPr="00694D69">
              <w:rPr>
                <w:szCs w:val="24"/>
                <w:lang w:val="lv-LV"/>
              </w:rPr>
              <w:t xml:space="preserve"> papildus līdzekļ</w:t>
            </w:r>
            <w:r w:rsidR="0065232E">
              <w:rPr>
                <w:szCs w:val="24"/>
                <w:lang w:val="lv-LV"/>
              </w:rPr>
              <w:t>i</w:t>
            </w:r>
            <w:r w:rsidRPr="00694D69">
              <w:rPr>
                <w:szCs w:val="24"/>
                <w:lang w:val="lv-LV"/>
              </w:rPr>
              <w:t xml:space="preserve"> komandējumu braucieniem. </w:t>
            </w:r>
            <w:r w:rsidR="00637135">
              <w:rPr>
                <w:szCs w:val="24"/>
                <w:lang w:val="lv-LV"/>
              </w:rPr>
              <w:t xml:space="preserve">Izdevumi tiek atlīdzināti faktisko izdevumu apmērā </w:t>
            </w:r>
            <w:r w:rsidR="007C4D98">
              <w:rPr>
                <w:szCs w:val="24"/>
                <w:lang w:val="lv-LV"/>
              </w:rPr>
              <w:t xml:space="preserve">3 838 </w:t>
            </w:r>
            <w:proofErr w:type="spellStart"/>
            <w:r w:rsidR="007C4D98">
              <w:rPr>
                <w:szCs w:val="24"/>
                <w:lang w:val="lv-LV"/>
              </w:rPr>
              <w:t>euro</w:t>
            </w:r>
            <w:proofErr w:type="spellEnd"/>
            <w:r w:rsidR="007C4D98">
              <w:rPr>
                <w:szCs w:val="24"/>
                <w:lang w:val="lv-LV"/>
              </w:rPr>
              <w:t xml:space="preserve"> (dienas nauda valsts sekretārei </w:t>
            </w:r>
            <w:proofErr w:type="spellStart"/>
            <w:r w:rsidR="007C4D98">
              <w:rPr>
                <w:szCs w:val="24"/>
                <w:lang w:val="lv-LV"/>
              </w:rPr>
              <w:t>I.Jaunzemei</w:t>
            </w:r>
            <w:proofErr w:type="spellEnd"/>
            <w:r w:rsidR="007C4D98">
              <w:rPr>
                <w:szCs w:val="24"/>
                <w:lang w:val="lv-LV"/>
              </w:rPr>
              <w:t xml:space="preserve"> 249,60 </w:t>
            </w:r>
            <w:proofErr w:type="spellStart"/>
            <w:r w:rsidR="007C4D98">
              <w:rPr>
                <w:szCs w:val="24"/>
                <w:lang w:val="lv-LV"/>
              </w:rPr>
              <w:t>euro</w:t>
            </w:r>
            <w:proofErr w:type="spellEnd"/>
            <w:r w:rsidR="007C4D98">
              <w:rPr>
                <w:szCs w:val="24"/>
                <w:lang w:val="lv-LV"/>
              </w:rPr>
              <w:t xml:space="preserve">; dienas nauda ekspertei </w:t>
            </w:r>
            <w:proofErr w:type="spellStart"/>
            <w:r w:rsidR="007C4D98">
              <w:rPr>
                <w:szCs w:val="24"/>
                <w:lang w:val="lv-LV"/>
              </w:rPr>
              <w:t>M.Vīksnei</w:t>
            </w:r>
            <w:proofErr w:type="spellEnd"/>
            <w:r w:rsidR="007C4D98">
              <w:rPr>
                <w:szCs w:val="24"/>
                <w:lang w:val="lv-LV"/>
              </w:rPr>
              <w:t xml:space="preserve"> 728 </w:t>
            </w:r>
            <w:proofErr w:type="spellStart"/>
            <w:r w:rsidR="007C4D98">
              <w:rPr>
                <w:szCs w:val="24"/>
                <w:lang w:val="lv-LV"/>
              </w:rPr>
              <w:t>euro</w:t>
            </w:r>
            <w:proofErr w:type="spellEnd"/>
            <w:r w:rsidR="007C4D98">
              <w:rPr>
                <w:szCs w:val="24"/>
                <w:lang w:val="lv-LV"/>
              </w:rPr>
              <w:t xml:space="preserve">; ceļa izdevumi 825,87 </w:t>
            </w:r>
            <w:proofErr w:type="spellStart"/>
            <w:r w:rsidR="007C4D98">
              <w:rPr>
                <w:szCs w:val="24"/>
                <w:lang w:val="lv-LV"/>
              </w:rPr>
              <w:t>euro</w:t>
            </w:r>
            <w:proofErr w:type="spellEnd"/>
            <w:r w:rsidR="007C4D98">
              <w:rPr>
                <w:szCs w:val="24"/>
                <w:lang w:val="lv-LV"/>
              </w:rPr>
              <w:t xml:space="preserve">; naktsmītnes izdevumi 2004,54 </w:t>
            </w:r>
            <w:proofErr w:type="spellStart"/>
            <w:r w:rsidR="007C4D98">
              <w:rPr>
                <w:szCs w:val="24"/>
                <w:lang w:val="lv-LV"/>
              </w:rPr>
              <w:t>euro</w:t>
            </w:r>
            <w:proofErr w:type="spellEnd"/>
            <w:r w:rsidR="007C4D98">
              <w:rPr>
                <w:szCs w:val="24"/>
                <w:lang w:val="lv-LV"/>
              </w:rPr>
              <w:t xml:space="preserve">; apdrošināšanas izdevumi 29,70 </w:t>
            </w:r>
            <w:proofErr w:type="spellStart"/>
            <w:r w:rsidR="007C4D98">
              <w:rPr>
                <w:szCs w:val="24"/>
                <w:lang w:val="lv-LV"/>
              </w:rPr>
              <w:t>euro</w:t>
            </w:r>
            <w:proofErr w:type="spellEnd"/>
            <w:r w:rsidR="007C4D98">
              <w:rPr>
                <w:szCs w:val="24"/>
                <w:lang w:val="lv-LV"/>
              </w:rPr>
              <w:t>).</w:t>
            </w:r>
          </w:p>
          <w:p w:rsidR="00B80FCF" w:rsidRDefault="00BB6257" w:rsidP="00B80FCF">
            <w:pPr>
              <w:jc w:val="both"/>
              <w:rPr>
                <w:szCs w:val="24"/>
                <w:lang w:val="lv-LV"/>
              </w:rPr>
            </w:pPr>
            <w:r w:rsidRPr="00BB6257">
              <w:rPr>
                <w:b/>
                <w:szCs w:val="24"/>
                <w:lang w:val="lv-LV"/>
              </w:rPr>
              <w:t>Vides aizsardzības un reģionālās attīstības ministrijai</w:t>
            </w:r>
            <w:r w:rsidRPr="00BB6257">
              <w:rPr>
                <w:szCs w:val="24"/>
                <w:lang w:val="lv-LV"/>
              </w:rPr>
              <w:t xml:space="preserve"> nepieciešams izveidot jaunu eksperta amata vietu 11.mēnešalgu grupā no 2014.gada 1.augusta līdz 2015.gada 31.jūlijam. Kā viens no Latvijas prezidentūras prioritārajiem virzieniem ir definēta informācijas sabiedrības stiprināšana un tās piedāvāto iespēju izmantošana Eiropas Savienības nākotnes attīstībai. Apzinoties, ka prioritārais virziens aptver daudzas nozares un jautājumus, </w:t>
            </w:r>
            <w:proofErr w:type="spellStart"/>
            <w:r w:rsidRPr="00BB6257">
              <w:rPr>
                <w:szCs w:val="24"/>
                <w:lang w:val="lv-LV"/>
              </w:rPr>
              <w:t>pārnozaru</w:t>
            </w:r>
            <w:proofErr w:type="spellEnd"/>
            <w:r w:rsidRPr="00BB6257">
              <w:rPr>
                <w:szCs w:val="24"/>
                <w:lang w:val="lv-LV"/>
              </w:rPr>
              <w:t xml:space="preserve"> jautājumu koordinēšanu, viedokļu sagatavošanu un ekspertīzi, kā arī Digitālās asamblejas norises nodrošināšanu, nepieciešama papildus eksperta piesaiste. Ņemot vērā, ka Vides aizsardzības un reģionālās attīstības ministrija </w:t>
            </w:r>
            <w:r w:rsidR="00B80FCF">
              <w:rPr>
                <w:szCs w:val="24"/>
                <w:lang w:val="lv-LV"/>
              </w:rPr>
              <w:t xml:space="preserve">uz 2014.gada 1.jūliju </w:t>
            </w:r>
            <w:r w:rsidRPr="00BB6257">
              <w:rPr>
                <w:szCs w:val="24"/>
                <w:lang w:val="lv-LV"/>
              </w:rPr>
              <w:t>aizpildīj</w:t>
            </w:r>
            <w:r>
              <w:rPr>
                <w:szCs w:val="24"/>
                <w:lang w:val="lv-LV"/>
              </w:rPr>
              <w:t>usi</w:t>
            </w:r>
            <w:r w:rsidRPr="00BB6257">
              <w:rPr>
                <w:szCs w:val="24"/>
                <w:lang w:val="lv-LV"/>
              </w:rPr>
              <w:t xml:space="preserve"> </w:t>
            </w:r>
            <w:r w:rsidR="00B80FCF">
              <w:rPr>
                <w:szCs w:val="24"/>
                <w:lang w:val="lv-LV"/>
              </w:rPr>
              <w:t>7</w:t>
            </w:r>
            <w:r>
              <w:rPr>
                <w:szCs w:val="24"/>
                <w:lang w:val="lv-LV"/>
              </w:rPr>
              <w:t xml:space="preserve"> </w:t>
            </w:r>
            <w:r w:rsidRPr="00BB6257">
              <w:rPr>
                <w:szCs w:val="24"/>
                <w:lang w:val="lv-LV"/>
              </w:rPr>
              <w:t xml:space="preserve">no 2014.gada 1.marta papildus izveidotās amata vietas, </w:t>
            </w:r>
            <w:r w:rsidR="00B80FCF" w:rsidRPr="00FD40C0">
              <w:rPr>
                <w:lang w:val="lv-LV"/>
              </w:rPr>
              <w:t xml:space="preserve">nepieciešams izveidot vienu papildus amata vietu </w:t>
            </w:r>
            <w:r w:rsidR="00B80FCF">
              <w:rPr>
                <w:lang w:val="lv-LV"/>
              </w:rPr>
              <w:t xml:space="preserve">centrālajā aparātā </w:t>
            </w:r>
            <w:r w:rsidR="00B80FCF" w:rsidRPr="00FD40C0">
              <w:rPr>
                <w:lang w:val="lv-LV"/>
              </w:rPr>
              <w:t>1</w:t>
            </w:r>
            <w:r w:rsidR="00B80FCF">
              <w:rPr>
                <w:lang w:val="lv-LV"/>
              </w:rPr>
              <w:t xml:space="preserve">1.mēnešalgu grupā, 36.saime un III līmenis </w:t>
            </w:r>
            <w:r w:rsidR="00B80FCF" w:rsidRPr="00FD40C0">
              <w:rPr>
                <w:lang w:val="lv-LV"/>
              </w:rPr>
              <w:t xml:space="preserve">no 2014.gada 1.augusta līdz 2015.gada 31.jūlijam, kas nodrošinātu </w:t>
            </w:r>
            <w:r w:rsidR="00B80FCF">
              <w:rPr>
                <w:lang w:val="lv-LV"/>
              </w:rPr>
              <w:t xml:space="preserve">Digitālās asamblejas sagatavošanu </w:t>
            </w:r>
            <w:r w:rsidR="00B80FCF">
              <w:rPr>
                <w:szCs w:val="24"/>
                <w:lang w:val="lv-LV"/>
              </w:rPr>
              <w:t xml:space="preserve">(2014.gadam atalgojumam 1382 * 5 mēneši = 6 910 </w:t>
            </w:r>
            <w:proofErr w:type="spellStart"/>
            <w:r w:rsidR="00B80FCF" w:rsidRPr="00612A21">
              <w:rPr>
                <w:i/>
                <w:szCs w:val="24"/>
                <w:lang w:val="lv-LV"/>
              </w:rPr>
              <w:t>euro</w:t>
            </w:r>
            <w:proofErr w:type="spellEnd"/>
            <w:r w:rsidR="00B80FCF">
              <w:rPr>
                <w:szCs w:val="24"/>
                <w:lang w:val="lv-LV"/>
              </w:rPr>
              <w:t xml:space="preserve">; darba devēja valsts sociālās apdrošināšanas iemaksām 1 630 </w:t>
            </w:r>
            <w:proofErr w:type="spellStart"/>
            <w:r w:rsidR="00B80FCF">
              <w:rPr>
                <w:szCs w:val="24"/>
                <w:lang w:val="lv-LV"/>
              </w:rPr>
              <w:t>euro</w:t>
            </w:r>
            <w:proofErr w:type="spellEnd"/>
            <w:r w:rsidR="00B80FCF">
              <w:rPr>
                <w:szCs w:val="24"/>
                <w:lang w:val="lv-LV"/>
              </w:rPr>
              <w:t xml:space="preserve"> un veselības apdrošināšanas maksājumiem </w:t>
            </w:r>
            <w:r w:rsidR="003D615C">
              <w:rPr>
                <w:szCs w:val="24"/>
                <w:lang w:val="lv-LV"/>
              </w:rPr>
              <w:t>107</w:t>
            </w:r>
            <w:r w:rsidR="00B80FCF">
              <w:rPr>
                <w:szCs w:val="24"/>
                <w:lang w:val="lv-LV"/>
              </w:rPr>
              <w:t xml:space="preserve"> </w:t>
            </w:r>
            <w:proofErr w:type="spellStart"/>
            <w:r w:rsidR="00B80FCF" w:rsidRPr="00612A21">
              <w:rPr>
                <w:i/>
                <w:szCs w:val="24"/>
                <w:lang w:val="lv-LV"/>
              </w:rPr>
              <w:t>euro</w:t>
            </w:r>
            <w:proofErr w:type="spellEnd"/>
            <w:r w:rsidR="003D615C">
              <w:rPr>
                <w:i/>
                <w:szCs w:val="24"/>
                <w:lang w:val="lv-LV"/>
              </w:rPr>
              <w:t xml:space="preserve">, sakaru pakalpojumi 5*35=175 </w:t>
            </w:r>
            <w:proofErr w:type="spellStart"/>
            <w:r w:rsidR="003D615C">
              <w:rPr>
                <w:i/>
                <w:szCs w:val="24"/>
                <w:lang w:val="lv-LV"/>
              </w:rPr>
              <w:t>euro</w:t>
            </w:r>
            <w:proofErr w:type="spellEnd"/>
            <w:r w:rsidR="003D615C">
              <w:rPr>
                <w:i/>
                <w:szCs w:val="24"/>
                <w:lang w:val="lv-LV"/>
              </w:rPr>
              <w:t xml:space="preserve">; biroja preces 5*17=85 </w:t>
            </w:r>
            <w:proofErr w:type="spellStart"/>
            <w:r w:rsidR="003D615C">
              <w:rPr>
                <w:i/>
                <w:szCs w:val="24"/>
                <w:lang w:val="lv-LV"/>
              </w:rPr>
              <w:t>euro</w:t>
            </w:r>
            <w:proofErr w:type="spellEnd"/>
            <w:r w:rsidR="003D615C">
              <w:rPr>
                <w:i/>
                <w:szCs w:val="24"/>
                <w:lang w:val="lv-LV"/>
              </w:rPr>
              <w:t xml:space="preserve">; pamatkapitāls galds 285 </w:t>
            </w:r>
            <w:proofErr w:type="spellStart"/>
            <w:r w:rsidR="003D615C">
              <w:rPr>
                <w:i/>
                <w:szCs w:val="24"/>
                <w:lang w:val="lv-LV"/>
              </w:rPr>
              <w:t>euro</w:t>
            </w:r>
            <w:proofErr w:type="spellEnd"/>
            <w:r w:rsidR="003D615C">
              <w:rPr>
                <w:i/>
                <w:szCs w:val="24"/>
                <w:lang w:val="lv-LV"/>
              </w:rPr>
              <w:t xml:space="preserve">, krēsls 185 </w:t>
            </w:r>
            <w:proofErr w:type="spellStart"/>
            <w:r w:rsidR="003D615C">
              <w:rPr>
                <w:i/>
                <w:szCs w:val="24"/>
                <w:lang w:val="lv-LV"/>
              </w:rPr>
              <w:t>euro</w:t>
            </w:r>
            <w:proofErr w:type="spellEnd"/>
            <w:r w:rsidR="003D615C">
              <w:rPr>
                <w:i/>
                <w:szCs w:val="24"/>
                <w:lang w:val="lv-LV"/>
              </w:rPr>
              <w:t xml:space="preserve">, galda telefons 70 </w:t>
            </w:r>
            <w:proofErr w:type="spellStart"/>
            <w:r w:rsidR="003D615C">
              <w:rPr>
                <w:i/>
                <w:szCs w:val="24"/>
                <w:lang w:val="lv-LV"/>
              </w:rPr>
              <w:t>euro</w:t>
            </w:r>
            <w:proofErr w:type="spellEnd"/>
            <w:r w:rsidR="003D615C">
              <w:rPr>
                <w:i/>
                <w:szCs w:val="24"/>
                <w:lang w:val="lv-LV"/>
              </w:rPr>
              <w:t xml:space="preserve">, klēpjdators 1140 </w:t>
            </w:r>
            <w:proofErr w:type="spellStart"/>
            <w:r w:rsidR="003D615C">
              <w:rPr>
                <w:i/>
                <w:szCs w:val="24"/>
                <w:lang w:val="lv-LV"/>
              </w:rPr>
              <w:t>euro</w:t>
            </w:r>
            <w:proofErr w:type="spellEnd"/>
            <w:r w:rsidR="003D615C">
              <w:rPr>
                <w:i/>
                <w:szCs w:val="24"/>
                <w:lang w:val="lv-LV"/>
              </w:rPr>
              <w:t xml:space="preserve">, mobilais tālrunis 215 </w:t>
            </w:r>
            <w:proofErr w:type="spellStart"/>
            <w:r w:rsidR="003D615C">
              <w:rPr>
                <w:i/>
                <w:szCs w:val="24"/>
                <w:lang w:val="lv-LV"/>
              </w:rPr>
              <w:t>euro</w:t>
            </w:r>
            <w:proofErr w:type="spellEnd"/>
            <w:r w:rsidR="00B80FCF">
              <w:rPr>
                <w:i/>
                <w:szCs w:val="24"/>
                <w:lang w:val="lv-LV"/>
              </w:rPr>
              <w:t xml:space="preserve"> </w:t>
            </w:r>
            <w:r w:rsidR="00B80FCF">
              <w:rPr>
                <w:szCs w:val="24"/>
                <w:lang w:val="lv-LV"/>
              </w:rPr>
              <w:t xml:space="preserve">2015.gadam atalgojumam 1382 * 7 mēneši + atvaļinājuma kompensācija 1382 = 11 056 </w:t>
            </w:r>
            <w:proofErr w:type="spellStart"/>
            <w:r w:rsidR="00B80FCF" w:rsidRPr="00612A21">
              <w:rPr>
                <w:i/>
                <w:szCs w:val="24"/>
                <w:lang w:val="lv-LV"/>
              </w:rPr>
              <w:t>euro</w:t>
            </w:r>
            <w:proofErr w:type="spellEnd"/>
            <w:r w:rsidR="00B80FCF">
              <w:rPr>
                <w:szCs w:val="24"/>
                <w:lang w:val="lv-LV"/>
              </w:rPr>
              <w:t xml:space="preserve">; darba devēja valsts sociālās apdrošināšanas iemaksām 2 608 </w:t>
            </w:r>
            <w:proofErr w:type="spellStart"/>
            <w:r w:rsidR="00B80FCF">
              <w:rPr>
                <w:szCs w:val="24"/>
                <w:lang w:val="lv-LV"/>
              </w:rPr>
              <w:t>euro</w:t>
            </w:r>
            <w:proofErr w:type="spellEnd"/>
            <w:r w:rsidR="00B80FCF">
              <w:rPr>
                <w:szCs w:val="24"/>
                <w:lang w:val="lv-LV"/>
              </w:rPr>
              <w:t xml:space="preserve"> un </w:t>
            </w:r>
            <w:r w:rsidR="003D615C">
              <w:rPr>
                <w:szCs w:val="24"/>
                <w:lang w:val="lv-LV"/>
              </w:rPr>
              <w:t xml:space="preserve">veselības apdrošināšana 125 </w:t>
            </w:r>
            <w:proofErr w:type="spellStart"/>
            <w:r w:rsidR="003D615C">
              <w:rPr>
                <w:szCs w:val="24"/>
                <w:lang w:val="lv-LV"/>
              </w:rPr>
              <w:t>euro</w:t>
            </w:r>
            <w:proofErr w:type="spellEnd"/>
            <w:r w:rsidR="003D615C">
              <w:rPr>
                <w:szCs w:val="24"/>
                <w:lang w:val="lv-LV"/>
              </w:rPr>
              <w:t xml:space="preserve">, sakaru pakalpojumi 7*35=245 </w:t>
            </w:r>
            <w:proofErr w:type="spellStart"/>
            <w:r w:rsidR="003D615C">
              <w:rPr>
                <w:szCs w:val="24"/>
                <w:lang w:val="lv-LV"/>
              </w:rPr>
              <w:t>euro</w:t>
            </w:r>
            <w:proofErr w:type="spellEnd"/>
            <w:r w:rsidR="003D615C">
              <w:rPr>
                <w:szCs w:val="24"/>
                <w:lang w:val="lv-LV"/>
              </w:rPr>
              <w:t xml:space="preserve">, biroja preces 7*17=119 </w:t>
            </w:r>
            <w:proofErr w:type="spellStart"/>
            <w:r w:rsidR="003D615C">
              <w:rPr>
                <w:szCs w:val="24"/>
                <w:lang w:val="lv-LV"/>
              </w:rPr>
              <w:t>euro</w:t>
            </w:r>
            <w:proofErr w:type="spellEnd"/>
            <w:r w:rsidR="00B80FCF" w:rsidRPr="00E166D4">
              <w:rPr>
                <w:szCs w:val="24"/>
                <w:lang w:val="lv-LV"/>
              </w:rPr>
              <w:t>)</w:t>
            </w:r>
            <w:r w:rsidR="00B80FCF">
              <w:rPr>
                <w:i/>
                <w:szCs w:val="24"/>
                <w:lang w:val="lv-LV"/>
              </w:rPr>
              <w:t>.</w:t>
            </w:r>
          </w:p>
          <w:p w:rsidR="0060785A" w:rsidRPr="006008A0" w:rsidRDefault="00845887" w:rsidP="00C50DD9">
            <w:pPr>
              <w:jc w:val="both"/>
              <w:rPr>
                <w:szCs w:val="24"/>
                <w:lang w:val="lv-LV"/>
              </w:rPr>
            </w:pPr>
            <w:r w:rsidRPr="0094198D">
              <w:rPr>
                <w:b/>
                <w:szCs w:val="24"/>
                <w:lang w:val="lv-LV"/>
              </w:rPr>
              <w:t>Zemkopības ministrijai</w:t>
            </w:r>
            <w:r w:rsidRPr="00694D69">
              <w:rPr>
                <w:szCs w:val="24"/>
                <w:lang w:val="lv-LV"/>
              </w:rPr>
              <w:t xml:space="preserve"> ievērojot, ka plānotās</w:t>
            </w:r>
            <w:r w:rsidR="00530BE1">
              <w:rPr>
                <w:szCs w:val="24"/>
                <w:lang w:val="lv-LV"/>
              </w:rPr>
              <w:t xml:space="preserve"> amata vietas aizpildītas vēlāk</w:t>
            </w:r>
            <w:r w:rsidRPr="00694D69">
              <w:rPr>
                <w:szCs w:val="24"/>
                <w:lang w:val="lv-LV"/>
              </w:rPr>
              <w:t xml:space="preserve"> kā plānots finansējumā, no 74.resora „Gadskārtējā valsts budžeta izpildes procesā pārdalāmā finansējuma 2014.gadam” nepiešķirt papildu finansējumu 8 4</w:t>
            </w:r>
            <w:r w:rsidR="00E10697" w:rsidRPr="00694D69">
              <w:rPr>
                <w:szCs w:val="24"/>
                <w:lang w:val="lv-LV"/>
              </w:rPr>
              <w:t>8</w:t>
            </w:r>
            <w:r w:rsidRPr="00694D69">
              <w:rPr>
                <w:szCs w:val="24"/>
                <w:lang w:val="lv-LV"/>
              </w:rPr>
              <w:t xml:space="preserve">5 </w:t>
            </w:r>
            <w:proofErr w:type="spellStart"/>
            <w:r w:rsidRPr="006008A0">
              <w:rPr>
                <w:i/>
                <w:szCs w:val="24"/>
                <w:lang w:val="lv-LV"/>
              </w:rPr>
              <w:t>euro</w:t>
            </w:r>
            <w:proofErr w:type="spellEnd"/>
            <w:r w:rsidRPr="00694D69">
              <w:rPr>
                <w:szCs w:val="24"/>
                <w:lang w:val="lv-LV"/>
              </w:rPr>
              <w:t xml:space="preserve"> 2014.gadā izveidotajām amata vietām.</w:t>
            </w:r>
          </w:p>
        </w:tc>
      </w:tr>
      <w:tr w:rsidR="0060785A" w:rsidRPr="00707073" w:rsidTr="008F0A29">
        <w:trPr>
          <w:trHeight w:val="1427"/>
        </w:trPr>
        <w:tc>
          <w:tcPr>
            <w:tcW w:w="431" w:type="dxa"/>
          </w:tcPr>
          <w:p w:rsidR="0060785A" w:rsidRPr="00694D69" w:rsidRDefault="0060785A" w:rsidP="008F0A29">
            <w:pPr>
              <w:pStyle w:val="naiskr"/>
              <w:spacing w:before="0" w:after="0"/>
              <w:jc w:val="center"/>
            </w:pPr>
            <w:r w:rsidRPr="00694D69">
              <w:lastRenderedPageBreak/>
              <w:t>3.</w:t>
            </w:r>
          </w:p>
        </w:tc>
        <w:tc>
          <w:tcPr>
            <w:tcW w:w="1837" w:type="dxa"/>
          </w:tcPr>
          <w:p w:rsidR="0060785A" w:rsidRPr="00694D69" w:rsidRDefault="0060785A" w:rsidP="00C50DD9">
            <w:pPr>
              <w:pStyle w:val="naiskr"/>
              <w:spacing w:before="0" w:after="0"/>
            </w:pPr>
            <w:r w:rsidRPr="00694D69">
              <w:t>Projekta izstrādē iesaistītās institūcijas</w:t>
            </w:r>
          </w:p>
        </w:tc>
        <w:tc>
          <w:tcPr>
            <w:tcW w:w="6951" w:type="dxa"/>
          </w:tcPr>
          <w:p w:rsidR="0060785A" w:rsidRPr="00694D69" w:rsidRDefault="00845887" w:rsidP="00C50DD9">
            <w:pPr>
              <w:pStyle w:val="naiskr"/>
              <w:spacing w:before="0" w:after="0"/>
              <w:jc w:val="both"/>
            </w:pPr>
            <w:r w:rsidRPr="00694D69">
              <w:t xml:space="preserve">Aizsardzības ministrija, </w:t>
            </w:r>
            <w:r w:rsidR="0060785A" w:rsidRPr="00694D69">
              <w:t>Ārlietu ministrija (Latvijas prezidentūras Eiropas Savienības Padomē sekretariāts)</w:t>
            </w:r>
            <w:r w:rsidRPr="00694D69">
              <w:t>, Ekonomikas ministrija, Finanšu ministrija, Izglītības un zinātnes ministrija, Labklājības ministrija, Vides un reģionālās attīstības ministrija, Zemkopības ministrija</w:t>
            </w:r>
            <w:r w:rsidR="0060785A" w:rsidRPr="00694D69">
              <w:t>.</w:t>
            </w:r>
          </w:p>
        </w:tc>
      </w:tr>
      <w:tr w:rsidR="0060785A" w:rsidRPr="00694D69" w:rsidTr="008F0A29">
        <w:trPr>
          <w:trHeight w:val="327"/>
        </w:trPr>
        <w:tc>
          <w:tcPr>
            <w:tcW w:w="431" w:type="dxa"/>
          </w:tcPr>
          <w:p w:rsidR="0060785A" w:rsidRPr="00694D69" w:rsidRDefault="0060785A" w:rsidP="008F0A29">
            <w:pPr>
              <w:pStyle w:val="naiskr"/>
              <w:spacing w:before="0" w:after="0"/>
              <w:jc w:val="center"/>
            </w:pPr>
            <w:r w:rsidRPr="00694D69">
              <w:t>4.</w:t>
            </w:r>
          </w:p>
        </w:tc>
        <w:tc>
          <w:tcPr>
            <w:tcW w:w="1837" w:type="dxa"/>
          </w:tcPr>
          <w:p w:rsidR="0060785A" w:rsidRPr="00694D69" w:rsidRDefault="0060785A" w:rsidP="00C50DD9">
            <w:pPr>
              <w:pStyle w:val="naiskr"/>
              <w:spacing w:before="0" w:after="0"/>
            </w:pPr>
            <w:r w:rsidRPr="00694D69">
              <w:t>Cita informācija</w:t>
            </w:r>
          </w:p>
        </w:tc>
        <w:tc>
          <w:tcPr>
            <w:tcW w:w="6951" w:type="dxa"/>
          </w:tcPr>
          <w:p w:rsidR="0060785A" w:rsidRPr="00694D69" w:rsidRDefault="0060785A" w:rsidP="00C50DD9">
            <w:pPr>
              <w:pStyle w:val="naiskr"/>
              <w:spacing w:before="0" w:after="0"/>
              <w:jc w:val="both"/>
            </w:pPr>
            <w:r w:rsidRPr="00694D69">
              <w:t>Nav.</w:t>
            </w:r>
          </w:p>
        </w:tc>
      </w:tr>
    </w:tbl>
    <w:p w:rsidR="0060785A" w:rsidRDefault="0060785A" w:rsidP="0060785A">
      <w:pPr>
        <w:pStyle w:val="naisf"/>
        <w:spacing w:before="0" w:after="0"/>
      </w:pPr>
    </w:p>
    <w:p w:rsidR="008F0A29" w:rsidRPr="00694D69" w:rsidRDefault="008F0A29" w:rsidP="0060785A">
      <w:pPr>
        <w:pStyle w:val="naisf"/>
        <w:spacing w:before="0" w:after="0"/>
      </w:pPr>
    </w:p>
    <w:tbl>
      <w:tblPr>
        <w:tblW w:w="9285"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338"/>
        <w:gridCol w:w="1450"/>
        <w:gridCol w:w="1450"/>
        <w:gridCol w:w="1450"/>
        <w:gridCol w:w="1456"/>
      </w:tblGrid>
      <w:tr w:rsidR="0060785A" w:rsidRPr="00707073" w:rsidTr="00500D61">
        <w:trPr>
          <w:trHeight w:val="261"/>
          <w:jc w:val="center"/>
        </w:trPr>
        <w:tc>
          <w:tcPr>
            <w:tcW w:w="9285" w:type="dxa"/>
            <w:gridSpan w:val="6"/>
          </w:tcPr>
          <w:p w:rsidR="0060785A" w:rsidRPr="00694D69" w:rsidRDefault="0060785A" w:rsidP="00C50DD9">
            <w:pPr>
              <w:pStyle w:val="naisnod"/>
              <w:spacing w:before="0" w:after="0"/>
              <w:rPr>
                <w:i/>
              </w:rPr>
            </w:pPr>
            <w:r w:rsidRPr="00694D69">
              <w:br w:type="page"/>
              <w:t>III. Tiesību akta projekta ietekme uz valsts budžetu un pašvaldību budžetiem</w:t>
            </w:r>
          </w:p>
        </w:tc>
      </w:tr>
      <w:tr w:rsidR="0060785A" w:rsidRPr="00DE1701" w:rsidTr="00500D61">
        <w:trPr>
          <w:jc w:val="center"/>
        </w:trPr>
        <w:tc>
          <w:tcPr>
            <w:tcW w:w="2141" w:type="dxa"/>
            <w:vMerge w:val="restart"/>
            <w:vAlign w:val="center"/>
          </w:tcPr>
          <w:p w:rsidR="0060785A" w:rsidRPr="00694D69" w:rsidRDefault="0060785A" w:rsidP="00C50DD9">
            <w:pPr>
              <w:pStyle w:val="naisf"/>
              <w:spacing w:before="0" w:after="0"/>
              <w:ind w:firstLine="0"/>
              <w:jc w:val="center"/>
              <w:rPr>
                <w:b/>
              </w:rPr>
            </w:pPr>
            <w:r w:rsidRPr="00694D69">
              <w:rPr>
                <w:b/>
              </w:rPr>
              <w:t>Rādītāji</w:t>
            </w:r>
          </w:p>
        </w:tc>
        <w:tc>
          <w:tcPr>
            <w:tcW w:w="2788" w:type="dxa"/>
            <w:gridSpan w:val="2"/>
            <w:vMerge w:val="restart"/>
            <w:vAlign w:val="center"/>
          </w:tcPr>
          <w:p w:rsidR="0060785A" w:rsidRPr="00694D69" w:rsidRDefault="0060785A" w:rsidP="00924E3C">
            <w:pPr>
              <w:pStyle w:val="naisf"/>
              <w:spacing w:before="0" w:after="0"/>
              <w:ind w:firstLine="0"/>
              <w:jc w:val="center"/>
              <w:rPr>
                <w:b/>
              </w:rPr>
            </w:pPr>
            <w:r w:rsidRPr="00694D69">
              <w:rPr>
                <w:b/>
              </w:rPr>
              <w:t xml:space="preserve">2014. gads </w:t>
            </w:r>
            <w:r w:rsidRPr="00694D69">
              <w:t xml:space="preserve">(tūkst. </w:t>
            </w:r>
            <w:proofErr w:type="spellStart"/>
            <w:r w:rsidR="00924E3C" w:rsidRPr="006008A0">
              <w:rPr>
                <w:i/>
              </w:rPr>
              <w:t>euro</w:t>
            </w:r>
            <w:proofErr w:type="spellEnd"/>
            <w:r w:rsidRPr="00694D69">
              <w:t>)</w:t>
            </w:r>
          </w:p>
        </w:tc>
        <w:tc>
          <w:tcPr>
            <w:tcW w:w="4356" w:type="dxa"/>
            <w:gridSpan w:val="3"/>
            <w:vAlign w:val="center"/>
          </w:tcPr>
          <w:p w:rsidR="0060785A" w:rsidRPr="00694D69" w:rsidRDefault="0060785A" w:rsidP="00924E3C">
            <w:pPr>
              <w:pStyle w:val="naisf"/>
              <w:spacing w:before="0" w:after="0"/>
              <w:ind w:firstLine="0"/>
              <w:jc w:val="center"/>
              <w:rPr>
                <w:b/>
                <w:i/>
              </w:rPr>
            </w:pPr>
            <w:r w:rsidRPr="00694D69">
              <w:t xml:space="preserve">Turpmākie trīs gadi (tūkst. </w:t>
            </w:r>
            <w:proofErr w:type="spellStart"/>
            <w:r w:rsidR="00924E3C" w:rsidRPr="006008A0">
              <w:rPr>
                <w:i/>
              </w:rPr>
              <w:t>euro</w:t>
            </w:r>
            <w:proofErr w:type="spellEnd"/>
            <w:r w:rsidRPr="00694D69">
              <w:t>)</w:t>
            </w:r>
          </w:p>
        </w:tc>
      </w:tr>
      <w:tr w:rsidR="0060785A" w:rsidRPr="00694D69" w:rsidTr="00500D61">
        <w:trPr>
          <w:jc w:val="center"/>
        </w:trPr>
        <w:tc>
          <w:tcPr>
            <w:tcW w:w="2141" w:type="dxa"/>
            <w:vMerge/>
            <w:vAlign w:val="center"/>
          </w:tcPr>
          <w:p w:rsidR="0060785A" w:rsidRPr="00694D69" w:rsidRDefault="0060785A" w:rsidP="00C50DD9">
            <w:pPr>
              <w:pStyle w:val="naisf"/>
              <w:spacing w:before="0" w:after="0"/>
              <w:ind w:firstLine="0"/>
              <w:jc w:val="center"/>
              <w:rPr>
                <w:b/>
                <w:i/>
              </w:rPr>
            </w:pPr>
          </w:p>
        </w:tc>
        <w:tc>
          <w:tcPr>
            <w:tcW w:w="2788" w:type="dxa"/>
            <w:gridSpan w:val="2"/>
            <w:vMerge/>
            <w:vAlign w:val="center"/>
          </w:tcPr>
          <w:p w:rsidR="0060785A" w:rsidRPr="00694D69" w:rsidRDefault="0060785A" w:rsidP="00C50DD9">
            <w:pPr>
              <w:pStyle w:val="naisf"/>
              <w:spacing w:before="0" w:after="0"/>
              <w:ind w:firstLine="0"/>
              <w:jc w:val="center"/>
              <w:rPr>
                <w:b/>
                <w:i/>
              </w:rPr>
            </w:pPr>
          </w:p>
        </w:tc>
        <w:tc>
          <w:tcPr>
            <w:tcW w:w="1450" w:type="dxa"/>
            <w:vAlign w:val="center"/>
          </w:tcPr>
          <w:p w:rsidR="0060785A" w:rsidRPr="00694D69" w:rsidRDefault="0060785A" w:rsidP="00C50DD9">
            <w:pPr>
              <w:pStyle w:val="naisf"/>
              <w:spacing w:before="0" w:after="0"/>
              <w:ind w:firstLine="0"/>
              <w:jc w:val="center"/>
              <w:rPr>
                <w:b/>
                <w:i/>
              </w:rPr>
            </w:pPr>
            <w:r w:rsidRPr="00694D69">
              <w:rPr>
                <w:b/>
                <w:bCs/>
              </w:rPr>
              <w:t>2015</w:t>
            </w:r>
          </w:p>
        </w:tc>
        <w:tc>
          <w:tcPr>
            <w:tcW w:w="1450" w:type="dxa"/>
            <w:vAlign w:val="center"/>
          </w:tcPr>
          <w:p w:rsidR="0060785A" w:rsidRPr="00694D69" w:rsidRDefault="0060785A" w:rsidP="00C50DD9">
            <w:pPr>
              <w:pStyle w:val="naisf"/>
              <w:spacing w:before="0" w:after="0"/>
              <w:ind w:firstLine="0"/>
              <w:jc w:val="center"/>
              <w:rPr>
                <w:b/>
                <w:i/>
              </w:rPr>
            </w:pPr>
            <w:r w:rsidRPr="00694D69">
              <w:rPr>
                <w:b/>
                <w:bCs/>
              </w:rPr>
              <w:t>2016</w:t>
            </w:r>
          </w:p>
        </w:tc>
        <w:tc>
          <w:tcPr>
            <w:tcW w:w="1456" w:type="dxa"/>
            <w:vAlign w:val="center"/>
          </w:tcPr>
          <w:p w:rsidR="0060785A" w:rsidRPr="00694D69" w:rsidRDefault="0060785A" w:rsidP="00C50DD9">
            <w:pPr>
              <w:pStyle w:val="naisf"/>
              <w:spacing w:before="0" w:after="0"/>
              <w:ind w:firstLine="0"/>
              <w:jc w:val="center"/>
              <w:rPr>
                <w:b/>
                <w:i/>
              </w:rPr>
            </w:pPr>
            <w:r w:rsidRPr="00694D69">
              <w:rPr>
                <w:b/>
                <w:bCs/>
              </w:rPr>
              <w:t>2017</w:t>
            </w:r>
          </w:p>
        </w:tc>
      </w:tr>
      <w:tr w:rsidR="0060785A" w:rsidRPr="00DE1701" w:rsidTr="00500D61">
        <w:trPr>
          <w:jc w:val="center"/>
        </w:trPr>
        <w:tc>
          <w:tcPr>
            <w:tcW w:w="2141" w:type="dxa"/>
            <w:vMerge/>
            <w:vAlign w:val="center"/>
          </w:tcPr>
          <w:p w:rsidR="0060785A" w:rsidRPr="00694D69" w:rsidRDefault="0060785A" w:rsidP="00C50DD9">
            <w:pPr>
              <w:pStyle w:val="naisf"/>
              <w:spacing w:before="0" w:after="0"/>
              <w:ind w:firstLine="0"/>
              <w:jc w:val="center"/>
              <w:rPr>
                <w:b/>
                <w:i/>
              </w:rPr>
            </w:pPr>
          </w:p>
        </w:tc>
        <w:tc>
          <w:tcPr>
            <w:tcW w:w="1338" w:type="dxa"/>
            <w:vAlign w:val="center"/>
          </w:tcPr>
          <w:p w:rsidR="0060785A" w:rsidRPr="00694D69" w:rsidRDefault="0060785A" w:rsidP="00C50DD9">
            <w:pPr>
              <w:pStyle w:val="naisf"/>
              <w:spacing w:before="0" w:after="0"/>
              <w:ind w:firstLine="0"/>
              <w:jc w:val="center"/>
              <w:rPr>
                <w:b/>
                <w:i/>
              </w:rPr>
            </w:pPr>
            <w:r w:rsidRPr="00694D69">
              <w:t xml:space="preserve">Saskaņā ar valsts </w:t>
            </w:r>
            <w:r w:rsidRPr="00694D69">
              <w:lastRenderedPageBreak/>
              <w:t>budžetu kārtējam gadam</w:t>
            </w:r>
          </w:p>
        </w:tc>
        <w:tc>
          <w:tcPr>
            <w:tcW w:w="1450" w:type="dxa"/>
            <w:vAlign w:val="center"/>
          </w:tcPr>
          <w:p w:rsidR="0060785A" w:rsidRPr="00694D69" w:rsidRDefault="0060785A" w:rsidP="00C50DD9">
            <w:pPr>
              <w:pStyle w:val="naisf"/>
              <w:spacing w:before="0" w:after="0"/>
              <w:ind w:firstLine="0"/>
              <w:jc w:val="center"/>
              <w:rPr>
                <w:b/>
                <w:i/>
              </w:rPr>
            </w:pPr>
            <w:r w:rsidRPr="00694D69">
              <w:lastRenderedPageBreak/>
              <w:t xml:space="preserve">Izmaiņas kārtējā gadā, </w:t>
            </w:r>
            <w:r w:rsidRPr="00694D69">
              <w:lastRenderedPageBreak/>
              <w:t>salīdzinot ar budžetu kārtējam gadam</w:t>
            </w:r>
          </w:p>
        </w:tc>
        <w:tc>
          <w:tcPr>
            <w:tcW w:w="1450" w:type="dxa"/>
            <w:vAlign w:val="center"/>
          </w:tcPr>
          <w:p w:rsidR="0060785A" w:rsidRPr="00694D69" w:rsidRDefault="0060785A" w:rsidP="00C50DD9">
            <w:pPr>
              <w:pStyle w:val="naisf"/>
              <w:spacing w:before="0" w:after="0"/>
              <w:ind w:firstLine="0"/>
              <w:jc w:val="center"/>
              <w:rPr>
                <w:b/>
                <w:i/>
              </w:rPr>
            </w:pPr>
            <w:r w:rsidRPr="00694D69">
              <w:lastRenderedPageBreak/>
              <w:t xml:space="preserve">Izmaiņas, salīdzinot ar </w:t>
            </w:r>
            <w:r w:rsidRPr="00694D69">
              <w:lastRenderedPageBreak/>
              <w:t>kārtējo (n) gadu</w:t>
            </w:r>
          </w:p>
        </w:tc>
        <w:tc>
          <w:tcPr>
            <w:tcW w:w="1450" w:type="dxa"/>
            <w:vAlign w:val="center"/>
          </w:tcPr>
          <w:p w:rsidR="0060785A" w:rsidRPr="00694D69" w:rsidRDefault="0060785A" w:rsidP="00C50DD9">
            <w:pPr>
              <w:pStyle w:val="naisf"/>
              <w:spacing w:before="0" w:after="0"/>
              <w:ind w:firstLine="0"/>
              <w:jc w:val="center"/>
              <w:rPr>
                <w:b/>
                <w:i/>
              </w:rPr>
            </w:pPr>
            <w:r w:rsidRPr="00694D69">
              <w:lastRenderedPageBreak/>
              <w:t xml:space="preserve">Izmaiņas, salīdzinot ar </w:t>
            </w:r>
            <w:r w:rsidRPr="00694D69">
              <w:lastRenderedPageBreak/>
              <w:t>kārtējo (n) gadu</w:t>
            </w:r>
          </w:p>
        </w:tc>
        <w:tc>
          <w:tcPr>
            <w:tcW w:w="1456" w:type="dxa"/>
            <w:vAlign w:val="center"/>
          </w:tcPr>
          <w:p w:rsidR="0060785A" w:rsidRPr="00694D69" w:rsidRDefault="0060785A" w:rsidP="00C50DD9">
            <w:pPr>
              <w:pStyle w:val="naisf"/>
              <w:spacing w:before="0" w:after="0"/>
              <w:ind w:firstLine="0"/>
              <w:jc w:val="center"/>
              <w:rPr>
                <w:b/>
                <w:i/>
              </w:rPr>
            </w:pPr>
            <w:r w:rsidRPr="00694D69">
              <w:lastRenderedPageBreak/>
              <w:t xml:space="preserve">Izmaiņas, salīdzinot ar </w:t>
            </w:r>
            <w:r w:rsidRPr="00694D69">
              <w:lastRenderedPageBreak/>
              <w:t>kārtējo (n) gadu</w:t>
            </w:r>
          </w:p>
        </w:tc>
      </w:tr>
      <w:tr w:rsidR="0060785A" w:rsidRPr="00694D69" w:rsidTr="00500D61">
        <w:trPr>
          <w:jc w:val="center"/>
        </w:trPr>
        <w:tc>
          <w:tcPr>
            <w:tcW w:w="2141" w:type="dxa"/>
            <w:vAlign w:val="center"/>
          </w:tcPr>
          <w:p w:rsidR="0060785A" w:rsidRPr="00694D69" w:rsidRDefault="0060785A" w:rsidP="00C50DD9">
            <w:pPr>
              <w:pStyle w:val="naisf"/>
              <w:spacing w:before="0" w:after="0"/>
              <w:ind w:firstLine="0"/>
              <w:jc w:val="center"/>
              <w:rPr>
                <w:bCs/>
              </w:rPr>
            </w:pPr>
            <w:r w:rsidRPr="00694D69">
              <w:rPr>
                <w:bCs/>
              </w:rPr>
              <w:lastRenderedPageBreak/>
              <w:t>1</w:t>
            </w:r>
          </w:p>
        </w:tc>
        <w:tc>
          <w:tcPr>
            <w:tcW w:w="1338" w:type="dxa"/>
            <w:vAlign w:val="center"/>
          </w:tcPr>
          <w:p w:rsidR="0060785A" w:rsidRPr="00694D69" w:rsidRDefault="0060785A" w:rsidP="00C50DD9">
            <w:pPr>
              <w:pStyle w:val="naisf"/>
              <w:spacing w:before="0" w:after="0"/>
              <w:ind w:firstLine="0"/>
              <w:jc w:val="center"/>
              <w:rPr>
                <w:bCs/>
              </w:rPr>
            </w:pPr>
            <w:r w:rsidRPr="00694D69">
              <w:rPr>
                <w:bCs/>
              </w:rPr>
              <w:t>2</w:t>
            </w:r>
          </w:p>
        </w:tc>
        <w:tc>
          <w:tcPr>
            <w:tcW w:w="1450" w:type="dxa"/>
            <w:vAlign w:val="center"/>
          </w:tcPr>
          <w:p w:rsidR="0060785A" w:rsidRPr="00694D69" w:rsidRDefault="0060785A" w:rsidP="00C50DD9">
            <w:pPr>
              <w:pStyle w:val="naisf"/>
              <w:spacing w:before="0" w:after="0"/>
              <w:ind w:firstLine="0"/>
              <w:jc w:val="center"/>
              <w:rPr>
                <w:bCs/>
              </w:rPr>
            </w:pPr>
            <w:r w:rsidRPr="00694D69">
              <w:rPr>
                <w:bCs/>
              </w:rPr>
              <w:t>3</w:t>
            </w:r>
          </w:p>
        </w:tc>
        <w:tc>
          <w:tcPr>
            <w:tcW w:w="1450" w:type="dxa"/>
            <w:vAlign w:val="center"/>
          </w:tcPr>
          <w:p w:rsidR="0060785A" w:rsidRPr="00694D69" w:rsidRDefault="0060785A" w:rsidP="00C50DD9">
            <w:pPr>
              <w:pStyle w:val="naisf"/>
              <w:spacing w:before="0" w:after="0"/>
              <w:ind w:firstLine="0"/>
              <w:jc w:val="center"/>
              <w:rPr>
                <w:bCs/>
              </w:rPr>
            </w:pPr>
            <w:r w:rsidRPr="00694D69">
              <w:rPr>
                <w:bCs/>
              </w:rPr>
              <w:t>4</w:t>
            </w:r>
          </w:p>
        </w:tc>
        <w:tc>
          <w:tcPr>
            <w:tcW w:w="1450" w:type="dxa"/>
            <w:vAlign w:val="center"/>
          </w:tcPr>
          <w:p w:rsidR="0060785A" w:rsidRPr="00694D69" w:rsidRDefault="0060785A" w:rsidP="00C50DD9">
            <w:pPr>
              <w:pStyle w:val="naisf"/>
              <w:spacing w:before="0" w:after="0"/>
              <w:ind w:firstLine="0"/>
              <w:jc w:val="center"/>
              <w:rPr>
                <w:bCs/>
              </w:rPr>
            </w:pPr>
            <w:r w:rsidRPr="00694D69">
              <w:rPr>
                <w:bCs/>
              </w:rPr>
              <w:t>5</w:t>
            </w:r>
          </w:p>
        </w:tc>
        <w:tc>
          <w:tcPr>
            <w:tcW w:w="1456" w:type="dxa"/>
            <w:vAlign w:val="center"/>
          </w:tcPr>
          <w:p w:rsidR="0060785A" w:rsidRPr="00694D69" w:rsidRDefault="0060785A" w:rsidP="00C50DD9">
            <w:pPr>
              <w:pStyle w:val="naisf"/>
              <w:spacing w:before="0" w:after="0"/>
              <w:ind w:firstLine="0"/>
              <w:jc w:val="center"/>
              <w:rPr>
                <w:bCs/>
              </w:rPr>
            </w:pPr>
            <w:r w:rsidRPr="00694D69">
              <w:rPr>
                <w:bCs/>
              </w:rPr>
              <w:t>6</w:t>
            </w:r>
          </w:p>
        </w:tc>
      </w:tr>
      <w:tr w:rsidR="0060785A" w:rsidRPr="00694D69" w:rsidTr="00500D61">
        <w:trPr>
          <w:trHeight w:val="618"/>
          <w:jc w:val="center"/>
        </w:trPr>
        <w:tc>
          <w:tcPr>
            <w:tcW w:w="2141" w:type="dxa"/>
          </w:tcPr>
          <w:p w:rsidR="0060785A" w:rsidRPr="00694D69" w:rsidRDefault="0060785A" w:rsidP="008F0A29">
            <w:pPr>
              <w:pStyle w:val="naisf"/>
              <w:spacing w:before="0" w:after="0"/>
              <w:ind w:firstLine="0"/>
              <w:jc w:val="left"/>
              <w:rPr>
                <w:i/>
              </w:rPr>
            </w:pPr>
            <w:r w:rsidRPr="00694D69">
              <w:t>1. Budžeta ieņēmumi:</w:t>
            </w:r>
          </w:p>
          <w:p w:rsidR="0060785A" w:rsidRPr="00694D69" w:rsidRDefault="0060785A" w:rsidP="008F0A29">
            <w:pPr>
              <w:pStyle w:val="naisf"/>
              <w:spacing w:before="0" w:after="0"/>
              <w:ind w:firstLine="0"/>
              <w:jc w:val="left"/>
              <w:rPr>
                <w:i/>
              </w:rPr>
            </w:pPr>
            <w:r w:rsidRPr="00694D69">
              <w:t>1.1. valsts pamatbudžets, tai skaitā ieņēmumi no maksas pakalpojumiem un citi pašu ieņēmumi</w:t>
            </w:r>
          </w:p>
          <w:p w:rsidR="0060785A" w:rsidRPr="00694D69" w:rsidRDefault="0060785A" w:rsidP="008F0A29">
            <w:pPr>
              <w:pStyle w:val="naisf"/>
              <w:spacing w:before="0" w:after="0"/>
              <w:ind w:firstLine="0"/>
              <w:jc w:val="left"/>
              <w:rPr>
                <w:i/>
              </w:rPr>
            </w:pPr>
            <w:r w:rsidRPr="00694D69">
              <w:t>1.2. valsts speciālais budžets</w:t>
            </w:r>
          </w:p>
          <w:p w:rsidR="0060785A" w:rsidRPr="00694D69" w:rsidRDefault="0060785A" w:rsidP="008F0A29">
            <w:pPr>
              <w:pStyle w:val="naisf"/>
              <w:ind w:firstLine="0"/>
              <w:jc w:val="left"/>
              <w:rPr>
                <w:i/>
              </w:rPr>
            </w:pPr>
            <w:r w:rsidRPr="00694D69">
              <w:t>1.3. pašvaldību budžets</w:t>
            </w:r>
          </w:p>
        </w:tc>
        <w:tc>
          <w:tcPr>
            <w:tcW w:w="1338" w:type="dxa"/>
          </w:tcPr>
          <w:p w:rsidR="0060785A" w:rsidRPr="00694D69" w:rsidRDefault="0060785A" w:rsidP="00C50DD9">
            <w:pPr>
              <w:jc w:val="center"/>
              <w:rPr>
                <w:szCs w:val="24"/>
                <w:lang w:val="lv-LV"/>
              </w:rPr>
            </w:pPr>
            <w:r w:rsidRPr="00694D69">
              <w:rPr>
                <w:szCs w:val="24"/>
                <w:lang w:val="lv-LV"/>
              </w:rPr>
              <w:t>0</w:t>
            </w:r>
          </w:p>
          <w:p w:rsidR="0060785A" w:rsidRPr="00694D69" w:rsidRDefault="0060785A" w:rsidP="00C50DD9">
            <w:pPr>
              <w:jc w:val="center"/>
              <w:rPr>
                <w:szCs w:val="24"/>
                <w:lang w:val="lv-LV"/>
              </w:rPr>
            </w:pPr>
          </w:p>
        </w:tc>
        <w:tc>
          <w:tcPr>
            <w:tcW w:w="1450" w:type="dxa"/>
          </w:tcPr>
          <w:p w:rsidR="0060785A" w:rsidRPr="00694D69" w:rsidRDefault="0060785A" w:rsidP="00C50DD9">
            <w:pPr>
              <w:jc w:val="center"/>
              <w:rPr>
                <w:szCs w:val="24"/>
                <w:lang w:val="lv-LV"/>
              </w:rPr>
            </w:pPr>
            <w:r w:rsidRPr="00694D69">
              <w:rPr>
                <w:szCs w:val="24"/>
                <w:lang w:val="lv-LV"/>
              </w:rPr>
              <w:t>0</w:t>
            </w:r>
          </w:p>
        </w:tc>
        <w:tc>
          <w:tcPr>
            <w:tcW w:w="1450" w:type="dxa"/>
          </w:tcPr>
          <w:p w:rsidR="0060785A" w:rsidRPr="00694D69" w:rsidRDefault="0060785A" w:rsidP="00C50DD9">
            <w:pPr>
              <w:jc w:val="center"/>
              <w:rPr>
                <w:szCs w:val="24"/>
                <w:lang w:val="lv-LV"/>
              </w:rPr>
            </w:pPr>
            <w:r w:rsidRPr="00694D69">
              <w:rPr>
                <w:szCs w:val="24"/>
                <w:lang w:val="lv-LV"/>
              </w:rPr>
              <w:t>0</w:t>
            </w:r>
          </w:p>
        </w:tc>
        <w:tc>
          <w:tcPr>
            <w:tcW w:w="1450" w:type="dxa"/>
          </w:tcPr>
          <w:p w:rsidR="0060785A" w:rsidRPr="00694D69" w:rsidRDefault="0060785A" w:rsidP="00C50DD9">
            <w:pPr>
              <w:jc w:val="center"/>
              <w:rPr>
                <w:szCs w:val="24"/>
                <w:lang w:val="lv-LV"/>
              </w:rPr>
            </w:pPr>
            <w:r w:rsidRPr="00694D69">
              <w:rPr>
                <w:szCs w:val="24"/>
                <w:lang w:val="lv-LV"/>
              </w:rPr>
              <w:t>0</w:t>
            </w:r>
          </w:p>
        </w:tc>
        <w:tc>
          <w:tcPr>
            <w:tcW w:w="1456" w:type="dxa"/>
          </w:tcPr>
          <w:p w:rsidR="0060785A" w:rsidRPr="00694D69" w:rsidRDefault="0060785A" w:rsidP="00C50DD9">
            <w:pPr>
              <w:jc w:val="center"/>
              <w:rPr>
                <w:szCs w:val="24"/>
                <w:lang w:val="lv-LV"/>
              </w:rPr>
            </w:pPr>
            <w:r w:rsidRPr="00694D69">
              <w:rPr>
                <w:szCs w:val="24"/>
                <w:lang w:val="lv-LV"/>
              </w:rPr>
              <w:t>0</w:t>
            </w:r>
          </w:p>
        </w:tc>
      </w:tr>
      <w:tr w:rsidR="0060785A" w:rsidRPr="00694D69" w:rsidTr="00500D61">
        <w:trPr>
          <w:trHeight w:val="2083"/>
          <w:jc w:val="center"/>
        </w:trPr>
        <w:tc>
          <w:tcPr>
            <w:tcW w:w="2141" w:type="dxa"/>
          </w:tcPr>
          <w:p w:rsidR="0060785A" w:rsidRPr="00694D69" w:rsidRDefault="0060785A" w:rsidP="008F0A29">
            <w:pPr>
              <w:rPr>
                <w:szCs w:val="24"/>
                <w:lang w:val="lv-LV"/>
              </w:rPr>
            </w:pPr>
            <w:r w:rsidRPr="00694D69">
              <w:rPr>
                <w:szCs w:val="24"/>
                <w:lang w:val="lv-LV"/>
              </w:rPr>
              <w:t>2. Budžeta izdevumi:</w:t>
            </w:r>
          </w:p>
          <w:p w:rsidR="0060785A" w:rsidRPr="00694D69" w:rsidRDefault="0060785A" w:rsidP="008F0A29">
            <w:pPr>
              <w:rPr>
                <w:szCs w:val="24"/>
                <w:lang w:val="lv-LV"/>
              </w:rPr>
            </w:pPr>
            <w:r w:rsidRPr="00694D69">
              <w:rPr>
                <w:szCs w:val="24"/>
                <w:lang w:val="lv-LV"/>
              </w:rPr>
              <w:t>2.1. valsts pamatbudžets</w:t>
            </w:r>
          </w:p>
          <w:p w:rsidR="0060785A" w:rsidRPr="00694D69" w:rsidRDefault="0060785A" w:rsidP="008F0A29">
            <w:pPr>
              <w:rPr>
                <w:szCs w:val="24"/>
                <w:lang w:val="lv-LV"/>
              </w:rPr>
            </w:pPr>
            <w:r w:rsidRPr="00694D69">
              <w:rPr>
                <w:szCs w:val="24"/>
                <w:lang w:val="lv-LV"/>
              </w:rPr>
              <w:t>2.2. valsts speciālais budžets</w:t>
            </w:r>
          </w:p>
          <w:p w:rsidR="0060785A" w:rsidRPr="00694D69" w:rsidRDefault="0060785A" w:rsidP="008F0A29">
            <w:pPr>
              <w:rPr>
                <w:szCs w:val="24"/>
                <w:lang w:val="lv-LV"/>
              </w:rPr>
            </w:pPr>
            <w:r w:rsidRPr="00694D69">
              <w:rPr>
                <w:szCs w:val="24"/>
                <w:lang w:val="lv-LV"/>
              </w:rPr>
              <w:t xml:space="preserve">2.3. pašvaldību budžets </w:t>
            </w:r>
          </w:p>
          <w:p w:rsidR="0060785A" w:rsidRPr="00694D69" w:rsidRDefault="0060785A" w:rsidP="008F0A29">
            <w:pPr>
              <w:rPr>
                <w:szCs w:val="24"/>
                <w:lang w:val="lv-LV"/>
              </w:rPr>
            </w:pPr>
            <w:r w:rsidRPr="00694D69">
              <w:rPr>
                <w:szCs w:val="24"/>
                <w:lang w:val="lv-LV"/>
              </w:rPr>
              <w:t>3. Finansiālā ietekme:</w:t>
            </w:r>
          </w:p>
          <w:p w:rsidR="0060785A" w:rsidRPr="00694D69" w:rsidRDefault="0060785A" w:rsidP="008F0A29">
            <w:pPr>
              <w:rPr>
                <w:szCs w:val="24"/>
                <w:lang w:val="lv-LV"/>
              </w:rPr>
            </w:pPr>
            <w:r w:rsidRPr="00694D69">
              <w:rPr>
                <w:szCs w:val="24"/>
                <w:lang w:val="lv-LV"/>
              </w:rPr>
              <w:t>3.1. valsts pamatbudžets</w:t>
            </w:r>
          </w:p>
          <w:p w:rsidR="0060785A" w:rsidRPr="00694D69" w:rsidRDefault="0060785A" w:rsidP="008F0A29">
            <w:pPr>
              <w:rPr>
                <w:szCs w:val="24"/>
                <w:lang w:val="lv-LV"/>
              </w:rPr>
            </w:pPr>
            <w:r w:rsidRPr="00694D69">
              <w:rPr>
                <w:szCs w:val="24"/>
                <w:lang w:val="lv-LV"/>
              </w:rPr>
              <w:t>3.2. speciālais budžets</w:t>
            </w:r>
          </w:p>
          <w:p w:rsidR="0060785A" w:rsidRPr="00694D69" w:rsidRDefault="0060785A" w:rsidP="008F0A29">
            <w:pPr>
              <w:rPr>
                <w:szCs w:val="24"/>
                <w:lang w:val="lv-LV"/>
              </w:rPr>
            </w:pPr>
            <w:r w:rsidRPr="00694D69">
              <w:rPr>
                <w:szCs w:val="24"/>
                <w:lang w:val="lv-LV"/>
              </w:rPr>
              <w:t xml:space="preserve">3.3. pašvaldību budžets </w:t>
            </w:r>
          </w:p>
        </w:tc>
        <w:tc>
          <w:tcPr>
            <w:tcW w:w="1338"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456"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r>
      <w:tr w:rsidR="0060785A" w:rsidRPr="00694D69" w:rsidTr="00500D61">
        <w:trPr>
          <w:trHeight w:val="1020"/>
          <w:jc w:val="center"/>
        </w:trPr>
        <w:tc>
          <w:tcPr>
            <w:tcW w:w="2141" w:type="dxa"/>
          </w:tcPr>
          <w:p w:rsidR="0060785A" w:rsidRPr="00694D69" w:rsidRDefault="0060785A" w:rsidP="008F0A29">
            <w:pPr>
              <w:rPr>
                <w:szCs w:val="24"/>
                <w:lang w:val="lv-LV"/>
              </w:rPr>
            </w:pPr>
            <w:r w:rsidRPr="00694D69">
              <w:rPr>
                <w:szCs w:val="24"/>
                <w:lang w:val="lv-LV"/>
              </w:rPr>
              <w:t>3. Finansiālā ietekme:</w:t>
            </w:r>
          </w:p>
          <w:p w:rsidR="0060785A" w:rsidRPr="00694D69" w:rsidRDefault="0060785A" w:rsidP="008F0A29">
            <w:pPr>
              <w:rPr>
                <w:szCs w:val="24"/>
                <w:lang w:val="lv-LV"/>
              </w:rPr>
            </w:pPr>
            <w:r w:rsidRPr="00694D69">
              <w:rPr>
                <w:szCs w:val="24"/>
                <w:lang w:val="lv-LV"/>
              </w:rPr>
              <w:t>3.1. valsts pamatbudžets</w:t>
            </w:r>
          </w:p>
          <w:p w:rsidR="0060785A" w:rsidRPr="00694D69" w:rsidRDefault="0060785A" w:rsidP="008F0A29">
            <w:pPr>
              <w:rPr>
                <w:szCs w:val="24"/>
                <w:lang w:val="lv-LV"/>
              </w:rPr>
            </w:pPr>
            <w:r w:rsidRPr="00694D69">
              <w:rPr>
                <w:szCs w:val="24"/>
                <w:lang w:val="lv-LV"/>
              </w:rPr>
              <w:t>3.2. speciālais budžets</w:t>
            </w:r>
          </w:p>
          <w:p w:rsidR="0060785A" w:rsidRPr="00694D69" w:rsidRDefault="0060785A" w:rsidP="008F0A29">
            <w:pPr>
              <w:rPr>
                <w:szCs w:val="24"/>
                <w:lang w:val="lv-LV"/>
              </w:rPr>
            </w:pPr>
            <w:r w:rsidRPr="00694D69">
              <w:rPr>
                <w:szCs w:val="24"/>
                <w:lang w:val="lv-LV"/>
              </w:rPr>
              <w:t>3.3. pašvaldību budžets</w:t>
            </w:r>
          </w:p>
        </w:tc>
        <w:tc>
          <w:tcPr>
            <w:tcW w:w="1338"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456"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r>
      <w:tr w:rsidR="0060785A" w:rsidRPr="00694D69" w:rsidTr="00500D61">
        <w:trPr>
          <w:trHeight w:val="995"/>
          <w:jc w:val="center"/>
        </w:trPr>
        <w:tc>
          <w:tcPr>
            <w:tcW w:w="2141" w:type="dxa"/>
          </w:tcPr>
          <w:p w:rsidR="0060785A" w:rsidRPr="00694D69" w:rsidRDefault="0060785A" w:rsidP="008F0A29">
            <w:pPr>
              <w:rPr>
                <w:szCs w:val="24"/>
                <w:lang w:val="lv-LV"/>
              </w:rPr>
            </w:pPr>
            <w:r w:rsidRPr="00694D69">
              <w:rPr>
                <w:szCs w:val="24"/>
                <w:lang w:val="lv-LV"/>
              </w:rPr>
              <w:t>4. Finanšu līdzekļi papildu izde</w:t>
            </w:r>
            <w:r w:rsidRPr="00694D69">
              <w:rPr>
                <w:szCs w:val="24"/>
                <w:lang w:val="lv-LV"/>
              </w:rPr>
              <w:softHyphen/>
              <w:t>vumu finansēšanai (kompensējošu izdevumu samazinājumu norāda ar "+" zīmi)</w:t>
            </w:r>
          </w:p>
        </w:tc>
        <w:tc>
          <w:tcPr>
            <w:tcW w:w="1338" w:type="dxa"/>
          </w:tcPr>
          <w:p w:rsidR="0060785A" w:rsidRPr="006008A0" w:rsidRDefault="0060785A" w:rsidP="00C50DD9">
            <w:pPr>
              <w:jc w:val="center"/>
              <w:rPr>
                <w:szCs w:val="24"/>
                <w:lang w:val="lv-LV"/>
              </w:rPr>
            </w:pPr>
          </w:p>
        </w:tc>
        <w:tc>
          <w:tcPr>
            <w:tcW w:w="1450" w:type="dxa"/>
          </w:tcPr>
          <w:p w:rsidR="0060785A" w:rsidRPr="006008A0" w:rsidRDefault="0060785A" w:rsidP="00C50DD9">
            <w:pPr>
              <w:jc w:val="center"/>
              <w:rPr>
                <w:szCs w:val="24"/>
                <w:lang w:val="lv-LV"/>
              </w:rPr>
            </w:pPr>
          </w:p>
        </w:tc>
        <w:tc>
          <w:tcPr>
            <w:tcW w:w="1450" w:type="dxa"/>
          </w:tcPr>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tc>
        <w:tc>
          <w:tcPr>
            <w:tcW w:w="1456" w:type="dxa"/>
          </w:tcPr>
          <w:p w:rsidR="0060785A" w:rsidRPr="006008A0" w:rsidRDefault="0060785A" w:rsidP="00C50DD9">
            <w:pPr>
              <w:jc w:val="center"/>
              <w:rPr>
                <w:szCs w:val="24"/>
                <w:lang w:val="lv-LV"/>
              </w:rPr>
            </w:pPr>
            <w:r w:rsidRPr="006008A0">
              <w:rPr>
                <w:szCs w:val="24"/>
                <w:lang w:val="lv-LV"/>
              </w:rPr>
              <w:t>0</w:t>
            </w:r>
          </w:p>
        </w:tc>
      </w:tr>
      <w:tr w:rsidR="0060785A" w:rsidRPr="00694D69" w:rsidTr="00500D61">
        <w:trPr>
          <w:trHeight w:val="1050"/>
          <w:jc w:val="center"/>
        </w:trPr>
        <w:tc>
          <w:tcPr>
            <w:tcW w:w="2141" w:type="dxa"/>
          </w:tcPr>
          <w:p w:rsidR="0060785A" w:rsidRPr="00694D69" w:rsidRDefault="0060785A" w:rsidP="008F0A29">
            <w:pPr>
              <w:rPr>
                <w:szCs w:val="24"/>
                <w:lang w:val="lv-LV"/>
              </w:rPr>
            </w:pPr>
            <w:r w:rsidRPr="00694D69">
              <w:rPr>
                <w:szCs w:val="24"/>
                <w:lang w:val="lv-LV"/>
              </w:rPr>
              <w:lastRenderedPageBreak/>
              <w:t>5. Precizēta finansiālā ietekme:</w:t>
            </w:r>
          </w:p>
          <w:p w:rsidR="0060785A" w:rsidRPr="00694D69" w:rsidRDefault="0060785A" w:rsidP="008F0A29">
            <w:pPr>
              <w:rPr>
                <w:szCs w:val="24"/>
                <w:lang w:val="lv-LV"/>
              </w:rPr>
            </w:pPr>
            <w:r w:rsidRPr="00694D69">
              <w:rPr>
                <w:szCs w:val="24"/>
                <w:lang w:val="lv-LV"/>
              </w:rPr>
              <w:t>5.1. valsts pamatbudžets</w:t>
            </w:r>
          </w:p>
          <w:p w:rsidR="0060785A" w:rsidRPr="00694D69" w:rsidRDefault="0060785A" w:rsidP="008F0A29">
            <w:pPr>
              <w:rPr>
                <w:szCs w:val="24"/>
                <w:lang w:val="lv-LV"/>
              </w:rPr>
            </w:pPr>
            <w:r w:rsidRPr="00694D69">
              <w:rPr>
                <w:szCs w:val="24"/>
                <w:lang w:val="lv-LV"/>
              </w:rPr>
              <w:t>5.2. speciālais budžets</w:t>
            </w:r>
          </w:p>
          <w:p w:rsidR="0060785A" w:rsidRPr="00694D69" w:rsidRDefault="0060785A" w:rsidP="008F0A29">
            <w:pPr>
              <w:rPr>
                <w:szCs w:val="24"/>
                <w:lang w:val="lv-LV"/>
              </w:rPr>
            </w:pPr>
            <w:r w:rsidRPr="00694D69">
              <w:rPr>
                <w:szCs w:val="24"/>
                <w:lang w:val="lv-LV"/>
              </w:rPr>
              <w:t xml:space="preserve">5.3. pašvaldību budžets </w:t>
            </w:r>
          </w:p>
        </w:tc>
        <w:tc>
          <w:tcPr>
            <w:tcW w:w="1338" w:type="dxa"/>
          </w:tcPr>
          <w:p w:rsidR="0060785A" w:rsidRPr="006008A0" w:rsidRDefault="0060785A" w:rsidP="00C50DD9">
            <w:pPr>
              <w:jc w:val="center"/>
              <w:rPr>
                <w:szCs w:val="24"/>
                <w:lang w:val="lv-LV"/>
              </w:rPr>
            </w:pPr>
          </w:p>
        </w:tc>
        <w:tc>
          <w:tcPr>
            <w:tcW w:w="1450" w:type="dxa"/>
          </w:tcPr>
          <w:p w:rsidR="0060785A" w:rsidRPr="006008A0" w:rsidRDefault="0060785A" w:rsidP="00C50DD9">
            <w:pPr>
              <w:jc w:val="center"/>
              <w:rPr>
                <w:szCs w:val="24"/>
                <w:lang w:val="lv-LV"/>
              </w:rPr>
            </w:pPr>
          </w:p>
        </w:tc>
        <w:tc>
          <w:tcPr>
            <w:tcW w:w="1450" w:type="dxa"/>
          </w:tcPr>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tc>
        <w:tc>
          <w:tcPr>
            <w:tcW w:w="1456" w:type="dxa"/>
          </w:tcPr>
          <w:p w:rsidR="0060785A" w:rsidRPr="006008A0" w:rsidRDefault="0060785A" w:rsidP="00C50DD9">
            <w:pPr>
              <w:jc w:val="center"/>
              <w:rPr>
                <w:szCs w:val="24"/>
                <w:lang w:val="lv-LV"/>
              </w:rPr>
            </w:pPr>
            <w:r w:rsidRPr="006008A0">
              <w:rPr>
                <w:szCs w:val="24"/>
                <w:lang w:val="lv-LV"/>
              </w:rPr>
              <w:t>0</w:t>
            </w:r>
          </w:p>
        </w:tc>
      </w:tr>
      <w:tr w:rsidR="0060785A" w:rsidRPr="00707073" w:rsidTr="00500D61">
        <w:trPr>
          <w:trHeight w:val="2886"/>
          <w:jc w:val="center"/>
        </w:trPr>
        <w:tc>
          <w:tcPr>
            <w:tcW w:w="2141" w:type="dxa"/>
          </w:tcPr>
          <w:p w:rsidR="0060785A" w:rsidRPr="00694D69" w:rsidRDefault="0060785A" w:rsidP="008F0A29">
            <w:pPr>
              <w:rPr>
                <w:szCs w:val="24"/>
                <w:lang w:val="lv-LV"/>
              </w:rPr>
            </w:pPr>
            <w:r w:rsidRPr="00694D69">
              <w:rPr>
                <w:szCs w:val="24"/>
                <w:lang w:val="lv-LV"/>
              </w:rPr>
              <w:t>6. Detalizēts ieņēmumu un izdevumu aprēķins (ja nepieciešams, detalizētu ieņēmumu un izdevumu aprēķinu var pievienot anotācijas pielikumā):</w:t>
            </w:r>
          </w:p>
          <w:p w:rsidR="0060785A" w:rsidRPr="00694D69" w:rsidRDefault="0060785A" w:rsidP="008F0A29">
            <w:pPr>
              <w:rPr>
                <w:szCs w:val="24"/>
                <w:lang w:val="lv-LV"/>
              </w:rPr>
            </w:pPr>
            <w:r w:rsidRPr="00694D69">
              <w:rPr>
                <w:szCs w:val="24"/>
                <w:lang w:val="lv-LV"/>
              </w:rPr>
              <w:t>6.1. detalizēts ieņēmumu aprēķins</w:t>
            </w:r>
          </w:p>
          <w:p w:rsidR="0060785A" w:rsidRPr="00694D69" w:rsidRDefault="0060785A" w:rsidP="008F0A29">
            <w:pPr>
              <w:rPr>
                <w:szCs w:val="24"/>
                <w:lang w:val="lv-LV"/>
              </w:rPr>
            </w:pPr>
            <w:r w:rsidRPr="00694D69">
              <w:rPr>
                <w:szCs w:val="24"/>
                <w:lang w:val="lv-LV"/>
              </w:rPr>
              <w:t>6.2. detalizēts izdevumu aprēķins</w:t>
            </w:r>
          </w:p>
        </w:tc>
        <w:tc>
          <w:tcPr>
            <w:tcW w:w="7144" w:type="dxa"/>
            <w:gridSpan w:val="5"/>
            <w:vAlign w:val="center"/>
          </w:tcPr>
          <w:p w:rsidR="0060785A" w:rsidRPr="00694D69" w:rsidRDefault="0060785A" w:rsidP="00C50DD9">
            <w:pPr>
              <w:pStyle w:val="naisf"/>
              <w:spacing w:before="0" w:after="0"/>
              <w:ind w:firstLine="0"/>
            </w:pPr>
          </w:p>
        </w:tc>
      </w:tr>
      <w:tr w:rsidR="0060785A" w:rsidRPr="00694D69" w:rsidTr="00500D61">
        <w:trPr>
          <w:jc w:val="center"/>
        </w:trPr>
        <w:tc>
          <w:tcPr>
            <w:tcW w:w="2141" w:type="dxa"/>
          </w:tcPr>
          <w:p w:rsidR="0060785A" w:rsidRPr="00694D69" w:rsidRDefault="0060785A" w:rsidP="00C50DD9">
            <w:pPr>
              <w:jc w:val="both"/>
              <w:rPr>
                <w:szCs w:val="24"/>
                <w:lang w:val="lv-LV"/>
              </w:rPr>
            </w:pPr>
            <w:r w:rsidRPr="00694D69">
              <w:rPr>
                <w:szCs w:val="24"/>
                <w:lang w:val="lv-LV"/>
              </w:rPr>
              <w:t>7. Cita informācija</w:t>
            </w:r>
          </w:p>
        </w:tc>
        <w:tc>
          <w:tcPr>
            <w:tcW w:w="7144" w:type="dxa"/>
            <w:gridSpan w:val="5"/>
          </w:tcPr>
          <w:p w:rsidR="00CC336D" w:rsidRDefault="0060785A" w:rsidP="00C50DD9">
            <w:pPr>
              <w:pStyle w:val="naisf"/>
              <w:tabs>
                <w:tab w:val="left" w:pos="4644"/>
              </w:tabs>
              <w:spacing w:before="0" w:after="0"/>
              <w:ind w:firstLine="0"/>
              <w:rPr>
                <w:bCs/>
              </w:rPr>
            </w:pPr>
            <w:r w:rsidRPr="00694D69">
              <w:t xml:space="preserve">Likumā </w:t>
            </w:r>
            <w:r w:rsidRPr="00694D69">
              <w:rPr>
                <w:bCs/>
              </w:rPr>
              <w:t>"</w:t>
            </w:r>
            <w:r w:rsidRPr="00694D69">
              <w:t>Par valsts budžetu 2014.gadam</w:t>
            </w:r>
            <w:r w:rsidRPr="00694D69">
              <w:rPr>
                <w:bCs/>
              </w:rPr>
              <w:t>"</w:t>
            </w:r>
            <w:r w:rsidRPr="00694D69">
              <w:t xml:space="preserve"> 74.resora </w:t>
            </w:r>
            <w:r w:rsidRPr="00694D69">
              <w:rPr>
                <w:bCs/>
              </w:rPr>
              <w:t>"Gadskārtējā valsts budžeta izpildes procesā pārdalāmais finansējums" budžeta programmas 04.00.00 "Latvijas prezidentūras Eiropas Savienības Padomē nodrošināšana 2015.gadā"</w:t>
            </w:r>
            <w:r w:rsidR="00CC336D">
              <w:rPr>
                <w:bCs/>
              </w:rPr>
              <w:t xml:space="preserve"> :</w:t>
            </w:r>
          </w:p>
          <w:p w:rsidR="0060785A" w:rsidRPr="00694D69" w:rsidRDefault="0060785A" w:rsidP="00C50DD9">
            <w:pPr>
              <w:pStyle w:val="naisf"/>
              <w:tabs>
                <w:tab w:val="left" w:pos="4644"/>
              </w:tabs>
              <w:spacing w:before="0" w:after="0"/>
              <w:ind w:firstLine="0"/>
            </w:pPr>
            <w:r w:rsidRPr="00694D69">
              <w:t xml:space="preserve">ilgtermiņa saistībās </w:t>
            </w:r>
            <w:r w:rsidR="00ED6C1F" w:rsidRPr="00694D69">
              <w:t xml:space="preserve">2014.gadam </w:t>
            </w:r>
            <w:r w:rsidRPr="00694D69">
              <w:t xml:space="preserve">paredzēts finansējums </w:t>
            </w:r>
            <w:r w:rsidR="00845887" w:rsidRPr="00694D69">
              <w:t xml:space="preserve">385 064 </w:t>
            </w:r>
            <w:proofErr w:type="spellStart"/>
            <w:r w:rsidRPr="00694D69">
              <w:rPr>
                <w:i/>
              </w:rPr>
              <w:t>euro</w:t>
            </w:r>
            <w:proofErr w:type="spellEnd"/>
            <w:r w:rsidRPr="00694D69">
              <w:t xml:space="preserve"> apmērā, no kuriem </w:t>
            </w:r>
            <w:r w:rsidR="001156AA">
              <w:t>155 293</w:t>
            </w:r>
            <w:r w:rsidRPr="00694D69">
              <w:t xml:space="preserve"> </w:t>
            </w:r>
            <w:proofErr w:type="spellStart"/>
            <w:r w:rsidRPr="00694D69">
              <w:rPr>
                <w:i/>
              </w:rPr>
              <w:t>euro</w:t>
            </w:r>
            <w:proofErr w:type="spellEnd"/>
            <w:r w:rsidRPr="00694D69">
              <w:t xml:space="preserve"> atbilstoši Ministru kabineta rīkojumam tiek sadalīts.</w:t>
            </w:r>
          </w:p>
          <w:p w:rsidR="0060785A" w:rsidRPr="00694D69" w:rsidRDefault="0060785A" w:rsidP="00C50DD9">
            <w:pPr>
              <w:jc w:val="center"/>
              <w:rPr>
                <w:b/>
                <w:bCs/>
                <w:szCs w:val="24"/>
                <w:lang w:val="lv-LV"/>
              </w:rPr>
            </w:pPr>
            <w:r w:rsidRPr="00694D69">
              <w:rPr>
                <w:b/>
                <w:bCs/>
                <w:szCs w:val="24"/>
                <w:lang w:val="lv-LV"/>
              </w:rPr>
              <w:t>Latvijas prezidentūras E</w:t>
            </w:r>
            <w:r w:rsidR="006008A0">
              <w:rPr>
                <w:b/>
                <w:bCs/>
                <w:szCs w:val="24"/>
                <w:lang w:val="lv-LV"/>
              </w:rPr>
              <w:t xml:space="preserve">iropas </w:t>
            </w:r>
            <w:r w:rsidRPr="00694D69">
              <w:rPr>
                <w:b/>
                <w:bCs/>
                <w:szCs w:val="24"/>
                <w:lang w:val="lv-LV"/>
              </w:rPr>
              <w:t>S</w:t>
            </w:r>
            <w:r w:rsidR="006008A0">
              <w:rPr>
                <w:b/>
                <w:bCs/>
                <w:szCs w:val="24"/>
                <w:lang w:val="lv-LV"/>
              </w:rPr>
              <w:t>avienības</w:t>
            </w:r>
            <w:r w:rsidRPr="00694D69">
              <w:rPr>
                <w:b/>
                <w:bCs/>
                <w:szCs w:val="24"/>
                <w:lang w:val="lv-LV"/>
              </w:rPr>
              <w:t xml:space="preserve"> Padomē 2015. gadā (pirmajā pusē) izmaksas pa ministrijām 2014.gadā, </w:t>
            </w:r>
            <w:proofErr w:type="spellStart"/>
            <w:r w:rsidRPr="006008A0">
              <w:rPr>
                <w:b/>
                <w:bCs/>
                <w:i/>
                <w:szCs w:val="24"/>
                <w:lang w:val="lv-LV"/>
              </w:rPr>
              <w:t>euro</w:t>
            </w:r>
            <w:proofErr w:type="spellEnd"/>
          </w:p>
          <w:p w:rsidR="0060785A" w:rsidRPr="00694D69" w:rsidRDefault="0060785A" w:rsidP="00C50DD9">
            <w:pPr>
              <w:rPr>
                <w:szCs w:val="24"/>
                <w:lang w:val="lv-LV"/>
              </w:rPr>
            </w:pPr>
          </w:p>
          <w:tbl>
            <w:tblPr>
              <w:tblW w:w="6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1990"/>
            </w:tblGrid>
            <w:tr w:rsidR="0060785A" w:rsidRPr="00707073" w:rsidTr="004E7A88">
              <w:trPr>
                <w:trHeight w:val="315"/>
              </w:trPr>
              <w:tc>
                <w:tcPr>
                  <w:tcW w:w="4835" w:type="dxa"/>
                  <w:shd w:val="clear" w:color="auto" w:fill="auto"/>
                  <w:noWrap/>
                  <w:vAlign w:val="center"/>
                  <w:hideMark/>
                </w:tcPr>
                <w:p w:rsidR="0060785A" w:rsidRPr="00694D69" w:rsidRDefault="0060785A" w:rsidP="00C50DD9">
                  <w:pPr>
                    <w:jc w:val="center"/>
                    <w:rPr>
                      <w:b/>
                      <w:bCs/>
                      <w:szCs w:val="24"/>
                      <w:lang w:val="lv-LV"/>
                    </w:rPr>
                  </w:pPr>
                  <w:r w:rsidRPr="00694D69">
                    <w:rPr>
                      <w:b/>
                      <w:bCs/>
                      <w:szCs w:val="24"/>
                      <w:lang w:val="lv-LV"/>
                    </w:rPr>
                    <w:t>Iestādes nosaukums</w:t>
                  </w:r>
                </w:p>
              </w:tc>
              <w:tc>
                <w:tcPr>
                  <w:tcW w:w="1990" w:type="dxa"/>
                  <w:shd w:val="clear" w:color="auto" w:fill="auto"/>
                  <w:noWrap/>
                  <w:vAlign w:val="center"/>
                  <w:hideMark/>
                </w:tcPr>
                <w:p w:rsidR="0060785A" w:rsidRPr="00694D69" w:rsidRDefault="0060785A" w:rsidP="00C50DD9">
                  <w:pPr>
                    <w:jc w:val="center"/>
                    <w:rPr>
                      <w:b/>
                      <w:bCs/>
                      <w:szCs w:val="24"/>
                      <w:lang w:val="lv-LV"/>
                    </w:rPr>
                  </w:pPr>
                  <w:r w:rsidRPr="00694D69">
                    <w:rPr>
                      <w:b/>
                      <w:bCs/>
                      <w:szCs w:val="24"/>
                      <w:lang w:val="lv-LV"/>
                    </w:rPr>
                    <w:t>Papildus nepieciešamais finansējums</w:t>
                  </w:r>
                </w:p>
                <w:p w:rsidR="00694D69" w:rsidRPr="00694D69" w:rsidRDefault="00694D69" w:rsidP="00694D69">
                  <w:pPr>
                    <w:jc w:val="right"/>
                    <w:rPr>
                      <w:b/>
                      <w:bCs/>
                      <w:i/>
                      <w:szCs w:val="24"/>
                      <w:lang w:val="lv-LV"/>
                    </w:rPr>
                  </w:pPr>
                  <w:proofErr w:type="spellStart"/>
                  <w:r w:rsidRPr="00694D69">
                    <w:rPr>
                      <w:b/>
                      <w:bCs/>
                      <w:i/>
                      <w:szCs w:val="24"/>
                      <w:lang w:val="lv-LV"/>
                    </w:rPr>
                    <w:t>euro</w:t>
                  </w:r>
                  <w:proofErr w:type="spellEnd"/>
                </w:p>
              </w:tc>
            </w:tr>
            <w:tr w:rsidR="0060785A" w:rsidRPr="00707073" w:rsidTr="004E7A88">
              <w:trPr>
                <w:trHeight w:val="315"/>
              </w:trPr>
              <w:tc>
                <w:tcPr>
                  <w:tcW w:w="4835" w:type="dxa"/>
                  <w:shd w:val="clear" w:color="auto" w:fill="auto"/>
                  <w:noWrap/>
                  <w:vAlign w:val="bottom"/>
                </w:tcPr>
                <w:p w:rsidR="0060785A" w:rsidRPr="00694D69" w:rsidRDefault="00845887" w:rsidP="00C50DD9">
                  <w:pPr>
                    <w:rPr>
                      <w:bCs/>
                      <w:szCs w:val="24"/>
                      <w:lang w:val="lv-LV"/>
                    </w:rPr>
                  </w:pPr>
                  <w:r w:rsidRPr="00694D69">
                    <w:rPr>
                      <w:bCs/>
                      <w:szCs w:val="24"/>
                      <w:lang w:val="lv-LV"/>
                    </w:rPr>
                    <w:t>Aizsardzības</w:t>
                  </w:r>
                  <w:r w:rsidR="0060785A" w:rsidRPr="00694D69">
                    <w:rPr>
                      <w:bCs/>
                      <w:szCs w:val="24"/>
                      <w:lang w:val="lv-LV"/>
                    </w:rPr>
                    <w:t xml:space="preserve"> ministrija </w:t>
                  </w:r>
                </w:p>
              </w:tc>
              <w:tc>
                <w:tcPr>
                  <w:tcW w:w="1990" w:type="dxa"/>
                  <w:shd w:val="clear" w:color="auto" w:fill="auto"/>
                  <w:noWrap/>
                  <w:vAlign w:val="bottom"/>
                </w:tcPr>
                <w:p w:rsidR="0060785A" w:rsidRPr="00694D69" w:rsidRDefault="00E10697" w:rsidP="00C50DD9">
                  <w:pPr>
                    <w:jc w:val="right"/>
                    <w:rPr>
                      <w:bCs/>
                      <w:szCs w:val="24"/>
                      <w:lang w:val="lv-LV"/>
                    </w:rPr>
                  </w:pPr>
                  <w:r w:rsidRPr="00694D69">
                    <w:rPr>
                      <w:bCs/>
                      <w:szCs w:val="24"/>
                      <w:lang w:val="lv-LV"/>
                    </w:rPr>
                    <w:t>37 349</w:t>
                  </w:r>
                </w:p>
              </w:tc>
            </w:tr>
            <w:tr w:rsidR="0060785A" w:rsidRPr="00707073" w:rsidTr="004E7A88">
              <w:trPr>
                <w:trHeight w:val="315"/>
              </w:trPr>
              <w:tc>
                <w:tcPr>
                  <w:tcW w:w="4835" w:type="dxa"/>
                  <w:shd w:val="clear" w:color="auto" w:fill="auto"/>
                  <w:noWrap/>
                  <w:vAlign w:val="bottom"/>
                </w:tcPr>
                <w:p w:rsidR="0060785A" w:rsidRPr="00694D69" w:rsidRDefault="00E10697" w:rsidP="00C50DD9">
                  <w:pPr>
                    <w:rPr>
                      <w:bCs/>
                      <w:szCs w:val="24"/>
                      <w:lang w:val="lv-LV"/>
                    </w:rPr>
                  </w:pPr>
                  <w:r w:rsidRPr="00694D69">
                    <w:rPr>
                      <w:bCs/>
                      <w:szCs w:val="24"/>
                      <w:lang w:val="lv-LV"/>
                    </w:rPr>
                    <w:t>Ārlietu ministrija</w:t>
                  </w:r>
                </w:p>
              </w:tc>
              <w:tc>
                <w:tcPr>
                  <w:tcW w:w="1990" w:type="dxa"/>
                  <w:shd w:val="clear" w:color="auto" w:fill="auto"/>
                  <w:noWrap/>
                  <w:vAlign w:val="bottom"/>
                </w:tcPr>
                <w:p w:rsidR="0060785A" w:rsidRPr="00694D69" w:rsidRDefault="00E10697" w:rsidP="00C50DD9">
                  <w:pPr>
                    <w:jc w:val="right"/>
                    <w:rPr>
                      <w:bCs/>
                      <w:szCs w:val="24"/>
                      <w:lang w:val="lv-LV"/>
                    </w:rPr>
                  </w:pPr>
                  <w:r w:rsidRPr="00694D69">
                    <w:rPr>
                      <w:bCs/>
                      <w:szCs w:val="24"/>
                      <w:lang w:val="lv-LV"/>
                    </w:rPr>
                    <w:t>85 526</w:t>
                  </w:r>
                </w:p>
              </w:tc>
            </w:tr>
            <w:tr w:rsidR="0060785A" w:rsidRPr="00707073" w:rsidTr="004E7A88">
              <w:trPr>
                <w:trHeight w:val="315"/>
              </w:trPr>
              <w:tc>
                <w:tcPr>
                  <w:tcW w:w="4835" w:type="dxa"/>
                  <w:shd w:val="clear" w:color="auto" w:fill="auto"/>
                  <w:noWrap/>
                  <w:vAlign w:val="bottom"/>
                </w:tcPr>
                <w:p w:rsidR="0060785A" w:rsidRPr="00694D69" w:rsidRDefault="00E10697" w:rsidP="00C50DD9">
                  <w:pPr>
                    <w:rPr>
                      <w:bCs/>
                      <w:szCs w:val="24"/>
                      <w:lang w:val="lv-LV"/>
                    </w:rPr>
                  </w:pPr>
                  <w:r w:rsidRPr="00694D69">
                    <w:rPr>
                      <w:bCs/>
                      <w:szCs w:val="24"/>
                      <w:lang w:val="lv-LV"/>
                    </w:rPr>
                    <w:t>Izglītības un zinātnes ministrija</w:t>
                  </w:r>
                </w:p>
              </w:tc>
              <w:tc>
                <w:tcPr>
                  <w:tcW w:w="1990" w:type="dxa"/>
                  <w:shd w:val="clear" w:color="auto" w:fill="auto"/>
                  <w:noWrap/>
                  <w:vAlign w:val="bottom"/>
                </w:tcPr>
                <w:p w:rsidR="0060785A" w:rsidRPr="00694D69" w:rsidRDefault="00AB3BDD" w:rsidP="00C50DD9">
                  <w:pPr>
                    <w:jc w:val="right"/>
                    <w:rPr>
                      <w:bCs/>
                      <w:szCs w:val="24"/>
                      <w:lang w:val="lv-LV"/>
                    </w:rPr>
                  </w:pPr>
                  <w:r>
                    <w:rPr>
                      <w:bCs/>
                      <w:szCs w:val="24"/>
                      <w:lang w:val="lv-LV"/>
                    </w:rPr>
                    <w:t>17 778</w:t>
                  </w:r>
                </w:p>
              </w:tc>
            </w:tr>
            <w:tr w:rsidR="0060785A" w:rsidRPr="00707073" w:rsidTr="004E7A88">
              <w:trPr>
                <w:trHeight w:val="315"/>
              </w:trPr>
              <w:tc>
                <w:tcPr>
                  <w:tcW w:w="4835" w:type="dxa"/>
                  <w:shd w:val="clear" w:color="auto" w:fill="auto"/>
                  <w:noWrap/>
                  <w:vAlign w:val="bottom"/>
                </w:tcPr>
                <w:p w:rsidR="0060785A" w:rsidRPr="00694D69" w:rsidRDefault="00E10697" w:rsidP="00E10697">
                  <w:pPr>
                    <w:pStyle w:val="naisf"/>
                    <w:tabs>
                      <w:tab w:val="left" w:pos="4644"/>
                    </w:tabs>
                    <w:spacing w:before="0" w:after="0"/>
                    <w:ind w:firstLine="0"/>
                    <w:rPr>
                      <w:b/>
                      <w:bCs/>
                    </w:rPr>
                  </w:pPr>
                  <w:r w:rsidRPr="00694D69">
                    <w:t>Labklājības ministrija</w:t>
                  </w:r>
                </w:p>
              </w:tc>
              <w:tc>
                <w:tcPr>
                  <w:tcW w:w="1990" w:type="dxa"/>
                  <w:shd w:val="clear" w:color="auto" w:fill="auto"/>
                  <w:noWrap/>
                  <w:vAlign w:val="bottom"/>
                </w:tcPr>
                <w:p w:rsidR="0060785A" w:rsidRPr="00694D69" w:rsidRDefault="00126637" w:rsidP="00E10697">
                  <w:pPr>
                    <w:jc w:val="right"/>
                    <w:rPr>
                      <w:bCs/>
                      <w:szCs w:val="24"/>
                      <w:lang w:val="lv-LV"/>
                    </w:rPr>
                  </w:pPr>
                  <w:r>
                    <w:rPr>
                      <w:bCs/>
                      <w:szCs w:val="24"/>
                      <w:lang w:val="lv-LV"/>
                    </w:rPr>
                    <w:t>3 838</w:t>
                  </w:r>
                </w:p>
              </w:tc>
            </w:tr>
            <w:tr w:rsidR="003D615C" w:rsidRPr="00707073" w:rsidTr="004E7A88">
              <w:trPr>
                <w:trHeight w:val="315"/>
              </w:trPr>
              <w:tc>
                <w:tcPr>
                  <w:tcW w:w="4835" w:type="dxa"/>
                  <w:shd w:val="clear" w:color="auto" w:fill="auto"/>
                  <w:noWrap/>
                  <w:vAlign w:val="bottom"/>
                </w:tcPr>
                <w:p w:rsidR="003D615C" w:rsidRPr="00694D69" w:rsidRDefault="003D615C" w:rsidP="00C50DD9">
                  <w:pPr>
                    <w:pStyle w:val="naisf"/>
                    <w:tabs>
                      <w:tab w:val="left" w:pos="4644"/>
                    </w:tabs>
                    <w:spacing w:before="0" w:after="0"/>
                    <w:ind w:firstLine="0"/>
                    <w:rPr>
                      <w:b/>
                    </w:rPr>
                  </w:pPr>
                  <w:r w:rsidRPr="001156AA">
                    <w:t>Vides aizsardzības un reģionālās attīstības ministrija</w:t>
                  </w:r>
                </w:p>
              </w:tc>
              <w:tc>
                <w:tcPr>
                  <w:tcW w:w="1990" w:type="dxa"/>
                  <w:shd w:val="clear" w:color="auto" w:fill="auto"/>
                  <w:noWrap/>
                  <w:vAlign w:val="bottom"/>
                </w:tcPr>
                <w:p w:rsidR="003D615C" w:rsidRPr="001156AA" w:rsidRDefault="003D615C" w:rsidP="00126637">
                  <w:pPr>
                    <w:jc w:val="right"/>
                    <w:rPr>
                      <w:bCs/>
                      <w:szCs w:val="24"/>
                      <w:lang w:val="lv-LV"/>
                    </w:rPr>
                  </w:pPr>
                  <w:r w:rsidRPr="001156AA">
                    <w:rPr>
                      <w:bCs/>
                      <w:szCs w:val="24"/>
                      <w:lang w:val="lv-LV"/>
                    </w:rPr>
                    <w:t>10 802</w:t>
                  </w:r>
                </w:p>
              </w:tc>
            </w:tr>
            <w:tr w:rsidR="004E7A88" w:rsidRPr="00707073" w:rsidTr="004E7A88">
              <w:trPr>
                <w:trHeight w:val="315"/>
              </w:trPr>
              <w:tc>
                <w:tcPr>
                  <w:tcW w:w="4835" w:type="dxa"/>
                  <w:shd w:val="clear" w:color="auto" w:fill="auto"/>
                  <w:noWrap/>
                  <w:vAlign w:val="bottom"/>
                </w:tcPr>
                <w:p w:rsidR="004E7A88" w:rsidRPr="00694D69" w:rsidRDefault="004E7A88" w:rsidP="00C50DD9">
                  <w:pPr>
                    <w:pStyle w:val="naisf"/>
                    <w:tabs>
                      <w:tab w:val="left" w:pos="4644"/>
                    </w:tabs>
                    <w:spacing w:before="0" w:after="0"/>
                    <w:ind w:firstLine="0"/>
                  </w:pPr>
                  <w:r w:rsidRPr="00694D69">
                    <w:rPr>
                      <w:b/>
                    </w:rPr>
                    <w:t>Kopā</w:t>
                  </w:r>
                </w:p>
              </w:tc>
              <w:tc>
                <w:tcPr>
                  <w:tcW w:w="1990" w:type="dxa"/>
                  <w:shd w:val="clear" w:color="auto" w:fill="auto"/>
                  <w:noWrap/>
                  <w:vAlign w:val="bottom"/>
                </w:tcPr>
                <w:p w:rsidR="004E7A88" w:rsidRPr="00694D69" w:rsidRDefault="001156AA" w:rsidP="00126637">
                  <w:pPr>
                    <w:jc w:val="right"/>
                    <w:rPr>
                      <w:bCs/>
                      <w:szCs w:val="24"/>
                      <w:lang w:val="lv-LV"/>
                    </w:rPr>
                  </w:pPr>
                  <w:r>
                    <w:rPr>
                      <w:b/>
                      <w:bCs/>
                      <w:szCs w:val="24"/>
                      <w:lang w:val="lv-LV"/>
                    </w:rPr>
                    <w:t>155 293</w:t>
                  </w:r>
                </w:p>
              </w:tc>
            </w:tr>
          </w:tbl>
          <w:p w:rsidR="0060785A" w:rsidRDefault="0060785A" w:rsidP="00C50DD9">
            <w:pPr>
              <w:pStyle w:val="naisf"/>
              <w:tabs>
                <w:tab w:val="left" w:pos="4644"/>
              </w:tabs>
              <w:spacing w:before="0" w:after="0"/>
              <w:ind w:firstLine="0"/>
              <w:rPr>
                <w:i/>
              </w:rPr>
            </w:pPr>
          </w:p>
          <w:p w:rsidR="00CA4815" w:rsidRPr="00694D69" w:rsidRDefault="00CA4815" w:rsidP="00CA4815">
            <w:pPr>
              <w:pStyle w:val="naisf"/>
              <w:tabs>
                <w:tab w:val="left" w:pos="4644"/>
              </w:tabs>
              <w:spacing w:before="0" w:after="0"/>
              <w:ind w:firstLine="0"/>
            </w:pPr>
            <w:r w:rsidRPr="00694D69">
              <w:t>ilgtermiņa saistībās 201</w:t>
            </w:r>
            <w:r>
              <w:t>5</w:t>
            </w:r>
            <w:r w:rsidRPr="00694D69">
              <w:t xml:space="preserve">.gadam paredzēts finansējums </w:t>
            </w:r>
            <w:r w:rsidR="00CC336D">
              <w:t xml:space="preserve">42 272 787 </w:t>
            </w:r>
            <w:r w:rsidRPr="00694D69">
              <w:t xml:space="preserve"> </w:t>
            </w:r>
            <w:proofErr w:type="spellStart"/>
            <w:r w:rsidRPr="00694D69">
              <w:rPr>
                <w:i/>
              </w:rPr>
              <w:t>euro</w:t>
            </w:r>
            <w:proofErr w:type="spellEnd"/>
            <w:r w:rsidRPr="00694D69">
              <w:t xml:space="preserve"> apmērā, no kuriem </w:t>
            </w:r>
            <w:r w:rsidR="001156AA">
              <w:t>56 468</w:t>
            </w:r>
            <w:r w:rsidRPr="00694D69">
              <w:t xml:space="preserve"> </w:t>
            </w:r>
            <w:proofErr w:type="spellStart"/>
            <w:r w:rsidRPr="00694D69">
              <w:rPr>
                <w:i/>
              </w:rPr>
              <w:t>euro</w:t>
            </w:r>
            <w:proofErr w:type="spellEnd"/>
            <w:r w:rsidRPr="00694D69">
              <w:t xml:space="preserve"> atbilstoši Ministru kabineta rīkojumam tiek sadalīts.</w:t>
            </w:r>
          </w:p>
          <w:p w:rsidR="00CA4815" w:rsidRPr="00694D69" w:rsidRDefault="00CA4815" w:rsidP="00CA4815">
            <w:pPr>
              <w:jc w:val="center"/>
              <w:rPr>
                <w:b/>
                <w:bCs/>
                <w:szCs w:val="24"/>
                <w:lang w:val="lv-LV"/>
              </w:rPr>
            </w:pPr>
            <w:r w:rsidRPr="00694D69">
              <w:rPr>
                <w:b/>
                <w:bCs/>
                <w:szCs w:val="24"/>
                <w:lang w:val="lv-LV"/>
              </w:rPr>
              <w:t>Latvijas prezidentūras E</w:t>
            </w:r>
            <w:r>
              <w:rPr>
                <w:b/>
                <w:bCs/>
                <w:szCs w:val="24"/>
                <w:lang w:val="lv-LV"/>
              </w:rPr>
              <w:t xml:space="preserve">iropas </w:t>
            </w:r>
            <w:r w:rsidRPr="00694D69">
              <w:rPr>
                <w:b/>
                <w:bCs/>
                <w:szCs w:val="24"/>
                <w:lang w:val="lv-LV"/>
              </w:rPr>
              <w:t>S</w:t>
            </w:r>
            <w:r>
              <w:rPr>
                <w:b/>
                <w:bCs/>
                <w:szCs w:val="24"/>
                <w:lang w:val="lv-LV"/>
              </w:rPr>
              <w:t>avienības</w:t>
            </w:r>
            <w:r w:rsidRPr="00694D69">
              <w:rPr>
                <w:b/>
                <w:bCs/>
                <w:szCs w:val="24"/>
                <w:lang w:val="lv-LV"/>
              </w:rPr>
              <w:t xml:space="preserve"> Padomē 2015. gadā (pirmajā pusē) izmaksas pa ministrijām 201</w:t>
            </w:r>
            <w:r w:rsidR="00512D8E">
              <w:rPr>
                <w:b/>
                <w:bCs/>
                <w:szCs w:val="24"/>
                <w:lang w:val="lv-LV"/>
              </w:rPr>
              <w:t>5</w:t>
            </w:r>
            <w:r w:rsidRPr="00694D69">
              <w:rPr>
                <w:b/>
                <w:bCs/>
                <w:szCs w:val="24"/>
                <w:lang w:val="lv-LV"/>
              </w:rPr>
              <w:t xml:space="preserve">.gadā, </w:t>
            </w:r>
            <w:proofErr w:type="spellStart"/>
            <w:r w:rsidRPr="006008A0">
              <w:rPr>
                <w:b/>
                <w:bCs/>
                <w:i/>
                <w:szCs w:val="24"/>
                <w:lang w:val="lv-LV"/>
              </w:rPr>
              <w:t>euro</w:t>
            </w:r>
            <w:proofErr w:type="spellEnd"/>
          </w:p>
          <w:p w:rsidR="00CA4815" w:rsidRPr="00694D69" w:rsidRDefault="00CA4815" w:rsidP="00CA4815">
            <w:pPr>
              <w:rPr>
                <w:szCs w:val="24"/>
                <w:lang w:val="lv-LV"/>
              </w:rPr>
            </w:pPr>
          </w:p>
          <w:tbl>
            <w:tblPr>
              <w:tblW w:w="6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1990"/>
            </w:tblGrid>
            <w:tr w:rsidR="00CA4815" w:rsidRPr="00694D69" w:rsidTr="00EB71C8">
              <w:trPr>
                <w:trHeight w:val="315"/>
              </w:trPr>
              <w:tc>
                <w:tcPr>
                  <w:tcW w:w="4835" w:type="dxa"/>
                  <w:shd w:val="clear" w:color="auto" w:fill="auto"/>
                  <w:noWrap/>
                  <w:vAlign w:val="center"/>
                  <w:hideMark/>
                </w:tcPr>
                <w:p w:rsidR="00CA4815" w:rsidRPr="00694D69" w:rsidRDefault="00CA4815" w:rsidP="00EB71C8">
                  <w:pPr>
                    <w:jc w:val="center"/>
                    <w:rPr>
                      <w:b/>
                      <w:bCs/>
                      <w:szCs w:val="24"/>
                      <w:lang w:val="lv-LV"/>
                    </w:rPr>
                  </w:pPr>
                  <w:r w:rsidRPr="00694D69">
                    <w:rPr>
                      <w:b/>
                      <w:bCs/>
                      <w:szCs w:val="24"/>
                      <w:lang w:val="lv-LV"/>
                    </w:rPr>
                    <w:lastRenderedPageBreak/>
                    <w:t>Iestādes nosaukums</w:t>
                  </w:r>
                </w:p>
              </w:tc>
              <w:tc>
                <w:tcPr>
                  <w:tcW w:w="1990" w:type="dxa"/>
                  <w:shd w:val="clear" w:color="auto" w:fill="auto"/>
                  <w:noWrap/>
                  <w:vAlign w:val="center"/>
                  <w:hideMark/>
                </w:tcPr>
                <w:p w:rsidR="00CA4815" w:rsidRPr="00694D69" w:rsidRDefault="00CA4815" w:rsidP="00EB71C8">
                  <w:pPr>
                    <w:jc w:val="center"/>
                    <w:rPr>
                      <w:b/>
                      <w:bCs/>
                      <w:szCs w:val="24"/>
                      <w:lang w:val="lv-LV"/>
                    </w:rPr>
                  </w:pPr>
                  <w:r w:rsidRPr="00694D69">
                    <w:rPr>
                      <w:b/>
                      <w:bCs/>
                      <w:szCs w:val="24"/>
                      <w:lang w:val="lv-LV"/>
                    </w:rPr>
                    <w:t>Papildus nepieciešamais finansējums</w:t>
                  </w:r>
                </w:p>
                <w:p w:rsidR="00CA4815" w:rsidRPr="00694D69" w:rsidRDefault="00CA4815" w:rsidP="00EB71C8">
                  <w:pPr>
                    <w:jc w:val="right"/>
                    <w:rPr>
                      <w:b/>
                      <w:bCs/>
                      <w:i/>
                      <w:szCs w:val="24"/>
                      <w:lang w:val="lv-LV"/>
                    </w:rPr>
                  </w:pPr>
                  <w:proofErr w:type="spellStart"/>
                  <w:r w:rsidRPr="00694D69">
                    <w:rPr>
                      <w:b/>
                      <w:bCs/>
                      <w:i/>
                      <w:szCs w:val="24"/>
                      <w:lang w:val="lv-LV"/>
                    </w:rPr>
                    <w:t>euro</w:t>
                  </w:r>
                  <w:proofErr w:type="spellEnd"/>
                </w:p>
              </w:tc>
            </w:tr>
            <w:tr w:rsidR="00CA4815" w:rsidRPr="00694D69" w:rsidTr="00EB71C8">
              <w:trPr>
                <w:trHeight w:val="315"/>
              </w:trPr>
              <w:tc>
                <w:tcPr>
                  <w:tcW w:w="4835" w:type="dxa"/>
                  <w:shd w:val="clear" w:color="auto" w:fill="auto"/>
                  <w:noWrap/>
                  <w:vAlign w:val="bottom"/>
                </w:tcPr>
                <w:p w:rsidR="00CA4815" w:rsidRPr="00694D69" w:rsidRDefault="00CA4815" w:rsidP="00EB71C8">
                  <w:pPr>
                    <w:rPr>
                      <w:bCs/>
                      <w:szCs w:val="24"/>
                      <w:lang w:val="lv-LV"/>
                    </w:rPr>
                  </w:pPr>
                  <w:r w:rsidRPr="00694D69">
                    <w:rPr>
                      <w:bCs/>
                      <w:szCs w:val="24"/>
                      <w:lang w:val="lv-LV"/>
                    </w:rPr>
                    <w:t xml:space="preserve">Aizsardzības ministrija </w:t>
                  </w:r>
                </w:p>
              </w:tc>
              <w:tc>
                <w:tcPr>
                  <w:tcW w:w="1990" w:type="dxa"/>
                  <w:shd w:val="clear" w:color="auto" w:fill="auto"/>
                  <w:noWrap/>
                  <w:vAlign w:val="bottom"/>
                </w:tcPr>
                <w:p w:rsidR="00CA4815" w:rsidRPr="00694D69" w:rsidRDefault="00512D8E" w:rsidP="00EB71C8">
                  <w:pPr>
                    <w:jc w:val="right"/>
                    <w:rPr>
                      <w:bCs/>
                      <w:szCs w:val="24"/>
                      <w:lang w:val="lv-LV"/>
                    </w:rPr>
                  </w:pPr>
                  <w:r>
                    <w:rPr>
                      <w:bCs/>
                      <w:szCs w:val="24"/>
                      <w:lang w:val="lv-LV"/>
                    </w:rPr>
                    <w:t>14 010</w:t>
                  </w:r>
                </w:p>
              </w:tc>
            </w:tr>
            <w:tr w:rsidR="00CA4815" w:rsidRPr="00694D69" w:rsidTr="00EB71C8">
              <w:trPr>
                <w:trHeight w:val="315"/>
              </w:trPr>
              <w:tc>
                <w:tcPr>
                  <w:tcW w:w="4835" w:type="dxa"/>
                  <w:shd w:val="clear" w:color="auto" w:fill="auto"/>
                  <w:noWrap/>
                  <w:vAlign w:val="bottom"/>
                </w:tcPr>
                <w:p w:rsidR="00CA4815" w:rsidRPr="00694D69" w:rsidRDefault="00CA4815" w:rsidP="00EB71C8">
                  <w:pPr>
                    <w:rPr>
                      <w:bCs/>
                      <w:szCs w:val="24"/>
                      <w:lang w:val="lv-LV"/>
                    </w:rPr>
                  </w:pPr>
                  <w:r w:rsidRPr="00694D69">
                    <w:rPr>
                      <w:bCs/>
                      <w:szCs w:val="24"/>
                      <w:lang w:val="lv-LV"/>
                    </w:rPr>
                    <w:t>Izglītības un zinātnes ministrija</w:t>
                  </w:r>
                </w:p>
              </w:tc>
              <w:tc>
                <w:tcPr>
                  <w:tcW w:w="1990" w:type="dxa"/>
                  <w:shd w:val="clear" w:color="auto" w:fill="auto"/>
                  <w:noWrap/>
                  <w:vAlign w:val="bottom"/>
                </w:tcPr>
                <w:p w:rsidR="00CA4815" w:rsidRPr="00694D69" w:rsidRDefault="00512D8E" w:rsidP="00EB71C8">
                  <w:pPr>
                    <w:jc w:val="right"/>
                    <w:rPr>
                      <w:bCs/>
                      <w:szCs w:val="24"/>
                      <w:lang w:val="lv-LV"/>
                    </w:rPr>
                  </w:pPr>
                  <w:r>
                    <w:rPr>
                      <w:bCs/>
                      <w:szCs w:val="24"/>
                      <w:lang w:val="lv-LV"/>
                    </w:rPr>
                    <w:t>28 305</w:t>
                  </w:r>
                </w:p>
              </w:tc>
            </w:tr>
            <w:tr w:rsidR="001156AA" w:rsidRPr="00694D69" w:rsidTr="00EB71C8">
              <w:trPr>
                <w:trHeight w:val="315"/>
              </w:trPr>
              <w:tc>
                <w:tcPr>
                  <w:tcW w:w="4835" w:type="dxa"/>
                  <w:shd w:val="clear" w:color="auto" w:fill="auto"/>
                  <w:noWrap/>
                  <w:vAlign w:val="bottom"/>
                </w:tcPr>
                <w:p w:rsidR="001156AA" w:rsidRPr="00694D69" w:rsidRDefault="001156AA" w:rsidP="00EB71C8">
                  <w:pPr>
                    <w:pStyle w:val="naisf"/>
                    <w:tabs>
                      <w:tab w:val="left" w:pos="4644"/>
                    </w:tabs>
                    <w:spacing w:before="0" w:after="0"/>
                    <w:ind w:firstLine="0"/>
                    <w:rPr>
                      <w:b/>
                    </w:rPr>
                  </w:pPr>
                  <w:r w:rsidRPr="001156AA">
                    <w:t>Vides aizsardzības un reģionālās attīstības ministrija</w:t>
                  </w:r>
                </w:p>
              </w:tc>
              <w:tc>
                <w:tcPr>
                  <w:tcW w:w="1990" w:type="dxa"/>
                  <w:shd w:val="clear" w:color="auto" w:fill="auto"/>
                  <w:noWrap/>
                  <w:vAlign w:val="bottom"/>
                </w:tcPr>
                <w:p w:rsidR="001156AA" w:rsidRPr="001156AA" w:rsidRDefault="001156AA" w:rsidP="00EB71C8">
                  <w:pPr>
                    <w:jc w:val="right"/>
                    <w:rPr>
                      <w:bCs/>
                      <w:szCs w:val="24"/>
                      <w:lang w:val="lv-LV"/>
                    </w:rPr>
                  </w:pPr>
                  <w:r w:rsidRPr="001156AA">
                    <w:rPr>
                      <w:bCs/>
                      <w:szCs w:val="24"/>
                      <w:lang w:val="lv-LV"/>
                    </w:rPr>
                    <w:t>14</w:t>
                  </w:r>
                  <w:r>
                    <w:rPr>
                      <w:bCs/>
                      <w:szCs w:val="24"/>
                      <w:lang w:val="lv-LV"/>
                    </w:rPr>
                    <w:t xml:space="preserve"> </w:t>
                  </w:r>
                  <w:r w:rsidRPr="001156AA">
                    <w:rPr>
                      <w:bCs/>
                      <w:szCs w:val="24"/>
                      <w:lang w:val="lv-LV"/>
                    </w:rPr>
                    <w:t>153</w:t>
                  </w:r>
                </w:p>
              </w:tc>
            </w:tr>
            <w:tr w:rsidR="00CA4815" w:rsidRPr="00694D69" w:rsidTr="00EB71C8">
              <w:trPr>
                <w:trHeight w:val="315"/>
              </w:trPr>
              <w:tc>
                <w:tcPr>
                  <w:tcW w:w="4835" w:type="dxa"/>
                  <w:shd w:val="clear" w:color="auto" w:fill="auto"/>
                  <w:noWrap/>
                  <w:vAlign w:val="bottom"/>
                </w:tcPr>
                <w:p w:rsidR="00CA4815" w:rsidRPr="00694D69" w:rsidRDefault="00CA4815" w:rsidP="00EB71C8">
                  <w:pPr>
                    <w:pStyle w:val="naisf"/>
                    <w:tabs>
                      <w:tab w:val="left" w:pos="4644"/>
                    </w:tabs>
                    <w:spacing w:before="0" w:after="0"/>
                    <w:ind w:firstLine="0"/>
                  </w:pPr>
                  <w:r w:rsidRPr="00694D69">
                    <w:rPr>
                      <w:b/>
                    </w:rPr>
                    <w:t>Kopā</w:t>
                  </w:r>
                </w:p>
              </w:tc>
              <w:tc>
                <w:tcPr>
                  <w:tcW w:w="1990" w:type="dxa"/>
                  <w:shd w:val="clear" w:color="auto" w:fill="auto"/>
                  <w:noWrap/>
                  <w:vAlign w:val="bottom"/>
                </w:tcPr>
                <w:p w:rsidR="00CA4815" w:rsidRPr="00694D69" w:rsidRDefault="001156AA" w:rsidP="00EB71C8">
                  <w:pPr>
                    <w:jc w:val="right"/>
                    <w:rPr>
                      <w:bCs/>
                      <w:szCs w:val="24"/>
                      <w:lang w:val="lv-LV"/>
                    </w:rPr>
                  </w:pPr>
                  <w:r>
                    <w:rPr>
                      <w:b/>
                      <w:bCs/>
                      <w:szCs w:val="24"/>
                      <w:lang w:val="lv-LV"/>
                    </w:rPr>
                    <w:t>56 468</w:t>
                  </w:r>
                </w:p>
              </w:tc>
            </w:tr>
          </w:tbl>
          <w:p w:rsidR="00CA4815" w:rsidRPr="00694D69" w:rsidRDefault="00CA4815" w:rsidP="00C50DD9">
            <w:pPr>
              <w:pStyle w:val="naisf"/>
              <w:tabs>
                <w:tab w:val="left" w:pos="4644"/>
              </w:tabs>
              <w:spacing w:before="0" w:after="0"/>
              <w:ind w:firstLine="0"/>
              <w:rPr>
                <w:i/>
              </w:rPr>
            </w:pPr>
          </w:p>
        </w:tc>
      </w:tr>
    </w:tbl>
    <w:p w:rsidR="0060785A" w:rsidRPr="00694D69" w:rsidRDefault="0060785A" w:rsidP="0060785A">
      <w:pPr>
        <w:pStyle w:val="naisf"/>
        <w:spacing w:before="0" w:after="0"/>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34"/>
        <w:gridCol w:w="4596"/>
      </w:tblGrid>
      <w:tr w:rsidR="0060785A" w:rsidRPr="00707073" w:rsidTr="00500D61">
        <w:tc>
          <w:tcPr>
            <w:tcW w:w="9356" w:type="dxa"/>
            <w:gridSpan w:val="3"/>
            <w:tcBorders>
              <w:top w:val="single" w:sz="4" w:space="0" w:color="auto"/>
            </w:tcBorders>
          </w:tcPr>
          <w:p w:rsidR="0060785A" w:rsidRPr="00694D69" w:rsidRDefault="0060785A" w:rsidP="00C50DD9">
            <w:pPr>
              <w:pStyle w:val="naisnod"/>
              <w:spacing w:before="0" w:after="0"/>
              <w:ind w:left="57" w:right="57"/>
            </w:pPr>
            <w:r w:rsidRPr="00694D69">
              <w:t>VII. Tiesību akta projekta izpildes nodrošināšana un tās ietekme uz institūcijām</w:t>
            </w:r>
          </w:p>
        </w:tc>
      </w:tr>
      <w:tr w:rsidR="0060785A" w:rsidRPr="00707073" w:rsidTr="00500D61">
        <w:trPr>
          <w:trHeight w:val="247"/>
        </w:trPr>
        <w:tc>
          <w:tcPr>
            <w:tcW w:w="426" w:type="dxa"/>
          </w:tcPr>
          <w:p w:rsidR="0060785A" w:rsidRPr="00694D69" w:rsidRDefault="0060785A" w:rsidP="00C50DD9">
            <w:pPr>
              <w:pStyle w:val="naisnod"/>
              <w:spacing w:before="0" w:after="0"/>
              <w:ind w:left="57" w:right="57"/>
              <w:jc w:val="left"/>
              <w:rPr>
                <w:b w:val="0"/>
              </w:rPr>
            </w:pPr>
            <w:r w:rsidRPr="00694D69">
              <w:rPr>
                <w:b w:val="0"/>
              </w:rPr>
              <w:t>1.</w:t>
            </w:r>
          </w:p>
        </w:tc>
        <w:tc>
          <w:tcPr>
            <w:tcW w:w="4334" w:type="dxa"/>
          </w:tcPr>
          <w:p w:rsidR="0060785A" w:rsidRPr="00694D69" w:rsidRDefault="0060785A" w:rsidP="00C50DD9">
            <w:pPr>
              <w:pStyle w:val="naisf"/>
              <w:spacing w:before="0" w:after="0"/>
              <w:ind w:left="57" w:right="57" w:firstLine="0"/>
              <w:jc w:val="left"/>
            </w:pPr>
            <w:r w:rsidRPr="00694D69">
              <w:t xml:space="preserve">Projekta izpildē iesaistītās institūcijas </w:t>
            </w:r>
          </w:p>
          <w:p w:rsidR="0060785A" w:rsidRPr="00694D69" w:rsidRDefault="0060785A" w:rsidP="00C50DD9">
            <w:pPr>
              <w:pStyle w:val="naisf"/>
              <w:spacing w:before="0" w:after="0"/>
              <w:ind w:left="57" w:right="57" w:firstLine="0"/>
              <w:jc w:val="left"/>
            </w:pPr>
          </w:p>
        </w:tc>
        <w:tc>
          <w:tcPr>
            <w:tcW w:w="4596" w:type="dxa"/>
          </w:tcPr>
          <w:p w:rsidR="0060785A" w:rsidRPr="00694D69" w:rsidRDefault="001548BD" w:rsidP="001548BD">
            <w:pPr>
              <w:pStyle w:val="naisnod"/>
              <w:spacing w:before="0" w:after="0"/>
              <w:ind w:left="57" w:right="57"/>
              <w:jc w:val="both"/>
              <w:rPr>
                <w:b w:val="0"/>
              </w:rPr>
            </w:pPr>
            <w:r>
              <w:rPr>
                <w:b w:val="0"/>
              </w:rPr>
              <w:t xml:space="preserve">Aizsardzības ministrija, </w:t>
            </w:r>
            <w:r w:rsidR="0060785A" w:rsidRPr="00694D69">
              <w:rPr>
                <w:b w:val="0"/>
              </w:rPr>
              <w:t xml:space="preserve">Ārlietu ministrija (Latvijas prezidentūras Eiropas Savienības Padomē sekretariāts), Finanšu ministrija, </w:t>
            </w:r>
            <w:r>
              <w:rPr>
                <w:b w:val="0"/>
              </w:rPr>
              <w:t xml:space="preserve">Izglītības un zinātnes ministrija, Labklājības ministrija, Ekonomikas ministrija, </w:t>
            </w:r>
            <w:r w:rsidRPr="001548BD">
              <w:rPr>
                <w:b w:val="0"/>
              </w:rPr>
              <w:t>Vides</w:t>
            </w:r>
            <w:r w:rsidR="00924E3C">
              <w:rPr>
                <w:b w:val="0"/>
              </w:rPr>
              <w:t xml:space="preserve"> aizsardzības</w:t>
            </w:r>
            <w:r w:rsidRPr="001548BD">
              <w:rPr>
                <w:b w:val="0"/>
              </w:rPr>
              <w:t xml:space="preserve"> un reģionālās attīstības ministrija, Zemkopības ministrija</w:t>
            </w:r>
            <w:r w:rsidR="00EF54E3">
              <w:rPr>
                <w:b w:val="0"/>
              </w:rPr>
              <w:t>.</w:t>
            </w:r>
          </w:p>
        </w:tc>
      </w:tr>
      <w:tr w:rsidR="0060785A" w:rsidRPr="00DE1701" w:rsidTr="00500D61">
        <w:trPr>
          <w:trHeight w:val="463"/>
        </w:trPr>
        <w:tc>
          <w:tcPr>
            <w:tcW w:w="426" w:type="dxa"/>
          </w:tcPr>
          <w:p w:rsidR="0060785A" w:rsidRPr="00694D69" w:rsidRDefault="0060785A" w:rsidP="00C50DD9">
            <w:pPr>
              <w:pStyle w:val="naisnod"/>
              <w:spacing w:before="0" w:after="0"/>
              <w:ind w:left="57" w:right="57"/>
              <w:jc w:val="left"/>
              <w:rPr>
                <w:b w:val="0"/>
              </w:rPr>
            </w:pPr>
            <w:r w:rsidRPr="00694D69">
              <w:rPr>
                <w:b w:val="0"/>
              </w:rPr>
              <w:t>2.</w:t>
            </w:r>
          </w:p>
        </w:tc>
        <w:tc>
          <w:tcPr>
            <w:tcW w:w="4334" w:type="dxa"/>
          </w:tcPr>
          <w:p w:rsidR="0060785A" w:rsidRPr="00694D69" w:rsidRDefault="0060785A" w:rsidP="00C50DD9">
            <w:pPr>
              <w:pStyle w:val="naisf"/>
              <w:ind w:left="57" w:right="57" w:firstLine="0"/>
            </w:pPr>
            <w:r w:rsidRPr="00694D69">
              <w:t>Projekta izpildes ietekme uz pārvaldes funkcijām un institucionālo struktūru.</w:t>
            </w:r>
          </w:p>
          <w:p w:rsidR="0060785A" w:rsidRPr="00694D69" w:rsidRDefault="0060785A" w:rsidP="00C50DD9">
            <w:pPr>
              <w:pStyle w:val="naisf"/>
              <w:spacing w:before="0" w:after="0"/>
              <w:ind w:left="57" w:right="57" w:firstLine="0"/>
              <w:jc w:val="left"/>
            </w:pPr>
            <w:r w:rsidRPr="00694D69">
              <w:t>Jaunu institūciju izveide, esošu institūciju likvidācija vai reorganizācija, to ietekme uz institūcijas cilvēkresursiem.</w:t>
            </w:r>
          </w:p>
        </w:tc>
        <w:tc>
          <w:tcPr>
            <w:tcW w:w="4596" w:type="dxa"/>
          </w:tcPr>
          <w:p w:rsidR="0060785A" w:rsidRPr="00694D69" w:rsidRDefault="0060785A" w:rsidP="00F960AF">
            <w:pPr>
              <w:pStyle w:val="naisnod"/>
              <w:spacing w:before="0" w:after="0"/>
              <w:ind w:left="57" w:right="57"/>
              <w:jc w:val="both"/>
              <w:rPr>
                <w:b w:val="0"/>
              </w:rPr>
            </w:pPr>
            <w:r w:rsidRPr="00694D69">
              <w:rPr>
                <w:b w:val="0"/>
              </w:rPr>
              <w:t>Projekta izpilde notiks esošo pārvaldes funkciju ietvaros.</w:t>
            </w:r>
          </w:p>
        </w:tc>
      </w:tr>
      <w:tr w:rsidR="0060785A" w:rsidRPr="00694D69" w:rsidTr="00500D61">
        <w:trPr>
          <w:trHeight w:val="268"/>
        </w:trPr>
        <w:tc>
          <w:tcPr>
            <w:tcW w:w="426" w:type="dxa"/>
          </w:tcPr>
          <w:p w:rsidR="0060785A" w:rsidRPr="00694D69" w:rsidRDefault="0060785A" w:rsidP="00C50DD9">
            <w:pPr>
              <w:pStyle w:val="naiskr"/>
              <w:spacing w:before="0" w:after="0"/>
              <w:ind w:left="57" w:right="57"/>
            </w:pPr>
            <w:r w:rsidRPr="00694D69">
              <w:t>3.</w:t>
            </w:r>
          </w:p>
        </w:tc>
        <w:tc>
          <w:tcPr>
            <w:tcW w:w="4334" w:type="dxa"/>
          </w:tcPr>
          <w:p w:rsidR="0060785A" w:rsidRPr="00694D69" w:rsidRDefault="0060785A" w:rsidP="00C50DD9">
            <w:pPr>
              <w:pStyle w:val="naiskr"/>
              <w:spacing w:before="0" w:after="0"/>
              <w:ind w:left="57" w:right="57"/>
            </w:pPr>
            <w:r w:rsidRPr="00694D69">
              <w:t>Cita informācija</w:t>
            </w:r>
          </w:p>
        </w:tc>
        <w:tc>
          <w:tcPr>
            <w:tcW w:w="4596" w:type="dxa"/>
          </w:tcPr>
          <w:p w:rsidR="0060785A" w:rsidRPr="00694D69" w:rsidRDefault="0060785A" w:rsidP="00C50DD9">
            <w:pPr>
              <w:pStyle w:val="naiskr"/>
              <w:spacing w:before="0" w:after="0"/>
              <w:ind w:left="57" w:right="57"/>
            </w:pPr>
            <w:r w:rsidRPr="00694D69">
              <w:t>Nav.</w:t>
            </w:r>
          </w:p>
        </w:tc>
      </w:tr>
    </w:tbl>
    <w:p w:rsidR="0060785A" w:rsidRPr="00694D69" w:rsidRDefault="0060785A" w:rsidP="0060785A">
      <w:pPr>
        <w:pStyle w:val="naisf"/>
        <w:tabs>
          <w:tab w:val="left" w:pos="5760"/>
        </w:tabs>
        <w:spacing w:before="0" w:after="0"/>
        <w:ind w:firstLine="720"/>
      </w:pPr>
    </w:p>
    <w:p w:rsidR="0060785A" w:rsidRPr="00694D69" w:rsidRDefault="0060785A" w:rsidP="006008A0">
      <w:pPr>
        <w:pStyle w:val="naisf"/>
        <w:spacing w:before="0" w:after="0"/>
        <w:ind w:firstLine="0"/>
      </w:pPr>
      <w:r w:rsidRPr="00694D69">
        <w:t xml:space="preserve">Anotācijas II, IV, V un VI sadaļa </w:t>
      </w:r>
      <w:r w:rsidR="006008A0">
        <w:t>– projekts šīs jomas neskar</w:t>
      </w:r>
      <w:r w:rsidRPr="00694D69">
        <w:t>.</w:t>
      </w:r>
    </w:p>
    <w:p w:rsidR="0060785A" w:rsidRPr="00694D69" w:rsidRDefault="0060785A" w:rsidP="0060785A">
      <w:pPr>
        <w:tabs>
          <w:tab w:val="right" w:pos="9072"/>
        </w:tabs>
        <w:rPr>
          <w:szCs w:val="24"/>
          <w:lang w:val="lv-LV"/>
        </w:rPr>
      </w:pPr>
    </w:p>
    <w:p w:rsidR="0060785A" w:rsidRPr="00694D69" w:rsidRDefault="0060785A" w:rsidP="0060785A">
      <w:pPr>
        <w:tabs>
          <w:tab w:val="right" w:pos="9072"/>
        </w:tabs>
        <w:rPr>
          <w:szCs w:val="24"/>
          <w:lang w:val="lv-LV"/>
        </w:rPr>
      </w:pPr>
    </w:p>
    <w:p w:rsidR="0060785A" w:rsidRPr="00694D69" w:rsidRDefault="0060785A" w:rsidP="00F673E1">
      <w:pPr>
        <w:tabs>
          <w:tab w:val="right" w:pos="9072"/>
        </w:tabs>
        <w:rPr>
          <w:szCs w:val="24"/>
          <w:lang w:val="lv-LV"/>
        </w:rPr>
      </w:pPr>
      <w:r w:rsidRPr="00694D69">
        <w:rPr>
          <w:szCs w:val="24"/>
          <w:lang w:val="lv-LV"/>
        </w:rPr>
        <w:t>Ārlietu ministrs</w:t>
      </w:r>
      <w:r w:rsidR="006008A0">
        <w:rPr>
          <w:szCs w:val="24"/>
          <w:lang w:val="lv-LV"/>
        </w:rPr>
        <w:t xml:space="preserve"> </w:t>
      </w:r>
      <w:r w:rsidR="006008A0">
        <w:rPr>
          <w:szCs w:val="24"/>
          <w:lang w:val="lv-LV"/>
        </w:rPr>
        <w:tab/>
      </w:r>
      <w:proofErr w:type="spellStart"/>
      <w:r w:rsidRPr="00694D69">
        <w:rPr>
          <w:szCs w:val="24"/>
          <w:lang w:val="lv-LV"/>
        </w:rPr>
        <w:t>E.Rinkēvičs</w:t>
      </w:r>
      <w:proofErr w:type="spellEnd"/>
    </w:p>
    <w:p w:rsidR="0060785A" w:rsidRPr="00694D69" w:rsidRDefault="0060785A" w:rsidP="0060785A">
      <w:pPr>
        <w:ind w:firstLine="426"/>
        <w:jc w:val="both"/>
        <w:rPr>
          <w:szCs w:val="24"/>
          <w:lang w:val="lv-LV"/>
        </w:rPr>
      </w:pPr>
    </w:p>
    <w:p w:rsidR="0060785A" w:rsidRPr="00694D69" w:rsidRDefault="0060785A" w:rsidP="0060785A">
      <w:pPr>
        <w:jc w:val="both"/>
        <w:rPr>
          <w:szCs w:val="24"/>
          <w:lang w:val="lv-LV"/>
        </w:rPr>
      </w:pPr>
    </w:p>
    <w:p w:rsidR="0060785A" w:rsidRPr="00694D69" w:rsidRDefault="0060785A" w:rsidP="0060785A">
      <w:pPr>
        <w:jc w:val="both"/>
        <w:rPr>
          <w:szCs w:val="24"/>
          <w:lang w:val="lv-LV"/>
        </w:rPr>
      </w:pPr>
      <w:r w:rsidRPr="00694D69">
        <w:rPr>
          <w:szCs w:val="24"/>
          <w:lang w:val="lv-LV"/>
        </w:rPr>
        <w:t>Vīzas:</w:t>
      </w:r>
    </w:p>
    <w:p w:rsidR="0060785A" w:rsidRPr="00694D69" w:rsidRDefault="0060785A" w:rsidP="00F673E1">
      <w:pPr>
        <w:tabs>
          <w:tab w:val="right" w:pos="9072"/>
        </w:tabs>
        <w:jc w:val="both"/>
        <w:rPr>
          <w:szCs w:val="24"/>
          <w:lang w:val="lv-LV"/>
        </w:rPr>
      </w:pPr>
      <w:r w:rsidRPr="00694D69">
        <w:rPr>
          <w:szCs w:val="24"/>
          <w:lang w:val="lv-LV"/>
        </w:rPr>
        <w:t>valsts sekretārs</w:t>
      </w:r>
      <w:r w:rsidR="006008A0">
        <w:rPr>
          <w:szCs w:val="24"/>
          <w:lang w:val="lv-LV"/>
        </w:rPr>
        <w:tab/>
      </w:r>
      <w:r w:rsidRPr="00694D69">
        <w:rPr>
          <w:szCs w:val="24"/>
          <w:lang w:val="lv-LV"/>
        </w:rPr>
        <w:t xml:space="preserve">A. </w:t>
      </w:r>
      <w:proofErr w:type="spellStart"/>
      <w:r w:rsidRPr="00694D69">
        <w:rPr>
          <w:szCs w:val="24"/>
          <w:lang w:val="lv-LV"/>
        </w:rPr>
        <w:t>Pildegovičs</w:t>
      </w:r>
      <w:proofErr w:type="spellEnd"/>
    </w:p>
    <w:p w:rsidR="0060785A" w:rsidRPr="00694D69" w:rsidRDefault="0060785A" w:rsidP="0060785A">
      <w:pPr>
        <w:ind w:firstLine="426"/>
        <w:jc w:val="both"/>
        <w:rPr>
          <w:szCs w:val="24"/>
          <w:lang w:val="lv-LV"/>
        </w:rPr>
      </w:pPr>
    </w:p>
    <w:p w:rsidR="0060785A" w:rsidRPr="00DE1701" w:rsidRDefault="0060785A" w:rsidP="0060785A">
      <w:pPr>
        <w:jc w:val="both"/>
        <w:rPr>
          <w:szCs w:val="24"/>
          <w:lang w:val="lv-LV"/>
        </w:rPr>
      </w:pPr>
      <w:r w:rsidRPr="00DE1701">
        <w:rPr>
          <w:szCs w:val="24"/>
          <w:lang w:val="lv-LV"/>
        </w:rPr>
        <w:t>Latvijas prezidentūras Eiropas Savienības Padomē</w:t>
      </w:r>
    </w:p>
    <w:p w:rsidR="0060785A" w:rsidRPr="00694D69" w:rsidRDefault="0060785A" w:rsidP="00F673E1">
      <w:pPr>
        <w:tabs>
          <w:tab w:val="right" w:pos="9072"/>
        </w:tabs>
        <w:jc w:val="both"/>
        <w:rPr>
          <w:szCs w:val="24"/>
          <w:lang w:val="lv-LV"/>
        </w:rPr>
      </w:pPr>
      <w:r w:rsidRPr="00DE1701">
        <w:rPr>
          <w:szCs w:val="24"/>
          <w:lang w:val="lv-LV"/>
        </w:rPr>
        <w:t>sekretariāta direktor</w:t>
      </w:r>
      <w:r w:rsidR="00832D8C">
        <w:rPr>
          <w:szCs w:val="24"/>
          <w:lang w:val="lv-LV"/>
        </w:rPr>
        <w:t xml:space="preserve">a </w:t>
      </w:r>
      <w:proofErr w:type="spellStart"/>
      <w:r w:rsidR="00832D8C">
        <w:rPr>
          <w:szCs w:val="24"/>
          <w:lang w:val="lv-LV"/>
        </w:rPr>
        <w:t>p.i</w:t>
      </w:r>
      <w:proofErr w:type="spellEnd"/>
      <w:r w:rsidR="00832D8C">
        <w:rPr>
          <w:szCs w:val="24"/>
          <w:lang w:val="lv-LV"/>
        </w:rPr>
        <w:t>.</w:t>
      </w:r>
      <w:r w:rsidR="006008A0" w:rsidRPr="00DE1701">
        <w:rPr>
          <w:szCs w:val="24"/>
          <w:lang w:val="lv-LV"/>
        </w:rPr>
        <w:tab/>
      </w:r>
      <w:proofErr w:type="spellStart"/>
      <w:r w:rsidR="00832D8C">
        <w:rPr>
          <w:szCs w:val="24"/>
          <w:lang w:val="lv-LV"/>
        </w:rPr>
        <w:t>K.Pommere</w:t>
      </w:r>
      <w:proofErr w:type="spellEnd"/>
    </w:p>
    <w:p w:rsidR="0060785A" w:rsidRPr="00694D69" w:rsidRDefault="0060785A" w:rsidP="0060785A">
      <w:pPr>
        <w:tabs>
          <w:tab w:val="right" w:pos="9074"/>
        </w:tabs>
        <w:rPr>
          <w:szCs w:val="24"/>
          <w:lang w:val="lv-LV"/>
        </w:rPr>
      </w:pPr>
    </w:p>
    <w:p w:rsidR="0060785A" w:rsidRPr="00DF4F72" w:rsidRDefault="0060785A" w:rsidP="0060785A">
      <w:pPr>
        <w:rPr>
          <w:sz w:val="26"/>
          <w:szCs w:val="26"/>
          <w:lang w:val="lv-LV"/>
        </w:rPr>
      </w:pPr>
    </w:p>
    <w:p w:rsidR="0060785A" w:rsidRPr="00CE67F4" w:rsidRDefault="00832D8C" w:rsidP="0060785A">
      <w:pPr>
        <w:rPr>
          <w:sz w:val="20"/>
          <w:lang w:val="lv-LV"/>
        </w:rPr>
      </w:pPr>
      <w:r>
        <w:rPr>
          <w:sz w:val="20"/>
          <w:lang w:val="lv-LV"/>
        </w:rPr>
        <w:t>03</w:t>
      </w:r>
      <w:r w:rsidR="0060785A" w:rsidRPr="00CE67F4">
        <w:rPr>
          <w:sz w:val="20"/>
          <w:lang w:val="lv-LV"/>
        </w:rPr>
        <w:t>.0</w:t>
      </w:r>
      <w:r>
        <w:rPr>
          <w:sz w:val="20"/>
          <w:lang w:val="lv-LV"/>
        </w:rPr>
        <w:t>7</w:t>
      </w:r>
      <w:r w:rsidR="0060785A" w:rsidRPr="00CE67F4">
        <w:rPr>
          <w:sz w:val="20"/>
          <w:lang w:val="lv-LV"/>
        </w:rPr>
        <w:t xml:space="preserve">.2014. </w:t>
      </w:r>
      <w:r w:rsidR="00ED6C1F">
        <w:rPr>
          <w:sz w:val="20"/>
          <w:lang w:val="lv-LV"/>
        </w:rPr>
        <w:t>13</w:t>
      </w:r>
      <w:r w:rsidR="00EF54E3">
        <w:rPr>
          <w:sz w:val="20"/>
          <w:lang w:val="lv-LV"/>
        </w:rPr>
        <w:t>:</w:t>
      </w:r>
      <w:r w:rsidR="00ED6C1F">
        <w:rPr>
          <w:sz w:val="20"/>
          <w:lang w:val="lv-LV"/>
        </w:rPr>
        <w:t>2</w:t>
      </w:r>
      <w:r w:rsidR="00EF54E3">
        <w:rPr>
          <w:sz w:val="20"/>
          <w:lang w:val="lv-LV"/>
        </w:rPr>
        <w:t>5</w:t>
      </w:r>
    </w:p>
    <w:p w:rsidR="0060785A" w:rsidRPr="00CE67F4" w:rsidRDefault="00ED6C1F" w:rsidP="0060785A">
      <w:pPr>
        <w:rPr>
          <w:sz w:val="20"/>
          <w:lang w:val="lv-LV"/>
        </w:rPr>
      </w:pPr>
      <w:r>
        <w:rPr>
          <w:sz w:val="20"/>
          <w:lang w:val="lv-LV"/>
        </w:rPr>
        <w:t>1</w:t>
      </w:r>
      <w:r w:rsidR="00204A58">
        <w:rPr>
          <w:sz w:val="20"/>
          <w:lang w:val="lv-LV"/>
        </w:rPr>
        <w:t xml:space="preserve"> 576</w:t>
      </w:r>
      <w:bookmarkStart w:id="0" w:name="_GoBack"/>
      <w:bookmarkEnd w:id="0"/>
    </w:p>
    <w:p w:rsidR="0060785A" w:rsidRPr="00CE67F4" w:rsidRDefault="0060785A" w:rsidP="0060785A">
      <w:pPr>
        <w:rPr>
          <w:sz w:val="20"/>
          <w:lang w:val="lv-LV"/>
        </w:rPr>
      </w:pPr>
      <w:proofErr w:type="spellStart"/>
      <w:r w:rsidRPr="00CE67F4">
        <w:rPr>
          <w:sz w:val="20"/>
          <w:lang w:val="lv-LV"/>
        </w:rPr>
        <w:t>Dz.Liepiņa</w:t>
      </w:r>
      <w:proofErr w:type="spellEnd"/>
      <w:r w:rsidRPr="00CE67F4">
        <w:rPr>
          <w:sz w:val="20"/>
          <w:lang w:val="lv-LV"/>
        </w:rPr>
        <w:t>, 67011759</w:t>
      </w:r>
    </w:p>
    <w:p w:rsidR="0060785A" w:rsidRPr="00CE67F4" w:rsidRDefault="00204A58" w:rsidP="0060785A">
      <w:pPr>
        <w:rPr>
          <w:rStyle w:val="Hyperlink"/>
          <w:sz w:val="20"/>
          <w:lang w:val="lv-LV"/>
        </w:rPr>
      </w:pPr>
      <w:hyperlink r:id="rId9" w:history="1">
        <w:r w:rsidR="0060785A" w:rsidRPr="00CE67F4">
          <w:rPr>
            <w:rStyle w:val="Hyperlink"/>
            <w:sz w:val="20"/>
            <w:lang w:val="lv-LV"/>
          </w:rPr>
          <w:t>Dzidra.Liepina@es2015.lv</w:t>
        </w:r>
      </w:hyperlink>
    </w:p>
    <w:sectPr w:rsidR="0060785A" w:rsidRPr="00CE67F4" w:rsidSect="00500D61">
      <w:headerReference w:type="default" r:id="rId10"/>
      <w:footerReference w:type="default" r:id="rId11"/>
      <w:footerReference w:type="first" r:id="rId12"/>
      <w:pgSz w:w="11896" w:h="16834"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5B" w:rsidRDefault="006B515B">
      <w:r>
        <w:separator/>
      </w:r>
    </w:p>
  </w:endnote>
  <w:endnote w:type="continuationSeparator" w:id="0">
    <w:p w:rsidR="006B515B" w:rsidRDefault="006B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D9" w:rsidRPr="008F0A29" w:rsidRDefault="008F0A29" w:rsidP="008F0A29">
    <w:pPr>
      <w:pStyle w:val="Footer"/>
      <w:jc w:val="both"/>
      <w:rPr>
        <w:sz w:val="20"/>
        <w:lang w:val="lv-LV"/>
      </w:rPr>
    </w:pPr>
    <w:r w:rsidRPr="008F0A29">
      <w:rPr>
        <w:sz w:val="20"/>
        <w:lang w:val="lv-LV"/>
      </w:rPr>
      <w:t>AM</w:t>
    </w:r>
    <w:r w:rsidR="001C77AA">
      <w:rPr>
        <w:sz w:val="20"/>
        <w:lang w:val="lv-LV"/>
      </w:rPr>
      <w:t>Anot_</w:t>
    </w:r>
    <w:r w:rsidR="004779C7">
      <w:rPr>
        <w:sz w:val="20"/>
        <w:lang w:val="lv-LV"/>
      </w:rPr>
      <w:t>03</w:t>
    </w:r>
    <w:r>
      <w:rPr>
        <w:sz w:val="20"/>
        <w:lang w:val="lv-LV"/>
      </w:rPr>
      <w:t>0</w:t>
    </w:r>
    <w:r w:rsidR="004779C7">
      <w:rPr>
        <w:sz w:val="20"/>
        <w:lang w:val="lv-LV"/>
      </w:rPr>
      <w:t>7</w:t>
    </w:r>
    <w:r>
      <w:rPr>
        <w:sz w:val="20"/>
        <w:lang w:val="lv-LV"/>
      </w:rPr>
      <w:t xml:space="preserve">14_budzeta_pardale; </w:t>
    </w:r>
    <w:r w:rsidRPr="008F0A29">
      <w:rPr>
        <w:sz w:val="20"/>
        <w:lang w:val="lv-LV" w:eastAsia="lv-LV"/>
      </w:rPr>
      <w:t>Ministru kabineta rīkojuma „</w:t>
    </w:r>
    <w:r w:rsidRPr="008F0A29">
      <w:rPr>
        <w:bCs/>
        <w:sz w:val="20"/>
        <w:lang w:val="lv-LV" w:eastAsia="lv-LV"/>
      </w:rPr>
      <w:t>Par nepieciešamo finansējumu Latvijas prezidentūras Eiropas Savienības Padomē 2015.gadā sagatavošanai un nodrošināšanai 2014.gadam”</w:t>
    </w:r>
    <w:r w:rsidRPr="008F0A29">
      <w:rPr>
        <w:rFonts w:eastAsia="SimSun"/>
        <w:bCs/>
        <w:kern w:val="2"/>
        <w:sz w:val="20"/>
        <w:lang w:val="lv-LV" w:eastAsia="ar-SA"/>
      </w:rPr>
      <w:t xml:space="preserve"> projekta</w:t>
    </w:r>
    <w:r w:rsidRPr="008F0A29">
      <w:rPr>
        <w:sz w:val="20"/>
        <w:lang w:val="lv-LV"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29" w:rsidRPr="008F0A29" w:rsidRDefault="008F0A29" w:rsidP="008F0A29">
    <w:pPr>
      <w:pStyle w:val="Footer"/>
      <w:jc w:val="both"/>
      <w:rPr>
        <w:sz w:val="20"/>
        <w:lang w:val="lv-LV"/>
      </w:rPr>
    </w:pPr>
    <w:r w:rsidRPr="008F0A29">
      <w:rPr>
        <w:sz w:val="20"/>
        <w:lang w:val="lv-LV"/>
      </w:rPr>
      <w:t>AM</w:t>
    </w:r>
    <w:r w:rsidR="000624E4">
      <w:rPr>
        <w:sz w:val="20"/>
        <w:lang w:val="lv-LV"/>
      </w:rPr>
      <w:t>Anot_</w:t>
    </w:r>
    <w:r w:rsidR="004779C7">
      <w:rPr>
        <w:sz w:val="20"/>
        <w:lang w:val="lv-LV"/>
      </w:rPr>
      <w:t>03</w:t>
    </w:r>
    <w:r>
      <w:rPr>
        <w:sz w:val="20"/>
        <w:lang w:val="lv-LV"/>
      </w:rPr>
      <w:t>0</w:t>
    </w:r>
    <w:r w:rsidR="004779C7">
      <w:rPr>
        <w:sz w:val="20"/>
        <w:lang w:val="lv-LV"/>
      </w:rPr>
      <w:t>7</w:t>
    </w:r>
    <w:r>
      <w:rPr>
        <w:sz w:val="20"/>
        <w:lang w:val="lv-LV"/>
      </w:rPr>
      <w:t xml:space="preserve">14_budzeta_pardale; </w:t>
    </w:r>
    <w:r w:rsidRPr="008F0A29">
      <w:rPr>
        <w:sz w:val="20"/>
        <w:lang w:val="lv-LV" w:eastAsia="lv-LV"/>
      </w:rPr>
      <w:t>Ministru kabineta rīkojuma „</w:t>
    </w:r>
    <w:r w:rsidRPr="008F0A29">
      <w:rPr>
        <w:bCs/>
        <w:sz w:val="20"/>
        <w:lang w:val="lv-LV" w:eastAsia="lv-LV"/>
      </w:rPr>
      <w:t>Par nepieciešamo finansējumu Latvijas prezidentūras Eiropas Savienības Padomē 2015.gadā sagatavošanai un nodrošināšanai 2014.gadam”</w:t>
    </w:r>
    <w:r w:rsidRPr="008F0A29">
      <w:rPr>
        <w:rFonts w:eastAsia="SimSun"/>
        <w:bCs/>
        <w:kern w:val="2"/>
        <w:sz w:val="20"/>
        <w:lang w:val="lv-LV" w:eastAsia="ar-SA"/>
      </w:rPr>
      <w:t xml:space="preserve"> projekta</w:t>
    </w:r>
    <w:r w:rsidRPr="008F0A29">
      <w:rPr>
        <w:sz w:val="20"/>
        <w:lang w:val="lv-LV"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5B" w:rsidRDefault="006B515B">
      <w:r>
        <w:separator/>
      </w:r>
    </w:p>
  </w:footnote>
  <w:footnote w:type="continuationSeparator" w:id="0">
    <w:p w:rsidR="006B515B" w:rsidRDefault="006B5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34447"/>
      <w:docPartObj>
        <w:docPartGallery w:val="Page Numbers (Top of Page)"/>
        <w:docPartUnique/>
      </w:docPartObj>
    </w:sdtPr>
    <w:sdtEndPr>
      <w:rPr>
        <w:noProof/>
      </w:rPr>
    </w:sdtEndPr>
    <w:sdtContent>
      <w:p w:rsidR="00ED6C1F" w:rsidRDefault="00ED6C1F">
        <w:pPr>
          <w:pStyle w:val="Header"/>
          <w:jc w:val="center"/>
        </w:pPr>
        <w:r>
          <w:fldChar w:fldCharType="begin"/>
        </w:r>
        <w:r>
          <w:instrText xml:space="preserve"> PAGE   \* MERGEFORMAT </w:instrText>
        </w:r>
        <w:r>
          <w:fldChar w:fldCharType="separate"/>
        </w:r>
        <w:r w:rsidR="00204A58">
          <w:rPr>
            <w:noProof/>
          </w:rPr>
          <w:t>6</w:t>
        </w:r>
        <w:r>
          <w:rPr>
            <w:noProof/>
          </w:rPr>
          <w:fldChar w:fldCharType="end"/>
        </w:r>
      </w:p>
    </w:sdtContent>
  </w:sdt>
  <w:p w:rsidR="00ED6C1F" w:rsidRDefault="00ED6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08C5"/>
    <w:multiLevelType w:val="hybridMultilevel"/>
    <w:tmpl w:val="523C214E"/>
    <w:lvl w:ilvl="0" w:tplc="0426000F">
      <w:start w:val="1"/>
      <w:numFmt w:val="decimal"/>
      <w:lvlText w:val="%1."/>
      <w:lvlJc w:val="left"/>
      <w:pPr>
        <w:ind w:left="720" w:hanging="360"/>
      </w:pPr>
      <w:rPr>
        <w:b w:val="0"/>
        <w:color w:val="000000"/>
        <w:sz w:val="2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F635EB"/>
    <w:multiLevelType w:val="hybridMultilevel"/>
    <w:tmpl w:val="554A75D6"/>
    <w:lvl w:ilvl="0" w:tplc="00BA61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6E"/>
    <w:rsid w:val="00017F24"/>
    <w:rsid w:val="00022B51"/>
    <w:rsid w:val="000624E4"/>
    <w:rsid w:val="000970B3"/>
    <w:rsid w:val="000B6278"/>
    <w:rsid w:val="000C2A1E"/>
    <w:rsid w:val="001156AA"/>
    <w:rsid w:val="00126637"/>
    <w:rsid w:val="00127D20"/>
    <w:rsid w:val="00134D7A"/>
    <w:rsid w:val="0014795B"/>
    <w:rsid w:val="001548BD"/>
    <w:rsid w:val="00171A36"/>
    <w:rsid w:val="001877F3"/>
    <w:rsid w:val="001C77AA"/>
    <w:rsid w:val="001D3DBF"/>
    <w:rsid w:val="00201A30"/>
    <w:rsid w:val="00204A58"/>
    <w:rsid w:val="00264932"/>
    <w:rsid w:val="00285A91"/>
    <w:rsid w:val="002D60C7"/>
    <w:rsid w:val="002E6655"/>
    <w:rsid w:val="002F2491"/>
    <w:rsid w:val="003002FB"/>
    <w:rsid w:val="00314336"/>
    <w:rsid w:val="00351F4F"/>
    <w:rsid w:val="00360622"/>
    <w:rsid w:val="00394B37"/>
    <w:rsid w:val="003D3F4F"/>
    <w:rsid w:val="003D615C"/>
    <w:rsid w:val="003E21B0"/>
    <w:rsid w:val="0043207D"/>
    <w:rsid w:val="00473B11"/>
    <w:rsid w:val="00475AAE"/>
    <w:rsid w:val="004779C7"/>
    <w:rsid w:val="0048447B"/>
    <w:rsid w:val="0049526C"/>
    <w:rsid w:val="004E7A88"/>
    <w:rsid w:val="00500D61"/>
    <w:rsid w:val="00512D8E"/>
    <w:rsid w:val="005219BC"/>
    <w:rsid w:val="00530BE1"/>
    <w:rsid w:val="005466E8"/>
    <w:rsid w:val="005473A2"/>
    <w:rsid w:val="00584D21"/>
    <w:rsid w:val="006008A0"/>
    <w:rsid w:val="00604704"/>
    <w:rsid w:val="0060785A"/>
    <w:rsid w:val="00612A21"/>
    <w:rsid w:val="006172A2"/>
    <w:rsid w:val="0062746C"/>
    <w:rsid w:val="0063002C"/>
    <w:rsid w:val="00637135"/>
    <w:rsid w:val="0065232E"/>
    <w:rsid w:val="00681122"/>
    <w:rsid w:val="0068545D"/>
    <w:rsid w:val="00692927"/>
    <w:rsid w:val="00694D69"/>
    <w:rsid w:val="006A0A86"/>
    <w:rsid w:val="006B515B"/>
    <w:rsid w:val="006E7098"/>
    <w:rsid w:val="00707073"/>
    <w:rsid w:val="0076475E"/>
    <w:rsid w:val="007868A0"/>
    <w:rsid w:val="00791B77"/>
    <w:rsid w:val="007A0A8B"/>
    <w:rsid w:val="007C4D98"/>
    <w:rsid w:val="007E3FFA"/>
    <w:rsid w:val="007F4E2D"/>
    <w:rsid w:val="00802881"/>
    <w:rsid w:val="00832D8C"/>
    <w:rsid w:val="00837AB2"/>
    <w:rsid w:val="00845887"/>
    <w:rsid w:val="008A3623"/>
    <w:rsid w:val="008D3B52"/>
    <w:rsid w:val="008F0A29"/>
    <w:rsid w:val="00906380"/>
    <w:rsid w:val="00924E3C"/>
    <w:rsid w:val="0093226E"/>
    <w:rsid w:val="0094198D"/>
    <w:rsid w:val="00987B7C"/>
    <w:rsid w:val="009E2E32"/>
    <w:rsid w:val="009F354A"/>
    <w:rsid w:val="00A73703"/>
    <w:rsid w:val="00AB3BDD"/>
    <w:rsid w:val="00AB7134"/>
    <w:rsid w:val="00AD3364"/>
    <w:rsid w:val="00B27859"/>
    <w:rsid w:val="00B532C3"/>
    <w:rsid w:val="00B80FCF"/>
    <w:rsid w:val="00BB6257"/>
    <w:rsid w:val="00BD3B49"/>
    <w:rsid w:val="00BE477B"/>
    <w:rsid w:val="00C01AB2"/>
    <w:rsid w:val="00C01B24"/>
    <w:rsid w:val="00C50DD9"/>
    <w:rsid w:val="00C718FB"/>
    <w:rsid w:val="00CA4815"/>
    <w:rsid w:val="00CB1333"/>
    <w:rsid w:val="00CC336D"/>
    <w:rsid w:val="00CE4EDE"/>
    <w:rsid w:val="00CE67F4"/>
    <w:rsid w:val="00CE688D"/>
    <w:rsid w:val="00D05AAE"/>
    <w:rsid w:val="00DA02CC"/>
    <w:rsid w:val="00DA2998"/>
    <w:rsid w:val="00DD2491"/>
    <w:rsid w:val="00DD5759"/>
    <w:rsid w:val="00DE1701"/>
    <w:rsid w:val="00DF4F72"/>
    <w:rsid w:val="00E10697"/>
    <w:rsid w:val="00E166D4"/>
    <w:rsid w:val="00E24512"/>
    <w:rsid w:val="00E50DAD"/>
    <w:rsid w:val="00E92308"/>
    <w:rsid w:val="00ED35BF"/>
    <w:rsid w:val="00ED6C1F"/>
    <w:rsid w:val="00EE54A5"/>
    <w:rsid w:val="00EF54E3"/>
    <w:rsid w:val="00F33B37"/>
    <w:rsid w:val="00F416C7"/>
    <w:rsid w:val="00F52A6A"/>
    <w:rsid w:val="00F673E1"/>
    <w:rsid w:val="00F960AF"/>
    <w:rsid w:val="00FA0972"/>
    <w:rsid w:val="00FB7DEE"/>
    <w:rsid w:val="00FC3D3A"/>
    <w:rsid w:val="00FD40C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6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226E"/>
    <w:pPr>
      <w:tabs>
        <w:tab w:val="center" w:pos="4153"/>
        <w:tab w:val="right" w:pos="8306"/>
      </w:tabs>
    </w:pPr>
  </w:style>
  <w:style w:type="character" w:customStyle="1" w:styleId="FooterChar">
    <w:name w:val="Footer Char"/>
    <w:basedOn w:val="DefaultParagraphFont"/>
    <w:link w:val="Footer"/>
    <w:rsid w:val="0093226E"/>
    <w:rPr>
      <w:rFonts w:ascii="Times New Roman" w:eastAsia="Times New Roman" w:hAnsi="Times New Roman" w:cs="Times New Roman"/>
      <w:sz w:val="24"/>
      <w:szCs w:val="20"/>
      <w:lang w:val="en-US"/>
    </w:rPr>
  </w:style>
  <w:style w:type="character" w:styleId="PageNumber">
    <w:name w:val="page number"/>
    <w:basedOn w:val="DefaultParagraphFont"/>
    <w:rsid w:val="0093226E"/>
  </w:style>
  <w:style w:type="table" w:styleId="TableGrid">
    <w:name w:val="Table Grid"/>
    <w:basedOn w:val="TableNormal"/>
    <w:uiPriority w:val="59"/>
    <w:rsid w:val="0093226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26E"/>
    <w:pPr>
      <w:ind w:left="720"/>
    </w:pPr>
    <w:rPr>
      <w:rFonts w:ascii="Calibri" w:eastAsiaTheme="minorHAnsi" w:hAnsi="Calibri"/>
      <w:sz w:val="22"/>
      <w:szCs w:val="22"/>
      <w:lang w:val="lv-LV"/>
    </w:rPr>
  </w:style>
  <w:style w:type="paragraph" w:styleId="NoSpacing">
    <w:name w:val="No Spacing"/>
    <w:uiPriority w:val="1"/>
    <w:qFormat/>
    <w:rsid w:val="0093226E"/>
    <w:pPr>
      <w:spacing w:after="0" w:line="240" w:lineRule="auto"/>
    </w:pPr>
    <w:rPr>
      <w:rFonts w:ascii="Times New Roman" w:eastAsia="Times New Roman" w:hAnsi="Times New Roman" w:cs="Times New Roman"/>
      <w:sz w:val="24"/>
      <w:szCs w:val="20"/>
      <w:lang w:val="en-US"/>
    </w:rPr>
  </w:style>
  <w:style w:type="paragraph" w:customStyle="1" w:styleId="naisf">
    <w:name w:val="naisf"/>
    <w:basedOn w:val="Normal"/>
    <w:rsid w:val="0060785A"/>
    <w:pPr>
      <w:spacing w:before="75" w:after="75"/>
      <w:ind w:firstLine="375"/>
      <w:jc w:val="both"/>
    </w:pPr>
    <w:rPr>
      <w:szCs w:val="24"/>
      <w:lang w:val="lv-LV" w:eastAsia="lv-LV"/>
    </w:rPr>
  </w:style>
  <w:style w:type="paragraph" w:customStyle="1" w:styleId="naisnod">
    <w:name w:val="naisnod"/>
    <w:basedOn w:val="Normal"/>
    <w:rsid w:val="0060785A"/>
    <w:pPr>
      <w:spacing w:before="150" w:after="150"/>
      <w:jc w:val="center"/>
    </w:pPr>
    <w:rPr>
      <w:b/>
      <w:bCs/>
      <w:szCs w:val="24"/>
      <w:lang w:val="lv-LV" w:eastAsia="lv-LV"/>
    </w:rPr>
  </w:style>
  <w:style w:type="paragraph" w:customStyle="1" w:styleId="naiskr">
    <w:name w:val="naiskr"/>
    <w:basedOn w:val="Normal"/>
    <w:rsid w:val="0060785A"/>
    <w:pPr>
      <w:spacing w:before="75" w:after="75"/>
    </w:pPr>
    <w:rPr>
      <w:szCs w:val="24"/>
      <w:lang w:val="lv-LV" w:eastAsia="lv-LV"/>
    </w:rPr>
  </w:style>
  <w:style w:type="character" w:styleId="Hyperlink">
    <w:name w:val="Hyperlink"/>
    <w:rsid w:val="0060785A"/>
    <w:rPr>
      <w:color w:val="0000FF"/>
      <w:u w:val="single"/>
    </w:rPr>
  </w:style>
  <w:style w:type="paragraph" w:styleId="BalloonText">
    <w:name w:val="Balloon Text"/>
    <w:basedOn w:val="Normal"/>
    <w:link w:val="BalloonTextChar"/>
    <w:uiPriority w:val="99"/>
    <w:semiHidden/>
    <w:unhideWhenUsed/>
    <w:rsid w:val="00314336"/>
    <w:rPr>
      <w:rFonts w:ascii="Tahoma" w:hAnsi="Tahoma" w:cs="Tahoma"/>
      <w:sz w:val="16"/>
      <w:szCs w:val="16"/>
    </w:rPr>
  </w:style>
  <w:style w:type="character" w:customStyle="1" w:styleId="BalloonTextChar">
    <w:name w:val="Balloon Text Char"/>
    <w:basedOn w:val="DefaultParagraphFont"/>
    <w:link w:val="BalloonText"/>
    <w:uiPriority w:val="99"/>
    <w:semiHidden/>
    <w:rsid w:val="00314336"/>
    <w:rPr>
      <w:rFonts w:ascii="Tahoma" w:eastAsia="Times New Roman" w:hAnsi="Tahoma" w:cs="Tahoma"/>
      <w:sz w:val="16"/>
      <w:szCs w:val="16"/>
      <w:lang w:val="en-US"/>
    </w:rPr>
  </w:style>
  <w:style w:type="paragraph" w:styleId="Header">
    <w:name w:val="header"/>
    <w:basedOn w:val="Normal"/>
    <w:link w:val="HeaderChar"/>
    <w:uiPriority w:val="99"/>
    <w:unhideWhenUsed/>
    <w:rsid w:val="00ED6C1F"/>
    <w:pPr>
      <w:tabs>
        <w:tab w:val="center" w:pos="4153"/>
        <w:tab w:val="right" w:pos="8306"/>
      </w:tabs>
    </w:pPr>
  </w:style>
  <w:style w:type="character" w:customStyle="1" w:styleId="HeaderChar">
    <w:name w:val="Header Char"/>
    <w:basedOn w:val="DefaultParagraphFont"/>
    <w:link w:val="Header"/>
    <w:uiPriority w:val="99"/>
    <w:rsid w:val="00ED6C1F"/>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FB7DEE"/>
    <w:rPr>
      <w:sz w:val="16"/>
      <w:szCs w:val="16"/>
    </w:rPr>
  </w:style>
  <w:style w:type="paragraph" w:styleId="CommentText">
    <w:name w:val="annotation text"/>
    <w:basedOn w:val="Normal"/>
    <w:link w:val="CommentTextChar"/>
    <w:uiPriority w:val="99"/>
    <w:semiHidden/>
    <w:unhideWhenUsed/>
    <w:rsid w:val="00FB7DEE"/>
    <w:rPr>
      <w:sz w:val="20"/>
    </w:rPr>
  </w:style>
  <w:style w:type="character" w:customStyle="1" w:styleId="CommentTextChar">
    <w:name w:val="Comment Text Char"/>
    <w:basedOn w:val="DefaultParagraphFont"/>
    <w:link w:val="CommentText"/>
    <w:uiPriority w:val="99"/>
    <w:semiHidden/>
    <w:rsid w:val="00FB7D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B7DEE"/>
    <w:rPr>
      <w:b/>
      <w:bCs/>
    </w:rPr>
  </w:style>
  <w:style w:type="character" w:customStyle="1" w:styleId="CommentSubjectChar">
    <w:name w:val="Comment Subject Char"/>
    <w:basedOn w:val="CommentTextChar"/>
    <w:link w:val="CommentSubject"/>
    <w:uiPriority w:val="99"/>
    <w:semiHidden/>
    <w:rsid w:val="00FB7DEE"/>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6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226E"/>
    <w:pPr>
      <w:tabs>
        <w:tab w:val="center" w:pos="4153"/>
        <w:tab w:val="right" w:pos="8306"/>
      </w:tabs>
    </w:pPr>
  </w:style>
  <w:style w:type="character" w:customStyle="1" w:styleId="FooterChar">
    <w:name w:val="Footer Char"/>
    <w:basedOn w:val="DefaultParagraphFont"/>
    <w:link w:val="Footer"/>
    <w:rsid w:val="0093226E"/>
    <w:rPr>
      <w:rFonts w:ascii="Times New Roman" w:eastAsia="Times New Roman" w:hAnsi="Times New Roman" w:cs="Times New Roman"/>
      <w:sz w:val="24"/>
      <w:szCs w:val="20"/>
      <w:lang w:val="en-US"/>
    </w:rPr>
  </w:style>
  <w:style w:type="character" w:styleId="PageNumber">
    <w:name w:val="page number"/>
    <w:basedOn w:val="DefaultParagraphFont"/>
    <w:rsid w:val="0093226E"/>
  </w:style>
  <w:style w:type="table" w:styleId="TableGrid">
    <w:name w:val="Table Grid"/>
    <w:basedOn w:val="TableNormal"/>
    <w:uiPriority w:val="59"/>
    <w:rsid w:val="0093226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26E"/>
    <w:pPr>
      <w:ind w:left="720"/>
    </w:pPr>
    <w:rPr>
      <w:rFonts w:ascii="Calibri" w:eastAsiaTheme="minorHAnsi" w:hAnsi="Calibri"/>
      <w:sz w:val="22"/>
      <w:szCs w:val="22"/>
      <w:lang w:val="lv-LV"/>
    </w:rPr>
  </w:style>
  <w:style w:type="paragraph" w:styleId="NoSpacing">
    <w:name w:val="No Spacing"/>
    <w:uiPriority w:val="1"/>
    <w:qFormat/>
    <w:rsid w:val="0093226E"/>
    <w:pPr>
      <w:spacing w:after="0" w:line="240" w:lineRule="auto"/>
    </w:pPr>
    <w:rPr>
      <w:rFonts w:ascii="Times New Roman" w:eastAsia="Times New Roman" w:hAnsi="Times New Roman" w:cs="Times New Roman"/>
      <w:sz w:val="24"/>
      <w:szCs w:val="20"/>
      <w:lang w:val="en-US"/>
    </w:rPr>
  </w:style>
  <w:style w:type="paragraph" w:customStyle="1" w:styleId="naisf">
    <w:name w:val="naisf"/>
    <w:basedOn w:val="Normal"/>
    <w:rsid w:val="0060785A"/>
    <w:pPr>
      <w:spacing w:before="75" w:after="75"/>
      <w:ind w:firstLine="375"/>
      <w:jc w:val="both"/>
    </w:pPr>
    <w:rPr>
      <w:szCs w:val="24"/>
      <w:lang w:val="lv-LV" w:eastAsia="lv-LV"/>
    </w:rPr>
  </w:style>
  <w:style w:type="paragraph" w:customStyle="1" w:styleId="naisnod">
    <w:name w:val="naisnod"/>
    <w:basedOn w:val="Normal"/>
    <w:rsid w:val="0060785A"/>
    <w:pPr>
      <w:spacing w:before="150" w:after="150"/>
      <w:jc w:val="center"/>
    </w:pPr>
    <w:rPr>
      <w:b/>
      <w:bCs/>
      <w:szCs w:val="24"/>
      <w:lang w:val="lv-LV" w:eastAsia="lv-LV"/>
    </w:rPr>
  </w:style>
  <w:style w:type="paragraph" w:customStyle="1" w:styleId="naiskr">
    <w:name w:val="naiskr"/>
    <w:basedOn w:val="Normal"/>
    <w:rsid w:val="0060785A"/>
    <w:pPr>
      <w:spacing w:before="75" w:after="75"/>
    </w:pPr>
    <w:rPr>
      <w:szCs w:val="24"/>
      <w:lang w:val="lv-LV" w:eastAsia="lv-LV"/>
    </w:rPr>
  </w:style>
  <w:style w:type="character" w:styleId="Hyperlink">
    <w:name w:val="Hyperlink"/>
    <w:rsid w:val="0060785A"/>
    <w:rPr>
      <w:color w:val="0000FF"/>
      <w:u w:val="single"/>
    </w:rPr>
  </w:style>
  <w:style w:type="paragraph" w:styleId="BalloonText">
    <w:name w:val="Balloon Text"/>
    <w:basedOn w:val="Normal"/>
    <w:link w:val="BalloonTextChar"/>
    <w:uiPriority w:val="99"/>
    <w:semiHidden/>
    <w:unhideWhenUsed/>
    <w:rsid w:val="00314336"/>
    <w:rPr>
      <w:rFonts w:ascii="Tahoma" w:hAnsi="Tahoma" w:cs="Tahoma"/>
      <w:sz w:val="16"/>
      <w:szCs w:val="16"/>
    </w:rPr>
  </w:style>
  <w:style w:type="character" w:customStyle="1" w:styleId="BalloonTextChar">
    <w:name w:val="Balloon Text Char"/>
    <w:basedOn w:val="DefaultParagraphFont"/>
    <w:link w:val="BalloonText"/>
    <w:uiPriority w:val="99"/>
    <w:semiHidden/>
    <w:rsid w:val="00314336"/>
    <w:rPr>
      <w:rFonts w:ascii="Tahoma" w:eastAsia="Times New Roman" w:hAnsi="Tahoma" w:cs="Tahoma"/>
      <w:sz w:val="16"/>
      <w:szCs w:val="16"/>
      <w:lang w:val="en-US"/>
    </w:rPr>
  </w:style>
  <w:style w:type="paragraph" w:styleId="Header">
    <w:name w:val="header"/>
    <w:basedOn w:val="Normal"/>
    <w:link w:val="HeaderChar"/>
    <w:uiPriority w:val="99"/>
    <w:unhideWhenUsed/>
    <w:rsid w:val="00ED6C1F"/>
    <w:pPr>
      <w:tabs>
        <w:tab w:val="center" w:pos="4153"/>
        <w:tab w:val="right" w:pos="8306"/>
      </w:tabs>
    </w:pPr>
  </w:style>
  <w:style w:type="character" w:customStyle="1" w:styleId="HeaderChar">
    <w:name w:val="Header Char"/>
    <w:basedOn w:val="DefaultParagraphFont"/>
    <w:link w:val="Header"/>
    <w:uiPriority w:val="99"/>
    <w:rsid w:val="00ED6C1F"/>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FB7DEE"/>
    <w:rPr>
      <w:sz w:val="16"/>
      <w:szCs w:val="16"/>
    </w:rPr>
  </w:style>
  <w:style w:type="paragraph" w:styleId="CommentText">
    <w:name w:val="annotation text"/>
    <w:basedOn w:val="Normal"/>
    <w:link w:val="CommentTextChar"/>
    <w:uiPriority w:val="99"/>
    <w:semiHidden/>
    <w:unhideWhenUsed/>
    <w:rsid w:val="00FB7DEE"/>
    <w:rPr>
      <w:sz w:val="20"/>
    </w:rPr>
  </w:style>
  <w:style w:type="character" w:customStyle="1" w:styleId="CommentTextChar">
    <w:name w:val="Comment Text Char"/>
    <w:basedOn w:val="DefaultParagraphFont"/>
    <w:link w:val="CommentText"/>
    <w:uiPriority w:val="99"/>
    <w:semiHidden/>
    <w:rsid w:val="00FB7D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B7DEE"/>
    <w:rPr>
      <w:b/>
      <w:bCs/>
    </w:rPr>
  </w:style>
  <w:style w:type="character" w:customStyle="1" w:styleId="CommentSubjectChar">
    <w:name w:val="Comment Subject Char"/>
    <w:basedOn w:val="CommentTextChar"/>
    <w:link w:val="CommentSubject"/>
    <w:uiPriority w:val="99"/>
    <w:semiHidden/>
    <w:rsid w:val="00FB7DE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2128">
      <w:bodyDiv w:val="1"/>
      <w:marLeft w:val="0"/>
      <w:marRight w:val="0"/>
      <w:marTop w:val="0"/>
      <w:marBottom w:val="0"/>
      <w:divBdr>
        <w:top w:val="none" w:sz="0" w:space="0" w:color="auto"/>
        <w:left w:val="none" w:sz="0" w:space="0" w:color="auto"/>
        <w:bottom w:val="none" w:sz="0" w:space="0" w:color="auto"/>
        <w:right w:val="none" w:sz="0" w:space="0" w:color="auto"/>
      </w:divBdr>
    </w:div>
    <w:div w:id="688024548">
      <w:bodyDiv w:val="1"/>
      <w:marLeft w:val="0"/>
      <w:marRight w:val="0"/>
      <w:marTop w:val="0"/>
      <w:marBottom w:val="0"/>
      <w:divBdr>
        <w:top w:val="none" w:sz="0" w:space="0" w:color="auto"/>
        <w:left w:val="none" w:sz="0" w:space="0" w:color="auto"/>
        <w:bottom w:val="none" w:sz="0" w:space="0" w:color="auto"/>
        <w:right w:val="none" w:sz="0" w:space="0" w:color="auto"/>
      </w:divBdr>
    </w:div>
    <w:div w:id="749885882">
      <w:bodyDiv w:val="1"/>
      <w:marLeft w:val="0"/>
      <w:marRight w:val="0"/>
      <w:marTop w:val="0"/>
      <w:marBottom w:val="0"/>
      <w:divBdr>
        <w:top w:val="none" w:sz="0" w:space="0" w:color="auto"/>
        <w:left w:val="none" w:sz="0" w:space="0" w:color="auto"/>
        <w:bottom w:val="none" w:sz="0" w:space="0" w:color="auto"/>
        <w:right w:val="none" w:sz="0" w:space="0" w:color="auto"/>
      </w:divBdr>
    </w:div>
    <w:div w:id="1490633824">
      <w:bodyDiv w:val="1"/>
      <w:marLeft w:val="0"/>
      <w:marRight w:val="0"/>
      <w:marTop w:val="0"/>
      <w:marBottom w:val="0"/>
      <w:divBdr>
        <w:top w:val="none" w:sz="0" w:space="0" w:color="auto"/>
        <w:left w:val="none" w:sz="0" w:space="0" w:color="auto"/>
        <w:bottom w:val="none" w:sz="0" w:space="0" w:color="auto"/>
        <w:right w:val="none" w:sz="0" w:space="0" w:color="auto"/>
      </w:divBdr>
    </w:div>
    <w:div w:id="15564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zidra.Liepina@es2015.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E702-C529-415B-B8AE-B8489E89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Pages>
  <Words>8128</Words>
  <Characters>4633</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LV PRES 2015</vt:lpstr>
      <vt:lpstr>LV PRES 2015</vt:lpstr>
    </vt:vector>
  </TitlesOfParts>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PRES 2015</dc:title>
  <dc:creator>Dzidra Liepina</dc:creator>
  <cp:lastModifiedBy>Ilona Lulberga</cp:lastModifiedBy>
  <cp:revision>18</cp:revision>
  <cp:lastPrinted>2014-06-27T16:36:00Z</cp:lastPrinted>
  <dcterms:created xsi:type="dcterms:W3CDTF">2014-06-19T09:50:00Z</dcterms:created>
  <dcterms:modified xsi:type="dcterms:W3CDTF">2014-07-03T06:29:00Z</dcterms:modified>
</cp:coreProperties>
</file>