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5A" w:rsidRPr="006008A0" w:rsidRDefault="0060785A" w:rsidP="0060785A">
      <w:pPr>
        <w:jc w:val="center"/>
        <w:rPr>
          <w:b/>
          <w:bCs/>
          <w:iCs/>
          <w:sz w:val="26"/>
          <w:szCs w:val="26"/>
          <w:lang w:val="lv-LV"/>
        </w:rPr>
      </w:pPr>
      <w:r w:rsidRPr="00CC195F">
        <w:rPr>
          <w:b/>
          <w:bCs/>
          <w:sz w:val="26"/>
          <w:szCs w:val="26"/>
          <w:lang w:val="lv-LV"/>
        </w:rPr>
        <w:t xml:space="preserve">Ministru kabineta rīkojuma </w:t>
      </w:r>
      <w:r w:rsidR="008F0A29" w:rsidRPr="00CC195F">
        <w:rPr>
          <w:b/>
          <w:bCs/>
          <w:sz w:val="26"/>
          <w:szCs w:val="26"/>
          <w:lang w:val="lv-LV"/>
        </w:rPr>
        <w:t>„P</w:t>
      </w:r>
      <w:r w:rsidRPr="00CC195F">
        <w:rPr>
          <w:b/>
          <w:bCs/>
          <w:iCs/>
          <w:sz w:val="26"/>
          <w:szCs w:val="26"/>
          <w:lang w:val="lv-LV"/>
        </w:rPr>
        <w:t xml:space="preserve">ar nepieciešamo finansējumu Latvijas prezidentūras Eiropas Savienības Padomē </w:t>
      </w:r>
      <w:proofErr w:type="gramStart"/>
      <w:r w:rsidRPr="00CC195F">
        <w:rPr>
          <w:b/>
          <w:bCs/>
          <w:iCs/>
          <w:sz w:val="26"/>
          <w:szCs w:val="26"/>
          <w:lang w:val="lv-LV"/>
        </w:rPr>
        <w:t>2015.gadā</w:t>
      </w:r>
      <w:proofErr w:type="gramEnd"/>
      <w:r w:rsidRPr="00CC195F">
        <w:rPr>
          <w:b/>
          <w:bCs/>
          <w:iCs/>
          <w:sz w:val="26"/>
          <w:szCs w:val="26"/>
          <w:lang w:val="lv-LV"/>
        </w:rPr>
        <w:t xml:space="preserve"> sagatavošanai un nodrošināšanai 2014.gadam</w:t>
      </w:r>
      <w:r w:rsidR="008F0A29" w:rsidRPr="00CC195F">
        <w:rPr>
          <w:b/>
          <w:bCs/>
          <w:sz w:val="26"/>
          <w:szCs w:val="26"/>
          <w:lang w:val="lv-LV"/>
        </w:rPr>
        <w:t>”</w:t>
      </w:r>
      <w:r w:rsidRPr="00CC195F">
        <w:rPr>
          <w:b/>
          <w:bCs/>
          <w:sz w:val="26"/>
          <w:szCs w:val="26"/>
          <w:lang w:val="lv-LV"/>
        </w:rPr>
        <w:t xml:space="preserve"> projekta sākotnējās ietekmes novērtējuma ziņojums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37"/>
        <w:gridCol w:w="6668"/>
      </w:tblGrid>
      <w:tr w:rsidR="0060785A" w:rsidRPr="00245AA6" w:rsidTr="001D579D">
        <w:trPr>
          <w:trHeight w:val="414"/>
        </w:trPr>
        <w:tc>
          <w:tcPr>
            <w:tcW w:w="8936" w:type="dxa"/>
            <w:gridSpan w:val="3"/>
            <w:vAlign w:val="center"/>
          </w:tcPr>
          <w:p w:rsidR="0060785A" w:rsidRPr="00694D69" w:rsidRDefault="0060785A" w:rsidP="00C50DD9">
            <w:pPr>
              <w:pStyle w:val="naisnod"/>
              <w:spacing w:before="0" w:after="0"/>
            </w:pPr>
            <w:r w:rsidRPr="00694D69">
              <w:t>I. Tiesību akta projekta izstrādes nepieciešamība</w:t>
            </w:r>
          </w:p>
        </w:tc>
      </w:tr>
      <w:tr w:rsidR="0060785A" w:rsidRPr="00245AA6" w:rsidTr="001D579D">
        <w:trPr>
          <w:trHeight w:val="433"/>
        </w:trPr>
        <w:tc>
          <w:tcPr>
            <w:tcW w:w="431" w:type="dxa"/>
          </w:tcPr>
          <w:p w:rsidR="0060785A" w:rsidRPr="00694D69" w:rsidRDefault="0060785A" w:rsidP="008F0A29">
            <w:pPr>
              <w:pStyle w:val="naiskr"/>
              <w:spacing w:before="0" w:after="0"/>
              <w:jc w:val="center"/>
            </w:pPr>
            <w:r w:rsidRPr="00694D69">
              <w:t>1.</w:t>
            </w:r>
          </w:p>
        </w:tc>
        <w:tc>
          <w:tcPr>
            <w:tcW w:w="1837" w:type="dxa"/>
          </w:tcPr>
          <w:p w:rsidR="0060785A" w:rsidRPr="00694D69" w:rsidRDefault="0060785A" w:rsidP="00C50DD9">
            <w:pPr>
              <w:pStyle w:val="naiskr"/>
              <w:spacing w:before="0" w:after="0"/>
              <w:ind w:hanging="10"/>
            </w:pPr>
            <w:r w:rsidRPr="00694D69">
              <w:t>Pamatojums</w:t>
            </w:r>
          </w:p>
        </w:tc>
        <w:tc>
          <w:tcPr>
            <w:tcW w:w="6668" w:type="dxa"/>
          </w:tcPr>
          <w:p w:rsidR="0060785A" w:rsidRPr="00110477" w:rsidRDefault="00C9009C" w:rsidP="001D579D">
            <w:pPr>
              <w:jc w:val="both"/>
              <w:rPr>
                <w:szCs w:val="24"/>
                <w:lang w:val="lv-LV"/>
              </w:rPr>
            </w:pPr>
            <w:r w:rsidRPr="00110477">
              <w:rPr>
                <w:szCs w:val="24"/>
                <w:lang w:val="lv-LV"/>
              </w:rPr>
              <w:t xml:space="preserve">Saskaņā ar Ministru kabineta </w:t>
            </w:r>
            <w:proofErr w:type="gramStart"/>
            <w:r w:rsidRPr="00110477">
              <w:rPr>
                <w:szCs w:val="24"/>
                <w:lang w:val="lv-LV"/>
              </w:rPr>
              <w:t>2013.gada</w:t>
            </w:r>
            <w:proofErr w:type="gramEnd"/>
            <w:r w:rsidRPr="00110477">
              <w:rPr>
                <w:szCs w:val="24"/>
                <w:lang w:val="lv-LV"/>
              </w:rPr>
              <w:t xml:space="preserve"> 28.augusta rīkojuma Nr.401 "Par nepieciešamo finansējumu 2014.gadam, lai nodrošinātu Latvijas prezidentūru Eiropas Savienības Padomē 2015.gadā" (turpmāk – rīkojums) 6.punktā noteikto uzdevumu 74.resora "Gadskārtējā valsts budžeta izpildes procesā pārdalāmais finansējums" budžeta programmas "Latvijas prezidentūras Eiropas Savienības Padomē nodrošināšana 2015.gadā" nesadalītais finansējums 2014.gadam 581 690 </w:t>
            </w:r>
            <w:proofErr w:type="spellStart"/>
            <w:r w:rsidRPr="00110477">
              <w:rPr>
                <w:szCs w:val="24"/>
                <w:lang w:val="lv-LV"/>
              </w:rPr>
              <w:t>euro</w:t>
            </w:r>
            <w:proofErr w:type="spellEnd"/>
            <w:r w:rsidRPr="00110477">
              <w:rPr>
                <w:szCs w:val="24"/>
                <w:lang w:val="lv-LV"/>
              </w:rPr>
              <w:t xml:space="preserve"> apmērā sadalāms rīkojuma 1.2.3., 1.3.3., 1.4.1., 1.6.2., 1.12.2. un 1.13.3.apakšpunktā minētajām papildu amata vietām līdz 2014.gada 1.martam, ņemot vērā precizēto Latvijas prezidentūras Eiropas Savienības Padomē (turpmāk – Latvijas prezidentūra) programmu, kā arī ministriju faktiski aizpildīto amata vietu skaitu, vai arī jaunu papildu amata vietu izveidei saskaņā ar Ministru kabineta lēmumu.</w:t>
            </w:r>
          </w:p>
          <w:p w:rsidR="00844BEE" w:rsidRPr="00694D69" w:rsidRDefault="00844BEE" w:rsidP="002D67AF">
            <w:pPr>
              <w:jc w:val="both"/>
              <w:rPr>
                <w:szCs w:val="24"/>
                <w:lang w:val="lv-LV"/>
              </w:rPr>
            </w:pPr>
            <w:r w:rsidRPr="00110477">
              <w:rPr>
                <w:szCs w:val="24"/>
                <w:lang w:val="lv-LV"/>
              </w:rPr>
              <w:t xml:space="preserve">Saskaņā ar Ministru </w:t>
            </w:r>
            <w:r w:rsidR="002D67AF">
              <w:rPr>
                <w:szCs w:val="24"/>
                <w:lang w:val="lv-LV"/>
              </w:rPr>
              <w:t>k</w:t>
            </w:r>
            <w:r w:rsidRPr="00110477">
              <w:rPr>
                <w:szCs w:val="24"/>
                <w:lang w:val="lv-LV"/>
              </w:rPr>
              <w:t xml:space="preserve">abineta </w:t>
            </w:r>
            <w:proofErr w:type="gramStart"/>
            <w:r w:rsidRPr="00110477">
              <w:rPr>
                <w:szCs w:val="24"/>
                <w:lang w:val="lv-LV"/>
              </w:rPr>
              <w:t>2014.gada</w:t>
            </w:r>
            <w:proofErr w:type="gramEnd"/>
            <w:r w:rsidRPr="00110477">
              <w:rPr>
                <w:szCs w:val="24"/>
                <w:lang w:val="lv-LV"/>
              </w:rPr>
              <w:t xml:space="preserve"> 15.jūlija rīkojuma Nr.357 "Par nepieciešamo finansējumu 2014.gadam, lai nodrošinātu Latvijas prezidentūru Eiropas Savienības Padomē 2015.gadā" 4.punktā noteikto uzdevumu 74. resora "Gadskārtējā valsts budžeta izpildes procesā pārdalāmais finansējums" budžeta programmas 04.00.00 "Latvijas prezidentūras Eiropas Savienības Padomē nodrošināšana 2015. gadā" nesadalītais finansējums 2014. gadam 229 771 </w:t>
            </w:r>
            <w:proofErr w:type="spellStart"/>
            <w:r w:rsidRPr="00110477">
              <w:rPr>
                <w:i/>
                <w:szCs w:val="24"/>
                <w:lang w:val="lv-LV"/>
              </w:rPr>
              <w:t>euro</w:t>
            </w:r>
            <w:proofErr w:type="spellEnd"/>
            <w:r w:rsidRPr="00110477">
              <w:rPr>
                <w:szCs w:val="24"/>
                <w:lang w:val="lv-LV"/>
              </w:rPr>
              <w:t xml:space="preserve"> apmērā sadalāms līdz 2014. gada 1.novembrim, ņemot vērā precizēto Latvijas prezidentūras programmu un pieejamo finansējumu.</w:t>
            </w:r>
          </w:p>
        </w:tc>
      </w:tr>
      <w:tr w:rsidR="0060785A" w:rsidRPr="00245AA6" w:rsidTr="001D579D">
        <w:trPr>
          <w:trHeight w:val="472"/>
        </w:trPr>
        <w:tc>
          <w:tcPr>
            <w:tcW w:w="431" w:type="dxa"/>
          </w:tcPr>
          <w:p w:rsidR="0060785A" w:rsidRPr="00694D69" w:rsidRDefault="0060785A" w:rsidP="008F0A29">
            <w:pPr>
              <w:pStyle w:val="naiskr"/>
              <w:spacing w:before="0" w:after="0"/>
              <w:jc w:val="center"/>
            </w:pPr>
            <w:r w:rsidRPr="00694D69">
              <w:t>2.</w:t>
            </w:r>
          </w:p>
        </w:tc>
        <w:tc>
          <w:tcPr>
            <w:tcW w:w="1837" w:type="dxa"/>
          </w:tcPr>
          <w:p w:rsidR="0060785A" w:rsidRPr="00694D69" w:rsidRDefault="0060785A" w:rsidP="00C50DD9">
            <w:pPr>
              <w:pStyle w:val="naiskr"/>
              <w:tabs>
                <w:tab w:val="left" w:pos="170"/>
              </w:tabs>
              <w:spacing w:before="0" w:after="0"/>
            </w:pPr>
            <w:r w:rsidRPr="00694D69">
              <w:t>Pašreizējā situācija un problēmas, kuru risināšanai tiesību akta projekta izstrādāts,</w:t>
            </w:r>
            <w:r w:rsidR="00171A36" w:rsidRPr="00694D69">
              <w:t xml:space="preserve"> </w:t>
            </w:r>
            <w:r w:rsidRPr="00694D69">
              <w:t>tiesiskā regulējuma mērķis un būtība</w:t>
            </w:r>
          </w:p>
        </w:tc>
        <w:tc>
          <w:tcPr>
            <w:tcW w:w="6668" w:type="dxa"/>
          </w:tcPr>
          <w:p w:rsidR="00F31EC7" w:rsidRPr="00F31EC7" w:rsidRDefault="00F31EC7" w:rsidP="00F31EC7">
            <w:pPr>
              <w:pStyle w:val="PlainText"/>
              <w:ind w:left="5" w:firstLine="279"/>
              <w:jc w:val="both"/>
              <w:rPr>
                <w:rFonts w:ascii="Times New Roman" w:hAnsi="Times New Roman" w:cs="Times New Roman"/>
                <w:sz w:val="24"/>
                <w:szCs w:val="24"/>
              </w:rPr>
            </w:pPr>
            <w:r w:rsidRPr="00F31EC7">
              <w:rPr>
                <w:rFonts w:ascii="Times New Roman" w:hAnsi="Times New Roman" w:cs="Times New Roman"/>
                <w:sz w:val="24"/>
                <w:szCs w:val="24"/>
              </w:rPr>
              <w:t xml:space="preserve">2015.gada pirmajā pusgadā, kad Latvija būs Eiropas Savienības </w:t>
            </w:r>
            <w:r w:rsidR="00FB3550">
              <w:rPr>
                <w:rFonts w:ascii="Times New Roman" w:hAnsi="Times New Roman" w:cs="Times New Roman"/>
                <w:sz w:val="24"/>
                <w:szCs w:val="24"/>
              </w:rPr>
              <w:t>P</w:t>
            </w:r>
            <w:r w:rsidRPr="00F31EC7">
              <w:rPr>
                <w:rFonts w:ascii="Times New Roman" w:hAnsi="Times New Roman" w:cs="Times New Roman"/>
                <w:sz w:val="24"/>
                <w:szCs w:val="24"/>
              </w:rPr>
              <w:t>adomes prezidējošā valsts, kā Latvijā, tā arī diplomātiskajās un konsulārajās pārstāvniecībās ārvalstīs būtiski palielināsies dažāda līmeņa publisko pasākumu skaits. Īpaša loma Latvijas, kā ES prezidējošās valsts, rīkotajiem pasākumiem būs Latvijas vēstniecībā Krievijas Federācijā saistībā ar saspringto situāciju Eiropas Savienības un tās sabiedroto attiecībās ar Krievijas Federāciju, kas izveidojusies Krievijai īstenojot Krimas aneksiju un bruņotā konflikta eskalāciju Ukrainas Austrumu reģionos. Līdz ar to, lai nodrošinātu šo publiskās diplomātijas funkciju atbilstošā līmenī, arī no drošības viedokļa, ir nepieciešams uzlabot Latvijas Republikas vēstniecības Krievijas Federācijā publisko telpu tehnisko stāvokli un vēstniecības kompleksa aprīkojumu.</w:t>
            </w:r>
          </w:p>
          <w:p w:rsidR="00F31EC7" w:rsidRPr="00F31EC7" w:rsidRDefault="00F31EC7" w:rsidP="00F31EC7">
            <w:pPr>
              <w:pStyle w:val="PlainText"/>
              <w:ind w:left="5" w:firstLine="284"/>
              <w:jc w:val="both"/>
              <w:rPr>
                <w:rFonts w:ascii="Times New Roman" w:hAnsi="Times New Roman" w:cs="Times New Roman"/>
                <w:sz w:val="24"/>
                <w:szCs w:val="24"/>
              </w:rPr>
            </w:pPr>
            <w:r w:rsidRPr="00F31EC7">
              <w:rPr>
                <w:rFonts w:ascii="Times New Roman" w:hAnsi="Times New Roman" w:cs="Times New Roman"/>
                <w:sz w:val="24"/>
                <w:szCs w:val="24"/>
              </w:rPr>
              <w:t xml:space="preserve">Ārlietu ministrijai nepieciešams pārdalīt izdevumus 2014. gadam, </w:t>
            </w:r>
            <w:proofErr w:type="gramStart"/>
            <w:r w:rsidRPr="00F31EC7">
              <w:rPr>
                <w:rFonts w:ascii="Times New Roman" w:hAnsi="Times New Roman" w:cs="Times New Roman"/>
                <w:sz w:val="24"/>
                <w:szCs w:val="24"/>
              </w:rPr>
              <w:t>lai nodrošinātu steidzamu remontdarbu veikšanu Latvijas Republikas vēstniecības kompleksa Krievijas Federācijā viesu namā „Tālava”</w:t>
            </w:r>
            <w:proofErr w:type="gramEnd"/>
            <w:r w:rsidRPr="00F31EC7">
              <w:rPr>
                <w:rFonts w:ascii="Times New Roman" w:hAnsi="Times New Roman" w:cs="Times New Roman"/>
                <w:sz w:val="24"/>
                <w:szCs w:val="24"/>
              </w:rPr>
              <w:t xml:space="preserve"> kurus iespējams pabeigt līdz 2014. gada beigām. </w:t>
            </w:r>
          </w:p>
          <w:p w:rsidR="00791E32" w:rsidRDefault="00F31EC7" w:rsidP="00F31EC7">
            <w:pPr>
              <w:pStyle w:val="PlainText"/>
              <w:ind w:left="5" w:firstLine="284"/>
              <w:jc w:val="both"/>
              <w:rPr>
                <w:rFonts w:ascii="Times New Roman" w:hAnsi="Times New Roman" w:cs="Times New Roman"/>
                <w:sz w:val="24"/>
                <w:szCs w:val="24"/>
              </w:rPr>
            </w:pPr>
            <w:r w:rsidRPr="00F31EC7">
              <w:rPr>
                <w:rFonts w:ascii="Times New Roman" w:hAnsi="Times New Roman" w:cs="Times New Roman"/>
                <w:sz w:val="24"/>
                <w:szCs w:val="24"/>
              </w:rPr>
              <w:t xml:space="preserve">Viesu nama „Tālava” ēkas rekonstrukcija Maskavas vēsturiskajā centrā, </w:t>
            </w:r>
            <w:proofErr w:type="spellStart"/>
            <w:r w:rsidRPr="00F31EC7">
              <w:rPr>
                <w:rFonts w:ascii="Times New Roman" w:hAnsi="Times New Roman" w:cs="Times New Roman"/>
                <w:sz w:val="24"/>
                <w:szCs w:val="24"/>
              </w:rPr>
              <w:t>Čapligina</w:t>
            </w:r>
            <w:proofErr w:type="spellEnd"/>
            <w:r w:rsidRPr="00F31EC7">
              <w:rPr>
                <w:rFonts w:ascii="Times New Roman" w:hAnsi="Times New Roman" w:cs="Times New Roman"/>
                <w:sz w:val="24"/>
                <w:szCs w:val="24"/>
              </w:rPr>
              <w:t xml:space="preserve"> ielā 3 </w:t>
            </w:r>
            <w:proofErr w:type="spellStart"/>
            <w:r w:rsidRPr="00F31EC7">
              <w:rPr>
                <w:rFonts w:ascii="Times New Roman" w:hAnsi="Times New Roman" w:cs="Times New Roman"/>
                <w:sz w:val="24"/>
                <w:szCs w:val="24"/>
              </w:rPr>
              <w:t>vairākkārt</w:t>
            </w:r>
            <w:proofErr w:type="spellEnd"/>
            <w:r w:rsidRPr="00F31EC7">
              <w:rPr>
                <w:rFonts w:ascii="Times New Roman" w:hAnsi="Times New Roman" w:cs="Times New Roman"/>
                <w:sz w:val="24"/>
                <w:szCs w:val="24"/>
              </w:rPr>
              <w:t xml:space="preserve"> tiek atlikta. Ēka pašlaik ir ļoti sliktā tehniskā stāvoklī, un remonts tajā nav veikts kopš viesu nama būvniecības 1989. gadā. Jau ilgāku laiku ir identificētas problēmas gan ar apkures, gan ūdens, gan citām inženierkomunikācijām. Ņemot </w:t>
            </w:r>
            <w:r w:rsidRPr="00F31EC7">
              <w:rPr>
                <w:rFonts w:ascii="Times New Roman" w:hAnsi="Times New Roman" w:cs="Times New Roman"/>
                <w:sz w:val="24"/>
                <w:szCs w:val="24"/>
              </w:rPr>
              <w:lastRenderedPageBreak/>
              <w:t>vērā, ka ēkā dzīvo visi diplomātiskās pārstāvniecības darbinieki, būtiski ir nodrošināt visu sistēmu, komunikāciju darbību, lai nodrošinātu normālus sadzīves apstākļus un veiktu mini</w:t>
            </w:r>
            <w:r w:rsidR="00791E32">
              <w:rPr>
                <w:rFonts w:ascii="Times New Roman" w:hAnsi="Times New Roman" w:cs="Times New Roman"/>
                <w:sz w:val="24"/>
                <w:szCs w:val="24"/>
              </w:rPr>
              <w:t xml:space="preserve">mālos ugunsdrošības pasākumus. </w:t>
            </w:r>
            <w:r w:rsidR="00267A90">
              <w:rPr>
                <w:rFonts w:ascii="Times New Roman" w:hAnsi="Times New Roman" w:cs="Times New Roman"/>
                <w:sz w:val="24"/>
                <w:szCs w:val="24"/>
              </w:rPr>
              <w:t xml:space="preserve">Jau 2012. gada nogalē </w:t>
            </w:r>
            <w:r w:rsidR="00267A90" w:rsidRPr="00F31EC7">
              <w:rPr>
                <w:rFonts w:ascii="Times New Roman" w:hAnsi="Times New Roman" w:cs="Times New Roman"/>
                <w:sz w:val="24"/>
                <w:szCs w:val="24"/>
              </w:rPr>
              <w:t>Valsts ugu</w:t>
            </w:r>
            <w:r w:rsidR="00267A90">
              <w:rPr>
                <w:rFonts w:ascii="Times New Roman" w:hAnsi="Times New Roman" w:cs="Times New Roman"/>
                <w:sz w:val="24"/>
                <w:szCs w:val="24"/>
              </w:rPr>
              <w:t>nsdzēsības un glābšanas dienests pēc</w:t>
            </w:r>
            <w:r w:rsidR="00267A90" w:rsidRPr="00F31EC7">
              <w:rPr>
                <w:rFonts w:ascii="Times New Roman" w:hAnsi="Times New Roman" w:cs="Times New Roman"/>
                <w:sz w:val="24"/>
                <w:szCs w:val="24"/>
              </w:rPr>
              <w:t xml:space="preserve"> </w:t>
            </w:r>
            <w:r w:rsidRPr="00F31EC7">
              <w:rPr>
                <w:rFonts w:ascii="Times New Roman" w:hAnsi="Times New Roman" w:cs="Times New Roman"/>
                <w:sz w:val="24"/>
                <w:szCs w:val="24"/>
              </w:rPr>
              <w:t>Ārlietu ministrija</w:t>
            </w:r>
            <w:r w:rsidR="00267A90">
              <w:rPr>
                <w:rFonts w:ascii="Times New Roman" w:hAnsi="Times New Roman" w:cs="Times New Roman"/>
                <w:sz w:val="24"/>
                <w:szCs w:val="24"/>
              </w:rPr>
              <w:t>s lūguma</w:t>
            </w:r>
            <w:proofErr w:type="gramStart"/>
            <w:r w:rsidR="00267A90">
              <w:rPr>
                <w:rFonts w:ascii="Times New Roman" w:hAnsi="Times New Roman" w:cs="Times New Roman"/>
                <w:sz w:val="24"/>
                <w:szCs w:val="24"/>
              </w:rPr>
              <w:t xml:space="preserve"> </w:t>
            </w:r>
            <w:r w:rsidRPr="00F31EC7">
              <w:rPr>
                <w:rFonts w:ascii="Times New Roman" w:hAnsi="Times New Roman" w:cs="Times New Roman"/>
                <w:sz w:val="24"/>
                <w:szCs w:val="24"/>
              </w:rPr>
              <w:t xml:space="preserve"> </w:t>
            </w:r>
            <w:proofErr w:type="gramEnd"/>
            <w:r w:rsidR="00267A90">
              <w:rPr>
                <w:rFonts w:ascii="Times New Roman" w:hAnsi="Times New Roman" w:cs="Times New Roman"/>
                <w:sz w:val="24"/>
                <w:szCs w:val="24"/>
              </w:rPr>
              <w:t>sagatavoja</w:t>
            </w:r>
            <w:r w:rsidRPr="00F31EC7">
              <w:rPr>
                <w:rFonts w:ascii="Times New Roman" w:hAnsi="Times New Roman" w:cs="Times New Roman"/>
                <w:sz w:val="24"/>
                <w:szCs w:val="24"/>
              </w:rPr>
              <w:t xml:space="preserve"> atzinumu par Latvijas Republikas vēstniecības Krievijas Federācijā kompleksa – viesu nama „Tālava” ēkas </w:t>
            </w:r>
            <w:proofErr w:type="spellStart"/>
            <w:r w:rsidRPr="00F31EC7">
              <w:rPr>
                <w:rFonts w:ascii="Times New Roman" w:hAnsi="Times New Roman" w:cs="Times New Roman"/>
                <w:sz w:val="24"/>
                <w:szCs w:val="24"/>
              </w:rPr>
              <w:t>Čapligina</w:t>
            </w:r>
            <w:proofErr w:type="spellEnd"/>
            <w:r w:rsidRPr="00F31EC7">
              <w:rPr>
                <w:rFonts w:ascii="Times New Roman" w:hAnsi="Times New Roman" w:cs="Times New Roman"/>
                <w:sz w:val="24"/>
                <w:szCs w:val="24"/>
              </w:rPr>
              <w:t xml:space="preserve"> ielā 3, Maskavā atbilstību ugunsdrošības prasībām</w:t>
            </w:r>
            <w:r w:rsidR="00267A90">
              <w:rPr>
                <w:rFonts w:ascii="Times New Roman" w:hAnsi="Times New Roman" w:cs="Times New Roman"/>
                <w:sz w:val="24"/>
                <w:szCs w:val="24"/>
              </w:rPr>
              <w:t xml:space="preserve"> un nepieciešamajiem pasākumiem to uzlabošanai. Atzinumā tika norādīts</w:t>
            </w:r>
            <w:r w:rsidRPr="00F31EC7">
              <w:rPr>
                <w:rFonts w:ascii="Times New Roman" w:hAnsi="Times New Roman" w:cs="Times New Roman"/>
                <w:sz w:val="24"/>
                <w:szCs w:val="24"/>
              </w:rPr>
              <w:t xml:space="preserve">, ka minētais objekts neatbilst spēkā esošo ugunsdrošības normatīvo aktu prasībām un </w:t>
            </w:r>
            <w:r w:rsidR="00267A90">
              <w:rPr>
                <w:rFonts w:ascii="Times New Roman" w:hAnsi="Times New Roman" w:cs="Times New Roman"/>
                <w:sz w:val="24"/>
                <w:szCs w:val="24"/>
              </w:rPr>
              <w:t xml:space="preserve">ir </w:t>
            </w:r>
            <w:r w:rsidRPr="00F31EC7">
              <w:rPr>
                <w:rFonts w:ascii="Times New Roman" w:hAnsi="Times New Roman" w:cs="Times New Roman"/>
                <w:sz w:val="24"/>
                <w:szCs w:val="24"/>
              </w:rPr>
              <w:t xml:space="preserve">nepieciešams veikt </w:t>
            </w:r>
            <w:r w:rsidR="00267A90">
              <w:rPr>
                <w:rFonts w:ascii="Times New Roman" w:hAnsi="Times New Roman" w:cs="Times New Roman"/>
                <w:sz w:val="24"/>
                <w:szCs w:val="24"/>
              </w:rPr>
              <w:t>virkni darbu ugunsdrošība</w:t>
            </w:r>
            <w:r w:rsidR="00245AA6">
              <w:rPr>
                <w:rFonts w:ascii="Times New Roman" w:hAnsi="Times New Roman" w:cs="Times New Roman"/>
                <w:sz w:val="24"/>
                <w:szCs w:val="24"/>
              </w:rPr>
              <w:t>s</w:t>
            </w:r>
            <w:r w:rsidR="00267A90">
              <w:rPr>
                <w:rFonts w:ascii="Times New Roman" w:hAnsi="Times New Roman" w:cs="Times New Roman"/>
                <w:sz w:val="24"/>
                <w:szCs w:val="24"/>
              </w:rPr>
              <w:t xml:space="preserve"> situācijas uzlabošanai līdz </w:t>
            </w:r>
            <w:r w:rsidRPr="00F31EC7">
              <w:rPr>
                <w:rFonts w:ascii="Times New Roman" w:hAnsi="Times New Roman" w:cs="Times New Roman"/>
                <w:sz w:val="24"/>
                <w:szCs w:val="24"/>
              </w:rPr>
              <w:t>ēka</w:t>
            </w:r>
            <w:r w:rsidR="00267A90">
              <w:rPr>
                <w:rFonts w:ascii="Times New Roman" w:hAnsi="Times New Roman" w:cs="Times New Roman"/>
                <w:sz w:val="24"/>
                <w:szCs w:val="24"/>
              </w:rPr>
              <w:t xml:space="preserve">s rekonstrukcijai. </w:t>
            </w:r>
            <w:r w:rsidR="00791E32">
              <w:rPr>
                <w:rFonts w:ascii="Times New Roman" w:hAnsi="Times New Roman" w:cs="Times New Roman"/>
                <w:sz w:val="24"/>
                <w:szCs w:val="24"/>
              </w:rPr>
              <w:t xml:space="preserve">Analizējot </w:t>
            </w:r>
            <w:r w:rsidR="00791E32" w:rsidRPr="00791E32">
              <w:rPr>
                <w:rFonts w:ascii="Times New Roman" w:hAnsi="Times New Roman" w:cs="Times New Roman"/>
                <w:sz w:val="24"/>
                <w:szCs w:val="24"/>
              </w:rPr>
              <w:t>Valsts ugu</w:t>
            </w:r>
            <w:r w:rsidR="00791E32">
              <w:rPr>
                <w:rFonts w:ascii="Times New Roman" w:hAnsi="Times New Roman" w:cs="Times New Roman"/>
                <w:sz w:val="24"/>
                <w:szCs w:val="24"/>
              </w:rPr>
              <w:t>nsdzēsības un glābšanas dienesta atzinumu, tika secināts, ka ir nepieciešams veikt šādus darbus, l</w:t>
            </w:r>
            <w:r w:rsidR="00267A90" w:rsidRPr="00267A90">
              <w:rPr>
                <w:rFonts w:ascii="Times New Roman" w:hAnsi="Times New Roman" w:cs="Times New Roman"/>
                <w:sz w:val="24"/>
                <w:szCs w:val="24"/>
              </w:rPr>
              <w:t>ai izpildītu ugunsdrošības normatīvo aktu prasības</w:t>
            </w:r>
            <w:r w:rsidR="00791E32">
              <w:rPr>
                <w:rFonts w:ascii="Times New Roman" w:hAnsi="Times New Roman" w:cs="Times New Roman"/>
                <w:sz w:val="24"/>
                <w:szCs w:val="24"/>
              </w:rPr>
              <w:t xml:space="preserve"> – </w:t>
            </w:r>
            <w:proofErr w:type="spellStart"/>
            <w:r w:rsidR="00791E32">
              <w:rPr>
                <w:rFonts w:ascii="Times New Roman" w:hAnsi="Times New Roman" w:cs="Times New Roman"/>
                <w:sz w:val="24"/>
                <w:szCs w:val="24"/>
              </w:rPr>
              <w:t>pandusa</w:t>
            </w:r>
            <w:proofErr w:type="spellEnd"/>
            <w:r w:rsidR="00791E32">
              <w:rPr>
                <w:rFonts w:ascii="Times New Roman" w:hAnsi="Times New Roman" w:cs="Times New Roman"/>
                <w:sz w:val="24"/>
                <w:szCs w:val="24"/>
              </w:rPr>
              <w:t xml:space="preserve"> remontu, lai nodrošinātu ūdens nepiekļūšanu ēkā un elektrosistēmas drošību, veikt automātiskās ugunsgrēka atklāšanas un trauksmes signalizācijas </w:t>
            </w:r>
            <w:proofErr w:type="spellStart"/>
            <w:r w:rsidR="00791E32">
              <w:rPr>
                <w:rFonts w:ascii="Times New Roman" w:hAnsi="Times New Roman" w:cs="Times New Roman"/>
                <w:sz w:val="24"/>
                <w:szCs w:val="24"/>
              </w:rPr>
              <w:t>sprinkleru</w:t>
            </w:r>
            <w:proofErr w:type="spellEnd"/>
            <w:r w:rsidR="00791E32">
              <w:rPr>
                <w:rFonts w:ascii="Times New Roman" w:hAnsi="Times New Roman" w:cs="Times New Roman"/>
                <w:sz w:val="24"/>
                <w:szCs w:val="24"/>
              </w:rPr>
              <w:t xml:space="preserve"> sistēmas, dūmu sistēmas distances vadības sistēmu remontu (rekonstrukciju), kā arī veikt zemējuma un </w:t>
            </w:r>
            <w:proofErr w:type="spellStart"/>
            <w:r w:rsidR="00791E32">
              <w:rPr>
                <w:rFonts w:ascii="Times New Roman" w:hAnsi="Times New Roman" w:cs="Times New Roman"/>
                <w:sz w:val="24"/>
                <w:szCs w:val="24"/>
              </w:rPr>
              <w:t>zibensaizsardzības</w:t>
            </w:r>
            <w:proofErr w:type="spellEnd"/>
            <w:r w:rsidR="00791E32">
              <w:rPr>
                <w:rFonts w:ascii="Times New Roman" w:hAnsi="Times New Roman" w:cs="Times New Roman"/>
                <w:sz w:val="24"/>
                <w:szCs w:val="24"/>
              </w:rPr>
              <w:t xml:space="preserve"> ierīču pārbaudi un elektroinstalācijas izolācijas pretestības mērījumus.</w:t>
            </w:r>
          </w:p>
          <w:p w:rsidR="00F31EC7" w:rsidRPr="00F31EC7" w:rsidRDefault="00F31EC7" w:rsidP="00F31EC7">
            <w:pPr>
              <w:pStyle w:val="PlainText"/>
              <w:ind w:left="5" w:firstLine="284"/>
              <w:jc w:val="both"/>
              <w:rPr>
                <w:rFonts w:ascii="Times New Roman" w:hAnsi="Times New Roman" w:cs="Times New Roman"/>
                <w:sz w:val="24"/>
                <w:szCs w:val="24"/>
              </w:rPr>
            </w:pPr>
            <w:r w:rsidRPr="00F31EC7">
              <w:rPr>
                <w:rFonts w:ascii="Times New Roman" w:hAnsi="Times New Roman" w:cs="Times New Roman"/>
                <w:sz w:val="24"/>
                <w:szCs w:val="24"/>
              </w:rPr>
              <w:t xml:space="preserve">VAS </w:t>
            </w:r>
            <w:r w:rsidR="00CD0268">
              <w:rPr>
                <w:rFonts w:ascii="Times New Roman" w:hAnsi="Times New Roman" w:cs="Times New Roman"/>
                <w:sz w:val="24"/>
                <w:szCs w:val="24"/>
              </w:rPr>
              <w:t>„</w:t>
            </w:r>
            <w:r w:rsidRPr="00F31EC7">
              <w:rPr>
                <w:rFonts w:ascii="Times New Roman" w:hAnsi="Times New Roman" w:cs="Times New Roman"/>
                <w:sz w:val="24"/>
                <w:szCs w:val="24"/>
              </w:rPr>
              <w:t>Valsts nekustamie īpašumi</w:t>
            </w:r>
            <w:r w:rsidR="00CD0268">
              <w:rPr>
                <w:rFonts w:ascii="Times New Roman" w:hAnsi="Times New Roman" w:cs="Times New Roman"/>
                <w:sz w:val="24"/>
                <w:szCs w:val="24"/>
              </w:rPr>
              <w:t>”</w:t>
            </w:r>
            <w:r w:rsidRPr="00F31EC7">
              <w:rPr>
                <w:rFonts w:ascii="Times New Roman" w:hAnsi="Times New Roman" w:cs="Times New Roman"/>
                <w:sz w:val="24"/>
                <w:szCs w:val="24"/>
              </w:rPr>
              <w:t xml:space="preserve"> ir sagatavojusi detalizētu steidzami veicamo darbu plānu, kurus ir iespējams veikt pirms rekonstrukcijas, paredzot to izmaksas 230 000 </w:t>
            </w:r>
            <w:proofErr w:type="spellStart"/>
            <w:r w:rsidRPr="00F31EC7">
              <w:rPr>
                <w:rFonts w:ascii="Times New Roman" w:hAnsi="Times New Roman" w:cs="Times New Roman"/>
                <w:sz w:val="24"/>
                <w:szCs w:val="24"/>
              </w:rPr>
              <w:t>euro</w:t>
            </w:r>
            <w:proofErr w:type="spellEnd"/>
            <w:r w:rsidRPr="00F31EC7">
              <w:rPr>
                <w:rFonts w:ascii="Times New Roman" w:hAnsi="Times New Roman" w:cs="Times New Roman"/>
                <w:sz w:val="24"/>
                <w:szCs w:val="24"/>
              </w:rPr>
              <w:t xml:space="preserve"> apmērā. Daļa steidzamo un neatliekamo darbu ietver ūdensapgādes, kanalizācijas, siltumapgādes sistēmu normālas funkcionalitātes nodrošināšanu, zemējuma un </w:t>
            </w:r>
            <w:proofErr w:type="spellStart"/>
            <w:r w:rsidRPr="00F31EC7">
              <w:rPr>
                <w:rFonts w:ascii="Times New Roman" w:hAnsi="Times New Roman" w:cs="Times New Roman"/>
                <w:sz w:val="24"/>
                <w:szCs w:val="24"/>
              </w:rPr>
              <w:t>zibensaizsardzības</w:t>
            </w:r>
            <w:proofErr w:type="spellEnd"/>
            <w:r w:rsidRPr="00F31EC7">
              <w:rPr>
                <w:rFonts w:ascii="Times New Roman" w:hAnsi="Times New Roman" w:cs="Times New Roman"/>
                <w:sz w:val="24"/>
                <w:szCs w:val="24"/>
              </w:rPr>
              <w:t xml:space="preserve"> ierīču pārbaudes un elektroinstalācijas izolācijas pretestības mērīj</w:t>
            </w:r>
            <w:r w:rsidR="00267A90">
              <w:rPr>
                <w:rFonts w:ascii="Times New Roman" w:hAnsi="Times New Roman" w:cs="Times New Roman"/>
                <w:sz w:val="24"/>
                <w:szCs w:val="24"/>
              </w:rPr>
              <w:t>umu veikšanu, „</w:t>
            </w:r>
            <w:proofErr w:type="spellStart"/>
            <w:r w:rsidR="00267A90">
              <w:rPr>
                <w:rFonts w:ascii="Times New Roman" w:hAnsi="Times New Roman" w:cs="Times New Roman"/>
                <w:sz w:val="24"/>
                <w:szCs w:val="24"/>
              </w:rPr>
              <w:t>Tālavas</w:t>
            </w:r>
            <w:proofErr w:type="spellEnd"/>
            <w:r w:rsidR="00267A90">
              <w:rPr>
                <w:rFonts w:ascii="Times New Roman" w:hAnsi="Times New Roman" w:cs="Times New Roman"/>
                <w:sz w:val="24"/>
                <w:szCs w:val="24"/>
              </w:rPr>
              <w:t xml:space="preserve">” ieejas </w:t>
            </w:r>
            <w:proofErr w:type="spellStart"/>
            <w:r w:rsidR="00267A90">
              <w:rPr>
                <w:rFonts w:ascii="Times New Roman" w:hAnsi="Times New Roman" w:cs="Times New Roman"/>
                <w:sz w:val="24"/>
                <w:szCs w:val="24"/>
              </w:rPr>
              <w:t>pandusa</w:t>
            </w:r>
            <w:proofErr w:type="spellEnd"/>
            <w:r w:rsidRPr="00F31EC7">
              <w:rPr>
                <w:rFonts w:ascii="Times New Roman" w:hAnsi="Times New Roman" w:cs="Times New Roman"/>
                <w:sz w:val="24"/>
                <w:szCs w:val="24"/>
              </w:rPr>
              <w:t xml:space="preserve"> 2.kārtas labiekārtošanas darbus, kā arī vēstniecības kompleksa aprīkojumu un labiekārtošanu, lai nodrošinātu arī publisko funkciju veikšanu.</w:t>
            </w:r>
          </w:p>
          <w:p w:rsidR="00AF7B98" w:rsidRPr="00F31EC7" w:rsidRDefault="00F31EC7" w:rsidP="00F31EC7">
            <w:pPr>
              <w:pStyle w:val="PlainText"/>
              <w:ind w:left="5" w:firstLine="284"/>
              <w:jc w:val="both"/>
              <w:rPr>
                <w:rFonts w:ascii="Times New Roman" w:hAnsi="Times New Roman" w:cs="Times New Roman"/>
                <w:sz w:val="24"/>
                <w:szCs w:val="24"/>
              </w:rPr>
            </w:pPr>
            <w:r w:rsidRPr="00F31EC7">
              <w:rPr>
                <w:rFonts w:ascii="Times New Roman" w:hAnsi="Times New Roman" w:cs="Times New Roman"/>
                <w:sz w:val="24"/>
                <w:szCs w:val="24"/>
              </w:rPr>
              <w:t xml:space="preserve">Finansējuma pārdale ir iespējama, jo diplomātiskā un konsulārā dienesta personāla nokomplektēšanu Latvijas prezidentūras Eiropas Savienības Padomē nodrošināšanai </w:t>
            </w:r>
            <w:proofErr w:type="gramStart"/>
            <w:r w:rsidRPr="00F31EC7">
              <w:rPr>
                <w:rFonts w:ascii="Times New Roman" w:hAnsi="Times New Roman" w:cs="Times New Roman"/>
                <w:sz w:val="24"/>
                <w:szCs w:val="24"/>
              </w:rPr>
              <w:t>2015.gadā</w:t>
            </w:r>
            <w:proofErr w:type="gramEnd"/>
            <w:r w:rsidRPr="00F31EC7">
              <w:rPr>
                <w:rFonts w:ascii="Times New Roman" w:hAnsi="Times New Roman" w:cs="Times New Roman"/>
                <w:sz w:val="24"/>
                <w:szCs w:val="24"/>
              </w:rPr>
              <w:t xml:space="preserve"> ietekmē vairāki apstākļi – brīžiem neatbilstošais kvalificēto pieteikumu trūkums atklātajos konkursos, personāla atlases, kurā tiek iesaistītas arī citas valsts pārvaldes institūcijas, ilgums. Tādejādi, daļa darbinieku darba attiecības uzsāka daudz</w:t>
            </w:r>
            <w:r w:rsidR="00CD0268">
              <w:rPr>
                <w:rFonts w:ascii="Times New Roman" w:hAnsi="Times New Roman" w:cs="Times New Roman"/>
                <w:sz w:val="24"/>
                <w:szCs w:val="24"/>
              </w:rPr>
              <w:t xml:space="preserve"> vēlāk, nekā sākotnēji plānots.</w:t>
            </w:r>
            <w:bookmarkStart w:id="0" w:name="_GoBack"/>
            <w:bookmarkEnd w:id="0"/>
            <w:r w:rsidRPr="00F31EC7">
              <w:rPr>
                <w:rFonts w:ascii="Times New Roman" w:hAnsi="Times New Roman" w:cs="Times New Roman"/>
                <w:sz w:val="24"/>
                <w:szCs w:val="24"/>
              </w:rPr>
              <w:t xml:space="preserve"> Arī darbinieku amati personāla atlases rezultātā atšķīrās no iepriekš plānotajiem, kā arī daļa darbinieku pārcēlās uz darbu pārstāvniecībās bez ģimenēm, kas papildus kopumā veido finanšu resursu ietaupījumu.</w:t>
            </w:r>
          </w:p>
        </w:tc>
      </w:tr>
      <w:tr w:rsidR="0060785A" w:rsidRPr="00245AA6" w:rsidTr="001D579D">
        <w:trPr>
          <w:trHeight w:val="846"/>
        </w:trPr>
        <w:tc>
          <w:tcPr>
            <w:tcW w:w="431" w:type="dxa"/>
          </w:tcPr>
          <w:p w:rsidR="0060785A" w:rsidRPr="00694D69" w:rsidRDefault="0060785A" w:rsidP="008F0A29">
            <w:pPr>
              <w:pStyle w:val="naiskr"/>
              <w:spacing w:before="0" w:after="0"/>
              <w:jc w:val="center"/>
            </w:pPr>
            <w:r w:rsidRPr="00694D69">
              <w:lastRenderedPageBreak/>
              <w:t>3.</w:t>
            </w:r>
          </w:p>
        </w:tc>
        <w:tc>
          <w:tcPr>
            <w:tcW w:w="1837" w:type="dxa"/>
          </w:tcPr>
          <w:p w:rsidR="0060785A" w:rsidRPr="00694D69" w:rsidRDefault="0060785A" w:rsidP="00C50DD9">
            <w:pPr>
              <w:pStyle w:val="naiskr"/>
              <w:spacing w:before="0" w:after="0"/>
            </w:pPr>
            <w:r w:rsidRPr="00694D69">
              <w:t>Projekta izstrādē iesaistītās institūcijas</w:t>
            </w:r>
          </w:p>
        </w:tc>
        <w:tc>
          <w:tcPr>
            <w:tcW w:w="6668" w:type="dxa"/>
          </w:tcPr>
          <w:p w:rsidR="0060785A" w:rsidRPr="00694D69" w:rsidRDefault="0060785A" w:rsidP="00A564F9">
            <w:pPr>
              <w:pStyle w:val="naiskr"/>
              <w:spacing w:before="0" w:after="0"/>
              <w:jc w:val="both"/>
            </w:pPr>
            <w:r w:rsidRPr="00694D69">
              <w:t>Ārlietu ministrija (Latvijas prezidentūras Eiropas Savienības Padomē sekretariāts).</w:t>
            </w:r>
          </w:p>
        </w:tc>
      </w:tr>
      <w:tr w:rsidR="0060785A" w:rsidRPr="00694D69" w:rsidTr="001D579D">
        <w:trPr>
          <w:trHeight w:val="327"/>
        </w:trPr>
        <w:tc>
          <w:tcPr>
            <w:tcW w:w="431" w:type="dxa"/>
          </w:tcPr>
          <w:p w:rsidR="0060785A" w:rsidRPr="00694D69" w:rsidRDefault="0060785A" w:rsidP="008F0A29">
            <w:pPr>
              <w:pStyle w:val="naiskr"/>
              <w:spacing w:before="0" w:after="0"/>
              <w:jc w:val="center"/>
            </w:pPr>
            <w:r w:rsidRPr="00694D69">
              <w:t>4.</w:t>
            </w:r>
          </w:p>
        </w:tc>
        <w:tc>
          <w:tcPr>
            <w:tcW w:w="1837" w:type="dxa"/>
          </w:tcPr>
          <w:p w:rsidR="0060785A" w:rsidRPr="00694D69" w:rsidRDefault="0060785A" w:rsidP="00C50DD9">
            <w:pPr>
              <w:pStyle w:val="naiskr"/>
              <w:spacing w:before="0" w:after="0"/>
            </w:pPr>
            <w:r w:rsidRPr="00694D69">
              <w:t>Cita informācija</w:t>
            </w:r>
          </w:p>
        </w:tc>
        <w:tc>
          <w:tcPr>
            <w:tcW w:w="6668" w:type="dxa"/>
          </w:tcPr>
          <w:p w:rsidR="0060785A" w:rsidRPr="00694D69" w:rsidRDefault="0060785A" w:rsidP="00C50DD9">
            <w:pPr>
              <w:pStyle w:val="naiskr"/>
              <w:spacing w:before="0" w:after="0"/>
              <w:jc w:val="both"/>
            </w:pPr>
            <w:r w:rsidRPr="00694D69">
              <w:t>Nav.</w:t>
            </w:r>
          </w:p>
        </w:tc>
      </w:tr>
    </w:tbl>
    <w:p w:rsidR="0060785A" w:rsidRDefault="0060785A" w:rsidP="0060785A">
      <w:pPr>
        <w:pStyle w:val="naisf"/>
        <w:spacing w:before="0" w:after="0"/>
      </w:pPr>
    </w:p>
    <w:p w:rsidR="008F0A29" w:rsidRPr="00694D69" w:rsidRDefault="008F0A29" w:rsidP="0060785A">
      <w:pPr>
        <w:pStyle w:val="naisf"/>
        <w:spacing w:before="0" w:after="0"/>
      </w:pPr>
    </w:p>
    <w:tbl>
      <w:tblPr>
        <w:tblW w:w="8993"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338"/>
        <w:gridCol w:w="1450"/>
        <w:gridCol w:w="1450"/>
        <w:gridCol w:w="1450"/>
        <w:gridCol w:w="1164"/>
      </w:tblGrid>
      <w:tr w:rsidR="0060785A" w:rsidRPr="00245AA6" w:rsidTr="001D579D">
        <w:trPr>
          <w:trHeight w:val="261"/>
          <w:jc w:val="center"/>
        </w:trPr>
        <w:tc>
          <w:tcPr>
            <w:tcW w:w="8993" w:type="dxa"/>
            <w:gridSpan w:val="6"/>
          </w:tcPr>
          <w:p w:rsidR="0060785A" w:rsidRPr="00694D69" w:rsidRDefault="0060785A" w:rsidP="00C50DD9">
            <w:pPr>
              <w:pStyle w:val="naisnod"/>
              <w:spacing w:before="0" w:after="0"/>
              <w:rPr>
                <w:i/>
              </w:rPr>
            </w:pPr>
            <w:r w:rsidRPr="00694D69">
              <w:br w:type="page"/>
              <w:t>III. Tiesību akta projekta ietekme uz valsts budžetu un pašvaldību budžetiem</w:t>
            </w:r>
          </w:p>
        </w:tc>
      </w:tr>
      <w:tr w:rsidR="0060785A" w:rsidRPr="00EA38C7" w:rsidTr="001D579D">
        <w:trPr>
          <w:jc w:val="center"/>
        </w:trPr>
        <w:tc>
          <w:tcPr>
            <w:tcW w:w="2141" w:type="dxa"/>
            <w:vMerge w:val="restart"/>
            <w:vAlign w:val="center"/>
          </w:tcPr>
          <w:p w:rsidR="0060785A" w:rsidRPr="00694D69" w:rsidRDefault="0060785A" w:rsidP="00C50DD9">
            <w:pPr>
              <w:pStyle w:val="naisf"/>
              <w:spacing w:before="0" w:after="0"/>
              <w:ind w:firstLine="0"/>
              <w:jc w:val="center"/>
              <w:rPr>
                <w:b/>
              </w:rPr>
            </w:pPr>
            <w:r w:rsidRPr="00694D69">
              <w:rPr>
                <w:b/>
              </w:rPr>
              <w:t>Rādītāji</w:t>
            </w:r>
          </w:p>
        </w:tc>
        <w:tc>
          <w:tcPr>
            <w:tcW w:w="2788" w:type="dxa"/>
            <w:gridSpan w:val="2"/>
            <w:vMerge w:val="restart"/>
            <w:vAlign w:val="center"/>
          </w:tcPr>
          <w:p w:rsidR="0060785A" w:rsidRPr="00694D69" w:rsidRDefault="0060785A" w:rsidP="00EA38C7">
            <w:pPr>
              <w:pStyle w:val="naisf"/>
              <w:spacing w:before="0" w:after="0"/>
              <w:ind w:firstLine="0"/>
              <w:jc w:val="center"/>
              <w:rPr>
                <w:b/>
              </w:rPr>
            </w:pPr>
            <w:r w:rsidRPr="00694D69">
              <w:rPr>
                <w:b/>
              </w:rPr>
              <w:t xml:space="preserve">2014. gads </w:t>
            </w:r>
            <w:r w:rsidRPr="00694D69">
              <w:t>(</w:t>
            </w:r>
            <w:proofErr w:type="spellStart"/>
            <w:r w:rsidR="00924E3C" w:rsidRPr="006008A0">
              <w:rPr>
                <w:i/>
              </w:rPr>
              <w:t>euro</w:t>
            </w:r>
            <w:proofErr w:type="spellEnd"/>
            <w:r w:rsidRPr="00694D69">
              <w:t>)</w:t>
            </w:r>
          </w:p>
        </w:tc>
        <w:tc>
          <w:tcPr>
            <w:tcW w:w="4064" w:type="dxa"/>
            <w:gridSpan w:val="3"/>
            <w:vAlign w:val="center"/>
          </w:tcPr>
          <w:p w:rsidR="0060785A" w:rsidRPr="00694D69" w:rsidRDefault="0060785A" w:rsidP="00EA38C7">
            <w:pPr>
              <w:pStyle w:val="naisf"/>
              <w:spacing w:before="0" w:after="0"/>
              <w:ind w:firstLine="0"/>
              <w:jc w:val="center"/>
              <w:rPr>
                <w:b/>
                <w:i/>
              </w:rPr>
            </w:pPr>
            <w:r w:rsidRPr="00694D69">
              <w:t>Turpmākie trīs gadi (</w:t>
            </w:r>
            <w:proofErr w:type="spellStart"/>
            <w:r w:rsidR="00924E3C" w:rsidRPr="006008A0">
              <w:rPr>
                <w:i/>
              </w:rPr>
              <w:t>euro</w:t>
            </w:r>
            <w:proofErr w:type="spellEnd"/>
            <w:r w:rsidRPr="00694D69">
              <w:t>)</w:t>
            </w:r>
          </w:p>
        </w:tc>
      </w:tr>
      <w:tr w:rsidR="0060785A" w:rsidRPr="00694D69" w:rsidTr="001D579D">
        <w:trPr>
          <w:jc w:val="center"/>
        </w:trPr>
        <w:tc>
          <w:tcPr>
            <w:tcW w:w="2141" w:type="dxa"/>
            <w:vMerge/>
            <w:vAlign w:val="center"/>
          </w:tcPr>
          <w:p w:rsidR="0060785A" w:rsidRPr="00694D69" w:rsidRDefault="0060785A" w:rsidP="00C50DD9">
            <w:pPr>
              <w:pStyle w:val="naisf"/>
              <w:spacing w:before="0" w:after="0"/>
              <w:ind w:firstLine="0"/>
              <w:jc w:val="center"/>
              <w:rPr>
                <w:b/>
                <w:i/>
              </w:rPr>
            </w:pPr>
          </w:p>
        </w:tc>
        <w:tc>
          <w:tcPr>
            <w:tcW w:w="2788" w:type="dxa"/>
            <w:gridSpan w:val="2"/>
            <w:vMerge/>
            <w:vAlign w:val="center"/>
          </w:tcPr>
          <w:p w:rsidR="0060785A" w:rsidRPr="00694D69" w:rsidRDefault="0060785A" w:rsidP="00C50DD9">
            <w:pPr>
              <w:pStyle w:val="naisf"/>
              <w:spacing w:before="0" w:after="0"/>
              <w:ind w:firstLine="0"/>
              <w:jc w:val="center"/>
              <w:rPr>
                <w:b/>
                <w:i/>
              </w:rPr>
            </w:pPr>
          </w:p>
        </w:tc>
        <w:tc>
          <w:tcPr>
            <w:tcW w:w="1450" w:type="dxa"/>
            <w:vAlign w:val="center"/>
          </w:tcPr>
          <w:p w:rsidR="0060785A" w:rsidRPr="00694D69" w:rsidRDefault="0060785A" w:rsidP="00C50DD9">
            <w:pPr>
              <w:pStyle w:val="naisf"/>
              <w:spacing w:before="0" w:after="0"/>
              <w:ind w:firstLine="0"/>
              <w:jc w:val="center"/>
              <w:rPr>
                <w:b/>
                <w:i/>
              </w:rPr>
            </w:pPr>
            <w:r w:rsidRPr="00694D69">
              <w:rPr>
                <w:b/>
                <w:bCs/>
              </w:rPr>
              <w:t>2015</w:t>
            </w:r>
          </w:p>
        </w:tc>
        <w:tc>
          <w:tcPr>
            <w:tcW w:w="1450" w:type="dxa"/>
            <w:vAlign w:val="center"/>
          </w:tcPr>
          <w:p w:rsidR="0060785A" w:rsidRPr="00694D69" w:rsidRDefault="0060785A" w:rsidP="00C50DD9">
            <w:pPr>
              <w:pStyle w:val="naisf"/>
              <w:spacing w:before="0" w:after="0"/>
              <w:ind w:firstLine="0"/>
              <w:jc w:val="center"/>
              <w:rPr>
                <w:b/>
                <w:i/>
              </w:rPr>
            </w:pPr>
            <w:r w:rsidRPr="00694D69">
              <w:rPr>
                <w:b/>
                <w:bCs/>
              </w:rPr>
              <w:t>2016</w:t>
            </w:r>
          </w:p>
        </w:tc>
        <w:tc>
          <w:tcPr>
            <w:tcW w:w="1164" w:type="dxa"/>
            <w:vAlign w:val="center"/>
          </w:tcPr>
          <w:p w:rsidR="0060785A" w:rsidRPr="00694D69" w:rsidRDefault="0060785A" w:rsidP="00C50DD9">
            <w:pPr>
              <w:pStyle w:val="naisf"/>
              <w:spacing w:before="0" w:after="0"/>
              <w:ind w:firstLine="0"/>
              <w:jc w:val="center"/>
              <w:rPr>
                <w:b/>
                <w:i/>
              </w:rPr>
            </w:pPr>
            <w:r w:rsidRPr="00694D69">
              <w:rPr>
                <w:b/>
                <w:bCs/>
              </w:rPr>
              <w:t>2017</w:t>
            </w:r>
          </w:p>
        </w:tc>
      </w:tr>
      <w:tr w:rsidR="0060785A" w:rsidRPr="00245AA6" w:rsidTr="001D579D">
        <w:trPr>
          <w:jc w:val="center"/>
        </w:trPr>
        <w:tc>
          <w:tcPr>
            <w:tcW w:w="2141" w:type="dxa"/>
            <w:vMerge/>
            <w:vAlign w:val="center"/>
          </w:tcPr>
          <w:p w:rsidR="0060785A" w:rsidRPr="00694D69" w:rsidRDefault="0060785A" w:rsidP="00C50DD9">
            <w:pPr>
              <w:pStyle w:val="naisf"/>
              <w:spacing w:before="0" w:after="0"/>
              <w:ind w:firstLine="0"/>
              <w:jc w:val="center"/>
              <w:rPr>
                <w:b/>
                <w:i/>
              </w:rPr>
            </w:pPr>
          </w:p>
        </w:tc>
        <w:tc>
          <w:tcPr>
            <w:tcW w:w="1338" w:type="dxa"/>
            <w:vAlign w:val="center"/>
          </w:tcPr>
          <w:p w:rsidR="0060785A" w:rsidRPr="00694D69" w:rsidRDefault="0060785A" w:rsidP="00C50DD9">
            <w:pPr>
              <w:pStyle w:val="naisf"/>
              <w:spacing w:before="0" w:after="0"/>
              <w:ind w:firstLine="0"/>
              <w:jc w:val="center"/>
              <w:rPr>
                <w:b/>
                <w:i/>
              </w:rPr>
            </w:pPr>
            <w:r w:rsidRPr="00694D69">
              <w:t>Saskaņā ar valsts budžetu kārtējam gadam</w:t>
            </w:r>
          </w:p>
        </w:tc>
        <w:tc>
          <w:tcPr>
            <w:tcW w:w="1450" w:type="dxa"/>
            <w:vAlign w:val="center"/>
          </w:tcPr>
          <w:p w:rsidR="0060785A" w:rsidRPr="00694D69" w:rsidRDefault="0060785A" w:rsidP="00C50DD9">
            <w:pPr>
              <w:pStyle w:val="naisf"/>
              <w:spacing w:before="0" w:after="0"/>
              <w:ind w:firstLine="0"/>
              <w:jc w:val="center"/>
              <w:rPr>
                <w:b/>
                <w:i/>
              </w:rPr>
            </w:pPr>
            <w:r w:rsidRPr="00694D69">
              <w:t>Izmaiņas kārtējā gadā, salīdzinot ar budžetu kārtējam gadam</w:t>
            </w:r>
          </w:p>
        </w:tc>
        <w:tc>
          <w:tcPr>
            <w:tcW w:w="1450" w:type="dxa"/>
            <w:vAlign w:val="center"/>
          </w:tcPr>
          <w:p w:rsidR="0060785A" w:rsidRPr="00694D69" w:rsidRDefault="0060785A" w:rsidP="00C50DD9">
            <w:pPr>
              <w:pStyle w:val="naisf"/>
              <w:spacing w:before="0" w:after="0"/>
              <w:ind w:firstLine="0"/>
              <w:jc w:val="center"/>
              <w:rPr>
                <w:b/>
                <w:i/>
              </w:rPr>
            </w:pPr>
            <w:r w:rsidRPr="00694D69">
              <w:t>Izmaiņas, salīdzinot ar kārtējo (n) gadu</w:t>
            </w:r>
          </w:p>
        </w:tc>
        <w:tc>
          <w:tcPr>
            <w:tcW w:w="1450" w:type="dxa"/>
            <w:vAlign w:val="center"/>
          </w:tcPr>
          <w:p w:rsidR="0060785A" w:rsidRPr="00694D69" w:rsidRDefault="0060785A" w:rsidP="00C50DD9">
            <w:pPr>
              <w:pStyle w:val="naisf"/>
              <w:spacing w:before="0" w:after="0"/>
              <w:ind w:firstLine="0"/>
              <w:jc w:val="center"/>
              <w:rPr>
                <w:b/>
                <w:i/>
              </w:rPr>
            </w:pPr>
            <w:r w:rsidRPr="00694D69">
              <w:t>Izmaiņas, salīdzinot ar kārtējo (n) gadu</w:t>
            </w:r>
          </w:p>
        </w:tc>
        <w:tc>
          <w:tcPr>
            <w:tcW w:w="1164" w:type="dxa"/>
            <w:vAlign w:val="center"/>
          </w:tcPr>
          <w:p w:rsidR="0060785A" w:rsidRPr="00694D69" w:rsidRDefault="0060785A" w:rsidP="00C50DD9">
            <w:pPr>
              <w:pStyle w:val="naisf"/>
              <w:spacing w:before="0" w:after="0"/>
              <w:ind w:firstLine="0"/>
              <w:jc w:val="center"/>
              <w:rPr>
                <w:b/>
                <w:i/>
              </w:rPr>
            </w:pPr>
            <w:r w:rsidRPr="00694D69">
              <w:t>Izmaiņas, salīdzinot ar kārtējo (n) gadu</w:t>
            </w:r>
          </w:p>
        </w:tc>
      </w:tr>
      <w:tr w:rsidR="0060785A" w:rsidRPr="00694D69" w:rsidTr="001D579D">
        <w:trPr>
          <w:jc w:val="center"/>
        </w:trPr>
        <w:tc>
          <w:tcPr>
            <w:tcW w:w="2141" w:type="dxa"/>
            <w:vAlign w:val="center"/>
          </w:tcPr>
          <w:p w:rsidR="0060785A" w:rsidRPr="00694D69" w:rsidRDefault="0060785A" w:rsidP="00C50DD9">
            <w:pPr>
              <w:pStyle w:val="naisf"/>
              <w:spacing w:before="0" w:after="0"/>
              <w:ind w:firstLine="0"/>
              <w:jc w:val="center"/>
              <w:rPr>
                <w:bCs/>
              </w:rPr>
            </w:pPr>
            <w:r w:rsidRPr="00694D69">
              <w:rPr>
                <w:bCs/>
              </w:rPr>
              <w:t>1</w:t>
            </w:r>
          </w:p>
        </w:tc>
        <w:tc>
          <w:tcPr>
            <w:tcW w:w="1338" w:type="dxa"/>
            <w:vAlign w:val="center"/>
          </w:tcPr>
          <w:p w:rsidR="0060785A" w:rsidRPr="00694D69" w:rsidRDefault="0060785A" w:rsidP="00C50DD9">
            <w:pPr>
              <w:pStyle w:val="naisf"/>
              <w:spacing w:before="0" w:after="0"/>
              <w:ind w:firstLine="0"/>
              <w:jc w:val="center"/>
              <w:rPr>
                <w:bCs/>
              </w:rPr>
            </w:pPr>
            <w:r w:rsidRPr="00694D69">
              <w:rPr>
                <w:bCs/>
              </w:rPr>
              <w:t>2</w:t>
            </w:r>
          </w:p>
        </w:tc>
        <w:tc>
          <w:tcPr>
            <w:tcW w:w="1450" w:type="dxa"/>
            <w:vAlign w:val="center"/>
          </w:tcPr>
          <w:p w:rsidR="0060785A" w:rsidRPr="00694D69" w:rsidRDefault="0060785A" w:rsidP="00C50DD9">
            <w:pPr>
              <w:pStyle w:val="naisf"/>
              <w:spacing w:before="0" w:after="0"/>
              <w:ind w:firstLine="0"/>
              <w:jc w:val="center"/>
              <w:rPr>
                <w:bCs/>
              </w:rPr>
            </w:pPr>
            <w:r w:rsidRPr="00694D69">
              <w:rPr>
                <w:bCs/>
              </w:rPr>
              <w:t>3</w:t>
            </w:r>
          </w:p>
        </w:tc>
        <w:tc>
          <w:tcPr>
            <w:tcW w:w="1450" w:type="dxa"/>
            <w:vAlign w:val="center"/>
          </w:tcPr>
          <w:p w:rsidR="0060785A" w:rsidRPr="00694D69" w:rsidRDefault="0060785A" w:rsidP="00C50DD9">
            <w:pPr>
              <w:pStyle w:val="naisf"/>
              <w:spacing w:before="0" w:after="0"/>
              <w:ind w:firstLine="0"/>
              <w:jc w:val="center"/>
              <w:rPr>
                <w:bCs/>
              </w:rPr>
            </w:pPr>
            <w:r w:rsidRPr="00694D69">
              <w:rPr>
                <w:bCs/>
              </w:rPr>
              <w:t>4</w:t>
            </w:r>
          </w:p>
        </w:tc>
        <w:tc>
          <w:tcPr>
            <w:tcW w:w="1450" w:type="dxa"/>
            <w:vAlign w:val="center"/>
          </w:tcPr>
          <w:p w:rsidR="0060785A" w:rsidRPr="00694D69" w:rsidRDefault="0060785A" w:rsidP="00C50DD9">
            <w:pPr>
              <w:pStyle w:val="naisf"/>
              <w:spacing w:before="0" w:after="0"/>
              <w:ind w:firstLine="0"/>
              <w:jc w:val="center"/>
              <w:rPr>
                <w:bCs/>
              </w:rPr>
            </w:pPr>
            <w:r w:rsidRPr="00694D69">
              <w:rPr>
                <w:bCs/>
              </w:rPr>
              <w:t>5</w:t>
            </w:r>
          </w:p>
        </w:tc>
        <w:tc>
          <w:tcPr>
            <w:tcW w:w="1164" w:type="dxa"/>
            <w:vAlign w:val="center"/>
          </w:tcPr>
          <w:p w:rsidR="0060785A" w:rsidRPr="00694D69" w:rsidRDefault="0060785A" w:rsidP="00C50DD9">
            <w:pPr>
              <w:pStyle w:val="naisf"/>
              <w:spacing w:before="0" w:after="0"/>
              <w:ind w:firstLine="0"/>
              <w:jc w:val="center"/>
              <w:rPr>
                <w:bCs/>
              </w:rPr>
            </w:pPr>
            <w:r w:rsidRPr="00694D69">
              <w:rPr>
                <w:bCs/>
              </w:rPr>
              <w:t>6</w:t>
            </w:r>
          </w:p>
        </w:tc>
      </w:tr>
      <w:tr w:rsidR="0060785A" w:rsidRPr="00694D69" w:rsidTr="001D579D">
        <w:trPr>
          <w:trHeight w:val="618"/>
          <w:jc w:val="center"/>
        </w:trPr>
        <w:tc>
          <w:tcPr>
            <w:tcW w:w="2141" w:type="dxa"/>
          </w:tcPr>
          <w:p w:rsidR="0060785A" w:rsidRPr="00694D69" w:rsidRDefault="0060785A" w:rsidP="008F0A29">
            <w:pPr>
              <w:pStyle w:val="naisf"/>
              <w:spacing w:before="0" w:after="0"/>
              <w:ind w:firstLine="0"/>
              <w:jc w:val="left"/>
              <w:rPr>
                <w:i/>
              </w:rPr>
            </w:pPr>
            <w:r w:rsidRPr="00694D69">
              <w:t>1. Budžeta ieņēmumi:</w:t>
            </w:r>
          </w:p>
          <w:p w:rsidR="0060785A" w:rsidRPr="00694D69" w:rsidRDefault="0060785A" w:rsidP="008F0A29">
            <w:pPr>
              <w:pStyle w:val="naisf"/>
              <w:spacing w:before="0" w:after="0"/>
              <w:ind w:firstLine="0"/>
              <w:jc w:val="left"/>
              <w:rPr>
                <w:i/>
              </w:rPr>
            </w:pPr>
            <w:r w:rsidRPr="00694D69">
              <w:t>1.1. valsts pamatbudžets, tai skaitā ieņēmumi no maksas pakalpojumiem un citi pašu ieņēmumi</w:t>
            </w:r>
          </w:p>
          <w:p w:rsidR="0060785A" w:rsidRPr="00694D69" w:rsidRDefault="0060785A" w:rsidP="008F0A29">
            <w:pPr>
              <w:pStyle w:val="naisf"/>
              <w:spacing w:before="0" w:after="0"/>
              <w:ind w:firstLine="0"/>
              <w:jc w:val="left"/>
              <w:rPr>
                <w:i/>
              </w:rPr>
            </w:pPr>
            <w:r w:rsidRPr="00694D69">
              <w:t>1.2. valsts speciālais budžets</w:t>
            </w:r>
          </w:p>
          <w:p w:rsidR="0060785A" w:rsidRPr="00694D69" w:rsidRDefault="0060785A" w:rsidP="008F0A29">
            <w:pPr>
              <w:pStyle w:val="naisf"/>
              <w:ind w:firstLine="0"/>
              <w:jc w:val="left"/>
              <w:rPr>
                <w:i/>
              </w:rPr>
            </w:pPr>
            <w:r w:rsidRPr="00694D69">
              <w:t>1.3. pašvaldību budžets</w:t>
            </w:r>
          </w:p>
        </w:tc>
        <w:tc>
          <w:tcPr>
            <w:tcW w:w="1338" w:type="dxa"/>
          </w:tcPr>
          <w:p w:rsidR="0060785A" w:rsidRPr="00694D69" w:rsidRDefault="0060785A" w:rsidP="00C50DD9">
            <w:pPr>
              <w:jc w:val="center"/>
              <w:rPr>
                <w:szCs w:val="24"/>
                <w:lang w:val="lv-LV"/>
              </w:rPr>
            </w:pPr>
            <w:r w:rsidRPr="00694D69">
              <w:rPr>
                <w:szCs w:val="24"/>
                <w:lang w:val="lv-LV"/>
              </w:rPr>
              <w:t>0</w:t>
            </w:r>
          </w:p>
          <w:p w:rsidR="0060785A" w:rsidRPr="00694D69" w:rsidRDefault="0060785A" w:rsidP="00C50DD9">
            <w:pPr>
              <w:jc w:val="center"/>
              <w:rPr>
                <w:szCs w:val="24"/>
                <w:lang w:val="lv-LV"/>
              </w:rPr>
            </w:pPr>
          </w:p>
        </w:tc>
        <w:tc>
          <w:tcPr>
            <w:tcW w:w="1450" w:type="dxa"/>
          </w:tcPr>
          <w:p w:rsidR="0060785A" w:rsidRPr="00694D69" w:rsidRDefault="0060785A" w:rsidP="00C50DD9">
            <w:pPr>
              <w:jc w:val="center"/>
              <w:rPr>
                <w:szCs w:val="24"/>
                <w:lang w:val="lv-LV"/>
              </w:rPr>
            </w:pPr>
            <w:r w:rsidRPr="00694D69">
              <w:rPr>
                <w:szCs w:val="24"/>
                <w:lang w:val="lv-LV"/>
              </w:rPr>
              <w:t>0</w:t>
            </w:r>
          </w:p>
        </w:tc>
        <w:tc>
          <w:tcPr>
            <w:tcW w:w="1450" w:type="dxa"/>
          </w:tcPr>
          <w:p w:rsidR="0060785A" w:rsidRPr="00694D69" w:rsidRDefault="0060785A" w:rsidP="00C50DD9">
            <w:pPr>
              <w:jc w:val="center"/>
              <w:rPr>
                <w:szCs w:val="24"/>
                <w:lang w:val="lv-LV"/>
              </w:rPr>
            </w:pPr>
            <w:r w:rsidRPr="00694D69">
              <w:rPr>
                <w:szCs w:val="24"/>
                <w:lang w:val="lv-LV"/>
              </w:rPr>
              <w:t>0</w:t>
            </w:r>
          </w:p>
        </w:tc>
        <w:tc>
          <w:tcPr>
            <w:tcW w:w="1450" w:type="dxa"/>
          </w:tcPr>
          <w:p w:rsidR="0060785A" w:rsidRPr="00694D69" w:rsidRDefault="0060785A" w:rsidP="00C50DD9">
            <w:pPr>
              <w:jc w:val="center"/>
              <w:rPr>
                <w:szCs w:val="24"/>
                <w:lang w:val="lv-LV"/>
              </w:rPr>
            </w:pPr>
            <w:r w:rsidRPr="00694D69">
              <w:rPr>
                <w:szCs w:val="24"/>
                <w:lang w:val="lv-LV"/>
              </w:rPr>
              <w:t>0</w:t>
            </w:r>
          </w:p>
        </w:tc>
        <w:tc>
          <w:tcPr>
            <w:tcW w:w="1164" w:type="dxa"/>
          </w:tcPr>
          <w:p w:rsidR="0060785A" w:rsidRPr="00694D69" w:rsidRDefault="0060785A" w:rsidP="00C50DD9">
            <w:pPr>
              <w:jc w:val="center"/>
              <w:rPr>
                <w:szCs w:val="24"/>
                <w:lang w:val="lv-LV"/>
              </w:rPr>
            </w:pPr>
            <w:r w:rsidRPr="00694D69">
              <w:rPr>
                <w:szCs w:val="24"/>
                <w:lang w:val="lv-LV"/>
              </w:rPr>
              <w:t>0</w:t>
            </w:r>
          </w:p>
        </w:tc>
      </w:tr>
      <w:tr w:rsidR="0060785A" w:rsidRPr="00694D69" w:rsidTr="001D579D">
        <w:trPr>
          <w:trHeight w:val="2083"/>
          <w:jc w:val="center"/>
        </w:trPr>
        <w:tc>
          <w:tcPr>
            <w:tcW w:w="2141" w:type="dxa"/>
          </w:tcPr>
          <w:p w:rsidR="0060785A" w:rsidRPr="00694D69" w:rsidRDefault="0060785A" w:rsidP="008F0A29">
            <w:pPr>
              <w:rPr>
                <w:szCs w:val="24"/>
                <w:lang w:val="lv-LV"/>
              </w:rPr>
            </w:pPr>
            <w:r w:rsidRPr="00694D69">
              <w:rPr>
                <w:szCs w:val="24"/>
                <w:lang w:val="lv-LV"/>
              </w:rPr>
              <w:t>2. Budžeta izdevumi:</w:t>
            </w:r>
          </w:p>
          <w:p w:rsidR="0060785A" w:rsidRPr="00694D69" w:rsidRDefault="0060785A" w:rsidP="008F0A29">
            <w:pPr>
              <w:rPr>
                <w:szCs w:val="24"/>
                <w:lang w:val="lv-LV"/>
              </w:rPr>
            </w:pPr>
            <w:r w:rsidRPr="00694D69">
              <w:rPr>
                <w:szCs w:val="24"/>
                <w:lang w:val="lv-LV"/>
              </w:rPr>
              <w:t>2.1. valsts pamatbudžets</w:t>
            </w:r>
          </w:p>
          <w:p w:rsidR="0060785A" w:rsidRPr="00694D69" w:rsidRDefault="0060785A" w:rsidP="008F0A29">
            <w:pPr>
              <w:rPr>
                <w:szCs w:val="24"/>
                <w:lang w:val="lv-LV"/>
              </w:rPr>
            </w:pPr>
            <w:r w:rsidRPr="00694D69">
              <w:rPr>
                <w:szCs w:val="24"/>
                <w:lang w:val="lv-LV"/>
              </w:rPr>
              <w:t>2.2. valsts speciālais budžets</w:t>
            </w:r>
          </w:p>
          <w:p w:rsidR="0060785A" w:rsidRPr="00694D69" w:rsidRDefault="0060785A" w:rsidP="008F0A29">
            <w:pPr>
              <w:rPr>
                <w:szCs w:val="24"/>
                <w:lang w:val="lv-LV"/>
              </w:rPr>
            </w:pPr>
            <w:r w:rsidRPr="00694D69">
              <w:rPr>
                <w:szCs w:val="24"/>
                <w:lang w:val="lv-LV"/>
              </w:rPr>
              <w:t xml:space="preserve">2.3. pašvaldību budžets </w:t>
            </w:r>
          </w:p>
          <w:p w:rsidR="0060785A" w:rsidRPr="00694D69" w:rsidRDefault="0060785A" w:rsidP="008F0A29">
            <w:pPr>
              <w:rPr>
                <w:szCs w:val="24"/>
                <w:lang w:val="lv-LV"/>
              </w:rPr>
            </w:pPr>
            <w:r w:rsidRPr="00694D69">
              <w:rPr>
                <w:szCs w:val="24"/>
                <w:lang w:val="lv-LV"/>
              </w:rPr>
              <w:t>3. Finansiālā ietekme:</w:t>
            </w:r>
          </w:p>
          <w:p w:rsidR="0060785A" w:rsidRPr="00694D69" w:rsidRDefault="0060785A" w:rsidP="008F0A29">
            <w:pPr>
              <w:rPr>
                <w:szCs w:val="24"/>
                <w:lang w:val="lv-LV"/>
              </w:rPr>
            </w:pPr>
            <w:r w:rsidRPr="00694D69">
              <w:rPr>
                <w:szCs w:val="24"/>
                <w:lang w:val="lv-LV"/>
              </w:rPr>
              <w:t>3.1. valsts pamatbudžets</w:t>
            </w:r>
          </w:p>
          <w:p w:rsidR="0060785A" w:rsidRPr="00694D69" w:rsidRDefault="0060785A" w:rsidP="008F0A29">
            <w:pPr>
              <w:rPr>
                <w:szCs w:val="24"/>
                <w:lang w:val="lv-LV"/>
              </w:rPr>
            </w:pPr>
            <w:r w:rsidRPr="00694D69">
              <w:rPr>
                <w:szCs w:val="24"/>
                <w:lang w:val="lv-LV"/>
              </w:rPr>
              <w:t>3.2. speciālais budžets</w:t>
            </w:r>
          </w:p>
          <w:p w:rsidR="0060785A" w:rsidRPr="00694D69" w:rsidRDefault="0060785A" w:rsidP="008F0A29">
            <w:pPr>
              <w:rPr>
                <w:szCs w:val="24"/>
                <w:lang w:val="lv-LV"/>
              </w:rPr>
            </w:pPr>
            <w:r w:rsidRPr="00694D69">
              <w:rPr>
                <w:szCs w:val="24"/>
                <w:lang w:val="lv-LV"/>
              </w:rPr>
              <w:t xml:space="preserve">3.3. pašvaldību budžets </w:t>
            </w:r>
          </w:p>
        </w:tc>
        <w:tc>
          <w:tcPr>
            <w:tcW w:w="1338"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164"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r>
      <w:tr w:rsidR="0060785A" w:rsidRPr="00694D69" w:rsidTr="001D579D">
        <w:trPr>
          <w:trHeight w:val="1020"/>
          <w:jc w:val="center"/>
        </w:trPr>
        <w:tc>
          <w:tcPr>
            <w:tcW w:w="2141" w:type="dxa"/>
          </w:tcPr>
          <w:p w:rsidR="0060785A" w:rsidRPr="00694D69" w:rsidRDefault="0060785A" w:rsidP="008F0A29">
            <w:pPr>
              <w:rPr>
                <w:szCs w:val="24"/>
                <w:lang w:val="lv-LV"/>
              </w:rPr>
            </w:pPr>
            <w:r w:rsidRPr="00694D69">
              <w:rPr>
                <w:szCs w:val="24"/>
                <w:lang w:val="lv-LV"/>
              </w:rPr>
              <w:t>3. Finansiālā ietekme:</w:t>
            </w:r>
          </w:p>
          <w:p w:rsidR="0060785A" w:rsidRPr="00694D69" w:rsidRDefault="0060785A" w:rsidP="008F0A29">
            <w:pPr>
              <w:rPr>
                <w:szCs w:val="24"/>
                <w:lang w:val="lv-LV"/>
              </w:rPr>
            </w:pPr>
            <w:r w:rsidRPr="00694D69">
              <w:rPr>
                <w:szCs w:val="24"/>
                <w:lang w:val="lv-LV"/>
              </w:rPr>
              <w:t>3.1. valsts pamatbudžets</w:t>
            </w:r>
          </w:p>
          <w:p w:rsidR="0060785A" w:rsidRPr="00694D69" w:rsidRDefault="0060785A" w:rsidP="008F0A29">
            <w:pPr>
              <w:rPr>
                <w:szCs w:val="24"/>
                <w:lang w:val="lv-LV"/>
              </w:rPr>
            </w:pPr>
            <w:r w:rsidRPr="00694D69">
              <w:rPr>
                <w:szCs w:val="24"/>
                <w:lang w:val="lv-LV"/>
              </w:rPr>
              <w:t>3.2. speciālais budžets</w:t>
            </w:r>
          </w:p>
          <w:p w:rsidR="0060785A" w:rsidRPr="00694D69" w:rsidRDefault="0060785A" w:rsidP="008F0A29">
            <w:pPr>
              <w:rPr>
                <w:szCs w:val="24"/>
                <w:lang w:val="lv-LV"/>
              </w:rPr>
            </w:pPr>
            <w:r w:rsidRPr="00694D69">
              <w:rPr>
                <w:szCs w:val="24"/>
                <w:lang w:val="lv-LV"/>
              </w:rPr>
              <w:t>3.3. pašvaldību budžets</w:t>
            </w:r>
          </w:p>
        </w:tc>
        <w:tc>
          <w:tcPr>
            <w:tcW w:w="1338"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c>
          <w:tcPr>
            <w:tcW w:w="1164" w:type="dxa"/>
          </w:tcPr>
          <w:p w:rsidR="0060785A" w:rsidRPr="006008A0" w:rsidRDefault="0060785A" w:rsidP="00C50DD9">
            <w:pPr>
              <w:jc w:val="center"/>
              <w:rPr>
                <w:szCs w:val="24"/>
                <w:lang w:val="lv-LV"/>
              </w:rPr>
            </w:pPr>
            <w:r w:rsidRPr="006008A0">
              <w:rPr>
                <w:szCs w:val="24"/>
                <w:lang w:val="lv-LV"/>
              </w:rPr>
              <w:t>0</w:t>
            </w:r>
          </w:p>
          <w:p w:rsidR="0060785A" w:rsidRPr="006008A0" w:rsidRDefault="0060785A" w:rsidP="00C50DD9">
            <w:pPr>
              <w:jc w:val="center"/>
              <w:rPr>
                <w:szCs w:val="24"/>
                <w:lang w:val="lv-LV"/>
              </w:rPr>
            </w:pPr>
            <w:r w:rsidRPr="006008A0">
              <w:rPr>
                <w:szCs w:val="24"/>
                <w:lang w:val="lv-LV"/>
              </w:rPr>
              <w:t>0</w:t>
            </w:r>
          </w:p>
        </w:tc>
      </w:tr>
      <w:tr w:rsidR="0060785A" w:rsidRPr="00694D69" w:rsidTr="001D579D">
        <w:trPr>
          <w:trHeight w:val="995"/>
          <w:jc w:val="center"/>
        </w:trPr>
        <w:tc>
          <w:tcPr>
            <w:tcW w:w="2141" w:type="dxa"/>
          </w:tcPr>
          <w:p w:rsidR="0060785A" w:rsidRPr="00694D69" w:rsidRDefault="0060785A" w:rsidP="008F0A29">
            <w:pPr>
              <w:rPr>
                <w:szCs w:val="24"/>
                <w:lang w:val="lv-LV"/>
              </w:rPr>
            </w:pPr>
            <w:r w:rsidRPr="00694D69">
              <w:rPr>
                <w:szCs w:val="24"/>
                <w:lang w:val="lv-LV"/>
              </w:rPr>
              <w:t>4. Finanšu līdzekļi papildu izde</w:t>
            </w:r>
            <w:r w:rsidRPr="00694D69">
              <w:rPr>
                <w:szCs w:val="24"/>
                <w:lang w:val="lv-LV"/>
              </w:rPr>
              <w:softHyphen/>
              <w:t>vumu finansēšanai (kompensējošu izdevumu samazinājumu norāda ar "+" zīmi)</w:t>
            </w:r>
          </w:p>
        </w:tc>
        <w:tc>
          <w:tcPr>
            <w:tcW w:w="1338"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tc>
        <w:tc>
          <w:tcPr>
            <w:tcW w:w="1164" w:type="dxa"/>
          </w:tcPr>
          <w:p w:rsidR="0060785A" w:rsidRPr="006008A0" w:rsidRDefault="0060785A" w:rsidP="00C50DD9">
            <w:pPr>
              <w:jc w:val="center"/>
              <w:rPr>
                <w:szCs w:val="24"/>
                <w:lang w:val="lv-LV"/>
              </w:rPr>
            </w:pPr>
            <w:r w:rsidRPr="006008A0">
              <w:rPr>
                <w:szCs w:val="24"/>
                <w:lang w:val="lv-LV"/>
              </w:rPr>
              <w:t>0</w:t>
            </w:r>
          </w:p>
        </w:tc>
      </w:tr>
      <w:tr w:rsidR="0060785A" w:rsidRPr="00694D69" w:rsidTr="001D579D">
        <w:trPr>
          <w:trHeight w:val="1050"/>
          <w:jc w:val="center"/>
        </w:trPr>
        <w:tc>
          <w:tcPr>
            <w:tcW w:w="2141" w:type="dxa"/>
          </w:tcPr>
          <w:p w:rsidR="0060785A" w:rsidRPr="00694D69" w:rsidRDefault="0060785A" w:rsidP="008F0A29">
            <w:pPr>
              <w:rPr>
                <w:szCs w:val="24"/>
                <w:lang w:val="lv-LV"/>
              </w:rPr>
            </w:pPr>
            <w:r w:rsidRPr="00694D69">
              <w:rPr>
                <w:szCs w:val="24"/>
                <w:lang w:val="lv-LV"/>
              </w:rPr>
              <w:t>5. Precizēta finansiālā ietekme:</w:t>
            </w:r>
          </w:p>
          <w:p w:rsidR="0060785A" w:rsidRPr="00694D69" w:rsidRDefault="0060785A" w:rsidP="008F0A29">
            <w:pPr>
              <w:rPr>
                <w:szCs w:val="24"/>
                <w:lang w:val="lv-LV"/>
              </w:rPr>
            </w:pPr>
            <w:r w:rsidRPr="00694D69">
              <w:rPr>
                <w:szCs w:val="24"/>
                <w:lang w:val="lv-LV"/>
              </w:rPr>
              <w:t>5.1. valsts pamatbudžets</w:t>
            </w:r>
          </w:p>
          <w:p w:rsidR="0060785A" w:rsidRPr="00694D69" w:rsidRDefault="0060785A" w:rsidP="008F0A29">
            <w:pPr>
              <w:rPr>
                <w:szCs w:val="24"/>
                <w:lang w:val="lv-LV"/>
              </w:rPr>
            </w:pPr>
            <w:r w:rsidRPr="00694D69">
              <w:rPr>
                <w:szCs w:val="24"/>
                <w:lang w:val="lv-LV"/>
              </w:rPr>
              <w:t>5.2. speciālais budžets</w:t>
            </w:r>
          </w:p>
          <w:p w:rsidR="0060785A" w:rsidRPr="00694D69" w:rsidRDefault="0060785A" w:rsidP="008F0A29">
            <w:pPr>
              <w:rPr>
                <w:szCs w:val="24"/>
                <w:lang w:val="lv-LV"/>
              </w:rPr>
            </w:pPr>
            <w:r w:rsidRPr="00694D69">
              <w:rPr>
                <w:szCs w:val="24"/>
                <w:lang w:val="lv-LV"/>
              </w:rPr>
              <w:t xml:space="preserve">5.3. pašvaldību budžets </w:t>
            </w:r>
          </w:p>
        </w:tc>
        <w:tc>
          <w:tcPr>
            <w:tcW w:w="1338"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p>
        </w:tc>
        <w:tc>
          <w:tcPr>
            <w:tcW w:w="1450" w:type="dxa"/>
          </w:tcPr>
          <w:p w:rsidR="0060785A" w:rsidRPr="006008A0" w:rsidRDefault="0060785A" w:rsidP="00C50DD9">
            <w:pPr>
              <w:jc w:val="center"/>
              <w:rPr>
                <w:szCs w:val="24"/>
                <w:lang w:val="lv-LV"/>
              </w:rPr>
            </w:pPr>
            <w:r w:rsidRPr="006008A0">
              <w:rPr>
                <w:szCs w:val="24"/>
                <w:lang w:val="lv-LV"/>
              </w:rPr>
              <w:t>0</w:t>
            </w:r>
          </w:p>
        </w:tc>
        <w:tc>
          <w:tcPr>
            <w:tcW w:w="1450" w:type="dxa"/>
          </w:tcPr>
          <w:p w:rsidR="0060785A" w:rsidRPr="006008A0" w:rsidRDefault="0060785A" w:rsidP="00C50DD9">
            <w:pPr>
              <w:jc w:val="center"/>
              <w:rPr>
                <w:szCs w:val="24"/>
                <w:lang w:val="lv-LV"/>
              </w:rPr>
            </w:pPr>
            <w:r w:rsidRPr="006008A0">
              <w:rPr>
                <w:szCs w:val="24"/>
                <w:lang w:val="lv-LV"/>
              </w:rPr>
              <w:t>0</w:t>
            </w:r>
          </w:p>
        </w:tc>
        <w:tc>
          <w:tcPr>
            <w:tcW w:w="1164" w:type="dxa"/>
          </w:tcPr>
          <w:p w:rsidR="0060785A" w:rsidRPr="006008A0" w:rsidRDefault="0060785A" w:rsidP="00C50DD9">
            <w:pPr>
              <w:jc w:val="center"/>
              <w:rPr>
                <w:szCs w:val="24"/>
                <w:lang w:val="lv-LV"/>
              </w:rPr>
            </w:pPr>
            <w:r w:rsidRPr="006008A0">
              <w:rPr>
                <w:szCs w:val="24"/>
                <w:lang w:val="lv-LV"/>
              </w:rPr>
              <w:t>0</w:t>
            </w:r>
          </w:p>
        </w:tc>
      </w:tr>
      <w:tr w:rsidR="0060785A" w:rsidRPr="00245AA6" w:rsidTr="006D6201">
        <w:trPr>
          <w:trHeight w:val="856"/>
          <w:jc w:val="center"/>
        </w:trPr>
        <w:tc>
          <w:tcPr>
            <w:tcW w:w="2141" w:type="dxa"/>
          </w:tcPr>
          <w:p w:rsidR="0060785A" w:rsidRPr="00694D69" w:rsidRDefault="0060785A" w:rsidP="008F0A29">
            <w:pPr>
              <w:rPr>
                <w:szCs w:val="24"/>
                <w:lang w:val="lv-LV"/>
              </w:rPr>
            </w:pPr>
            <w:r w:rsidRPr="00694D69">
              <w:rPr>
                <w:szCs w:val="24"/>
                <w:lang w:val="lv-LV"/>
              </w:rPr>
              <w:t>6. Detalizēts ieņēmumu un izdevumu aprēķins (ja nepieciešams, detalizētu ieņēmumu un izdevumu aprēķinu var pievienot anotācijas pielikumā):</w:t>
            </w:r>
          </w:p>
          <w:p w:rsidR="0060785A" w:rsidRPr="00694D69" w:rsidRDefault="0060785A" w:rsidP="008F0A29">
            <w:pPr>
              <w:rPr>
                <w:szCs w:val="24"/>
                <w:lang w:val="lv-LV"/>
              </w:rPr>
            </w:pPr>
            <w:r w:rsidRPr="00694D69">
              <w:rPr>
                <w:szCs w:val="24"/>
                <w:lang w:val="lv-LV"/>
              </w:rPr>
              <w:t>6.1. detalizēts ieņēmumu aprēķins</w:t>
            </w:r>
          </w:p>
          <w:p w:rsidR="0060785A" w:rsidRPr="00694D69" w:rsidRDefault="0060785A" w:rsidP="008F0A29">
            <w:pPr>
              <w:rPr>
                <w:szCs w:val="24"/>
                <w:lang w:val="lv-LV"/>
              </w:rPr>
            </w:pPr>
            <w:r w:rsidRPr="00694D69">
              <w:rPr>
                <w:szCs w:val="24"/>
                <w:lang w:val="lv-LV"/>
              </w:rPr>
              <w:t>6.2. detalizēts izdevumu aprēķins</w:t>
            </w:r>
          </w:p>
        </w:tc>
        <w:tc>
          <w:tcPr>
            <w:tcW w:w="6852" w:type="dxa"/>
            <w:gridSpan w:val="5"/>
            <w:vAlign w:val="center"/>
          </w:tcPr>
          <w:p w:rsidR="0060785A" w:rsidRPr="00694D69" w:rsidRDefault="0060785A" w:rsidP="00C50DD9">
            <w:pPr>
              <w:pStyle w:val="naisf"/>
              <w:spacing w:before="0" w:after="0"/>
              <w:ind w:firstLine="0"/>
            </w:pPr>
          </w:p>
        </w:tc>
      </w:tr>
      <w:tr w:rsidR="0060785A" w:rsidRPr="00245AA6" w:rsidTr="001D579D">
        <w:trPr>
          <w:jc w:val="center"/>
        </w:trPr>
        <w:tc>
          <w:tcPr>
            <w:tcW w:w="2141" w:type="dxa"/>
          </w:tcPr>
          <w:p w:rsidR="0060785A" w:rsidRPr="00694D69" w:rsidRDefault="0060785A" w:rsidP="00C50DD9">
            <w:pPr>
              <w:jc w:val="both"/>
              <w:rPr>
                <w:szCs w:val="24"/>
                <w:lang w:val="lv-LV"/>
              </w:rPr>
            </w:pPr>
            <w:r w:rsidRPr="00694D69">
              <w:rPr>
                <w:szCs w:val="24"/>
                <w:lang w:val="lv-LV"/>
              </w:rPr>
              <w:t>7. Cita informācija</w:t>
            </w:r>
          </w:p>
        </w:tc>
        <w:tc>
          <w:tcPr>
            <w:tcW w:w="6852" w:type="dxa"/>
            <w:gridSpan w:val="5"/>
          </w:tcPr>
          <w:p w:rsidR="00CA4815" w:rsidRPr="00110477" w:rsidRDefault="00C9009C" w:rsidP="00936D0F">
            <w:pPr>
              <w:pStyle w:val="naisf"/>
              <w:tabs>
                <w:tab w:val="left" w:pos="4644"/>
              </w:tabs>
              <w:spacing w:before="0" w:after="0"/>
              <w:ind w:left="-14" w:firstLine="141"/>
            </w:pPr>
            <w:r w:rsidRPr="00110477">
              <w:t xml:space="preserve">74.resora </w:t>
            </w:r>
            <w:r w:rsidR="009B5F0A">
              <w:t>„</w:t>
            </w:r>
            <w:r w:rsidRPr="00110477">
              <w:t>Gadskārtējā valsts budžeta izpildes procesā pārdalāmais finansējums</w:t>
            </w:r>
            <w:r w:rsidR="009B5F0A">
              <w:t>”</w:t>
            </w:r>
            <w:r w:rsidRPr="00110477">
              <w:t xml:space="preserve"> budžeta programmas 04.00.00 </w:t>
            </w:r>
            <w:r w:rsidR="009B5F0A">
              <w:t>„</w:t>
            </w:r>
            <w:r w:rsidRPr="00110477">
              <w:t xml:space="preserve">Latvijas prezidentūras Eiropas Savienības Padomē nodrošināšana </w:t>
            </w:r>
            <w:proofErr w:type="gramStart"/>
            <w:r w:rsidRPr="00110477">
              <w:t>2015.gadā</w:t>
            </w:r>
            <w:proofErr w:type="gramEnd"/>
            <w:r w:rsidR="009B5F0A">
              <w:t>”</w:t>
            </w:r>
            <w:r w:rsidR="00101E9D" w:rsidRPr="00110477">
              <w:t xml:space="preserve"> </w:t>
            </w:r>
            <w:r w:rsidR="00844BEE" w:rsidRPr="00110477">
              <w:t xml:space="preserve">ilgtermiņa saistībās 2014.gadam nesadalīts finansējums 229 771 </w:t>
            </w:r>
            <w:proofErr w:type="spellStart"/>
            <w:r w:rsidR="00844BEE" w:rsidRPr="00110477">
              <w:rPr>
                <w:i/>
              </w:rPr>
              <w:t>euro</w:t>
            </w:r>
            <w:proofErr w:type="spellEnd"/>
            <w:r w:rsidR="00844BEE" w:rsidRPr="00110477">
              <w:t xml:space="preserve"> apmērā, atbilstoši Ministru kabineta rīkojumam tiek pārdalīt</w:t>
            </w:r>
            <w:r w:rsidR="006F3378" w:rsidRPr="00110477">
              <w:t>i</w:t>
            </w:r>
            <w:r w:rsidR="00844BEE" w:rsidRPr="00110477">
              <w:t xml:space="preserve"> Ārlietu ministrijai.</w:t>
            </w:r>
          </w:p>
        </w:tc>
      </w:tr>
    </w:tbl>
    <w:p w:rsidR="0060785A" w:rsidRPr="00694D69" w:rsidRDefault="0060785A" w:rsidP="0060785A">
      <w:pPr>
        <w:pStyle w:val="naisf"/>
        <w:spacing w:before="0" w:after="0"/>
      </w:pPr>
    </w:p>
    <w:tbl>
      <w:tblPr>
        <w:tblW w:w="90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334"/>
        <w:gridCol w:w="4313"/>
      </w:tblGrid>
      <w:tr w:rsidR="0060785A" w:rsidRPr="00245AA6" w:rsidTr="001D579D">
        <w:tc>
          <w:tcPr>
            <w:tcW w:w="9073" w:type="dxa"/>
            <w:gridSpan w:val="3"/>
            <w:tcBorders>
              <w:top w:val="single" w:sz="4" w:space="0" w:color="auto"/>
            </w:tcBorders>
          </w:tcPr>
          <w:p w:rsidR="0060785A" w:rsidRPr="00694D69" w:rsidRDefault="0060785A" w:rsidP="00C50DD9">
            <w:pPr>
              <w:pStyle w:val="naisnod"/>
              <w:spacing w:before="0" w:after="0"/>
              <w:ind w:left="57" w:right="57"/>
            </w:pPr>
            <w:r w:rsidRPr="00694D69">
              <w:t>VII. Tiesību akta projekta izpildes nodrošināšana un tās ietekme uz institūcijām</w:t>
            </w:r>
          </w:p>
        </w:tc>
      </w:tr>
      <w:tr w:rsidR="0060785A" w:rsidRPr="00245AA6" w:rsidTr="001D579D">
        <w:trPr>
          <w:trHeight w:val="247"/>
        </w:trPr>
        <w:tc>
          <w:tcPr>
            <w:tcW w:w="426" w:type="dxa"/>
          </w:tcPr>
          <w:p w:rsidR="0060785A" w:rsidRPr="00694D69" w:rsidRDefault="0060785A" w:rsidP="00C50DD9">
            <w:pPr>
              <w:pStyle w:val="naisnod"/>
              <w:spacing w:before="0" w:after="0"/>
              <w:ind w:left="57" w:right="57"/>
              <w:jc w:val="left"/>
              <w:rPr>
                <w:b w:val="0"/>
              </w:rPr>
            </w:pPr>
            <w:r w:rsidRPr="00694D69">
              <w:rPr>
                <w:b w:val="0"/>
              </w:rPr>
              <w:t>1.</w:t>
            </w:r>
          </w:p>
        </w:tc>
        <w:tc>
          <w:tcPr>
            <w:tcW w:w="4334" w:type="dxa"/>
          </w:tcPr>
          <w:p w:rsidR="0060785A" w:rsidRPr="00694D69" w:rsidRDefault="0060785A" w:rsidP="00C50DD9">
            <w:pPr>
              <w:pStyle w:val="naisf"/>
              <w:spacing w:before="0" w:after="0"/>
              <w:ind w:left="57" w:right="57" w:firstLine="0"/>
              <w:jc w:val="left"/>
            </w:pPr>
            <w:r w:rsidRPr="00694D69">
              <w:t xml:space="preserve">Projekta izpildē iesaistītās institūcijas </w:t>
            </w:r>
          </w:p>
          <w:p w:rsidR="0060785A" w:rsidRPr="00694D69" w:rsidRDefault="0060785A" w:rsidP="00C50DD9">
            <w:pPr>
              <w:pStyle w:val="naisf"/>
              <w:spacing w:before="0" w:after="0"/>
              <w:ind w:left="57" w:right="57" w:firstLine="0"/>
              <w:jc w:val="left"/>
            </w:pPr>
          </w:p>
        </w:tc>
        <w:tc>
          <w:tcPr>
            <w:tcW w:w="4313" w:type="dxa"/>
          </w:tcPr>
          <w:p w:rsidR="0060785A" w:rsidRPr="00694D69" w:rsidRDefault="0060785A" w:rsidP="00A564F9">
            <w:pPr>
              <w:pStyle w:val="naisnod"/>
              <w:spacing w:before="0" w:after="0"/>
              <w:ind w:left="57" w:right="57"/>
              <w:jc w:val="both"/>
              <w:rPr>
                <w:b w:val="0"/>
              </w:rPr>
            </w:pPr>
            <w:r w:rsidRPr="00694D69">
              <w:rPr>
                <w:b w:val="0"/>
              </w:rPr>
              <w:t>Ārlietu ministrija (Latvijas prezidentūras Eiropas S</w:t>
            </w:r>
            <w:r w:rsidR="00A564F9">
              <w:rPr>
                <w:b w:val="0"/>
              </w:rPr>
              <w:t>avienības Padomē sekretariāts).</w:t>
            </w:r>
          </w:p>
        </w:tc>
      </w:tr>
      <w:tr w:rsidR="0060785A" w:rsidRPr="00245AA6" w:rsidTr="001D579D">
        <w:trPr>
          <w:trHeight w:val="463"/>
        </w:trPr>
        <w:tc>
          <w:tcPr>
            <w:tcW w:w="426" w:type="dxa"/>
          </w:tcPr>
          <w:p w:rsidR="0060785A" w:rsidRPr="00694D69" w:rsidRDefault="0060785A" w:rsidP="00C50DD9">
            <w:pPr>
              <w:pStyle w:val="naisnod"/>
              <w:spacing w:before="0" w:after="0"/>
              <w:ind w:left="57" w:right="57"/>
              <w:jc w:val="left"/>
              <w:rPr>
                <w:b w:val="0"/>
              </w:rPr>
            </w:pPr>
            <w:r w:rsidRPr="00694D69">
              <w:rPr>
                <w:b w:val="0"/>
              </w:rPr>
              <w:t>2.</w:t>
            </w:r>
          </w:p>
        </w:tc>
        <w:tc>
          <w:tcPr>
            <w:tcW w:w="4334" w:type="dxa"/>
          </w:tcPr>
          <w:p w:rsidR="0060785A" w:rsidRPr="00694D69" w:rsidRDefault="0060785A" w:rsidP="00C50DD9">
            <w:pPr>
              <w:pStyle w:val="naisf"/>
              <w:ind w:left="57" w:right="57" w:firstLine="0"/>
            </w:pPr>
            <w:r w:rsidRPr="00694D69">
              <w:t>Projekta izpildes ietekme uz pārvaldes funkcijām un institucionālo struktūru.</w:t>
            </w:r>
          </w:p>
          <w:p w:rsidR="0060785A" w:rsidRPr="00694D69" w:rsidRDefault="0060785A" w:rsidP="00C50DD9">
            <w:pPr>
              <w:pStyle w:val="naisf"/>
              <w:spacing w:before="0" w:after="0"/>
              <w:ind w:left="57" w:right="57" w:firstLine="0"/>
              <w:jc w:val="left"/>
            </w:pPr>
            <w:r w:rsidRPr="00694D69">
              <w:t>Jaunu institūciju izveide, esošu institūciju likvidācija vai reorganizācija, to ietekme uz institūcijas cilvēkresursiem.</w:t>
            </w:r>
          </w:p>
        </w:tc>
        <w:tc>
          <w:tcPr>
            <w:tcW w:w="4313" w:type="dxa"/>
          </w:tcPr>
          <w:p w:rsidR="0060785A" w:rsidRPr="00694D69" w:rsidRDefault="0060785A" w:rsidP="00F960AF">
            <w:pPr>
              <w:pStyle w:val="naisnod"/>
              <w:spacing w:before="0" w:after="0"/>
              <w:ind w:left="57" w:right="57"/>
              <w:jc w:val="both"/>
              <w:rPr>
                <w:b w:val="0"/>
              </w:rPr>
            </w:pPr>
            <w:r w:rsidRPr="00694D69">
              <w:rPr>
                <w:b w:val="0"/>
              </w:rPr>
              <w:t>Projekta izpilde notiks esošo pārvaldes funkciju ietvaros.</w:t>
            </w:r>
          </w:p>
        </w:tc>
      </w:tr>
      <w:tr w:rsidR="0060785A" w:rsidRPr="00694D69" w:rsidTr="001D579D">
        <w:trPr>
          <w:trHeight w:val="268"/>
        </w:trPr>
        <w:tc>
          <w:tcPr>
            <w:tcW w:w="426" w:type="dxa"/>
          </w:tcPr>
          <w:p w:rsidR="0060785A" w:rsidRPr="00694D69" w:rsidRDefault="0060785A" w:rsidP="00C50DD9">
            <w:pPr>
              <w:pStyle w:val="naiskr"/>
              <w:spacing w:before="0" w:after="0"/>
              <w:ind w:left="57" w:right="57"/>
            </w:pPr>
            <w:r w:rsidRPr="00694D69">
              <w:t>3.</w:t>
            </w:r>
          </w:p>
        </w:tc>
        <w:tc>
          <w:tcPr>
            <w:tcW w:w="4334" w:type="dxa"/>
          </w:tcPr>
          <w:p w:rsidR="0060785A" w:rsidRPr="00694D69" w:rsidRDefault="0060785A" w:rsidP="00C50DD9">
            <w:pPr>
              <w:pStyle w:val="naiskr"/>
              <w:spacing w:before="0" w:after="0"/>
              <w:ind w:left="57" w:right="57"/>
            </w:pPr>
            <w:r w:rsidRPr="00694D69">
              <w:t>Cita informācija</w:t>
            </w:r>
          </w:p>
        </w:tc>
        <w:tc>
          <w:tcPr>
            <w:tcW w:w="4313" w:type="dxa"/>
          </w:tcPr>
          <w:p w:rsidR="0060785A" w:rsidRPr="00694D69" w:rsidRDefault="0060785A" w:rsidP="00C50DD9">
            <w:pPr>
              <w:pStyle w:val="naiskr"/>
              <w:spacing w:before="0" w:after="0"/>
              <w:ind w:left="57" w:right="57"/>
            </w:pPr>
            <w:r w:rsidRPr="00694D69">
              <w:t>Nav.</w:t>
            </w:r>
          </w:p>
        </w:tc>
      </w:tr>
    </w:tbl>
    <w:p w:rsidR="0060785A" w:rsidRPr="00694D69" w:rsidRDefault="0060785A" w:rsidP="0060785A">
      <w:pPr>
        <w:pStyle w:val="naisf"/>
        <w:tabs>
          <w:tab w:val="left" w:pos="5760"/>
        </w:tabs>
        <w:spacing w:before="0" w:after="0"/>
        <w:ind w:firstLine="720"/>
      </w:pPr>
    </w:p>
    <w:p w:rsidR="006D6201" w:rsidRDefault="006D6201" w:rsidP="006D6201">
      <w:pPr>
        <w:spacing w:after="200" w:line="276" w:lineRule="auto"/>
        <w:rPr>
          <w:lang w:val="lv-LV"/>
        </w:rPr>
      </w:pPr>
    </w:p>
    <w:p w:rsidR="0060785A" w:rsidRPr="00694D69" w:rsidRDefault="0060785A" w:rsidP="00267A90">
      <w:pPr>
        <w:spacing w:after="200" w:line="276" w:lineRule="auto"/>
        <w:rPr>
          <w:szCs w:val="24"/>
          <w:lang w:val="lv-LV" w:eastAsia="lv-LV"/>
        </w:rPr>
      </w:pPr>
      <w:r w:rsidRPr="006D6201">
        <w:rPr>
          <w:lang w:val="lv-LV"/>
        </w:rPr>
        <w:t xml:space="preserve">Anotācijas II, IV, V un VI sadaļa </w:t>
      </w:r>
      <w:r w:rsidR="006008A0" w:rsidRPr="006D6201">
        <w:rPr>
          <w:lang w:val="lv-LV"/>
        </w:rPr>
        <w:t>– projekts šīs jomas neskar</w:t>
      </w:r>
      <w:r w:rsidRPr="006D6201">
        <w:rPr>
          <w:lang w:val="lv-LV"/>
        </w:rPr>
        <w:t>.</w:t>
      </w:r>
    </w:p>
    <w:p w:rsidR="0060785A" w:rsidRPr="00694D69" w:rsidRDefault="0060785A" w:rsidP="0060785A">
      <w:pPr>
        <w:tabs>
          <w:tab w:val="right" w:pos="9072"/>
        </w:tabs>
        <w:rPr>
          <w:szCs w:val="24"/>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655"/>
      </w:tblGrid>
      <w:tr w:rsidR="002045E8" w:rsidTr="002045E8">
        <w:tc>
          <w:tcPr>
            <w:tcW w:w="7338" w:type="dxa"/>
          </w:tcPr>
          <w:p w:rsidR="009965A0" w:rsidRDefault="009965A0" w:rsidP="009965A0">
            <w:pPr>
              <w:jc w:val="both"/>
              <w:rPr>
                <w:lang w:val="lv-LV" w:eastAsia="lv-LV"/>
              </w:rPr>
            </w:pPr>
          </w:p>
          <w:p w:rsidR="00EA38C7" w:rsidRDefault="009965A0" w:rsidP="00936D0F">
            <w:pPr>
              <w:jc w:val="both"/>
              <w:rPr>
                <w:lang w:val="lv-LV" w:eastAsia="lv-LV"/>
              </w:rPr>
            </w:pPr>
            <w:r w:rsidRPr="002E1B60">
              <w:rPr>
                <w:lang w:val="lv-LV" w:eastAsia="lv-LV"/>
              </w:rPr>
              <w:t>Ārlietu ministr</w:t>
            </w:r>
            <w:r w:rsidR="00EA38C7">
              <w:rPr>
                <w:lang w:val="lv-LV" w:eastAsia="lv-LV"/>
              </w:rPr>
              <w:t xml:space="preserve">a vietā – </w:t>
            </w:r>
          </w:p>
          <w:p w:rsidR="00936D0F" w:rsidRPr="002E1B60" w:rsidRDefault="00EA38C7" w:rsidP="00936D0F">
            <w:pPr>
              <w:jc w:val="both"/>
              <w:rPr>
                <w:lang w:val="lv-LV" w:eastAsia="lv-LV"/>
              </w:rPr>
            </w:pPr>
            <w:r>
              <w:rPr>
                <w:lang w:val="lv-LV" w:eastAsia="lv-LV"/>
              </w:rPr>
              <w:t>izglītības ministre</w:t>
            </w:r>
          </w:p>
          <w:p w:rsidR="002045E8" w:rsidRPr="009965A0" w:rsidRDefault="009965A0" w:rsidP="009965A0">
            <w:pPr>
              <w:jc w:val="both"/>
              <w:rPr>
                <w:lang w:val="lv-LV" w:eastAsia="lv-LV"/>
              </w:rPr>
            </w:pPr>
            <w:r w:rsidRPr="002E1B60">
              <w:rPr>
                <w:lang w:val="lv-LV" w:eastAsia="lv-LV"/>
              </w:rPr>
              <w:tab/>
              <w:t xml:space="preserve">             </w:t>
            </w:r>
            <w:r>
              <w:rPr>
                <w:lang w:val="lv-LV" w:eastAsia="lv-LV"/>
              </w:rPr>
              <w:tab/>
            </w:r>
            <w:r>
              <w:rPr>
                <w:lang w:val="lv-LV" w:eastAsia="lv-LV"/>
              </w:rPr>
              <w:tab/>
            </w:r>
          </w:p>
        </w:tc>
        <w:tc>
          <w:tcPr>
            <w:tcW w:w="1655" w:type="dxa"/>
          </w:tcPr>
          <w:p w:rsidR="002045E8" w:rsidRDefault="00EA38C7" w:rsidP="00EA38C7">
            <w:pPr>
              <w:tabs>
                <w:tab w:val="right" w:pos="9072"/>
              </w:tabs>
              <w:spacing w:before="360" w:after="360" w:line="720" w:lineRule="auto"/>
              <w:rPr>
                <w:szCs w:val="24"/>
                <w:lang w:val="lv-LV"/>
              </w:rPr>
            </w:pPr>
            <w:proofErr w:type="spellStart"/>
            <w:r>
              <w:rPr>
                <w:lang w:val="lv-LV" w:eastAsia="lv-LV"/>
              </w:rPr>
              <w:t>I.Druviete</w:t>
            </w:r>
            <w:proofErr w:type="spellEnd"/>
          </w:p>
        </w:tc>
      </w:tr>
      <w:tr w:rsidR="002045E8" w:rsidTr="002045E8">
        <w:tc>
          <w:tcPr>
            <w:tcW w:w="7338" w:type="dxa"/>
          </w:tcPr>
          <w:p w:rsidR="002045E8" w:rsidRPr="00694D69" w:rsidRDefault="002045E8" w:rsidP="002045E8">
            <w:pPr>
              <w:rPr>
                <w:szCs w:val="24"/>
                <w:lang w:val="lv-LV"/>
              </w:rPr>
            </w:pPr>
            <w:r w:rsidRPr="00694D69">
              <w:rPr>
                <w:szCs w:val="24"/>
                <w:lang w:val="lv-LV"/>
              </w:rPr>
              <w:t>Vīzas:</w:t>
            </w:r>
          </w:p>
          <w:p w:rsidR="002045E8" w:rsidRPr="00694D69" w:rsidRDefault="002045E8" w:rsidP="002045E8">
            <w:pPr>
              <w:tabs>
                <w:tab w:val="right" w:pos="9072"/>
              </w:tabs>
              <w:rPr>
                <w:szCs w:val="24"/>
                <w:lang w:val="lv-LV"/>
              </w:rPr>
            </w:pPr>
            <w:r w:rsidRPr="00694D69">
              <w:rPr>
                <w:szCs w:val="24"/>
                <w:lang w:val="lv-LV"/>
              </w:rPr>
              <w:t>valsts sekretār</w:t>
            </w:r>
            <w:r w:rsidR="009965A0">
              <w:rPr>
                <w:szCs w:val="24"/>
                <w:lang w:val="lv-LV"/>
              </w:rPr>
              <w:t xml:space="preserve">a </w:t>
            </w:r>
            <w:proofErr w:type="spellStart"/>
            <w:r w:rsidR="009965A0">
              <w:rPr>
                <w:szCs w:val="24"/>
                <w:lang w:val="lv-LV"/>
              </w:rPr>
              <w:t>p.i</w:t>
            </w:r>
            <w:proofErr w:type="spellEnd"/>
            <w:r w:rsidR="009965A0">
              <w:rPr>
                <w:szCs w:val="24"/>
                <w:lang w:val="lv-LV"/>
              </w:rPr>
              <w:t>.</w:t>
            </w:r>
          </w:p>
          <w:p w:rsidR="002045E8" w:rsidRDefault="002045E8" w:rsidP="002045E8">
            <w:pPr>
              <w:tabs>
                <w:tab w:val="right" w:pos="9072"/>
              </w:tabs>
              <w:rPr>
                <w:szCs w:val="24"/>
                <w:lang w:val="lv-LV"/>
              </w:rPr>
            </w:pPr>
          </w:p>
        </w:tc>
        <w:tc>
          <w:tcPr>
            <w:tcW w:w="1655" w:type="dxa"/>
          </w:tcPr>
          <w:p w:rsidR="002045E8" w:rsidRDefault="002045E8" w:rsidP="002045E8">
            <w:pPr>
              <w:tabs>
                <w:tab w:val="right" w:pos="9072"/>
              </w:tabs>
              <w:jc w:val="right"/>
              <w:rPr>
                <w:szCs w:val="24"/>
                <w:lang w:val="lv-LV"/>
              </w:rPr>
            </w:pPr>
          </w:p>
          <w:p w:rsidR="00335F1E" w:rsidRDefault="009965A0" w:rsidP="002045E8">
            <w:pPr>
              <w:tabs>
                <w:tab w:val="right" w:pos="9072"/>
              </w:tabs>
              <w:jc w:val="right"/>
              <w:rPr>
                <w:szCs w:val="24"/>
                <w:lang w:val="lv-LV"/>
              </w:rPr>
            </w:pPr>
            <w:r>
              <w:rPr>
                <w:szCs w:val="24"/>
                <w:lang w:val="lv-LV"/>
              </w:rPr>
              <w:t>P.Vaivars</w:t>
            </w:r>
          </w:p>
        </w:tc>
      </w:tr>
      <w:tr w:rsidR="002045E8" w:rsidTr="002045E8">
        <w:tc>
          <w:tcPr>
            <w:tcW w:w="7338" w:type="dxa"/>
          </w:tcPr>
          <w:p w:rsidR="002045E8" w:rsidRDefault="002045E8" w:rsidP="002045E8">
            <w:pPr>
              <w:tabs>
                <w:tab w:val="right" w:pos="9072"/>
              </w:tabs>
              <w:spacing w:before="360" w:after="360" w:line="720" w:lineRule="auto"/>
              <w:rPr>
                <w:szCs w:val="24"/>
                <w:lang w:val="lv-LV"/>
              </w:rPr>
            </w:pPr>
            <w:proofErr w:type="spellStart"/>
            <w:r w:rsidRPr="002045E8">
              <w:rPr>
                <w:szCs w:val="24"/>
              </w:rPr>
              <w:t>Valsts</w:t>
            </w:r>
            <w:proofErr w:type="spellEnd"/>
            <w:r w:rsidRPr="002045E8">
              <w:rPr>
                <w:szCs w:val="24"/>
              </w:rPr>
              <w:t xml:space="preserve"> </w:t>
            </w:r>
            <w:proofErr w:type="spellStart"/>
            <w:r w:rsidRPr="002045E8">
              <w:rPr>
                <w:szCs w:val="24"/>
              </w:rPr>
              <w:t>sekretāra</w:t>
            </w:r>
            <w:proofErr w:type="spellEnd"/>
            <w:r w:rsidRPr="002045E8">
              <w:rPr>
                <w:szCs w:val="24"/>
              </w:rPr>
              <w:t xml:space="preserve"> </w:t>
            </w:r>
            <w:proofErr w:type="spellStart"/>
            <w:r w:rsidRPr="002045E8">
              <w:rPr>
                <w:szCs w:val="24"/>
              </w:rPr>
              <w:t>vietniece</w:t>
            </w:r>
            <w:proofErr w:type="spellEnd"/>
            <w:r w:rsidRPr="002045E8">
              <w:rPr>
                <w:szCs w:val="24"/>
              </w:rPr>
              <w:t xml:space="preserve"> </w:t>
            </w:r>
            <w:proofErr w:type="spellStart"/>
            <w:r w:rsidRPr="002045E8">
              <w:rPr>
                <w:szCs w:val="24"/>
              </w:rPr>
              <w:t>Eiropas</w:t>
            </w:r>
            <w:proofErr w:type="spellEnd"/>
            <w:r w:rsidRPr="002045E8">
              <w:rPr>
                <w:szCs w:val="24"/>
              </w:rPr>
              <w:t xml:space="preserve"> </w:t>
            </w:r>
            <w:proofErr w:type="spellStart"/>
            <w:r w:rsidRPr="002045E8">
              <w:rPr>
                <w:szCs w:val="24"/>
              </w:rPr>
              <w:t>lietās</w:t>
            </w:r>
            <w:proofErr w:type="spellEnd"/>
          </w:p>
        </w:tc>
        <w:tc>
          <w:tcPr>
            <w:tcW w:w="1655" w:type="dxa"/>
          </w:tcPr>
          <w:p w:rsidR="002045E8" w:rsidRDefault="002045E8" w:rsidP="002045E8">
            <w:pPr>
              <w:tabs>
                <w:tab w:val="right" w:pos="9072"/>
              </w:tabs>
              <w:spacing w:before="360" w:after="360" w:line="720" w:lineRule="auto"/>
              <w:jc w:val="right"/>
              <w:rPr>
                <w:szCs w:val="24"/>
                <w:lang w:val="lv-LV"/>
              </w:rPr>
            </w:pPr>
            <w:proofErr w:type="spellStart"/>
            <w:r>
              <w:rPr>
                <w:szCs w:val="24"/>
              </w:rPr>
              <w:t>I.Skujiņa</w:t>
            </w:r>
            <w:proofErr w:type="spellEnd"/>
          </w:p>
        </w:tc>
      </w:tr>
      <w:tr w:rsidR="002045E8" w:rsidTr="002045E8">
        <w:trPr>
          <w:trHeight w:val="1122"/>
        </w:trPr>
        <w:tc>
          <w:tcPr>
            <w:tcW w:w="7338" w:type="dxa"/>
          </w:tcPr>
          <w:p w:rsidR="002045E8" w:rsidRPr="00DE1701" w:rsidRDefault="002045E8" w:rsidP="002045E8">
            <w:pPr>
              <w:rPr>
                <w:szCs w:val="24"/>
                <w:lang w:val="lv-LV"/>
              </w:rPr>
            </w:pPr>
            <w:r w:rsidRPr="00DE1701">
              <w:rPr>
                <w:szCs w:val="24"/>
                <w:lang w:val="lv-LV"/>
              </w:rPr>
              <w:t>Latvijas prezidentūras Eiropas Savienības Padomē</w:t>
            </w:r>
          </w:p>
          <w:p w:rsidR="002045E8" w:rsidRDefault="002045E8" w:rsidP="002045E8">
            <w:pPr>
              <w:tabs>
                <w:tab w:val="right" w:pos="9072"/>
              </w:tabs>
              <w:rPr>
                <w:szCs w:val="24"/>
                <w:lang w:val="lv-LV"/>
              </w:rPr>
            </w:pPr>
            <w:r w:rsidRPr="00DE1701">
              <w:rPr>
                <w:szCs w:val="24"/>
                <w:lang w:val="lv-LV"/>
              </w:rPr>
              <w:t>sekretariāta direktor</w:t>
            </w:r>
            <w:r>
              <w:rPr>
                <w:szCs w:val="24"/>
                <w:lang w:val="lv-LV"/>
              </w:rPr>
              <w:t>e</w:t>
            </w:r>
          </w:p>
        </w:tc>
        <w:tc>
          <w:tcPr>
            <w:tcW w:w="1655" w:type="dxa"/>
          </w:tcPr>
          <w:p w:rsidR="002045E8" w:rsidRDefault="002045E8" w:rsidP="002045E8">
            <w:pPr>
              <w:tabs>
                <w:tab w:val="right" w:pos="9072"/>
              </w:tabs>
              <w:spacing w:before="360" w:after="360" w:line="720" w:lineRule="auto"/>
              <w:jc w:val="right"/>
              <w:rPr>
                <w:szCs w:val="24"/>
                <w:lang w:val="lv-LV"/>
              </w:rPr>
            </w:pPr>
            <w:r>
              <w:rPr>
                <w:szCs w:val="24"/>
                <w:lang w:val="lv-LV"/>
              </w:rPr>
              <w:t>K.Pommere</w:t>
            </w:r>
          </w:p>
        </w:tc>
      </w:tr>
    </w:tbl>
    <w:p w:rsidR="006D6201" w:rsidRDefault="006D6201" w:rsidP="00F673E1">
      <w:pPr>
        <w:tabs>
          <w:tab w:val="right" w:pos="9072"/>
        </w:tabs>
        <w:rPr>
          <w:szCs w:val="24"/>
          <w:lang w:val="lv-LV"/>
        </w:rPr>
      </w:pPr>
    </w:p>
    <w:p w:rsidR="0060785A" w:rsidRPr="00694D69" w:rsidRDefault="006008A0" w:rsidP="00F673E1">
      <w:pPr>
        <w:tabs>
          <w:tab w:val="right" w:pos="9072"/>
        </w:tabs>
        <w:rPr>
          <w:szCs w:val="24"/>
          <w:lang w:val="lv-LV"/>
        </w:rPr>
      </w:pPr>
      <w:r>
        <w:rPr>
          <w:szCs w:val="24"/>
          <w:lang w:val="lv-LV"/>
        </w:rPr>
        <w:tab/>
      </w:r>
    </w:p>
    <w:p w:rsidR="0060785A" w:rsidRPr="00694D69" w:rsidRDefault="0060785A" w:rsidP="0060785A">
      <w:pPr>
        <w:ind w:firstLine="426"/>
        <w:jc w:val="both"/>
        <w:rPr>
          <w:szCs w:val="24"/>
          <w:lang w:val="lv-LV"/>
        </w:rPr>
      </w:pPr>
    </w:p>
    <w:p w:rsidR="0060785A" w:rsidRPr="00694D69" w:rsidRDefault="0060785A" w:rsidP="0060785A">
      <w:pPr>
        <w:jc w:val="both"/>
        <w:rPr>
          <w:szCs w:val="24"/>
          <w:lang w:val="lv-LV"/>
        </w:rPr>
      </w:pPr>
    </w:p>
    <w:p w:rsidR="0060785A" w:rsidRPr="00694D69" w:rsidRDefault="0060785A" w:rsidP="0060785A">
      <w:pPr>
        <w:ind w:firstLine="426"/>
        <w:jc w:val="both"/>
        <w:rPr>
          <w:szCs w:val="24"/>
          <w:lang w:val="lv-LV"/>
        </w:rPr>
      </w:pPr>
    </w:p>
    <w:p w:rsidR="00BD43E4" w:rsidRDefault="00BD43E4" w:rsidP="0060785A">
      <w:pPr>
        <w:jc w:val="both"/>
        <w:rPr>
          <w:szCs w:val="24"/>
          <w:lang w:val="lv-LV"/>
        </w:rPr>
      </w:pPr>
    </w:p>
    <w:p w:rsidR="0060785A" w:rsidRPr="00791E32" w:rsidRDefault="009965A0" w:rsidP="00791E32">
      <w:pPr>
        <w:pStyle w:val="NormalWe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008A0" w:rsidRPr="00DE1701">
        <w:rPr>
          <w:szCs w:val="24"/>
        </w:rPr>
        <w:tab/>
      </w:r>
    </w:p>
    <w:p w:rsidR="0060785A" w:rsidRPr="00BF437A" w:rsidRDefault="00B05F80" w:rsidP="0060785A">
      <w:pPr>
        <w:rPr>
          <w:sz w:val="20"/>
          <w:lang w:val="lv-LV"/>
        </w:rPr>
      </w:pPr>
      <w:r>
        <w:rPr>
          <w:sz w:val="20"/>
          <w:lang w:val="lv-LV"/>
        </w:rPr>
        <w:t>0</w:t>
      </w:r>
      <w:r w:rsidR="00DB7D6C">
        <w:rPr>
          <w:sz w:val="20"/>
          <w:lang w:val="lv-LV"/>
        </w:rPr>
        <w:t>5</w:t>
      </w:r>
      <w:r>
        <w:rPr>
          <w:sz w:val="20"/>
          <w:lang w:val="lv-LV"/>
        </w:rPr>
        <w:t>.09</w:t>
      </w:r>
      <w:r w:rsidR="00BF437A" w:rsidRPr="00BF437A">
        <w:rPr>
          <w:sz w:val="20"/>
          <w:lang w:val="lv-LV"/>
        </w:rPr>
        <w:t>.2014</w:t>
      </w:r>
      <w:r w:rsidR="00335F1E">
        <w:rPr>
          <w:sz w:val="20"/>
          <w:lang w:val="lv-LV"/>
        </w:rPr>
        <w:t xml:space="preserve"> </w:t>
      </w:r>
      <w:r w:rsidR="00DB7D6C">
        <w:rPr>
          <w:sz w:val="20"/>
          <w:lang w:val="lv-LV"/>
        </w:rPr>
        <w:t>9</w:t>
      </w:r>
      <w:r>
        <w:rPr>
          <w:sz w:val="20"/>
          <w:lang w:val="lv-LV"/>
        </w:rPr>
        <w:t>:1</w:t>
      </w:r>
      <w:r w:rsidR="00DB7D6C">
        <w:rPr>
          <w:sz w:val="20"/>
          <w:lang w:val="lv-LV"/>
        </w:rPr>
        <w:t>5</w:t>
      </w:r>
    </w:p>
    <w:p w:rsidR="0060785A" w:rsidRPr="00BF437A" w:rsidRDefault="00791E32" w:rsidP="0060785A">
      <w:pPr>
        <w:rPr>
          <w:sz w:val="20"/>
          <w:lang w:val="lv-LV"/>
        </w:rPr>
      </w:pPr>
      <w:r>
        <w:rPr>
          <w:sz w:val="20"/>
          <w:lang w:val="lv-LV"/>
        </w:rPr>
        <w:t>10</w:t>
      </w:r>
      <w:r w:rsidR="00EA38C7">
        <w:rPr>
          <w:sz w:val="20"/>
          <w:lang w:val="lv-LV"/>
        </w:rPr>
        <w:t>30</w:t>
      </w:r>
    </w:p>
    <w:p w:rsidR="0060785A" w:rsidRPr="00BF437A" w:rsidRDefault="009B5F0A" w:rsidP="0060785A">
      <w:pPr>
        <w:rPr>
          <w:sz w:val="20"/>
          <w:lang w:val="lv-LV"/>
        </w:rPr>
      </w:pPr>
      <w:r>
        <w:rPr>
          <w:sz w:val="20"/>
          <w:lang w:val="lv-LV"/>
        </w:rPr>
        <w:t>M.Selga</w:t>
      </w:r>
      <w:r w:rsidR="0060785A" w:rsidRPr="00BF437A">
        <w:rPr>
          <w:sz w:val="20"/>
          <w:lang w:val="lv-LV"/>
        </w:rPr>
        <w:t>, 6701</w:t>
      </w:r>
      <w:r w:rsidR="00BF437A" w:rsidRPr="00BF437A">
        <w:rPr>
          <w:sz w:val="20"/>
          <w:lang w:val="lv-LV"/>
        </w:rPr>
        <w:t>5</w:t>
      </w:r>
      <w:r>
        <w:rPr>
          <w:sz w:val="20"/>
          <w:lang w:val="lv-LV"/>
        </w:rPr>
        <w:t>976</w:t>
      </w:r>
    </w:p>
    <w:p w:rsidR="006E1782" w:rsidRDefault="009B5F0A" w:rsidP="0060785A">
      <w:pPr>
        <w:rPr>
          <w:rStyle w:val="Hyperlink"/>
          <w:sz w:val="20"/>
          <w:lang w:val="lv-LV"/>
        </w:rPr>
      </w:pPr>
      <w:r>
        <w:rPr>
          <w:sz w:val="20"/>
          <w:lang w:val="lv-LV"/>
        </w:rPr>
        <w:t>Maris.Selga</w:t>
      </w:r>
      <w:r w:rsidR="00BF437A" w:rsidRPr="00BF437A">
        <w:rPr>
          <w:sz w:val="20"/>
          <w:lang w:val="lv-LV"/>
        </w:rPr>
        <w:t>@mfa.gov.lv</w:t>
      </w:r>
    </w:p>
    <w:p w:rsidR="006E1782" w:rsidRDefault="006E1782" w:rsidP="006E1782">
      <w:pPr>
        <w:rPr>
          <w:sz w:val="20"/>
          <w:lang w:val="lv-LV"/>
        </w:rPr>
      </w:pPr>
    </w:p>
    <w:sectPr w:rsidR="006E1782" w:rsidSect="001D579D">
      <w:headerReference w:type="default" r:id="rId9"/>
      <w:footerReference w:type="default" r:id="rId10"/>
      <w:footerReference w:type="first" r:id="rId11"/>
      <w:pgSz w:w="11896" w:h="16834" w:code="9"/>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50" w:rsidRDefault="00B24A50">
      <w:r>
        <w:separator/>
      </w:r>
    </w:p>
  </w:endnote>
  <w:endnote w:type="continuationSeparator" w:id="0">
    <w:p w:rsidR="00B24A50" w:rsidRDefault="00B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DD9" w:rsidRPr="008F0A29" w:rsidRDefault="008F0A29" w:rsidP="008F0A29">
    <w:pPr>
      <w:pStyle w:val="Footer"/>
      <w:jc w:val="both"/>
      <w:rPr>
        <w:sz w:val="20"/>
        <w:lang w:val="lv-LV"/>
      </w:rPr>
    </w:pPr>
    <w:r w:rsidRPr="00CC195F">
      <w:rPr>
        <w:sz w:val="20"/>
        <w:lang w:val="lv-LV"/>
      </w:rPr>
      <w:t>AM</w:t>
    </w:r>
    <w:r w:rsidR="001C77AA" w:rsidRPr="00CC195F">
      <w:rPr>
        <w:sz w:val="20"/>
        <w:lang w:val="lv-LV"/>
      </w:rPr>
      <w:t>Anot_</w:t>
    </w:r>
    <w:r w:rsidR="00F31EC7">
      <w:rPr>
        <w:sz w:val="20"/>
        <w:lang w:val="lv-LV"/>
      </w:rPr>
      <w:t>0</w:t>
    </w:r>
    <w:r w:rsidR="003D1710">
      <w:rPr>
        <w:sz w:val="20"/>
        <w:lang w:val="lv-LV"/>
      </w:rPr>
      <w:t>5</w:t>
    </w:r>
    <w:r w:rsidR="00F31EC7">
      <w:rPr>
        <w:sz w:val="20"/>
        <w:lang w:val="lv-LV"/>
      </w:rPr>
      <w:t>09</w:t>
    </w:r>
    <w:r w:rsidRPr="00CC195F">
      <w:rPr>
        <w:sz w:val="20"/>
        <w:lang w:val="lv-LV"/>
      </w:rPr>
      <w:t xml:space="preserve">14_budzeta_pardale; </w:t>
    </w:r>
    <w:r w:rsidRPr="00CC195F">
      <w:rPr>
        <w:sz w:val="20"/>
        <w:lang w:val="lv-LV" w:eastAsia="lv-LV"/>
      </w:rPr>
      <w:t>Ministru kabineta rīkojuma „</w:t>
    </w:r>
    <w:r w:rsidRPr="00CC195F">
      <w:rPr>
        <w:bCs/>
        <w:sz w:val="20"/>
        <w:lang w:val="lv-LV" w:eastAsia="lv-LV"/>
      </w:rPr>
      <w:t xml:space="preserve">Par nepieciešamo finansējumu Latvijas prezidentūras Eiropas Savienības Padomē </w:t>
    </w:r>
    <w:proofErr w:type="gramStart"/>
    <w:r w:rsidRPr="00CC195F">
      <w:rPr>
        <w:bCs/>
        <w:sz w:val="20"/>
        <w:lang w:val="lv-LV" w:eastAsia="lv-LV"/>
      </w:rPr>
      <w:t>2015.gadā</w:t>
    </w:r>
    <w:proofErr w:type="gramEnd"/>
    <w:r w:rsidRPr="00CC195F">
      <w:rPr>
        <w:bCs/>
        <w:sz w:val="20"/>
        <w:lang w:val="lv-LV" w:eastAsia="lv-LV"/>
      </w:rPr>
      <w:t xml:space="preserve"> sagatavošanai un nodrošināšanai 2014.gadam”</w:t>
    </w:r>
    <w:r w:rsidRPr="00CC195F">
      <w:rPr>
        <w:rFonts w:eastAsia="SimSun"/>
        <w:bCs/>
        <w:kern w:val="2"/>
        <w:sz w:val="20"/>
        <w:lang w:val="lv-LV" w:eastAsia="ar-SA"/>
      </w:rPr>
      <w:t xml:space="preserve"> projekta</w:t>
    </w:r>
    <w:r w:rsidRPr="00CC195F">
      <w:rPr>
        <w:sz w:val="20"/>
        <w:lang w:val="lv-LV"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A29" w:rsidRPr="008F0A29" w:rsidRDefault="008F0A29" w:rsidP="008F0A29">
    <w:pPr>
      <w:pStyle w:val="Footer"/>
      <w:jc w:val="both"/>
      <w:rPr>
        <w:sz w:val="20"/>
        <w:lang w:val="lv-LV"/>
      </w:rPr>
    </w:pPr>
    <w:r w:rsidRPr="00CC195F">
      <w:rPr>
        <w:sz w:val="20"/>
        <w:lang w:val="lv-LV"/>
      </w:rPr>
      <w:t>AM</w:t>
    </w:r>
    <w:r w:rsidR="000624E4" w:rsidRPr="00CC195F">
      <w:rPr>
        <w:sz w:val="20"/>
        <w:lang w:val="lv-LV"/>
      </w:rPr>
      <w:t>Anot_</w:t>
    </w:r>
    <w:r w:rsidR="00710E03">
      <w:rPr>
        <w:sz w:val="20"/>
        <w:lang w:val="lv-LV"/>
      </w:rPr>
      <w:t>0</w:t>
    </w:r>
    <w:r w:rsidR="003D1710">
      <w:rPr>
        <w:sz w:val="20"/>
        <w:lang w:val="lv-LV"/>
      </w:rPr>
      <w:t>5</w:t>
    </w:r>
    <w:r w:rsidR="00710E03">
      <w:rPr>
        <w:sz w:val="20"/>
        <w:lang w:val="lv-LV"/>
      </w:rPr>
      <w:t>09</w:t>
    </w:r>
    <w:r w:rsidRPr="00CC195F">
      <w:rPr>
        <w:sz w:val="20"/>
        <w:lang w:val="lv-LV"/>
      </w:rPr>
      <w:t xml:space="preserve">14_budzeta_pardale; </w:t>
    </w:r>
    <w:r w:rsidRPr="00CC195F">
      <w:rPr>
        <w:sz w:val="20"/>
        <w:lang w:val="lv-LV" w:eastAsia="lv-LV"/>
      </w:rPr>
      <w:t>Ministru kabineta rīkojuma „</w:t>
    </w:r>
    <w:r w:rsidRPr="00CC195F">
      <w:rPr>
        <w:bCs/>
        <w:sz w:val="20"/>
        <w:lang w:val="lv-LV" w:eastAsia="lv-LV"/>
      </w:rPr>
      <w:t xml:space="preserve">Par nepieciešamo finansējumu Latvijas prezidentūras Eiropas Savienības Padomē </w:t>
    </w:r>
    <w:proofErr w:type="gramStart"/>
    <w:r w:rsidRPr="00CC195F">
      <w:rPr>
        <w:bCs/>
        <w:sz w:val="20"/>
        <w:lang w:val="lv-LV" w:eastAsia="lv-LV"/>
      </w:rPr>
      <w:t>2015.gadā</w:t>
    </w:r>
    <w:proofErr w:type="gramEnd"/>
    <w:r w:rsidRPr="00CC195F">
      <w:rPr>
        <w:bCs/>
        <w:sz w:val="20"/>
        <w:lang w:val="lv-LV" w:eastAsia="lv-LV"/>
      </w:rPr>
      <w:t xml:space="preserve"> sagatavošanai un nodrošināšanai 2014.gadam”</w:t>
    </w:r>
    <w:r w:rsidRPr="00CC195F">
      <w:rPr>
        <w:rFonts w:eastAsia="SimSun"/>
        <w:bCs/>
        <w:kern w:val="2"/>
        <w:sz w:val="20"/>
        <w:lang w:val="lv-LV" w:eastAsia="ar-SA"/>
      </w:rPr>
      <w:t xml:space="preserve"> projekta</w:t>
    </w:r>
    <w:r w:rsidRPr="00CC195F">
      <w:rPr>
        <w:sz w:val="20"/>
        <w:lang w:val="lv-LV"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50" w:rsidRDefault="00B24A50">
      <w:r>
        <w:separator/>
      </w:r>
    </w:p>
  </w:footnote>
  <w:footnote w:type="continuationSeparator" w:id="0">
    <w:p w:rsidR="00B24A50" w:rsidRDefault="00B24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34447"/>
      <w:docPartObj>
        <w:docPartGallery w:val="Page Numbers (Top of Page)"/>
        <w:docPartUnique/>
      </w:docPartObj>
    </w:sdtPr>
    <w:sdtEndPr>
      <w:rPr>
        <w:noProof/>
      </w:rPr>
    </w:sdtEndPr>
    <w:sdtContent>
      <w:p w:rsidR="00ED6C1F" w:rsidRDefault="00ED6C1F">
        <w:pPr>
          <w:pStyle w:val="Header"/>
          <w:jc w:val="center"/>
        </w:pPr>
        <w:r>
          <w:fldChar w:fldCharType="begin"/>
        </w:r>
        <w:r>
          <w:instrText xml:space="preserve"> PAGE   \* MERGEFORMAT </w:instrText>
        </w:r>
        <w:r>
          <w:fldChar w:fldCharType="separate"/>
        </w:r>
        <w:r w:rsidR="00CD0268">
          <w:rPr>
            <w:noProof/>
          </w:rPr>
          <w:t>5</w:t>
        </w:r>
        <w:r>
          <w:rPr>
            <w:noProof/>
          </w:rPr>
          <w:fldChar w:fldCharType="end"/>
        </w:r>
      </w:p>
    </w:sdtContent>
  </w:sdt>
  <w:p w:rsidR="00ED6C1F" w:rsidRDefault="00ED6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8C5"/>
    <w:multiLevelType w:val="hybridMultilevel"/>
    <w:tmpl w:val="523C214E"/>
    <w:lvl w:ilvl="0" w:tplc="0426000F">
      <w:start w:val="1"/>
      <w:numFmt w:val="decimal"/>
      <w:lvlText w:val="%1."/>
      <w:lvlJc w:val="left"/>
      <w:pPr>
        <w:ind w:left="720" w:hanging="360"/>
      </w:pPr>
      <w:rPr>
        <w:b w:val="0"/>
        <w:color w:val="000000"/>
        <w:sz w:val="2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F635EB"/>
    <w:multiLevelType w:val="hybridMultilevel"/>
    <w:tmpl w:val="554A75D6"/>
    <w:lvl w:ilvl="0" w:tplc="00BA61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7004195A"/>
    <w:multiLevelType w:val="hybridMultilevel"/>
    <w:tmpl w:val="7DA83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6DB72C6"/>
    <w:multiLevelType w:val="hybridMultilevel"/>
    <w:tmpl w:val="EEB066D2"/>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nsid w:val="7F663F5B"/>
    <w:multiLevelType w:val="hybridMultilevel"/>
    <w:tmpl w:val="3C808C8C"/>
    <w:lvl w:ilvl="0" w:tplc="7312EF12">
      <w:start w:val="1"/>
      <w:numFmt w:val="decimal"/>
      <w:lvlText w:val="%1."/>
      <w:lvlJc w:val="left"/>
      <w:pPr>
        <w:ind w:left="638" w:hanging="360"/>
      </w:pPr>
      <w:rPr>
        <w:rFonts w:hint="default"/>
        <w:b w:val="0"/>
      </w:rPr>
    </w:lvl>
    <w:lvl w:ilvl="1" w:tplc="04260019" w:tentative="1">
      <w:start w:val="1"/>
      <w:numFmt w:val="lowerLetter"/>
      <w:lvlText w:val="%2."/>
      <w:lvlJc w:val="left"/>
      <w:pPr>
        <w:ind w:left="1435" w:hanging="360"/>
      </w:pPr>
    </w:lvl>
    <w:lvl w:ilvl="2" w:tplc="0426001B" w:tentative="1">
      <w:start w:val="1"/>
      <w:numFmt w:val="lowerRoman"/>
      <w:lvlText w:val="%3."/>
      <w:lvlJc w:val="right"/>
      <w:pPr>
        <w:ind w:left="2155" w:hanging="180"/>
      </w:pPr>
    </w:lvl>
    <w:lvl w:ilvl="3" w:tplc="0426000F" w:tentative="1">
      <w:start w:val="1"/>
      <w:numFmt w:val="decimal"/>
      <w:lvlText w:val="%4."/>
      <w:lvlJc w:val="left"/>
      <w:pPr>
        <w:ind w:left="2875" w:hanging="360"/>
      </w:pPr>
    </w:lvl>
    <w:lvl w:ilvl="4" w:tplc="04260019" w:tentative="1">
      <w:start w:val="1"/>
      <w:numFmt w:val="lowerLetter"/>
      <w:lvlText w:val="%5."/>
      <w:lvlJc w:val="left"/>
      <w:pPr>
        <w:ind w:left="3595" w:hanging="360"/>
      </w:pPr>
    </w:lvl>
    <w:lvl w:ilvl="5" w:tplc="0426001B" w:tentative="1">
      <w:start w:val="1"/>
      <w:numFmt w:val="lowerRoman"/>
      <w:lvlText w:val="%6."/>
      <w:lvlJc w:val="right"/>
      <w:pPr>
        <w:ind w:left="4315" w:hanging="180"/>
      </w:pPr>
    </w:lvl>
    <w:lvl w:ilvl="6" w:tplc="0426000F" w:tentative="1">
      <w:start w:val="1"/>
      <w:numFmt w:val="decimal"/>
      <w:lvlText w:val="%7."/>
      <w:lvlJc w:val="left"/>
      <w:pPr>
        <w:ind w:left="5035" w:hanging="360"/>
      </w:pPr>
    </w:lvl>
    <w:lvl w:ilvl="7" w:tplc="04260019" w:tentative="1">
      <w:start w:val="1"/>
      <w:numFmt w:val="lowerLetter"/>
      <w:lvlText w:val="%8."/>
      <w:lvlJc w:val="left"/>
      <w:pPr>
        <w:ind w:left="5755" w:hanging="360"/>
      </w:pPr>
    </w:lvl>
    <w:lvl w:ilvl="8" w:tplc="0426001B" w:tentative="1">
      <w:start w:val="1"/>
      <w:numFmt w:val="lowerRoman"/>
      <w:lvlText w:val="%9."/>
      <w:lvlJc w:val="right"/>
      <w:pPr>
        <w:ind w:left="6475"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6E"/>
    <w:rsid w:val="00017F24"/>
    <w:rsid w:val="00022B51"/>
    <w:rsid w:val="000624E4"/>
    <w:rsid w:val="000970B3"/>
    <w:rsid w:val="000B6278"/>
    <w:rsid w:val="000C2A1E"/>
    <w:rsid w:val="000D3A23"/>
    <w:rsid w:val="00101E9D"/>
    <w:rsid w:val="00110477"/>
    <w:rsid w:val="001156AA"/>
    <w:rsid w:val="0011672A"/>
    <w:rsid w:val="00126637"/>
    <w:rsid w:val="00127D20"/>
    <w:rsid w:val="00134D7A"/>
    <w:rsid w:val="0014795B"/>
    <w:rsid w:val="001548BD"/>
    <w:rsid w:val="00171A36"/>
    <w:rsid w:val="001877F3"/>
    <w:rsid w:val="001C77AA"/>
    <w:rsid w:val="001D3DBF"/>
    <w:rsid w:val="001D579D"/>
    <w:rsid w:val="00201A30"/>
    <w:rsid w:val="002045E8"/>
    <w:rsid w:val="00204A58"/>
    <w:rsid w:val="00231BA7"/>
    <w:rsid w:val="00245AA6"/>
    <w:rsid w:val="00264932"/>
    <w:rsid w:val="00267A90"/>
    <w:rsid w:val="00285A91"/>
    <w:rsid w:val="002D60C7"/>
    <w:rsid w:val="002D67AF"/>
    <w:rsid w:val="002E6655"/>
    <w:rsid w:val="002F2491"/>
    <w:rsid w:val="003002FB"/>
    <w:rsid w:val="00314336"/>
    <w:rsid w:val="00335F1E"/>
    <w:rsid w:val="00351F4F"/>
    <w:rsid w:val="00360622"/>
    <w:rsid w:val="0037720E"/>
    <w:rsid w:val="00394B37"/>
    <w:rsid w:val="003A3CE0"/>
    <w:rsid w:val="003B1DD7"/>
    <w:rsid w:val="003D1710"/>
    <w:rsid w:val="003D3F4F"/>
    <w:rsid w:val="003D615C"/>
    <w:rsid w:val="003E21B0"/>
    <w:rsid w:val="0043207D"/>
    <w:rsid w:val="00432A9E"/>
    <w:rsid w:val="00473B11"/>
    <w:rsid w:val="00475AAE"/>
    <w:rsid w:val="004779C7"/>
    <w:rsid w:val="0048447B"/>
    <w:rsid w:val="0049526C"/>
    <w:rsid w:val="004A5401"/>
    <w:rsid w:val="004C1C8B"/>
    <w:rsid w:val="004E7A88"/>
    <w:rsid w:val="00500D61"/>
    <w:rsid w:val="00512D8E"/>
    <w:rsid w:val="005219BC"/>
    <w:rsid w:val="00530BE1"/>
    <w:rsid w:val="005466E8"/>
    <w:rsid w:val="005473A2"/>
    <w:rsid w:val="00584D21"/>
    <w:rsid w:val="006008A0"/>
    <w:rsid w:val="00604704"/>
    <w:rsid w:val="00606822"/>
    <w:rsid w:val="0060785A"/>
    <w:rsid w:val="00612A21"/>
    <w:rsid w:val="006172A2"/>
    <w:rsid w:val="006231BB"/>
    <w:rsid w:val="0062746C"/>
    <w:rsid w:val="0063002C"/>
    <w:rsid w:val="00637135"/>
    <w:rsid w:val="00650954"/>
    <w:rsid w:val="0065232E"/>
    <w:rsid w:val="00662978"/>
    <w:rsid w:val="00681122"/>
    <w:rsid w:val="0068545D"/>
    <w:rsid w:val="00692927"/>
    <w:rsid w:val="00694D69"/>
    <w:rsid w:val="00695120"/>
    <w:rsid w:val="006A0A86"/>
    <w:rsid w:val="006B515B"/>
    <w:rsid w:val="006C6C04"/>
    <w:rsid w:val="006D6201"/>
    <w:rsid w:val="006E1782"/>
    <w:rsid w:val="006E7098"/>
    <w:rsid w:val="006F3378"/>
    <w:rsid w:val="00707073"/>
    <w:rsid w:val="00710E03"/>
    <w:rsid w:val="00743147"/>
    <w:rsid w:val="0076475E"/>
    <w:rsid w:val="007868A0"/>
    <w:rsid w:val="00791B77"/>
    <w:rsid w:val="00791E32"/>
    <w:rsid w:val="007A0A8B"/>
    <w:rsid w:val="007C4D98"/>
    <w:rsid w:val="007E3FFA"/>
    <w:rsid w:val="007E7583"/>
    <w:rsid w:val="007F4E2D"/>
    <w:rsid w:val="00802881"/>
    <w:rsid w:val="00821EDB"/>
    <w:rsid w:val="00832D8C"/>
    <w:rsid w:val="00837AB2"/>
    <w:rsid w:val="00844BEE"/>
    <w:rsid w:val="00845887"/>
    <w:rsid w:val="008A3623"/>
    <w:rsid w:val="008B0B68"/>
    <w:rsid w:val="008C7DFF"/>
    <w:rsid w:val="008D3B52"/>
    <w:rsid w:val="008D4C27"/>
    <w:rsid w:val="008F0A29"/>
    <w:rsid w:val="00906380"/>
    <w:rsid w:val="00924E3C"/>
    <w:rsid w:val="0093226E"/>
    <w:rsid w:val="00936D0F"/>
    <w:rsid w:val="0094198D"/>
    <w:rsid w:val="0094247A"/>
    <w:rsid w:val="00987B7C"/>
    <w:rsid w:val="009965A0"/>
    <w:rsid w:val="009B5F0A"/>
    <w:rsid w:val="009D45C8"/>
    <w:rsid w:val="009E2E32"/>
    <w:rsid w:val="009F354A"/>
    <w:rsid w:val="00A13FC8"/>
    <w:rsid w:val="00A564F9"/>
    <w:rsid w:val="00A708E4"/>
    <w:rsid w:val="00A73703"/>
    <w:rsid w:val="00A809A3"/>
    <w:rsid w:val="00AB3BDD"/>
    <w:rsid w:val="00AB7134"/>
    <w:rsid w:val="00AD3364"/>
    <w:rsid w:val="00AF7B98"/>
    <w:rsid w:val="00B05F80"/>
    <w:rsid w:val="00B24A50"/>
    <w:rsid w:val="00B27859"/>
    <w:rsid w:val="00B34144"/>
    <w:rsid w:val="00B532C3"/>
    <w:rsid w:val="00B80FCF"/>
    <w:rsid w:val="00BB6257"/>
    <w:rsid w:val="00BD2BCE"/>
    <w:rsid w:val="00BD3B49"/>
    <w:rsid w:val="00BD43E4"/>
    <w:rsid w:val="00BE1096"/>
    <w:rsid w:val="00BE477B"/>
    <w:rsid w:val="00BF437A"/>
    <w:rsid w:val="00C01AB2"/>
    <w:rsid w:val="00C01B24"/>
    <w:rsid w:val="00C50DD9"/>
    <w:rsid w:val="00C718FB"/>
    <w:rsid w:val="00C9009C"/>
    <w:rsid w:val="00CA4815"/>
    <w:rsid w:val="00CB1333"/>
    <w:rsid w:val="00CC195F"/>
    <w:rsid w:val="00CC336D"/>
    <w:rsid w:val="00CD0268"/>
    <w:rsid w:val="00CE4EDE"/>
    <w:rsid w:val="00CE67F4"/>
    <w:rsid w:val="00CE688D"/>
    <w:rsid w:val="00D05AAE"/>
    <w:rsid w:val="00D079A6"/>
    <w:rsid w:val="00D91A3B"/>
    <w:rsid w:val="00DA02CC"/>
    <w:rsid w:val="00DA2998"/>
    <w:rsid w:val="00DB32E7"/>
    <w:rsid w:val="00DB7D6C"/>
    <w:rsid w:val="00DD2491"/>
    <w:rsid w:val="00DD5759"/>
    <w:rsid w:val="00DE1701"/>
    <w:rsid w:val="00DF4F72"/>
    <w:rsid w:val="00E10697"/>
    <w:rsid w:val="00E166D4"/>
    <w:rsid w:val="00E24512"/>
    <w:rsid w:val="00E50DAD"/>
    <w:rsid w:val="00E92308"/>
    <w:rsid w:val="00EA38C7"/>
    <w:rsid w:val="00ED1DDB"/>
    <w:rsid w:val="00ED35BF"/>
    <w:rsid w:val="00ED6C1F"/>
    <w:rsid w:val="00EE54A5"/>
    <w:rsid w:val="00EE6F5C"/>
    <w:rsid w:val="00EF54E3"/>
    <w:rsid w:val="00F31EC7"/>
    <w:rsid w:val="00F33B37"/>
    <w:rsid w:val="00F416C7"/>
    <w:rsid w:val="00F52A6A"/>
    <w:rsid w:val="00F673E1"/>
    <w:rsid w:val="00F960AF"/>
    <w:rsid w:val="00FA0972"/>
    <w:rsid w:val="00FB3550"/>
    <w:rsid w:val="00FB7DEE"/>
    <w:rsid w:val="00FC3D3A"/>
    <w:rsid w:val="00FD40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6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26E"/>
    <w:pPr>
      <w:tabs>
        <w:tab w:val="center" w:pos="4153"/>
        <w:tab w:val="right" w:pos="8306"/>
      </w:tabs>
    </w:pPr>
  </w:style>
  <w:style w:type="character" w:customStyle="1" w:styleId="FooterChar">
    <w:name w:val="Footer Char"/>
    <w:basedOn w:val="DefaultParagraphFont"/>
    <w:link w:val="Footer"/>
    <w:rsid w:val="0093226E"/>
    <w:rPr>
      <w:rFonts w:ascii="Times New Roman" w:eastAsia="Times New Roman" w:hAnsi="Times New Roman" w:cs="Times New Roman"/>
      <w:sz w:val="24"/>
      <w:szCs w:val="20"/>
      <w:lang w:val="en-US"/>
    </w:rPr>
  </w:style>
  <w:style w:type="character" w:styleId="PageNumber">
    <w:name w:val="page number"/>
    <w:basedOn w:val="DefaultParagraphFont"/>
    <w:rsid w:val="0093226E"/>
  </w:style>
  <w:style w:type="table" w:styleId="TableGrid">
    <w:name w:val="Table Grid"/>
    <w:basedOn w:val="TableNormal"/>
    <w:uiPriority w:val="59"/>
    <w:rsid w:val="0093226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6E"/>
    <w:pPr>
      <w:ind w:left="720"/>
    </w:pPr>
    <w:rPr>
      <w:rFonts w:ascii="Calibri" w:eastAsiaTheme="minorHAnsi" w:hAnsi="Calibri"/>
      <w:sz w:val="22"/>
      <w:szCs w:val="22"/>
      <w:lang w:val="lv-LV"/>
    </w:rPr>
  </w:style>
  <w:style w:type="paragraph" w:styleId="NoSpacing">
    <w:name w:val="No Spacing"/>
    <w:uiPriority w:val="1"/>
    <w:qFormat/>
    <w:rsid w:val="0093226E"/>
    <w:pPr>
      <w:spacing w:after="0" w:line="240" w:lineRule="auto"/>
    </w:pPr>
    <w:rPr>
      <w:rFonts w:ascii="Times New Roman" w:eastAsia="Times New Roman" w:hAnsi="Times New Roman" w:cs="Times New Roman"/>
      <w:sz w:val="24"/>
      <w:szCs w:val="20"/>
      <w:lang w:val="en-US"/>
    </w:rPr>
  </w:style>
  <w:style w:type="paragraph" w:customStyle="1" w:styleId="naisf">
    <w:name w:val="naisf"/>
    <w:basedOn w:val="Normal"/>
    <w:rsid w:val="0060785A"/>
    <w:pPr>
      <w:spacing w:before="75" w:after="75"/>
      <w:ind w:firstLine="375"/>
      <w:jc w:val="both"/>
    </w:pPr>
    <w:rPr>
      <w:szCs w:val="24"/>
      <w:lang w:val="lv-LV" w:eastAsia="lv-LV"/>
    </w:rPr>
  </w:style>
  <w:style w:type="paragraph" w:customStyle="1" w:styleId="naisnod">
    <w:name w:val="naisnod"/>
    <w:basedOn w:val="Normal"/>
    <w:rsid w:val="0060785A"/>
    <w:pPr>
      <w:spacing w:before="150" w:after="150"/>
      <w:jc w:val="center"/>
    </w:pPr>
    <w:rPr>
      <w:b/>
      <w:bCs/>
      <w:szCs w:val="24"/>
      <w:lang w:val="lv-LV" w:eastAsia="lv-LV"/>
    </w:rPr>
  </w:style>
  <w:style w:type="paragraph" w:customStyle="1" w:styleId="naiskr">
    <w:name w:val="naiskr"/>
    <w:basedOn w:val="Normal"/>
    <w:rsid w:val="0060785A"/>
    <w:pPr>
      <w:spacing w:before="75" w:after="75"/>
    </w:pPr>
    <w:rPr>
      <w:szCs w:val="24"/>
      <w:lang w:val="lv-LV" w:eastAsia="lv-LV"/>
    </w:rPr>
  </w:style>
  <w:style w:type="character" w:styleId="Hyperlink">
    <w:name w:val="Hyperlink"/>
    <w:rsid w:val="0060785A"/>
    <w:rPr>
      <w:color w:val="0000FF"/>
      <w:u w:val="single"/>
    </w:rPr>
  </w:style>
  <w:style w:type="paragraph" w:styleId="BalloonText">
    <w:name w:val="Balloon Text"/>
    <w:basedOn w:val="Normal"/>
    <w:link w:val="BalloonTextChar"/>
    <w:uiPriority w:val="99"/>
    <w:semiHidden/>
    <w:unhideWhenUsed/>
    <w:rsid w:val="00314336"/>
    <w:rPr>
      <w:rFonts w:ascii="Tahoma" w:hAnsi="Tahoma" w:cs="Tahoma"/>
      <w:sz w:val="16"/>
      <w:szCs w:val="16"/>
    </w:rPr>
  </w:style>
  <w:style w:type="character" w:customStyle="1" w:styleId="BalloonTextChar">
    <w:name w:val="Balloon Text Char"/>
    <w:basedOn w:val="DefaultParagraphFont"/>
    <w:link w:val="BalloonText"/>
    <w:uiPriority w:val="99"/>
    <w:semiHidden/>
    <w:rsid w:val="00314336"/>
    <w:rPr>
      <w:rFonts w:ascii="Tahoma" w:eastAsia="Times New Roman" w:hAnsi="Tahoma" w:cs="Tahoma"/>
      <w:sz w:val="16"/>
      <w:szCs w:val="16"/>
      <w:lang w:val="en-US"/>
    </w:rPr>
  </w:style>
  <w:style w:type="paragraph" w:styleId="Header">
    <w:name w:val="header"/>
    <w:basedOn w:val="Normal"/>
    <w:link w:val="HeaderChar"/>
    <w:uiPriority w:val="99"/>
    <w:unhideWhenUsed/>
    <w:rsid w:val="00ED6C1F"/>
    <w:pPr>
      <w:tabs>
        <w:tab w:val="center" w:pos="4153"/>
        <w:tab w:val="right" w:pos="8306"/>
      </w:tabs>
    </w:pPr>
  </w:style>
  <w:style w:type="character" w:customStyle="1" w:styleId="HeaderChar">
    <w:name w:val="Header Char"/>
    <w:basedOn w:val="DefaultParagraphFont"/>
    <w:link w:val="Header"/>
    <w:uiPriority w:val="99"/>
    <w:rsid w:val="00ED6C1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B7DEE"/>
    <w:rPr>
      <w:sz w:val="16"/>
      <w:szCs w:val="16"/>
    </w:rPr>
  </w:style>
  <w:style w:type="paragraph" w:styleId="CommentText">
    <w:name w:val="annotation text"/>
    <w:basedOn w:val="Normal"/>
    <w:link w:val="CommentTextChar"/>
    <w:uiPriority w:val="99"/>
    <w:semiHidden/>
    <w:unhideWhenUsed/>
    <w:rsid w:val="00FB7DEE"/>
    <w:rPr>
      <w:sz w:val="20"/>
    </w:rPr>
  </w:style>
  <w:style w:type="character" w:customStyle="1" w:styleId="CommentTextChar">
    <w:name w:val="Comment Text Char"/>
    <w:basedOn w:val="DefaultParagraphFont"/>
    <w:link w:val="CommentText"/>
    <w:uiPriority w:val="99"/>
    <w:semiHidden/>
    <w:rsid w:val="00FB7D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7DEE"/>
    <w:rPr>
      <w:b/>
      <w:bCs/>
    </w:rPr>
  </w:style>
  <w:style w:type="character" w:customStyle="1" w:styleId="CommentSubjectChar">
    <w:name w:val="Comment Subject Char"/>
    <w:basedOn w:val="CommentTextChar"/>
    <w:link w:val="CommentSubject"/>
    <w:uiPriority w:val="99"/>
    <w:semiHidden/>
    <w:rsid w:val="00FB7DEE"/>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2045E8"/>
    <w:pPr>
      <w:spacing w:before="75" w:after="75"/>
    </w:pPr>
    <w:rPr>
      <w:rFonts w:ascii="Verdana" w:hAnsi="Verdana"/>
      <w:color w:val="000000"/>
      <w:sz w:val="20"/>
      <w:lang w:val="lv-LV" w:eastAsia="lv-LV"/>
    </w:rPr>
  </w:style>
  <w:style w:type="paragraph" w:styleId="PlainText">
    <w:name w:val="Plain Text"/>
    <w:basedOn w:val="Normal"/>
    <w:link w:val="PlainTextChar"/>
    <w:uiPriority w:val="99"/>
    <w:unhideWhenUsed/>
    <w:rsid w:val="00F31EC7"/>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rsid w:val="00F31EC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6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226E"/>
    <w:pPr>
      <w:tabs>
        <w:tab w:val="center" w:pos="4153"/>
        <w:tab w:val="right" w:pos="8306"/>
      </w:tabs>
    </w:pPr>
  </w:style>
  <w:style w:type="character" w:customStyle="1" w:styleId="FooterChar">
    <w:name w:val="Footer Char"/>
    <w:basedOn w:val="DefaultParagraphFont"/>
    <w:link w:val="Footer"/>
    <w:rsid w:val="0093226E"/>
    <w:rPr>
      <w:rFonts w:ascii="Times New Roman" w:eastAsia="Times New Roman" w:hAnsi="Times New Roman" w:cs="Times New Roman"/>
      <w:sz w:val="24"/>
      <w:szCs w:val="20"/>
      <w:lang w:val="en-US"/>
    </w:rPr>
  </w:style>
  <w:style w:type="character" w:styleId="PageNumber">
    <w:name w:val="page number"/>
    <w:basedOn w:val="DefaultParagraphFont"/>
    <w:rsid w:val="0093226E"/>
  </w:style>
  <w:style w:type="table" w:styleId="TableGrid">
    <w:name w:val="Table Grid"/>
    <w:basedOn w:val="TableNormal"/>
    <w:uiPriority w:val="59"/>
    <w:rsid w:val="0093226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6E"/>
    <w:pPr>
      <w:ind w:left="720"/>
    </w:pPr>
    <w:rPr>
      <w:rFonts w:ascii="Calibri" w:eastAsiaTheme="minorHAnsi" w:hAnsi="Calibri"/>
      <w:sz w:val="22"/>
      <w:szCs w:val="22"/>
      <w:lang w:val="lv-LV"/>
    </w:rPr>
  </w:style>
  <w:style w:type="paragraph" w:styleId="NoSpacing">
    <w:name w:val="No Spacing"/>
    <w:uiPriority w:val="1"/>
    <w:qFormat/>
    <w:rsid w:val="0093226E"/>
    <w:pPr>
      <w:spacing w:after="0" w:line="240" w:lineRule="auto"/>
    </w:pPr>
    <w:rPr>
      <w:rFonts w:ascii="Times New Roman" w:eastAsia="Times New Roman" w:hAnsi="Times New Roman" w:cs="Times New Roman"/>
      <w:sz w:val="24"/>
      <w:szCs w:val="20"/>
      <w:lang w:val="en-US"/>
    </w:rPr>
  </w:style>
  <w:style w:type="paragraph" w:customStyle="1" w:styleId="naisf">
    <w:name w:val="naisf"/>
    <w:basedOn w:val="Normal"/>
    <w:rsid w:val="0060785A"/>
    <w:pPr>
      <w:spacing w:before="75" w:after="75"/>
      <w:ind w:firstLine="375"/>
      <w:jc w:val="both"/>
    </w:pPr>
    <w:rPr>
      <w:szCs w:val="24"/>
      <w:lang w:val="lv-LV" w:eastAsia="lv-LV"/>
    </w:rPr>
  </w:style>
  <w:style w:type="paragraph" w:customStyle="1" w:styleId="naisnod">
    <w:name w:val="naisnod"/>
    <w:basedOn w:val="Normal"/>
    <w:rsid w:val="0060785A"/>
    <w:pPr>
      <w:spacing w:before="150" w:after="150"/>
      <w:jc w:val="center"/>
    </w:pPr>
    <w:rPr>
      <w:b/>
      <w:bCs/>
      <w:szCs w:val="24"/>
      <w:lang w:val="lv-LV" w:eastAsia="lv-LV"/>
    </w:rPr>
  </w:style>
  <w:style w:type="paragraph" w:customStyle="1" w:styleId="naiskr">
    <w:name w:val="naiskr"/>
    <w:basedOn w:val="Normal"/>
    <w:rsid w:val="0060785A"/>
    <w:pPr>
      <w:spacing w:before="75" w:after="75"/>
    </w:pPr>
    <w:rPr>
      <w:szCs w:val="24"/>
      <w:lang w:val="lv-LV" w:eastAsia="lv-LV"/>
    </w:rPr>
  </w:style>
  <w:style w:type="character" w:styleId="Hyperlink">
    <w:name w:val="Hyperlink"/>
    <w:rsid w:val="0060785A"/>
    <w:rPr>
      <w:color w:val="0000FF"/>
      <w:u w:val="single"/>
    </w:rPr>
  </w:style>
  <w:style w:type="paragraph" w:styleId="BalloonText">
    <w:name w:val="Balloon Text"/>
    <w:basedOn w:val="Normal"/>
    <w:link w:val="BalloonTextChar"/>
    <w:uiPriority w:val="99"/>
    <w:semiHidden/>
    <w:unhideWhenUsed/>
    <w:rsid w:val="00314336"/>
    <w:rPr>
      <w:rFonts w:ascii="Tahoma" w:hAnsi="Tahoma" w:cs="Tahoma"/>
      <w:sz w:val="16"/>
      <w:szCs w:val="16"/>
    </w:rPr>
  </w:style>
  <w:style w:type="character" w:customStyle="1" w:styleId="BalloonTextChar">
    <w:name w:val="Balloon Text Char"/>
    <w:basedOn w:val="DefaultParagraphFont"/>
    <w:link w:val="BalloonText"/>
    <w:uiPriority w:val="99"/>
    <w:semiHidden/>
    <w:rsid w:val="00314336"/>
    <w:rPr>
      <w:rFonts w:ascii="Tahoma" w:eastAsia="Times New Roman" w:hAnsi="Tahoma" w:cs="Tahoma"/>
      <w:sz w:val="16"/>
      <w:szCs w:val="16"/>
      <w:lang w:val="en-US"/>
    </w:rPr>
  </w:style>
  <w:style w:type="paragraph" w:styleId="Header">
    <w:name w:val="header"/>
    <w:basedOn w:val="Normal"/>
    <w:link w:val="HeaderChar"/>
    <w:uiPriority w:val="99"/>
    <w:unhideWhenUsed/>
    <w:rsid w:val="00ED6C1F"/>
    <w:pPr>
      <w:tabs>
        <w:tab w:val="center" w:pos="4153"/>
        <w:tab w:val="right" w:pos="8306"/>
      </w:tabs>
    </w:pPr>
  </w:style>
  <w:style w:type="character" w:customStyle="1" w:styleId="HeaderChar">
    <w:name w:val="Header Char"/>
    <w:basedOn w:val="DefaultParagraphFont"/>
    <w:link w:val="Header"/>
    <w:uiPriority w:val="99"/>
    <w:rsid w:val="00ED6C1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FB7DEE"/>
    <w:rPr>
      <w:sz w:val="16"/>
      <w:szCs w:val="16"/>
    </w:rPr>
  </w:style>
  <w:style w:type="paragraph" w:styleId="CommentText">
    <w:name w:val="annotation text"/>
    <w:basedOn w:val="Normal"/>
    <w:link w:val="CommentTextChar"/>
    <w:uiPriority w:val="99"/>
    <w:semiHidden/>
    <w:unhideWhenUsed/>
    <w:rsid w:val="00FB7DEE"/>
    <w:rPr>
      <w:sz w:val="20"/>
    </w:rPr>
  </w:style>
  <w:style w:type="character" w:customStyle="1" w:styleId="CommentTextChar">
    <w:name w:val="Comment Text Char"/>
    <w:basedOn w:val="DefaultParagraphFont"/>
    <w:link w:val="CommentText"/>
    <w:uiPriority w:val="99"/>
    <w:semiHidden/>
    <w:rsid w:val="00FB7D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7DEE"/>
    <w:rPr>
      <w:b/>
      <w:bCs/>
    </w:rPr>
  </w:style>
  <w:style w:type="character" w:customStyle="1" w:styleId="CommentSubjectChar">
    <w:name w:val="Comment Subject Char"/>
    <w:basedOn w:val="CommentTextChar"/>
    <w:link w:val="CommentSubject"/>
    <w:uiPriority w:val="99"/>
    <w:semiHidden/>
    <w:rsid w:val="00FB7DEE"/>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2045E8"/>
    <w:pPr>
      <w:spacing w:before="75" w:after="75"/>
    </w:pPr>
    <w:rPr>
      <w:rFonts w:ascii="Verdana" w:hAnsi="Verdana"/>
      <w:color w:val="000000"/>
      <w:sz w:val="20"/>
      <w:lang w:val="lv-LV" w:eastAsia="lv-LV"/>
    </w:rPr>
  </w:style>
  <w:style w:type="paragraph" w:styleId="PlainText">
    <w:name w:val="Plain Text"/>
    <w:basedOn w:val="Normal"/>
    <w:link w:val="PlainTextChar"/>
    <w:uiPriority w:val="99"/>
    <w:unhideWhenUsed/>
    <w:rsid w:val="00F31EC7"/>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rsid w:val="00F31EC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2128">
      <w:bodyDiv w:val="1"/>
      <w:marLeft w:val="0"/>
      <w:marRight w:val="0"/>
      <w:marTop w:val="0"/>
      <w:marBottom w:val="0"/>
      <w:divBdr>
        <w:top w:val="none" w:sz="0" w:space="0" w:color="auto"/>
        <w:left w:val="none" w:sz="0" w:space="0" w:color="auto"/>
        <w:bottom w:val="none" w:sz="0" w:space="0" w:color="auto"/>
        <w:right w:val="none" w:sz="0" w:space="0" w:color="auto"/>
      </w:divBdr>
    </w:div>
    <w:div w:id="688024548">
      <w:bodyDiv w:val="1"/>
      <w:marLeft w:val="0"/>
      <w:marRight w:val="0"/>
      <w:marTop w:val="0"/>
      <w:marBottom w:val="0"/>
      <w:divBdr>
        <w:top w:val="none" w:sz="0" w:space="0" w:color="auto"/>
        <w:left w:val="none" w:sz="0" w:space="0" w:color="auto"/>
        <w:bottom w:val="none" w:sz="0" w:space="0" w:color="auto"/>
        <w:right w:val="none" w:sz="0" w:space="0" w:color="auto"/>
      </w:divBdr>
    </w:div>
    <w:div w:id="749885882">
      <w:bodyDiv w:val="1"/>
      <w:marLeft w:val="0"/>
      <w:marRight w:val="0"/>
      <w:marTop w:val="0"/>
      <w:marBottom w:val="0"/>
      <w:divBdr>
        <w:top w:val="none" w:sz="0" w:space="0" w:color="auto"/>
        <w:left w:val="none" w:sz="0" w:space="0" w:color="auto"/>
        <w:bottom w:val="none" w:sz="0" w:space="0" w:color="auto"/>
        <w:right w:val="none" w:sz="0" w:space="0" w:color="auto"/>
      </w:divBdr>
    </w:div>
    <w:div w:id="1147084970">
      <w:bodyDiv w:val="1"/>
      <w:marLeft w:val="0"/>
      <w:marRight w:val="0"/>
      <w:marTop w:val="0"/>
      <w:marBottom w:val="0"/>
      <w:divBdr>
        <w:top w:val="none" w:sz="0" w:space="0" w:color="auto"/>
        <w:left w:val="none" w:sz="0" w:space="0" w:color="auto"/>
        <w:bottom w:val="none" w:sz="0" w:space="0" w:color="auto"/>
        <w:right w:val="none" w:sz="0" w:space="0" w:color="auto"/>
      </w:divBdr>
    </w:div>
    <w:div w:id="1490633824">
      <w:bodyDiv w:val="1"/>
      <w:marLeft w:val="0"/>
      <w:marRight w:val="0"/>
      <w:marTop w:val="0"/>
      <w:marBottom w:val="0"/>
      <w:divBdr>
        <w:top w:val="none" w:sz="0" w:space="0" w:color="auto"/>
        <w:left w:val="none" w:sz="0" w:space="0" w:color="auto"/>
        <w:bottom w:val="none" w:sz="0" w:space="0" w:color="auto"/>
        <w:right w:val="none" w:sz="0" w:space="0" w:color="auto"/>
      </w:divBdr>
    </w:div>
    <w:div w:id="1556430393">
      <w:bodyDiv w:val="1"/>
      <w:marLeft w:val="0"/>
      <w:marRight w:val="0"/>
      <w:marTop w:val="0"/>
      <w:marBottom w:val="0"/>
      <w:divBdr>
        <w:top w:val="none" w:sz="0" w:space="0" w:color="auto"/>
        <w:left w:val="none" w:sz="0" w:space="0" w:color="auto"/>
        <w:bottom w:val="none" w:sz="0" w:space="0" w:color="auto"/>
        <w:right w:val="none" w:sz="0" w:space="0" w:color="auto"/>
      </w:divBdr>
    </w:div>
    <w:div w:id="16012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454D-4DF0-4514-B08C-E418C0DB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923</Words>
  <Characters>7607</Characters>
  <Application>Microsoft Office Word</Application>
  <DocSecurity>0</DocSecurity>
  <Lines>304</Lines>
  <Paragraphs>155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 PRES 2015</vt:lpstr>
      <vt:lpstr>LV PRES 2015</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 PRES 2015</dc:title>
  <dc:creator>Dzidra Liepina</dc:creator>
  <cp:lastModifiedBy>Silva Kalnina</cp:lastModifiedBy>
  <cp:revision>7</cp:revision>
  <cp:lastPrinted>2014-09-01T09:41:00Z</cp:lastPrinted>
  <dcterms:created xsi:type="dcterms:W3CDTF">2014-09-04T07:35:00Z</dcterms:created>
  <dcterms:modified xsi:type="dcterms:W3CDTF">2014-09-05T06:58:00Z</dcterms:modified>
</cp:coreProperties>
</file>