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C6" w:rsidRDefault="00194A89" w:rsidP="0019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468683"/>
      <w:bookmarkEnd w:id="0"/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Ministru kabineta </w:t>
      </w:r>
      <w:r w:rsidR="006D0F0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noteikumu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projekta „</w:t>
      </w:r>
      <w:r w:rsidR="00BC2E8B" w:rsidRPr="00BC2E8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Grozījum</w:t>
      </w:r>
      <w:r w:rsidR="008A18D7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</w:t>
      </w:r>
      <w:r w:rsidR="00BC2E8B" w:rsidRPr="00BC2E8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Ministru kabineta </w:t>
      </w:r>
      <w:proofErr w:type="gramStart"/>
      <w:r w:rsidR="00BC2E8B" w:rsidRPr="00BC2E8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1999.gada</w:t>
      </w:r>
      <w:proofErr w:type="gramEnd"/>
      <w:r w:rsidR="00BC2E8B" w:rsidRPr="00BC2E8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9.februāra noteikumos Nr.45 „Kārtība, kādā tiek īstenota Latvijas dalība Pasaules tirdzniecības organizācijā”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”</w:t>
      </w:r>
      <w:r w:rsidR="007862C6" w:rsidRPr="007862C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sākotnējās ietekmes novērtējuma ziņojums (anotācija)</w:t>
      </w:r>
    </w:p>
    <w:p w:rsidR="006D22AA" w:rsidRPr="007862C6" w:rsidRDefault="006D22AA" w:rsidP="0019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2850"/>
        <w:gridCol w:w="5870"/>
      </w:tblGrid>
      <w:tr w:rsidR="007862C6" w:rsidRPr="007862C6" w:rsidTr="007862C6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C6" w:rsidRPr="007862C6" w:rsidRDefault="007862C6" w:rsidP="00E32FBC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862C6" w:rsidRPr="007862C6" w:rsidTr="007862C6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9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Ministru kabineta 2014.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7.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jūlija rīkojuma Nr.331</w:t>
            </w:r>
            <w:r w:rsidR="00BC3BF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BC3BF3" w:rsidRPr="00BC3BF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„Par valsts pārvaldes uzdevumu ārējās ekonomiskās politikas jomā nodošanu un finansējuma pārdali starp Ekonomikas ministriju un Ārlietu ministriju”</w:t>
            </w:r>
            <w:r w:rsidR="00BC3BF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1.punkts un </w:t>
            </w:r>
            <w:r w:rsidR="009E622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2014.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1.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jūlija sēdes </w:t>
            </w:r>
            <w:r w:rsidR="009E622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lēmuma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Nr.36</w:t>
            </w:r>
            <w:r w:rsidR="00BC3BF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BC3BF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41.§ 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.punkts.</w:t>
            </w:r>
          </w:p>
        </w:tc>
      </w:tr>
      <w:tr w:rsidR="007862C6" w:rsidRPr="007862C6" w:rsidTr="007862C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22" w:rsidRDefault="007862C6" w:rsidP="00E3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Ministru kabineta 2014. gada 7. jūlija rīkojuma Nr.331</w:t>
            </w:r>
            <w:r w:rsidR="00BC3BF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="00BC3BF3" w:rsidRPr="00BC3BF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„Par valsts pārvaldes uzdevumu ārējās ekonomiskās politikas jomā nodošanu un finansējuma pārdali starp Ekonomikas ministriju un Ārlietu ministriju”</w:t>
            </w:r>
            <w:r w:rsidR="00BC3BF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punktu Ārlietu ministrijai ar 2014.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1.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augustu </w:t>
            </w:r>
            <w:r w:rsidR="00BC2E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tiek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nodotas Ekonomikas ministrijas 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kompetences </w:t>
            </w:r>
            <w:r w:rsidR="00F7692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rējās tirdzniecības </w:t>
            </w:r>
            <w:r w:rsidR="00F7692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politikas 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jomā. </w:t>
            </w:r>
          </w:p>
          <w:p w:rsidR="007862C6" w:rsidRPr="007862C6" w:rsidRDefault="00F76922" w:rsidP="009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ar to s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askaņā ar Ministru kabineta </w:t>
            </w:r>
            <w:r w:rsidR="009E622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2014. gada 1. jūlija 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sēdes </w:t>
            </w:r>
            <w:r w:rsidR="009E622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lēmuma 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Nr.36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41.§ 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. punktu </w:t>
            </w:r>
            <w:r w:rsidR="006D0F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līdz </w:t>
            </w:r>
            <w:proofErr w:type="gramStart"/>
            <w:r w:rsidR="006D0F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2014.gada</w:t>
            </w:r>
            <w:proofErr w:type="gramEnd"/>
            <w:r w:rsidR="006D0F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1.augustam 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nepieciešams izdarīt grozījumus </w:t>
            </w:r>
            <w:r w:rsidR="006D0F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 w:rsidR="00BC2E8B" w:rsidRPr="00BC2E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1999.gada 9.februāra noteikumos Nr.45 „Kārtība, kādā tiek īstenota Latvijas dalība Pasaules tirdzniecības organizācijā”</w:t>
            </w:r>
            <w:r w:rsidR="00A434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norādot Ārlietu ministriju kā atbildīgo institūciju Latvijas </w:t>
            </w:r>
            <w:r w:rsidR="003E597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  <w:r w:rsidR="00A434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alības Pasaules tirdzniecības organizācijā īstenošanā, svītrojot </w:t>
            </w:r>
            <w:r w:rsidR="003E597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ekonomikas ministru un </w:t>
            </w:r>
            <w:r w:rsidR="00A434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Ekonomikas ministriju kā līdzatbildīgo ministriju</w:t>
            </w:r>
            <w:r w:rsidR="003E597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padomes darba organizēšanā</w:t>
            </w:r>
            <w:r w:rsidR="00A434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. Atbilstoši nepieciešams precizēt arī </w:t>
            </w:r>
            <w:r w:rsidR="00BC2E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noteikumu pielikuma </w:t>
            </w:r>
            <w:r w:rsidR="00A434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1., 4., </w:t>
            </w:r>
            <w:r w:rsidR="00BC2E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7., 11., 12., 13.</w:t>
            </w:r>
            <w:r w:rsidR="00A434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17. 18. </w:t>
            </w:r>
            <w:r w:rsidR="008A18D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</w:t>
            </w:r>
            <w:r w:rsidR="00A434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 19.punktu, </w:t>
            </w:r>
            <w:r w:rsidR="002315C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nosakot Ārlietu ministriju kā atbildīgo/līdzatbildīgo ministriju, </w:t>
            </w:r>
            <w:r w:rsidR="00A434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svītrojot Ekonomikas ministriju</w:t>
            </w:r>
            <w:r w:rsidR="003E597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 N</w:t>
            </w:r>
            <w:r w:rsidR="002315C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oteikumu pielikuma </w:t>
            </w:r>
            <w:r w:rsidR="00BC2E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14. </w:t>
            </w:r>
            <w:r w:rsidR="003E597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BC2E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unkt</w:t>
            </w:r>
            <w:r w:rsidR="003E597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 jāpapildina un</w:t>
            </w:r>
            <w:r w:rsidR="00BC2E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kā atbildīgā ministrija jānorāda arī </w:t>
            </w:r>
            <w:r w:rsidR="006D0F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Ārlietu ministrij</w:t>
            </w:r>
            <w:r w:rsidR="00BC2E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  <w:r w:rsidR="006D0F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7862C6" w:rsidRPr="007862C6" w:rsidTr="007862C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902280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Ārlietu ministrija un Ekonomikas ministrija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  <w:tr w:rsidR="007862C6" w:rsidRPr="007862C6" w:rsidTr="007862C6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C4610E" w:rsidP="00ED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Projektam nav finansiālas ietekmes uz valsts budžetu</w:t>
            </w:r>
            <w:r w:rsidR="00ED11E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ED11E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inansējuma pārdale, nododot Ekonomikas ministrijas funkcijas ārējās tirdzniecības politikas jomā Ārlietu ministrijai, noteikta Ministru kabineta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2014.gada</w:t>
            </w:r>
            <w:proofErr w:type="gram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7.jūlija rīkojumā Nr.331 „</w:t>
            </w:r>
            <w:r w:rsidRPr="00C4610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Par valsts pārvaldes uzdevumu ārējās ekonomiskās politikas jomā nodošanu un finansējuma pārdali starp Ekonomikas ministriju un Ārlietu ministriju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”.</w:t>
            </w:r>
          </w:p>
        </w:tc>
      </w:tr>
    </w:tbl>
    <w:p w:rsidR="007862C6" w:rsidRPr="007862C6" w:rsidRDefault="007862C6" w:rsidP="00902280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862C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43"/>
        <w:gridCol w:w="663"/>
        <w:gridCol w:w="5215"/>
      </w:tblGrid>
      <w:tr w:rsidR="007862C6" w:rsidRPr="007862C6" w:rsidTr="007862C6">
        <w:trPr>
          <w:trHeight w:val="55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C6" w:rsidRPr="007862C6" w:rsidRDefault="007862C6" w:rsidP="00E32FBC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862C6" w:rsidRPr="007862C6" w:rsidTr="00E40CAD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Sabiedrības mērķgrupas, kuras tiesiskais regulējums </w:t>
            </w: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ietekmē vai varētu ietekmēt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E32FBC" w:rsidRDefault="00E32FBC" w:rsidP="00C4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 xml:space="preserve">Ārlietu ministrijā strādājošie, kā arī personas, kas no Ekonomikas ministrijas tiks pārceltas uz Ārlietu ministriju. </w:t>
            </w:r>
          </w:p>
        </w:tc>
      </w:tr>
      <w:tr w:rsidR="007862C6" w:rsidRPr="007862C6" w:rsidTr="00E40CAD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E32FBC" w:rsidRDefault="00A4342C" w:rsidP="00E32FBC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Ietekmes uz tautsaimniecību nav, nerada papildus administratīvo slogu. </w:t>
            </w:r>
          </w:p>
        </w:tc>
      </w:tr>
      <w:tr w:rsidR="007862C6" w:rsidRPr="007862C6" w:rsidTr="00E40CAD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E32FBC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862C6" w:rsidRPr="007862C6" w:rsidTr="00E40CAD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E32FBC" w:rsidP="00E32FB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</w:p>
        </w:tc>
      </w:tr>
      <w:tr w:rsidR="007862C6" w:rsidRPr="007862C6" w:rsidTr="007862C6">
        <w:tblPrEx>
          <w:jc w:val="center"/>
        </w:tblPrEx>
        <w:trPr>
          <w:trHeight w:val="375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862C6" w:rsidRPr="007862C6" w:rsidTr="00E03B03">
        <w:tblPrEx>
          <w:jc w:val="center"/>
        </w:tblPrEx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9D6C3A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Ārlietu ministrija un Ekonomikas ministrija.</w:t>
            </w:r>
          </w:p>
        </w:tc>
      </w:tr>
      <w:tr w:rsidR="007862C6" w:rsidRPr="007862C6" w:rsidTr="00E03B03">
        <w:tblPrEx>
          <w:jc w:val="center"/>
        </w:tblPrEx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9D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9D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7862C6" w:rsidRPr="007862C6" w:rsidRDefault="007862C6" w:rsidP="009D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D8672C" w:rsidP="001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Ārlietu ministrija pārņem Ekonomikas ministrijas </w:t>
            </w:r>
            <w:r w:rsidR="00BC2E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funkcijas ārējās tirdzniecības politikas jautājumos, tāpēc nepiecie</w:t>
            </w:r>
            <w:r w:rsidR="001746E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šams arī Ārlietu ministriju noteikt kā atbildīgo ministriju attiecīgo līgumu, kas noslēgti ar Pasaules Tirdzniecības organizāciju, jautājumos.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I</w:t>
            </w:r>
            <w:r w:rsidR="00F7692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nstitūcijas,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pamatojoties uz šo tiesību aktu,</w:t>
            </w:r>
            <w:r w:rsidR="00F7692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netiek izveidotas vai likvidētas. </w:t>
            </w:r>
          </w:p>
        </w:tc>
      </w:tr>
      <w:tr w:rsidR="007862C6" w:rsidRPr="007862C6" w:rsidTr="00E03B03">
        <w:tblPrEx>
          <w:jc w:val="center"/>
        </w:tblPrEx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9D6C3A" w:rsidP="009D6C3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</w:p>
        </w:tc>
      </w:tr>
    </w:tbl>
    <w:p w:rsidR="00F76922" w:rsidRDefault="00F76922">
      <w:pPr>
        <w:rPr>
          <w:rFonts w:ascii="Times New Roman" w:hAnsi="Times New Roman" w:cs="Times New Roman"/>
          <w:sz w:val="24"/>
          <w:szCs w:val="24"/>
        </w:rPr>
      </w:pPr>
    </w:p>
    <w:p w:rsidR="00881C07" w:rsidRDefault="00F7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Anotācijas III, IV, V un VI sadaļas – projekts šo jomu neskar. </w:t>
      </w:r>
    </w:p>
    <w:p w:rsidR="00F76922" w:rsidRDefault="00F76922">
      <w:pPr>
        <w:rPr>
          <w:rFonts w:ascii="Times New Roman" w:hAnsi="Times New Roman" w:cs="Times New Roman"/>
          <w:sz w:val="24"/>
          <w:szCs w:val="24"/>
        </w:rPr>
      </w:pP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51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AD48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4851">
        <w:rPr>
          <w:rFonts w:ascii="Times New Roman" w:hAnsi="Times New Roman" w:cs="Times New Roman"/>
          <w:sz w:val="24"/>
          <w:szCs w:val="24"/>
        </w:rPr>
        <w:t>E.Rinkēvičs</w:t>
      </w:r>
      <w:proofErr w:type="spellEnd"/>
      <w:r w:rsidRPr="00AD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51">
        <w:rPr>
          <w:rFonts w:ascii="Times New Roman" w:hAnsi="Times New Roman" w:cs="Times New Roman"/>
          <w:sz w:val="24"/>
          <w:szCs w:val="24"/>
        </w:rPr>
        <w:t>Vīzas:</w:t>
      </w: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51">
        <w:rPr>
          <w:rFonts w:ascii="Times New Roman" w:hAnsi="Times New Roman" w:cs="Times New Roman"/>
          <w:sz w:val="24"/>
          <w:szCs w:val="24"/>
        </w:rPr>
        <w:t xml:space="preserve">valsts sekretārs </w:t>
      </w:r>
      <w:r w:rsidRPr="00AD4851">
        <w:rPr>
          <w:rFonts w:ascii="Times New Roman" w:hAnsi="Times New Roman" w:cs="Times New Roman"/>
          <w:sz w:val="24"/>
          <w:szCs w:val="24"/>
        </w:rPr>
        <w:tab/>
        <w:t>A.Pildegovičs</w:t>
      </w:r>
    </w:p>
    <w:p w:rsidR="00F76922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Pr="00AD4851" w:rsidRDefault="00CE5EC6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F76922" w:rsidRPr="00AD4851">
        <w:rPr>
          <w:rFonts w:ascii="Times New Roman" w:hAnsi="Times New Roman" w:cs="Times New Roman"/>
          <w:sz w:val="20"/>
          <w:szCs w:val="20"/>
        </w:rPr>
        <w:t>.</w:t>
      </w:r>
      <w:r w:rsidR="00F76922">
        <w:rPr>
          <w:rFonts w:ascii="Times New Roman" w:hAnsi="Times New Roman" w:cs="Times New Roman"/>
          <w:sz w:val="20"/>
          <w:szCs w:val="20"/>
        </w:rPr>
        <w:t>07</w:t>
      </w:r>
      <w:r w:rsidR="00F76922" w:rsidRPr="00AD4851">
        <w:rPr>
          <w:rFonts w:ascii="Times New Roman" w:hAnsi="Times New Roman" w:cs="Times New Roman"/>
          <w:sz w:val="20"/>
          <w:szCs w:val="20"/>
        </w:rPr>
        <w:t xml:space="preserve">.2014. </w:t>
      </w:r>
    </w:p>
    <w:p w:rsidR="00F76922" w:rsidRPr="00AD4851" w:rsidRDefault="001746EB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E597F">
        <w:rPr>
          <w:rFonts w:ascii="Times New Roman" w:hAnsi="Times New Roman" w:cs="Times New Roman"/>
          <w:sz w:val="20"/>
          <w:szCs w:val="20"/>
        </w:rPr>
        <w:t>74</w:t>
      </w:r>
    </w:p>
    <w:p w:rsidR="00F76922" w:rsidRDefault="00ED11E8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Lelde Broka</w:t>
      </w:r>
    </w:p>
    <w:p w:rsidR="00ED11E8" w:rsidRDefault="00ED11E8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 departamenta </w:t>
      </w:r>
    </w:p>
    <w:p w:rsidR="00ED11E8" w:rsidRPr="00AD4851" w:rsidRDefault="00ED11E8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Administratīvi tiesiskās nodaļas juriskonsulte</w:t>
      </w:r>
    </w:p>
    <w:p w:rsidR="00F76922" w:rsidRPr="007862C6" w:rsidRDefault="00F76922" w:rsidP="00F7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Telefons: </w:t>
      </w:r>
      <w:r w:rsidR="00ED11E8">
        <w:rPr>
          <w:rFonts w:ascii="Times New Roman" w:hAnsi="Times New Roman" w:cs="Times New Roman"/>
          <w:sz w:val="20"/>
          <w:szCs w:val="20"/>
        </w:rPr>
        <w:t>67016403</w:t>
      </w:r>
      <w:r w:rsidRPr="00AD4851">
        <w:rPr>
          <w:rFonts w:ascii="Times New Roman" w:hAnsi="Times New Roman" w:cs="Times New Roman"/>
          <w:sz w:val="20"/>
          <w:szCs w:val="20"/>
        </w:rPr>
        <w:t>,</w:t>
      </w:r>
      <w:r w:rsidR="00ED11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e-</w:t>
      </w:r>
      <w:proofErr w:type="spellStart"/>
      <w:r>
        <w:rPr>
          <w:rFonts w:ascii="Times New Roman" w:hAnsi="Times New Roman" w:cs="Times New Roman"/>
          <w:sz w:val="20"/>
          <w:szCs w:val="20"/>
        </w:rPr>
        <w:t>pasts:</w:t>
      </w:r>
      <w:r w:rsidR="00ED11E8">
        <w:rPr>
          <w:rFonts w:ascii="Times New Roman" w:hAnsi="Times New Roman" w:cs="Times New Roman"/>
          <w:sz w:val="20"/>
          <w:szCs w:val="20"/>
        </w:rPr>
        <w:t>lelde.broka@mfa.gov.lv</w:t>
      </w:r>
      <w:proofErr w:type="spellEnd"/>
    </w:p>
    <w:p w:rsidR="00E40CAD" w:rsidRPr="007862C6" w:rsidRDefault="00E4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40CAD" w:rsidRPr="007862C6" w:rsidSect="00E03B03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33" w:rsidRDefault="00722F33" w:rsidP="00E03B03">
      <w:pPr>
        <w:spacing w:after="0" w:line="240" w:lineRule="auto"/>
      </w:pPr>
      <w:r>
        <w:separator/>
      </w:r>
    </w:p>
  </w:endnote>
  <w:endnote w:type="continuationSeparator" w:id="0">
    <w:p w:rsidR="00722F33" w:rsidRDefault="00722F33" w:rsidP="00E0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327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E8B" w:rsidRDefault="00BC2E8B" w:rsidP="00BC2E8B">
        <w:pPr>
          <w:pStyle w:val="Footer"/>
          <w:jc w:val="both"/>
        </w:pPr>
        <w:r w:rsidRPr="006D0F0B">
          <w:rPr>
            <w:rFonts w:ascii="Times New Roman" w:hAnsi="Times New Roman" w:cs="Times New Roman"/>
            <w:sz w:val="20"/>
            <w:szCs w:val="20"/>
          </w:rPr>
          <w:t>AMAnot_</w:t>
        </w:r>
        <w:r w:rsidR="00CE5EC6">
          <w:rPr>
            <w:rFonts w:ascii="Times New Roman" w:hAnsi="Times New Roman" w:cs="Times New Roman"/>
            <w:sz w:val="20"/>
            <w:szCs w:val="20"/>
          </w:rPr>
          <w:t>30</w:t>
        </w:r>
        <w:r w:rsidR="0014556C">
          <w:rPr>
            <w:rFonts w:ascii="Times New Roman" w:hAnsi="Times New Roman" w:cs="Times New Roman"/>
            <w:sz w:val="20"/>
            <w:szCs w:val="20"/>
          </w:rPr>
          <w:t>0714_PTO</w:t>
        </w:r>
        <w:r w:rsidRPr="00E03B03">
          <w:rPr>
            <w:rFonts w:ascii="Times New Roman" w:hAnsi="Times New Roman" w:cs="Times New Roman"/>
            <w:sz w:val="20"/>
            <w:szCs w:val="20"/>
          </w:rPr>
          <w:t xml:space="preserve">; </w:t>
        </w:r>
        <w:r w:rsidRPr="006D0F0B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>Ministru kabineta noteikumu projekta „</w:t>
        </w:r>
        <w:r w:rsidRPr="00BC2E8B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 xml:space="preserve">Grozījums Ministru kabineta </w:t>
        </w:r>
        <w:proofErr w:type="gramStart"/>
        <w:r w:rsidRPr="00BC2E8B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>1999.gada</w:t>
        </w:r>
        <w:proofErr w:type="gramEnd"/>
        <w:r w:rsidRPr="00BC2E8B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 xml:space="preserve"> 9.februāra noteikumos Nr.45 „Kārtība, kādā tiek īstenota Latvijas dalība Pasaules tirdzniecības organizācijā”</w:t>
        </w:r>
        <w:r w:rsidRPr="006D0F0B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>” sākotnējās ietekmes novērtējuma ziņojums (anotācija)</w:t>
        </w:r>
      </w:p>
      <w:p w:rsidR="006D0F0B" w:rsidRDefault="006D0F0B" w:rsidP="006D0F0B">
        <w:pPr>
          <w:pStyle w:val="Footer"/>
          <w:jc w:val="both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</w:p>
      <w:p w:rsidR="006D0F0B" w:rsidRDefault="006D0F0B" w:rsidP="006D0F0B">
        <w:pPr>
          <w:pStyle w:val="Footer"/>
          <w:jc w:val="both"/>
          <w:rPr>
            <w:rFonts w:ascii="Times New Roman" w:hAnsi="Times New Roman" w:cs="Times New Roman"/>
          </w:rPr>
        </w:pPr>
      </w:p>
      <w:p w:rsidR="00E03B03" w:rsidRPr="00E03B03" w:rsidRDefault="006D0F0B" w:rsidP="00E40CAD">
        <w:pPr>
          <w:pStyle w:val="Footer"/>
          <w:jc w:val="both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</w:rPr>
          <w:tab/>
        </w:r>
        <w:r w:rsidR="00E03B03" w:rsidRPr="00E03B03">
          <w:rPr>
            <w:rFonts w:ascii="Times New Roman" w:hAnsi="Times New Roman" w:cs="Times New Roman"/>
          </w:rPr>
          <w:fldChar w:fldCharType="begin"/>
        </w:r>
        <w:r w:rsidR="00E03B03" w:rsidRPr="00E03B03">
          <w:rPr>
            <w:rFonts w:ascii="Times New Roman" w:hAnsi="Times New Roman" w:cs="Times New Roman"/>
          </w:rPr>
          <w:instrText xml:space="preserve"> PAGE   \* MERGEFORMAT </w:instrText>
        </w:r>
        <w:r w:rsidR="00E03B03" w:rsidRPr="00E03B03">
          <w:rPr>
            <w:rFonts w:ascii="Times New Roman" w:hAnsi="Times New Roman" w:cs="Times New Roman"/>
          </w:rPr>
          <w:fldChar w:fldCharType="separate"/>
        </w:r>
        <w:r w:rsidR="009E622A">
          <w:rPr>
            <w:rFonts w:ascii="Times New Roman" w:hAnsi="Times New Roman" w:cs="Times New Roman"/>
            <w:noProof/>
          </w:rPr>
          <w:t>2</w:t>
        </w:r>
        <w:r w:rsidR="00E03B03" w:rsidRPr="00E03B0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03" w:rsidRDefault="006D0F0B" w:rsidP="006D22AA">
    <w:pPr>
      <w:pStyle w:val="Footer"/>
      <w:jc w:val="both"/>
    </w:pPr>
    <w:r w:rsidRPr="006D0F0B">
      <w:rPr>
        <w:rFonts w:ascii="Times New Roman" w:hAnsi="Times New Roman" w:cs="Times New Roman"/>
        <w:sz w:val="20"/>
        <w:szCs w:val="20"/>
      </w:rPr>
      <w:t>AMAnot_</w:t>
    </w:r>
    <w:r w:rsidR="00CE5EC6">
      <w:rPr>
        <w:rFonts w:ascii="Times New Roman" w:hAnsi="Times New Roman" w:cs="Times New Roman"/>
        <w:sz w:val="20"/>
        <w:szCs w:val="20"/>
      </w:rPr>
      <w:t>30</w:t>
    </w:r>
    <w:r w:rsidRPr="006D0F0B">
      <w:rPr>
        <w:rFonts w:ascii="Times New Roman" w:hAnsi="Times New Roman" w:cs="Times New Roman"/>
        <w:sz w:val="20"/>
        <w:szCs w:val="20"/>
      </w:rPr>
      <w:t>0714_</w:t>
    </w:r>
    <w:r w:rsidR="0014556C">
      <w:rPr>
        <w:rFonts w:ascii="Times New Roman" w:hAnsi="Times New Roman" w:cs="Times New Roman"/>
        <w:sz w:val="20"/>
        <w:szCs w:val="20"/>
      </w:rPr>
      <w:t>PTO</w:t>
    </w:r>
    <w:r w:rsidR="00E03B03" w:rsidRPr="00E03B03">
      <w:rPr>
        <w:rFonts w:ascii="Times New Roman" w:hAnsi="Times New Roman" w:cs="Times New Roman"/>
        <w:sz w:val="20"/>
        <w:szCs w:val="20"/>
      </w:rPr>
      <w:t xml:space="preserve">; </w:t>
    </w:r>
    <w:r w:rsidRPr="006D0F0B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kabineta noteikumu projekta „</w:t>
    </w:r>
    <w:r w:rsidR="00BC2E8B" w:rsidRPr="00BC2E8B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Grozījums Ministru kabineta </w:t>
    </w:r>
    <w:proofErr w:type="gramStart"/>
    <w:r w:rsidR="00BC2E8B" w:rsidRPr="00BC2E8B">
      <w:rPr>
        <w:rFonts w:ascii="Times New Roman" w:eastAsia="Times New Roman" w:hAnsi="Times New Roman" w:cs="Times New Roman"/>
        <w:bCs/>
        <w:sz w:val="20"/>
        <w:szCs w:val="20"/>
        <w:lang w:eastAsia="lv-LV"/>
      </w:rPr>
      <w:t>1999.gada</w:t>
    </w:r>
    <w:proofErr w:type="gramEnd"/>
    <w:r w:rsidR="00BC2E8B" w:rsidRPr="00BC2E8B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9.februāra noteikumos Nr.45 „Kārtība, kādā tiek īstenota Latvijas dalība Pasaules tirdzniecības organizācijā”</w:t>
    </w:r>
    <w:r w:rsidRPr="006D0F0B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33" w:rsidRDefault="00722F33" w:rsidP="00E03B03">
      <w:pPr>
        <w:spacing w:after="0" w:line="240" w:lineRule="auto"/>
      </w:pPr>
      <w:r>
        <w:separator/>
      </w:r>
    </w:p>
  </w:footnote>
  <w:footnote w:type="continuationSeparator" w:id="0">
    <w:p w:rsidR="00722F33" w:rsidRDefault="00722F33" w:rsidP="00E0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C6"/>
    <w:rsid w:val="00027A74"/>
    <w:rsid w:val="00040B3C"/>
    <w:rsid w:val="00054719"/>
    <w:rsid w:val="000548B7"/>
    <w:rsid w:val="00056DA9"/>
    <w:rsid w:val="00063305"/>
    <w:rsid w:val="00086E55"/>
    <w:rsid w:val="00090FDE"/>
    <w:rsid w:val="000A0883"/>
    <w:rsid w:val="000A1C7C"/>
    <w:rsid w:val="000A610A"/>
    <w:rsid w:val="000C47E6"/>
    <w:rsid w:val="000D102D"/>
    <w:rsid w:val="000E0EF3"/>
    <w:rsid w:val="000F0BD9"/>
    <w:rsid w:val="00100191"/>
    <w:rsid w:val="00100758"/>
    <w:rsid w:val="0012076E"/>
    <w:rsid w:val="001404DB"/>
    <w:rsid w:val="0014556C"/>
    <w:rsid w:val="0015045B"/>
    <w:rsid w:val="001673CD"/>
    <w:rsid w:val="001746EB"/>
    <w:rsid w:val="0018234A"/>
    <w:rsid w:val="00182A79"/>
    <w:rsid w:val="00192211"/>
    <w:rsid w:val="00194A89"/>
    <w:rsid w:val="001A5EB2"/>
    <w:rsid w:val="001A6F11"/>
    <w:rsid w:val="001B347F"/>
    <w:rsid w:val="001B46F0"/>
    <w:rsid w:val="001D0393"/>
    <w:rsid w:val="001F1FE7"/>
    <w:rsid w:val="001F5484"/>
    <w:rsid w:val="002315C8"/>
    <w:rsid w:val="0023664C"/>
    <w:rsid w:val="00245AB1"/>
    <w:rsid w:val="00250482"/>
    <w:rsid w:val="002511FE"/>
    <w:rsid w:val="00264CAA"/>
    <w:rsid w:val="002664A4"/>
    <w:rsid w:val="0027078E"/>
    <w:rsid w:val="0027451A"/>
    <w:rsid w:val="002757F3"/>
    <w:rsid w:val="00280654"/>
    <w:rsid w:val="0029669F"/>
    <w:rsid w:val="002B2199"/>
    <w:rsid w:val="002B2CA5"/>
    <w:rsid w:val="002B3D2A"/>
    <w:rsid w:val="002D17E5"/>
    <w:rsid w:val="002D61CF"/>
    <w:rsid w:val="002D7B3F"/>
    <w:rsid w:val="002E2507"/>
    <w:rsid w:val="002E2BDC"/>
    <w:rsid w:val="00304770"/>
    <w:rsid w:val="00310048"/>
    <w:rsid w:val="00316B49"/>
    <w:rsid w:val="00317BA5"/>
    <w:rsid w:val="00325258"/>
    <w:rsid w:val="003576CA"/>
    <w:rsid w:val="00357E8E"/>
    <w:rsid w:val="00372233"/>
    <w:rsid w:val="00373C56"/>
    <w:rsid w:val="003804A0"/>
    <w:rsid w:val="003903F0"/>
    <w:rsid w:val="003B2757"/>
    <w:rsid w:val="003B40CB"/>
    <w:rsid w:val="003C3BBB"/>
    <w:rsid w:val="003D13B8"/>
    <w:rsid w:val="003D531F"/>
    <w:rsid w:val="003E597F"/>
    <w:rsid w:val="003F04C2"/>
    <w:rsid w:val="003F5DFB"/>
    <w:rsid w:val="00415E62"/>
    <w:rsid w:val="004550F0"/>
    <w:rsid w:val="00462295"/>
    <w:rsid w:val="00473BE9"/>
    <w:rsid w:val="00482668"/>
    <w:rsid w:val="004A7686"/>
    <w:rsid w:val="004B7436"/>
    <w:rsid w:val="004E1F67"/>
    <w:rsid w:val="004F0B84"/>
    <w:rsid w:val="004F48E1"/>
    <w:rsid w:val="00515468"/>
    <w:rsid w:val="0051650F"/>
    <w:rsid w:val="00517402"/>
    <w:rsid w:val="005336CE"/>
    <w:rsid w:val="00555761"/>
    <w:rsid w:val="0055798F"/>
    <w:rsid w:val="00577106"/>
    <w:rsid w:val="00595F53"/>
    <w:rsid w:val="005B1274"/>
    <w:rsid w:val="005B3F96"/>
    <w:rsid w:val="005E2819"/>
    <w:rsid w:val="00616E91"/>
    <w:rsid w:val="006306D5"/>
    <w:rsid w:val="00633872"/>
    <w:rsid w:val="00642D5F"/>
    <w:rsid w:val="00643C2C"/>
    <w:rsid w:val="00645461"/>
    <w:rsid w:val="006607DE"/>
    <w:rsid w:val="00662514"/>
    <w:rsid w:val="006735D8"/>
    <w:rsid w:val="00683216"/>
    <w:rsid w:val="006835A4"/>
    <w:rsid w:val="006945A2"/>
    <w:rsid w:val="006A5EE8"/>
    <w:rsid w:val="006C41D7"/>
    <w:rsid w:val="006D0CA3"/>
    <w:rsid w:val="006D0F0B"/>
    <w:rsid w:val="006D22AA"/>
    <w:rsid w:val="006E0A28"/>
    <w:rsid w:val="006F059B"/>
    <w:rsid w:val="00703C6A"/>
    <w:rsid w:val="00711731"/>
    <w:rsid w:val="00711B25"/>
    <w:rsid w:val="00713FA3"/>
    <w:rsid w:val="00715E8F"/>
    <w:rsid w:val="0072021F"/>
    <w:rsid w:val="00722F33"/>
    <w:rsid w:val="00733FB0"/>
    <w:rsid w:val="0074065E"/>
    <w:rsid w:val="00741029"/>
    <w:rsid w:val="00756B39"/>
    <w:rsid w:val="00761798"/>
    <w:rsid w:val="00786299"/>
    <w:rsid w:val="007862C6"/>
    <w:rsid w:val="007A2913"/>
    <w:rsid w:val="007B16D5"/>
    <w:rsid w:val="007C4B2F"/>
    <w:rsid w:val="007E086A"/>
    <w:rsid w:val="007E64BE"/>
    <w:rsid w:val="007F4946"/>
    <w:rsid w:val="007F50AE"/>
    <w:rsid w:val="007F7CD7"/>
    <w:rsid w:val="007F7FF9"/>
    <w:rsid w:val="0080152C"/>
    <w:rsid w:val="0080602E"/>
    <w:rsid w:val="0080662A"/>
    <w:rsid w:val="0081383A"/>
    <w:rsid w:val="00822593"/>
    <w:rsid w:val="00832EBC"/>
    <w:rsid w:val="00836B7C"/>
    <w:rsid w:val="0084317B"/>
    <w:rsid w:val="00851489"/>
    <w:rsid w:val="00851D63"/>
    <w:rsid w:val="00852F73"/>
    <w:rsid w:val="00863F2A"/>
    <w:rsid w:val="0086689F"/>
    <w:rsid w:val="00894738"/>
    <w:rsid w:val="008A18D7"/>
    <w:rsid w:val="008A7968"/>
    <w:rsid w:val="008B1810"/>
    <w:rsid w:val="008D09F7"/>
    <w:rsid w:val="008D6B21"/>
    <w:rsid w:val="008E562D"/>
    <w:rsid w:val="008E6B24"/>
    <w:rsid w:val="008E6D74"/>
    <w:rsid w:val="00902280"/>
    <w:rsid w:val="0091278A"/>
    <w:rsid w:val="00934553"/>
    <w:rsid w:val="00946923"/>
    <w:rsid w:val="00961FC2"/>
    <w:rsid w:val="00971D77"/>
    <w:rsid w:val="009768B2"/>
    <w:rsid w:val="0098555F"/>
    <w:rsid w:val="009935DC"/>
    <w:rsid w:val="009936A3"/>
    <w:rsid w:val="009938A7"/>
    <w:rsid w:val="009B7531"/>
    <w:rsid w:val="009D6C3A"/>
    <w:rsid w:val="009E622A"/>
    <w:rsid w:val="009F10A8"/>
    <w:rsid w:val="00A001D8"/>
    <w:rsid w:val="00A0629E"/>
    <w:rsid w:val="00A162C5"/>
    <w:rsid w:val="00A22BD4"/>
    <w:rsid w:val="00A31EF1"/>
    <w:rsid w:val="00A336B1"/>
    <w:rsid w:val="00A34862"/>
    <w:rsid w:val="00A4342C"/>
    <w:rsid w:val="00A55994"/>
    <w:rsid w:val="00A65326"/>
    <w:rsid w:val="00A67600"/>
    <w:rsid w:val="00A67B4E"/>
    <w:rsid w:val="00A824B8"/>
    <w:rsid w:val="00A82ACF"/>
    <w:rsid w:val="00A848C9"/>
    <w:rsid w:val="00A917DC"/>
    <w:rsid w:val="00A95DC4"/>
    <w:rsid w:val="00AA08B9"/>
    <w:rsid w:val="00AA1370"/>
    <w:rsid w:val="00AA3CF9"/>
    <w:rsid w:val="00AA79E9"/>
    <w:rsid w:val="00AA7F6F"/>
    <w:rsid w:val="00AC1E82"/>
    <w:rsid w:val="00AC6855"/>
    <w:rsid w:val="00AD5791"/>
    <w:rsid w:val="00AD7AC9"/>
    <w:rsid w:val="00AF7BC4"/>
    <w:rsid w:val="00B13AE9"/>
    <w:rsid w:val="00B15BA7"/>
    <w:rsid w:val="00B30273"/>
    <w:rsid w:val="00B37FDD"/>
    <w:rsid w:val="00B561E1"/>
    <w:rsid w:val="00B66686"/>
    <w:rsid w:val="00B72C49"/>
    <w:rsid w:val="00B7743E"/>
    <w:rsid w:val="00B803CA"/>
    <w:rsid w:val="00B95DF9"/>
    <w:rsid w:val="00B970BE"/>
    <w:rsid w:val="00BB2441"/>
    <w:rsid w:val="00BB2FDF"/>
    <w:rsid w:val="00BB6FF4"/>
    <w:rsid w:val="00BC2E8B"/>
    <w:rsid w:val="00BC3674"/>
    <w:rsid w:val="00BC3BF3"/>
    <w:rsid w:val="00BC46B5"/>
    <w:rsid w:val="00BD3F6E"/>
    <w:rsid w:val="00BE1C26"/>
    <w:rsid w:val="00BE5E4F"/>
    <w:rsid w:val="00C02A5E"/>
    <w:rsid w:val="00C051CB"/>
    <w:rsid w:val="00C06096"/>
    <w:rsid w:val="00C351DE"/>
    <w:rsid w:val="00C35B5A"/>
    <w:rsid w:val="00C4610E"/>
    <w:rsid w:val="00C509ED"/>
    <w:rsid w:val="00C64C23"/>
    <w:rsid w:val="00CC355D"/>
    <w:rsid w:val="00CD2047"/>
    <w:rsid w:val="00CD6E6B"/>
    <w:rsid w:val="00CE05F0"/>
    <w:rsid w:val="00CE5EC6"/>
    <w:rsid w:val="00CF3022"/>
    <w:rsid w:val="00D00C4C"/>
    <w:rsid w:val="00D2147D"/>
    <w:rsid w:val="00D32D17"/>
    <w:rsid w:val="00D37CF5"/>
    <w:rsid w:val="00D44FFE"/>
    <w:rsid w:val="00D45741"/>
    <w:rsid w:val="00D6313D"/>
    <w:rsid w:val="00D63D47"/>
    <w:rsid w:val="00D85B34"/>
    <w:rsid w:val="00D8672C"/>
    <w:rsid w:val="00D86D92"/>
    <w:rsid w:val="00D92423"/>
    <w:rsid w:val="00D933DB"/>
    <w:rsid w:val="00D948B9"/>
    <w:rsid w:val="00DA4329"/>
    <w:rsid w:val="00DE000A"/>
    <w:rsid w:val="00DF4F4F"/>
    <w:rsid w:val="00E03B03"/>
    <w:rsid w:val="00E32FBC"/>
    <w:rsid w:val="00E40CAD"/>
    <w:rsid w:val="00E604BC"/>
    <w:rsid w:val="00E63E39"/>
    <w:rsid w:val="00E654D1"/>
    <w:rsid w:val="00E65B93"/>
    <w:rsid w:val="00E8246C"/>
    <w:rsid w:val="00E97C1B"/>
    <w:rsid w:val="00EC23DA"/>
    <w:rsid w:val="00ED11E8"/>
    <w:rsid w:val="00EE05FE"/>
    <w:rsid w:val="00EF7E16"/>
    <w:rsid w:val="00F01BE2"/>
    <w:rsid w:val="00F05D34"/>
    <w:rsid w:val="00F06132"/>
    <w:rsid w:val="00F16C0F"/>
    <w:rsid w:val="00F273C6"/>
    <w:rsid w:val="00F34E3B"/>
    <w:rsid w:val="00F76922"/>
    <w:rsid w:val="00F86BF5"/>
    <w:rsid w:val="00F93F4C"/>
    <w:rsid w:val="00FB087E"/>
    <w:rsid w:val="00FB1E3E"/>
    <w:rsid w:val="00FC0D18"/>
    <w:rsid w:val="00FC5AB6"/>
    <w:rsid w:val="00FE22D0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7862C6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03"/>
  </w:style>
  <w:style w:type="paragraph" w:styleId="Footer">
    <w:name w:val="footer"/>
    <w:basedOn w:val="Normal"/>
    <w:link w:val="FooterChar"/>
    <w:uiPriority w:val="99"/>
    <w:unhideWhenUsed/>
    <w:rsid w:val="00E0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03"/>
  </w:style>
  <w:style w:type="paragraph" w:styleId="BalloonText">
    <w:name w:val="Balloon Text"/>
    <w:basedOn w:val="Normal"/>
    <w:link w:val="BalloonTextChar"/>
    <w:uiPriority w:val="99"/>
    <w:semiHidden/>
    <w:unhideWhenUsed/>
    <w:rsid w:val="00E6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7862C6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03"/>
  </w:style>
  <w:style w:type="paragraph" w:styleId="Footer">
    <w:name w:val="footer"/>
    <w:basedOn w:val="Normal"/>
    <w:link w:val="FooterChar"/>
    <w:uiPriority w:val="99"/>
    <w:unhideWhenUsed/>
    <w:rsid w:val="00E0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03"/>
  </w:style>
  <w:style w:type="paragraph" w:styleId="BalloonText">
    <w:name w:val="Balloon Text"/>
    <w:basedOn w:val="Normal"/>
    <w:link w:val="BalloonTextChar"/>
    <w:uiPriority w:val="99"/>
    <w:semiHidden/>
    <w:unhideWhenUsed/>
    <w:rsid w:val="00E6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25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69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1999.gada 9.februāra noteikumos Nr.45 „Kārtība, kādā tiek īstenota Latvijas dalība Pasaules tirdzniecības organizācijā”” sākotnējās ietekmes novērtējuma ziņojums (anotācija)</dc:title>
  <dc:creator>Lelde Broka</dc:creator>
  <dc:description>Lelde Broka
Juridiskā departamenta 
Administratīvi tiesiskās nodaļas juriskonsulte
Telefons: 67016403, e-pasts:lelde.broka@mfa.gov.lv</dc:description>
  <cp:lastModifiedBy>Lelde Broka</cp:lastModifiedBy>
  <cp:revision>6</cp:revision>
  <dcterms:created xsi:type="dcterms:W3CDTF">2014-07-30T07:24:00Z</dcterms:created>
  <dcterms:modified xsi:type="dcterms:W3CDTF">2014-07-31T06:39:00Z</dcterms:modified>
</cp:coreProperties>
</file>