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B" w:rsidRPr="00AE35F2" w:rsidRDefault="0062736B" w:rsidP="0062736B">
      <w:pPr>
        <w:tabs>
          <w:tab w:val="left" w:pos="6480"/>
        </w:tabs>
        <w:jc w:val="right"/>
        <w:rPr>
          <w:i/>
        </w:rPr>
      </w:pPr>
      <w:r w:rsidRPr="00AE35F2">
        <w:rPr>
          <w:i/>
        </w:rPr>
        <w:t>Projekts</w:t>
      </w:r>
    </w:p>
    <w:p w:rsidR="0062736B" w:rsidRPr="00CE1FF5" w:rsidRDefault="0062736B" w:rsidP="0062736B">
      <w:pPr>
        <w:tabs>
          <w:tab w:val="left" w:pos="6480"/>
        </w:tabs>
        <w:jc w:val="center"/>
        <w:rPr>
          <w:b/>
          <w:bCs/>
        </w:rPr>
      </w:pPr>
    </w:p>
    <w:p w:rsidR="0062736B" w:rsidRDefault="0062736B" w:rsidP="0062736B">
      <w:pPr>
        <w:tabs>
          <w:tab w:val="left" w:pos="6480"/>
        </w:tabs>
        <w:jc w:val="center"/>
        <w:rPr>
          <w:b/>
          <w:bCs/>
        </w:rPr>
      </w:pPr>
      <w:r w:rsidRPr="00CE1FF5">
        <w:rPr>
          <w:b/>
          <w:bCs/>
        </w:rPr>
        <w:t xml:space="preserve">Grozījumi Ministru kabineta </w:t>
      </w:r>
      <w:proofErr w:type="gramStart"/>
      <w:r w:rsidR="00942970" w:rsidRPr="00CE1FF5">
        <w:rPr>
          <w:b/>
          <w:bCs/>
        </w:rPr>
        <w:t>2009.gada</w:t>
      </w:r>
      <w:proofErr w:type="gramEnd"/>
      <w:r w:rsidR="00942970" w:rsidRPr="00CE1FF5">
        <w:rPr>
          <w:b/>
          <w:bCs/>
        </w:rPr>
        <w:t xml:space="preserve"> 13.janvāra </w:t>
      </w:r>
      <w:r w:rsidRPr="00CE1FF5">
        <w:rPr>
          <w:b/>
          <w:bCs/>
        </w:rPr>
        <w:t>noteikumos Nr.35 „Kārtība, kādā civilo ekspertu nosūta dalībai starptautiskajā misijā, un dalības finansēšanas kārtība”</w:t>
      </w:r>
    </w:p>
    <w:p w:rsidR="00CE1FF5" w:rsidRDefault="00CE1FF5" w:rsidP="0062736B">
      <w:pPr>
        <w:tabs>
          <w:tab w:val="left" w:pos="6480"/>
        </w:tabs>
        <w:jc w:val="center"/>
        <w:rPr>
          <w:b/>
          <w:bCs/>
        </w:rPr>
      </w:pPr>
    </w:p>
    <w:p w:rsidR="00CE1FF5" w:rsidRPr="00CE1FF5" w:rsidRDefault="00CE1FF5" w:rsidP="00CE1FF5">
      <w:pPr>
        <w:tabs>
          <w:tab w:val="left" w:pos="6480"/>
        </w:tabs>
        <w:jc w:val="right"/>
        <w:rPr>
          <w:bCs/>
          <w:i/>
        </w:rPr>
      </w:pPr>
      <w:r w:rsidRPr="00CE1FF5">
        <w:rPr>
          <w:bCs/>
          <w:i/>
        </w:rPr>
        <w:t xml:space="preserve">Izdoti saskaņā ar Starptautiskās palīdzības likuma </w:t>
      </w:r>
      <w:proofErr w:type="gramStart"/>
      <w:r w:rsidRPr="00CE1FF5">
        <w:rPr>
          <w:bCs/>
          <w:i/>
        </w:rPr>
        <w:t>12.panta</w:t>
      </w:r>
      <w:proofErr w:type="gramEnd"/>
      <w:r w:rsidRPr="00CE1FF5">
        <w:rPr>
          <w:bCs/>
          <w:i/>
        </w:rPr>
        <w:t xml:space="preserve"> trešo daļu</w:t>
      </w:r>
    </w:p>
    <w:p w:rsidR="0062736B" w:rsidRPr="00CE1FF5" w:rsidRDefault="0062736B" w:rsidP="0062736B">
      <w:pPr>
        <w:tabs>
          <w:tab w:val="left" w:pos="6480"/>
        </w:tabs>
        <w:jc w:val="center"/>
        <w:rPr>
          <w:bCs/>
        </w:rPr>
      </w:pPr>
    </w:p>
    <w:p w:rsidR="0062736B" w:rsidRPr="00CE1FF5" w:rsidRDefault="0062736B" w:rsidP="0062736B">
      <w:pPr>
        <w:jc w:val="both"/>
        <w:rPr>
          <w:color w:val="000000"/>
        </w:rPr>
      </w:pPr>
      <w:r w:rsidRPr="00CE1FF5">
        <w:rPr>
          <w:color w:val="000000"/>
        </w:rPr>
        <w:t xml:space="preserve">Izdarīt Ministru kabineta </w:t>
      </w:r>
      <w:proofErr w:type="gramStart"/>
      <w:r w:rsidR="00942970" w:rsidRPr="00CE1FF5">
        <w:rPr>
          <w:color w:val="000000"/>
        </w:rPr>
        <w:t>2009.gada</w:t>
      </w:r>
      <w:proofErr w:type="gramEnd"/>
      <w:r w:rsidR="00942970" w:rsidRPr="00CE1FF5">
        <w:rPr>
          <w:color w:val="000000"/>
        </w:rPr>
        <w:t xml:space="preserve"> 13.janvāra </w:t>
      </w:r>
      <w:r w:rsidRPr="00CE1FF5">
        <w:rPr>
          <w:color w:val="000000"/>
        </w:rPr>
        <w:t>noteikumos Nr.35 „Kārtība, kādā civilo ekspertu nosūta dalībai starptautiskajā misijā, un dalības finansēšanas kārtība”</w:t>
      </w:r>
      <w:r w:rsidR="00CE1FF5">
        <w:rPr>
          <w:color w:val="000000"/>
        </w:rPr>
        <w:t xml:space="preserve"> (Latvijas Vēstnesis, 2009, 10.nr.; 2013, 159.nr.)</w:t>
      </w:r>
      <w:r w:rsidRPr="00CE1FF5">
        <w:rPr>
          <w:color w:val="000000"/>
        </w:rPr>
        <w:t xml:space="preserve"> šādus grozījumus:</w:t>
      </w:r>
    </w:p>
    <w:p w:rsidR="0062736B" w:rsidRPr="00CE1FF5" w:rsidRDefault="0062736B" w:rsidP="0062736B">
      <w:pPr>
        <w:tabs>
          <w:tab w:val="left" w:pos="6840"/>
          <w:tab w:val="left" w:pos="8835"/>
        </w:tabs>
        <w:jc w:val="both"/>
        <w:rPr>
          <w:b/>
        </w:rPr>
      </w:pPr>
    </w:p>
    <w:p w:rsidR="00AE35F2" w:rsidRDefault="006A4B54" w:rsidP="00AE35F2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 xml:space="preserve">Papildināt </w:t>
      </w:r>
      <w:r w:rsidR="00F466AE" w:rsidRPr="00CE1FF5">
        <w:t>7.</w:t>
      </w:r>
      <w:r w:rsidR="00AE35F2">
        <w:t>3.</w:t>
      </w:r>
      <w:r w:rsidR="002870A8">
        <w:t>apakš</w:t>
      </w:r>
      <w:r w:rsidR="00F466AE" w:rsidRPr="00CE1FF5">
        <w:t>punkta</w:t>
      </w:r>
      <w:r w:rsidR="00AE35F2">
        <w:t xml:space="preserve"> pirmo teikumu </w:t>
      </w:r>
      <w:r>
        <w:t>pēc vārda „misijā” ar vārdiem „,</w:t>
      </w:r>
      <w:r w:rsidR="00AE35F2">
        <w:t>ja saskaņā ar šo noteikumu 1</w:t>
      </w:r>
      <w:r w:rsidR="008D744B">
        <w:t>4</w:t>
      </w:r>
      <w:r w:rsidR="00AE35F2">
        <w:t>.punktu piemaksa ir izmaksājama.”</w:t>
      </w:r>
    </w:p>
    <w:p w:rsidR="00B303C1" w:rsidRDefault="00B303C1" w:rsidP="00AE35F2">
      <w:pPr>
        <w:pStyle w:val="ListParagraph"/>
        <w:tabs>
          <w:tab w:val="left" w:pos="6840"/>
          <w:tab w:val="left" w:pos="8835"/>
        </w:tabs>
        <w:jc w:val="both"/>
      </w:pPr>
    </w:p>
    <w:p w:rsidR="00AE35F2" w:rsidRDefault="00AE35F2" w:rsidP="00224E2F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>Papildināt noteikumus ar 7.4.</w:t>
      </w:r>
      <w:r w:rsidR="002870A8">
        <w:t>apakš</w:t>
      </w:r>
      <w:r>
        <w:t>punktu šādā redakcijā:</w:t>
      </w:r>
    </w:p>
    <w:p w:rsidR="00AE35F2" w:rsidRDefault="00AE35F2" w:rsidP="00AE35F2">
      <w:pPr>
        <w:pStyle w:val="ListParagraph"/>
        <w:tabs>
          <w:tab w:val="left" w:pos="6840"/>
          <w:tab w:val="left" w:pos="8835"/>
        </w:tabs>
        <w:jc w:val="both"/>
      </w:pPr>
      <w:r>
        <w:t xml:space="preserve">„7.4. šo noteikumu 16. un 17.punktā </w:t>
      </w:r>
      <w:r w:rsidR="006C0EB4">
        <w:t>noteiktos</w:t>
      </w:r>
      <w:r>
        <w:t xml:space="preserve"> izdevumus, kuri </w:t>
      </w:r>
      <w:r w:rsidR="006C0EB4">
        <w:t>apmaksājami, ņemot vērā šo noteikumu 14.punktā noteiktos nosacījumus</w:t>
      </w:r>
      <w:r>
        <w:t>.”</w:t>
      </w:r>
    </w:p>
    <w:p w:rsidR="00B303C1" w:rsidRDefault="00B303C1" w:rsidP="00AE35F2">
      <w:pPr>
        <w:pStyle w:val="ListParagraph"/>
        <w:tabs>
          <w:tab w:val="left" w:pos="6840"/>
          <w:tab w:val="left" w:pos="8835"/>
        </w:tabs>
        <w:jc w:val="both"/>
      </w:pPr>
    </w:p>
    <w:p w:rsidR="005F2161" w:rsidRPr="006F3DC3" w:rsidRDefault="005F2161" w:rsidP="005F2161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 xml:space="preserve">Papildināt </w:t>
      </w:r>
      <w:r w:rsidR="002870A8" w:rsidRPr="006F3DC3">
        <w:t xml:space="preserve">9.punktu </w:t>
      </w:r>
      <w:r>
        <w:t xml:space="preserve">pirms vārdiem „Ārlietu ministrija” ar vārdiem </w:t>
      </w:r>
      <w:r w:rsidR="002870A8" w:rsidRPr="006F3DC3">
        <w:t>„</w:t>
      </w:r>
      <w:proofErr w:type="gramStart"/>
      <w:r w:rsidR="002870A8" w:rsidRPr="006F3DC3">
        <w:t xml:space="preserve">Ja </w:t>
      </w:r>
      <w:r w:rsidR="00252BA7">
        <w:t xml:space="preserve">saskaņā ar </w:t>
      </w:r>
      <w:r w:rsidR="002870A8" w:rsidRPr="006F3DC3">
        <w:t>šo noteikumu 7.punktā minēt</w:t>
      </w:r>
      <w:r w:rsidR="00252BA7">
        <w:t>o</w:t>
      </w:r>
      <w:r w:rsidR="002870A8" w:rsidRPr="006F3DC3">
        <w:t xml:space="preserve"> Ministru kabineta rīkojum</w:t>
      </w:r>
      <w:r w:rsidR="00252BA7">
        <w:t>u ir</w:t>
      </w:r>
      <w:r w:rsidR="002870A8" w:rsidRPr="006F3DC3">
        <w:t xml:space="preserve"> </w:t>
      </w:r>
      <w:r w:rsidR="006F3DC3">
        <w:t>no</w:t>
      </w:r>
      <w:r w:rsidR="00881658">
        <w:t>teikts</w:t>
      </w:r>
      <w:proofErr w:type="gramEnd"/>
      <w:r w:rsidR="006F3DC3">
        <w:t xml:space="preserve"> </w:t>
      </w:r>
      <w:r w:rsidR="00414A7B">
        <w:t>apmaksāt</w:t>
      </w:r>
      <w:r w:rsidR="006F3DC3">
        <w:t xml:space="preserve"> </w:t>
      </w:r>
      <w:r w:rsidR="00881658">
        <w:t xml:space="preserve">civilajam ekspertam </w:t>
      </w:r>
      <w:r w:rsidR="002870A8" w:rsidRPr="006F3DC3">
        <w:t xml:space="preserve">šo noteikumu 15. un 17.punktā </w:t>
      </w:r>
      <w:r w:rsidR="00441231">
        <w:t>paredzēto</w:t>
      </w:r>
      <w:r w:rsidR="00414A7B">
        <w:t>s</w:t>
      </w:r>
      <w:r w:rsidR="002870A8" w:rsidRPr="006F3DC3">
        <w:t xml:space="preserve"> </w:t>
      </w:r>
      <w:r w:rsidR="00414A7B">
        <w:t>izdevumus</w:t>
      </w:r>
      <w:r w:rsidR="002870A8" w:rsidRPr="006F3DC3">
        <w:t>,</w:t>
      </w:r>
      <w:r>
        <w:t>”</w:t>
      </w:r>
      <w:r w:rsidR="002C1A02">
        <w:t>.</w:t>
      </w:r>
    </w:p>
    <w:p w:rsidR="00B303C1" w:rsidRDefault="00B303C1" w:rsidP="00881658">
      <w:pPr>
        <w:pStyle w:val="tv2131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441231" w:rsidRDefault="00441231" w:rsidP="00224E2F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>Izteikt 10.punkt</w:t>
      </w:r>
      <w:r w:rsidR="006C0EB4">
        <w:t>u</w:t>
      </w:r>
      <w:r>
        <w:t xml:space="preserve"> šādā redakcijā:</w:t>
      </w:r>
    </w:p>
    <w:p w:rsidR="00441231" w:rsidRDefault="00441231" w:rsidP="00441231">
      <w:pPr>
        <w:pStyle w:val="ListParagraph"/>
        <w:tabs>
          <w:tab w:val="left" w:pos="6840"/>
          <w:tab w:val="left" w:pos="8835"/>
        </w:tabs>
        <w:jc w:val="both"/>
      </w:pPr>
      <w:r w:rsidRPr="006C0EB4">
        <w:t xml:space="preserve">„10. </w:t>
      </w:r>
      <w:r w:rsidR="006C0EB4" w:rsidRPr="006C0EB4">
        <w:t>Tiesiskās attiecības starp civilo ekspertu un Ārlietu ministriju</w:t>
      </w:r>
      <w:r w:rsidR="006C0EB4">
        <w:t xml:space="preserve"> </w:t>
      </w:r>
      <w:r w:rsidR="006C0EB4" w:rsidRPr="006C0EB4">
        <w:t xml:space="preserve">nosaka uzņēmuma līgums (turpmāk – līgums), kas tiek noslēgts pēc civilā eksperta kandidatūras apstiprināšanas Ministru kabinetā. </w:t>
      </w:r>
      <w:r w:rsidR="006C0EB4">
        <w:t>Līgumā nosaka tos izdevumus, kurus sedz Ārlietu ministrija saskaņā ar šo noteikumu 7.punktā noteikto Ministru kabineta rīkojumu.”</w:t>
      </w:r>
    </w:p>
    <w:p w:rsidR="006C0EB4" w:rsidRPr="00D76B4E" w:rsidRDefault="006C0EB4" w:rsidP="00441231">
      <w:pPr>
        <w:pStyle w:val="ListParagraph"/>
        <w:tabs>
          <w:tab w:val="left" w:pos="6840"/>
          <w:tab w:val="left" w:pos="8835"/>
        </w:tabs>
        <w:jc w:val="both"/>
      </w:pPr>
    </w:p>
    <w:p w:rsidR="006C0EB4" w:rsidRPr="00D76B4E" w:rsidRDefault="006C0EB4" w:rsidP="00224E2F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 w:rsidRPr="00D76B4E">
        <w:t>Izteikt 14.punktu šādā redakcijā:</w:t>
      </w:r>
    </w:p>
    <w:p w:rsidR="006C0EB4" w:rsidRPr="00D76B4E" w:rsidRDefault="006C0EB4" w:rsidP="006C0EB4">
      <w:pPr>
        <w:pStyle w:val="ListParagraph"/>
        <w:tabs>
          <w:tab w:val="left" w:pos="6840"/>
          <w:tab w:val="left" w:pos="8835"/>
        </w:tabs>
        <w:jc w:val="both"/>
      </w:pPr>
      <w:r w:rsidRPr="00D76B4E">
        <w:t xml:space="preserve">„14. Izdevumus, kas saistīti ar civilā eksperta dalību starptautiskajā misijā, finansē no Ārlietu ministrijai šim mērķim piešķirtajiem valsts budžeta līdzekļiem. Šo noteikumu 15., 16. un 17.punktā </w:t>
      </w:r>
      <w:r w:rsidR="001A2830" w:rsidRPr="00D76B4E">
        <w:t>noteiktos izdevumus sedz, ja saskaņā ar starptautiskās misijas finansēšanas noteikumiem šo izdevumu segšana ir Latvijas Republikas pienākums.</w:t>
      </w:r>
      <w:r w:rsidR="00EC2445">
        <w:t xml:space="preserve"> Ministru kabinets var lemt par šo noteikumu 15., 16. un 17.punktā noteikto izdevumu </w:t>
      </w:r>
      <w:r w:rsidR="001D30B3">
        <w:t xml:space="preserve">pilnu vai daļēju </w:t>
      </w:r>
      <w:r w:rsidR="00EC2445">
        <w:t xml:space="preserve">segšanu, ja </w:t>
      </w:r>
      <w:r w:rsidR="00EC2445" w:rsidRPr="00D76B4E">
        <w:t xml:space="preserve">saskaņā ar starptautiskās misijas finansēšanas noteikumiem šo izdevumu segšana </w:t>
      </w:r>
      <w:r w:rsidR="00EC2445">
        <w:t>nav</w:t>
      </w:r>
      <w:r w:rsidR="00EC2445" w:rsidRPr="00D76B4E">
        <w:t xml:space="preserve"> Latvijas Republikas pienākums</w:t>
      </w:r>
      <w:r w:rsidR="001D30B3">
        <w:t>, tomēr šādā gadījumā nevar segt tos izdevumus, kurus civilajam ekspertam sedz starptautiskā organizācija vai valsts, kura vada starptautisko misiju.</w:t>
      </w:r>
      <w:r w:rsidR="00D76B4E" w:rsidRPr="00D76B4E">
        <w:t>”</w:t>
      </w:r>
      <w:r w:rsidR="001A2830" w:rsidRPr="00D76B4E">
        <w:t xml:space="preserve"> </w:t>
      </w:r>
    </w:p>
    <w:p w:rsidR="006C0EB4" w:rsidRDefault="006C0EB4" w:rsidP="006C0EB4">
      <w:pPr>
        <w:tabs>
          <w:tab w:val="left" w:pos="6840"/>
          <w:tab w:val="left" w:pos="8835"/>
        </w:tabs>
        <w:jc w:val="both"/>
      </w:pPr>
    </w:p>
    <w:p w:rsidR="00442665" w:rsidRDefault="00442665" w:rsidP="00442665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>Papildināt</w:t>
      </w:r>
      <w:r w:rsidR="00D76B4E" w:rsidRPr="00D76B4E">
        <w:t xml:space="preserve"> 15.punkt</w:t>
      </w:r>
      <w:r>
        <w:t>a pirmo teikumu aiz vārda „piemaksu” ar vārdiem „</w:t>
      </w:r>
      <w:r w:rsidR="00F21326">
        <w:t>,</w:t>
      </w:r>
      <w:r w:rsidR="00745184">
        <w:t xml:space="preserve">par </w:t>
      </w:r>
      <w:r w:rsidR="006629A5">
        <w:t>papildus izdevum</w:t>
      </w:r>
      <w:r w:rsidR="00745184">
        <w:t>iem</w:t>
      </w:r>
      <w:r w:rsidR="006629A5">
        <w:t>, kas rodas starptautiskās misijas laikā (piemēram, par ēdināšanu, dažādiem pakalpojumiem)</w:t>
      </w:r>
      <w:r w:rsidR="00D76B4E" w:rsidRPr="00D76B4E">
        <w:t>.</w:t>
      </w:r>
      <w:r>
        <w:t>”</w:t>
      </w:r>
    </w:p>
    <w:p w:rsidR="00D76B4E" w:rsidRDefault="00442665" w:rsidP="00442665">
      <w:pPr>
        <w:pStyle w:val="ListParagraph"/>
        <w:tabs>
          <w:tab w:val="left" w:pos="6840"/>
          <w:tab w:val="left" w:pos="8835"/>
        </w:tabs>
        <w:jc w:val="both"/>
      </w:pPr>
      <w:r>
        <w:t xml:space="preserve"> </w:t>
      </w:r>
    </w:p>
    <w:p w:rsidR="001D30B3" w:rsidRDefault="001D30B3" w:rsidP="00224E2F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>Svītrot 17.3.apakšpunktu.</w:t>
      </w:r>
    </w:p>
    <w:p w:rsidR="001D30B3" w:rsidRDefault="001D30B3" w:rsidP="001D30B3">
      <w:pPr>
        <w:pStyle w:val="ListParagraph"/>
        <w:tabs>
          <w:tab w:val="left" w:pos="6840"/>
          <w:tab w:val="left" w:pos="8835"/>
        </w:tabs>
        <w:jc w:val="both"/>
      </w:pPr>
    </w:p>
    <w:p w:rsidR="001D30B3" w:rsidRDefault="007E237E" w:rsidP="001D30B3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lastRenderedPageBreak/>
        <w:t>Aizstāt</w:t>
      </w:r>
      <w:r w:rsidR="001D30B3">
        <w:t xml:space="preserve"> 18.punkt</w:t>
      </w:r>
      <w:r w:rsidR="00BC23FA">
        <w:t>ā</w:t>
      </w:r>
      <w:r>
        <w:t xml:space="preserve"> skaitli un vārdu „16.punktā” ar skaitļiem un vārdu „</w:t>
      </w:r>
      <w:r w:rsidR="001D30B3" w:rsidRPr="001D30B3">
        <w:t>15., 16. un 17.punktā”</w:t>
      </w:r>
      <w:r>
        <w:t>.</w:t>
      </w:r>
    </w:p>
    <w:p w:rsidR="00BC23FA" w:rsidRDefault="00BC23FA" w:rsidP="00BC23FA">
      <w:pPr>
        <w:pStyle w:val="ListParagraph"/>
      </w:pPr>
    </w:p>
    <w:p w:rsidR="00BA48F7" w:rsidRDefault="00BA48F7" w:rsidP="00BA48F7">
      <w:pPr>
        <w:pStyle w:val="ListParagraph"/>
        <w:numPr>
          <w:ilvl w:val="0"/>
          <w:numId w:val="1"/>
        </w:numPr>
        <w:tabs>
          <w:tab w:val="left" w:pos="6840"/>
          <w:tab w:val="left" w:pos="8835"/>
        </w:tabs>
        <w:jc w:val="both"/>
      </w:pPr>
      <w:r>
        <w:t>Svītrot</w:t>
      </w:r>
      <w:r w:rsidR="00BC23FA">
        <w:t xml:space="preserve"> 19.punktu</w:t>
      </w:r>
      <w:r>
        <w:t>.</w:t>
      </w:r>
    </w:p>
    <w:p w:rsidR="00BA48F7" w:rsidRPr="001D30B3" w:rsidRDefault="00BA48F7" w:rsidP="00BA48F7">
      <w:pPr>
        <w:pStyle w:val="ListParagraph"/>
        <w:tabs>
          <w:tab w:val="left" w:pos="6840"/>
          <w:tab w:val="left" w:pos="8835"/>
        </w:tabs>
        <w:jc w:val="both"/>
      </w:pPr>
    </w:p>
    <w:p w:rsidR="001D30B3" w:rsidRDefault="001D30B3" w:rsidP="001D30B3">
      <w:pPr>
        <w:pStyle w:val="ListParagraph"/>
      </w:pPr>
    </w:p>
    <w:p w:rsidR="0062736B" w:rsidRDefault="0062736B" w:rsidP="0062736B">
      <w:pPr>
        <w:tabs>
          <w:tab w:val="left" w:pos="6840"/>
          <w:tab w:val="left" w:pos="8835"/>
        </w:tabs>
        <w:ind w:firstLine="709"/>
        <w:jc w:val="both"/>
      </w:pPr>
    </w:p>
    <w:p w:rsidR="00AB7C35" w:rsidRPr="00CE1FF5" w:rsidRDefault="00AB7C35" w:rsidP="0062736B">
      <w:pPr>
        <w:tabs>
          <w:tab w:val="left" w:pos="6840"/>
          <w:tab w:val="left" w:pos="8835"/>
        </w:tabs>
        <w:ind w:firstLine="709"/>
        <w:jc w:val="both"/>
      </w:pPr>
    </w:p>
    <w:p w:rsidR="0062736B" w:rsidRDefault="00AB7C35" w:rsidP="00AB7C35">
      <w:pPr>
        <w:tabs>
          <w:tab w:val="left" w:pos="6480"/>
        </w:tabs>
        <w:ind w:left="-171"/>
        <w:rPr>
          <w:color w:val="000000"/>
        </w:rPr>
      </w:pPr>
      <w:r>
        <w:rPr>
          <w:color w:val="000000"/>
        </w:rPr>
        <w:t>Ministru prezidente</w:t>
      </w:r>
      <w:r>
        <w:rPr>
          <w:color w:val="000000"/>
        </w:rPr>
        <w:tab/>
        <w:t>L.Straujuma</w:t>
      </w:r>
    </w:p>
    <w:p w:rsidR="00AB7C35" w:rsidRDefault="00AB7C35" w:rsidP="00AB7C35">
      <w:pPr>
        <w:tabs>
          <w:tab w:val="left" w:pos="6480"/>
        </w:tabs>
        <w:ind w:left="-171"/>
        <w:jc w:val="center"/>
        <w:rPr>
          <w:color w:val="000000"/>
        </w:rPr>
      </w:pPr>
    </w:p>
    <w:p w:rsidR="00254133" w:rsidRDefault="00254133" w:rsidP="00AB7C35">
      <w:pPr>
        <w:tabs>
          <w:tab w:val="left" w:pos="6480"/>
        </w:tabs>
        <w:ind w:left="-171"/>
        <w:rPr>
          <w:color w:val="000000"/>
        </w:rPr>
      </w:pPr>
    </w:p>
    <w:p w:rsidR="00AB7C35" w:rsidRDefault="00AB7C35" w:rsidP="00AB7C35">
      <w:pPr>
        <w:tabs>
          <w:tab w:val="left" w:pos="6480"/>
        </w:tabs>
        <w:ind w:left="-171"/>
        <w:rPr>
          <w:color w:val="000000"/>
        </w:rPr>
      </w:pPr>
      <w:r>
        <w:rPr>
          <w:color w:val="000000"/>
        </w:rPr>
        <w:t>Ārlietu ministrs</w:t>
      </w:r>
      <w:r>
        <w:rPr>
          <w:color w:val="000000"/>
        </w:rPr>
        <w:tab/>
      </w:r>
      <w:proofErr w:type="spellStart"/>
      <w:r>
        <w:rPr>
          <w:color w:val="000000"/>
        </w:rPr>
        <w:t>E.Rinkevičs</w:t>
      </w:r>
      <w:proofErr w:type="spellEnd"/>
    </w:p>
    <w:p w:rsidR="00AB7C35" w:rsidRDefault="00AB7C35" w:rsidP="00AB7C35">
      <w:pPr>
        <w:tabs>
          <w:tab w:val="left" w:pos="6480"/>
        </w:tabs>
        <w:ind w:left="-171"/>
        <w:rPr>
          <w:color w:val="000000"/>
        </w:rPr>
      </w:pPr>
    </w:p>
    <w:p w:rsidR="00AB7C35" w:rsidRDefault="00AB7C35" w:rsidP="00AB7C35">
      <w:pPr>
        <w:tabs>
          <w:tab w:val="left" w:pos="6480"/>
        </w:tabs>
        <w:ind w:left="-171"/>
        <w:rPr>
          <w:color w:val="000000"/>
        </w:rPr>
      </w:pPr>
    </w:p>
    <w:p w:rsidR="00254133" w:rsidRDefault="00254133" w:rsidP="00AB7C35">
      <w:pPr>
        <w:tabs>
          <w:tab w:val="left" w:pos="6480"/>
        </w:tabs>
        <w:ind w:left="-171"/>
        <w:rPr>
          <w:color w:val="000000"/>
        </w:rPr>
      </w:pPr>
    </w:p>
    <w:p w:rsidR="00AB7C35" w:rsidRDefault="00AB7C35" w:rsidP="00AB7C35">
      <w:pPr>
        <w:tabs>
          <w:tab w:val="left" w:pos="6480"/>
        </w:tabs>
        <w:ind w:left="-171"/>
        <w:rPr>
          <w:color w:val="000000"/>
        </w:rPr>
      </w:pPr>
      <w:r>
        <w:rPr>
          <w:color w:val="000000"/>
        </w:rPr>
        <w:t>Iesniedzējs: ārlietu ministrs</w:t>
      </w:r>
      <w:r>
        <w:rPr>
          <w:color w:val="000000"/>
        </w:rPr>
        <w:tab/>
      </w:r>
      <w:proofErr w:type="spellStart"/>
      <w:r>
        <w:rPr>
          <w:color w:val="000000"/>
        </w:rPr>
        <w:t>E.Rinkēvičs</w:t>
      </w:r>
      <w:proofErr w:type="spellEnd"/>
    </w:p>
    <w:p w:rsidR="00AB7C35" w:rsidRDefault="00AB7C35" w:rsidP="00AB7C35">
      <w:pPr>
        <w:tabs>
          <w:tab w:val="left" w:pos="6480"/>
        </w:tabs>
        <w:ind w:left="-171"/>
        <w:rPr>
          <w:color w:val="000000"/>
        </w:rPr>
      </w:pPr>
    </w:p>
    <w:p w:rsidR="00254133" w:rsidRDefault="00254133" w:rsidP="00AB7C35">
      <w:pPr>
        <w:tabs>
          <w:tab w:val="left" w:pos="6480"/>
        </w:tabs>
        <w:ind w:left="-171"/>
        <w:rPr>
          <w:color w:val="000000"/>
        </w:rPr>
      </w:pPr>
    </w:p>
    <w:p w:rsidR="00AB7C35" w:rsidRPr="00CE1FF5" w:rsidRDefault="00AB7C35" w:rsidP="00AB7C35">
      <w:pPr>
        <w:tabs>
          <w:tab w:val="left" w:pos="6480"/>
        </w:tabs>
        <w:ind w:left="-171"/>
      </w:pPr>
      <w:r>
        <w:rPr>
          <w:color w:val="000000"/>
        </w:rPr>
        <w:t>Vīza: valsts sekretārs</w:t>
      </w:r>
      <w:r>
        <w:rPr>
          <w:color w:val="000000"/>
        </w:rPr>
        <w:tab/>
        <w:t>A.Pildegovičs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2736B" w:rsidRDefault="0062736B" w:rsidP="0062736B"/>
    <w:p w:rsidR="00AB7C35" w:rsidRDefault="00AB7C35" w:rsidP="0062736B"/>
    <w:p w:rsidR="00AB7C35" w:rsidRPr="00CE1FF5" w:rsidRDefault="00AB7C35" w:rsidP="0062736B"/>
    <w:p w:rsidR="0062736B" w:rsidRPr="00AB7C35" w:rsidRDefault="00752FE6" w:rsidP="0062736B">
      <w:pPr>
        <w:rPr>
          <w:sz w:val="20"/>
        </w:rPr>
      </w:pPr>
      <w:r>
        <w:rPr>
          <w:sz w:val="20"/>
        </w:rPr>
        <w:t>0</w:t>
      </w:r>
      <w:r w:rsidR="00907C6B">
        <w:rPr>
          <w:sz w:val="20"/>
        </w:rPr>
        <w:t>7</w:t>
      </w:r>
      <w:r w:rsidR="00B71C48" w:rsidRPr="00AB7C35">
        <w:rPr>
          <w:sz w:val="20"/>
        </w:rPr>
        <w:t>.0</w:t>
      </w:r>
      <w:r>
        <w:rPr>
          <w:sz w:val="20"/>
        </w:rPr>
        <w:t>4</w:t>
      </w:r>
      <w:r w:rsidR="00B71C48" w:rsidRPr="00AB7C35">
        <w:rPr>
          <w:sz w:val="20"/>
        </w:rPr>
        <w:t>.2014</w:t>
      </w:r>
      <w:r w:rsidR="0062736B" w:rsidRPr="00AB7C35">
        <w:rPr>
          <w:sz w:val="20"/>
        </w:rPr>
        <w:t xml:space="preserve">. </w:t>
      </w:r>
      <w:r w:rsidR="00EE5EB8">
        <w:rPr>
          <w:sz w:val="20"/>
        </w:rPr>
        <w:t>14:30</w:t>
      </w:r>
    </w:p>
    <w:p w:rsidR="0062736B" w:rsidRPr="00AB7C35" w:rsidRDefault="00907C6B" w:rsidP="0062736B">
      <w:pPr>
        <w:rPr>
          <w:sz w:val="20"/>
        </w:rPr>
      </w:pPr>
      <w:r>
        <w:rPr>
          <w:sz w:val="20"/>
        </w:rPr>
        <w:t>339</w:t>
      </w:r>
    </w:p>
    <w:p w:rsidR="0062736B" w:rsidRPr="00AB7C35" w:rsidRDefault="0062736B" w:rsidP="0062736B">
      <w:pPr>
        <w:rPr>
          <w:sz w:val="20"/>
        </w:rPr>
      </w:pPr>
      <w:r w:rsidRPr="00AB7C35">
        <w:rPr>
          <w:sz w:val="20"/>
        </w:rPr>
        <w:t>Uldis Mikuts</w:t>
      </w:r>
      <w:r w:rsidR="00B71C48" w:rsidRPr="00AB7C35">
        <w:rPr>
          <w:sz w:val="20"/>
        </w:rPr>
        <w:t xml:space="preserve"> </w:t>
      </w:r>
      <w:r w:rsidRPr="00AB7C35">
        <w:rPr>
          <w:sz w:val="20"/>
        </w:rPr>
        <w:t xml:space="preserve">67016377; </w:t>
      </w:r>
    </w:p>
    <w:p w:rsidR="003E7444" w:rsidRPr="00AB7C35" w:rsidRDefault="00EE5EB8">
      <w:pPr>
        <w:rPr>
          <w:sz w:val="20"/>
        </w:rPr>
      </w:pPr>
      <w:hyperlink r:id="rId9" w:history="1">
        <w:r w:rsidRPr="00751613">
          <w:rPr>
            <w:rStyle w:val="Hyperlink"/>
            <w:sz w:val="20"/>
          </w:rPr>
          <w:t>uldis.mikuts@mfa.gov.lv</w:t>
        </w:r>
      </w:hyperlink>
      <w:r>
        <w:rPr>
          <w:sz w:val="20"/>
        </w:rPr>
        <w:t xml:space="preserve"> </w:t>
      </w:r>
      <w:bookmarkStart w:id="0" w:name="_GoBack"/>
      <w:bookmarkEnd w:id="0"/>
    </w:p>
    <w:sectPr w:rsidR="003E7444" w:rsidRPr="00AB7C3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88" w:rsidRDefault="00CC5D88" w:rsidP="00DC0F5C">
      <w:r>
        <w:separator/>
      </w:r>
    </w:p>
  </w:endnote>
  <w:endnote w:type="continuationSeparator" w:id="0">
    <w:p w:rsidR="00CC5D88" w:rsidRDefault="00CC5D88" w:rsidP="00DC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5C" w:rsidRPr="00D047DE" w:rsidRDefault="00DC0F5C" w:rsidP="00DC0F5C">
    <w:pPr>
      <w:jc w:val="both"/>
      <w:rPr>
        <w:sz w:val="20"/>
        <w:szCs w:val="20"/>
      </w:rPr>
    </w:pPr>
    <w:r w:rsidRPr="00D047DE">
      <w:rPr>
        <w:sz w:val="20"/>
        <w:szCs w:val="20"/>
      </w:rPr>
      <w:t>AM</w:t>
    </w:r>
    <w:r>
      <w:rPr>
        <w:sz w:val="20"/>
        <w:szCs w:val="20"/>
      </w:rPr>
      <w:t>n</w:t>
    </w:r>
    <w:r w:rsidRPr="00D047DE">
      <w:rPr>
        <w:sz w:val="20"/>
        <w:szCs w:val="20"/>
      </w:rPr>
      <w:t>ot_0</w:t>
    </w:r>
    <w:r w:rsidR="00661B87">
      <w:rPr>
        <w:sz w:val="20"/>
        <w:szCs w:val="20"/>
      </w:rPr>
      <w:t>7</w:t>
    </w:r>
    <w:r w:rsidRPr="00D047DE">
      <w:rPr>
        <w:sz w:val="20"/>
        <w:szCs w:val="20"/>
      </w:rPr>
      <w:t xml:space="preserve">0414_civilie eksperti; </w:t>
    </w:r>
    <w:r w:rsidRPr="00D047DE">
      <w:rPr>
        <w:bCs/>
        <w:sz w:val="20"/>
        <w:szCs w:val="20"/>
      </w:rPr>
      <w:t xml:space="preserve">Grozījumi Ministru kabineta </w:t>
    </w:r>
    <w:proofErr w:type="gramStart"/>
    <w:r w:rsidRPr="00D047DE">
      <w:rPr>
        <w:bCs/>
        <w:sz w:val="20"/>
        <w:szCs w:val="20"/>
      </w:rPr>
      <w:t>2009.gada</w:t>
    </w:r>
    <w:proofErr w:type="gramEnd"/>
    <w:r w:rsidRPr="00D047DE">
      <w:rPr>
        <w:bCs/>
        <w:sz w:val="20"/>
        <w:szCs w:val="20"/>
      </w:rPr>
      <w:t xml:space="preserve"> 13.janvāra noteikumos Nr.35 „Kārtība, kādā civilo ekspertu nosūta dalībai starptautiskajā misijā, un dalības finansēšanas kārtība”</w:t>
    </w:r>
  </w:p>
  <w:p w:rsidR="00DC0F5C" w:rsidRPr="00DC0F5C" w:rsidRDefault="00DC0F5C" w:rsidP="00DC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88" w:rsidRDefault="00CC5D88" w:rsidP="00DC0F5C">
      <w:r>
        <w:separator/>
      </w:r>
    </w:p>
  </w:footnote>
  <w:footnote w:type="continuationSeparator" w:id="0">
    <w:p w:rsidR="00CC5D88" w:rsidRDefault="00CC5D88" w:rsidP="00DC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04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FE6" w:rsidRDefault="00652F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FE6" w:rsidRDefault="00652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637"/>
    <w:multiLevelType w:val="hybridMultilevel"/>
    <w:tmpl w:val="73F87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40A8E"/>
    <w:rsid w:val="000B74A7"/>
    <w:rsid w:val="001A2830"/>
    <w:rsid w:val="001D30B3"/>
    <w:rsid w:val="00224E2F"/>
    <w:rsid w:val="00252BA7"/>
    <w:rsid w:val="00254133"/>
    <w:rsid w:val="002870A8"/>
    <w:rsid w:val="002C1A02"/>
    <w:rsid w:val="003E7444"/>
    <w:rsid w:val="003F08B2"/>
    <w:rsid w:val="00414A7B"/>
    <w:rsid w:val="00441231"/>
    <w:rsid w:val="00442665"/>
    <w:rsid w:val="005A73D1"/>
    <w:rsid w:val="005F2161"/>
    <w:rsid w:val="0062736B"/>
    <w:rsid w:val="00652FE6"/>
    <w:rsid w:val="00661B87"/>
    <w:rsid w:val="006629A5"/>
    <w:rsid w:val="006A4B54"/>
    <w:rsid w:val="006C0EB4"/>
    <w:rsid w:val="006F3DC3"/>
    <w:rsid w:val="00745184"/>
    <w:rsid w:val="00752FE6"/>
    <w:rsid w:val="007E237E"/>
    <w:rsid w:val="00881658"/>
    <w:rsid w:val="008D744B"/>
    <w:rsid w:val="0090145E"/>
    <w:rsid w:val="00907C6B"/>
    <w:rsid w:val="00942970"/>
    <w:rsid w:val="009C26B9"/>
    <w:rsid w:val="00A32B52"/>
    <w:rsid w:val="00A54C05"/>
    <w:rsid w:val="00AB7C35"/>
    <w:rsid w:val="00AE35F2"/>
    <w:rsid w:val="00B303C1"/>
    <w:rsid w:val="00B46806"/>
    <w:rsid w:val="00B71C48"/>
    <w:rsid w:val="00BA48F7"/>
    <w:rsid w:val="00BC23FA"/>
    <w:rsid w:val="00C677A6"/>
    <w:rsid w:val="00CB3952"/>
    <w:rsid w:val="00CC5D88"/>
    <w:rsid w:val="00CE1FF5"/>
    <w:rsid w:val="00D76B4E"/>
    <w:rsid w:val="00DA2DB2"/>
    <w:rsid w:val="00DC0F5C"/>
    <w:rsid w:val="00E57DB3"/>
    <w:rsid w:val="00EC2445"/>
    <w:rsid w:val="00EE5EB8"/>
    <w:rsid w:val="00F21326"/>
    <w:rsid w:val="00F466A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3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6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B3952"/>
    <w:pPr>
      <w:ind w:left="720"/>
      <w:contextualSpacing/>
    </w:pPr>
  </w:style>
  <w:style w:type="paragraph" w:customStyle="1" w:styleId="tv2131">
    <w:name w:val="tv2131"/>
    <w:basedOn w:val="Normal"/>
    <w:rsid w:val="006F3DC3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0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E5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3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6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B3952"/>
    <w:pPr>
      <w:ind w:left="720"/>
      <w:contextualSpacing/>
    </w:pPr>
  </w:style>
  <w:style w:type="paragraph" w:customStyle="1" w:styleId="tv2131">
    <w:name w:val="tv2131"/>
    <w:basedOn w:val="Normal"/>
    <w:rsid w:val="006F3DC3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0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E5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dis.mikuts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A003-F7AB-41E5-855B-04C227B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2422</Characters>
  <Application>Microsoft Office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Mikuts</dc:creator>
  <cp:lastModifiedBy>Uldis Mikuts</cp:lastModifiedBy>
  <cp:revision>3</cp:revision>
  <cp:lastPrinted>2014-04-07T11:43:00Z</cp:lastPrinted>
  <dcterms:created xsi:type="dcterms:W3CDTF">2014-04-07T09:43:00Z</dcterms:created>
  <dcterms:modified xsi:type="dcterms:W3CDTF">2014-04-07T11:43:00Z</dcterms:modified>
</cp:coreProperties>
</file>