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976ABD" w:rsidRDefault="00BB09C5" w:rsidP="00976ABD">
      <w:pPr>
        <w:ind w:left="-284"/>
        <w:jc w:val="center"/>
        <w:rPr>
          <w:b/>
          <w:sz w:val="26"/>
          <w:szCs w:val="26"/>
          <w:lang w:val="lv-LV"/>
        </w:rPr>
      </w:pPr>
      <w:bookmarkStart w:id="0" w:name="OLE_LINK3"/>
      <w:bookmarkStart w:id="1" w:name="OLE_LINK1"/>
      <w:bookmarkStart w:id="2" w:name="OLE_LINK2"/>
      <w:r w:rsidRPr="00976ABD">
        <w:rPr>
          <w:b/>
          <w:sz w:val="26"/>
          <w:szCs w:val="26"/>
          <w:lang w:val="lv-LV"/>
        </w:rPr>
        <w:t xml:space="preserve">Ministru kabineta </w:t>
      </w:r>
      <w:r w:rsidR="00C83591" w:rsidRPr="00976ABD">
        <w:rPr>
          <w:b/>
          <w:sz w:val="26"/>
          <w:szCs w:val="26"/>
          <w:lang w:val="lv-LV"/>
        </w:rPr>
        <w:t>noteikumu</w:t>
      </w:r>
      <w:r w:rsidR="001C7464" w:rsidRPr="00976ABD">
        <w:rPr>
          <w:b/>
          <w:sz w:val="26"/>
          <w:szCs w:val="26"/>
          <w:lang w:val="lv-LV"/>
        </w:rPr>
        <w:t xml:space="preserve"> </w:t>
      </w:r>
      <w:r w:rsidRPr="00976ABD">
        <w:rPr>
          <w:b/>
          <w:sz w:val="26"/>
          <w:szCs w:val="26"/>
          <w:lang w:val="lv-LV"/>
        </w:rPr>
        <w:t xml:space="preserve">projekta </w:t>
      </w:r>
      <w:r w:rsidR="0040578F" w:rsidRPr="00976ABD">
        <w:rPr>
          <w:b/>
          <w:sz w:val="26"/>
          <w:szCs w:val="26"/>
          <w:lang w:val="lv-LV"/>
        </w:rPr>
        <w:t>„</w:t>
      </w:r>
      <w:bookmarkStart w:id="3" w:name="OLE_LINK8"/>
      <w:bookmarkStart w:id="4" w:name="OLE_LINK4"/>
      <w:bookmarkStart w:id="5" w:name="OLE_LINK5"/>
      <w:r w:rsidR="00976ABD" w:rsidRPr="00976ABD">
        <w:rPr>
          <w:b/>
          <w:sz w:val="26"/>
          <w:szCs w:val="26"/>
          <w:lang w:val="lv-LV"/>
        </w:rPr>
        <w:t>Grozījumi Ministru kabineta 201</w:t>
      </w:r>
      <w:r w:rsidR="00A20A01">
        <w:rPr>
          <w:b/>
          <w:sz w:val="26"/>
          <w:szCs w:val="26"/>
          <w:lang w:val="lv-LV"/>
        </w:rPr>
        <w:t>0</w:t>
      </w:r>
      <w:r w:rsidR="00976ABD" w:rsidRPr="00976ABD">
        <w:rPr>
          <w:b/>
          <w:sz w:val="26"/>
          <w:szCs w:val="26"/>
          <w:lang w:val="lv-LV"/>
        </w:rPr>
        <w:t>.gada 26.oktobra noteikumos Nr.997</w:t>
      </w:r>
      <w:r w:rsidR="00976ABD">
        <w:rPr>
          <w:b/>
          <w:sz w:val="26"/>
          <w:szCs w:val="26"/>
          <w:lang w:val="lv-LV"/>
        </w:rPr>
        <w:t xml:space="preserve"> </w:t>
      </w:r>
      <w:r w:rsidR="00976ABD" w:rsidRPr="00976ABD">
        <w:rPr>
          <w:b/>
          <w:sz w:val="26"/>
          <w:szCs w:val="26"/>
          <w:lang w:val="lv-LV"/>
        </w:rPr>
        <w:t>„</w:t>
      </w:r>
      <w:bookmarkStart w:id="6" w:name="OLE_LINK11"/>
      <w:r w:rsidR="00976ABD" w:rsidRPr="00976ABD">
        <w:rPr>
          <w:b/>
          <w:sz w:val="26"/>
          <w:szCs w:val="26"/>
          <w:lang w:val="lv-LV"/>
        </w:rPr>
        <w:t>Noteikumi par garantijām komersantu un atbilstošu lauksaimniecības pakalpojumu kooperatīvo sabiedrību konkurētspējas uzlabošanai”</w:t>
      </w:r>
      <w:bookmarkEnd w:id="3"/>
      <w:bookmarkEnd w:id="4"/>
      <w:bookmarkEnd w:id="5"/>
      <w:bookmarkEnd w:id="6"/>
      <w:r w:rsidR="008F230C" w:rsidRPr="00976ABD">
        <w:rPr>
          <w:b/>
          <w:sz w:val="26"/>
          <w:szCs w:val="26"/>
          <w:lang w:val="lv-LV"/>
        </w:rPr>
        <w:t>”</w:t>
      </w:r>
      <w:r w:rsidR="001C7464" w:rsidRPr="00976ABD">
        <w:rPr>
          <w:b/>
          <w:sz w:val="26"/>
          <w:szCs w:val="26"/>
          <w:lang w:val="lv-LV"/>
        </w:rPr>
        <w:t xml:space="preserve"> </w:t>
      </w:r>
      <w:r w:rsidR="003000F0" w:rsidRPr="00976ABD">
        <w:rPr>
          <w:b/>
          <w:sz w:val="26"/>
          <w:szCs w:val="26"/>
          <w:lang w:val="lv-LV"/>
        </w:rPr>
        <w:t>sākotnējās ietekmes novērtējuma ziņojums</w:t>
      </w:r>
      <w:r w:rsidR="001C7464" w:rsidRPr="00976ABD">
        <w:rPr>
          <w:b/>
          <w:sz w:val="26"/>
          <w:szCs w:val="26"/>
          <w:lang w:val="lv-LV"/>
        </w:rPr>
        <w:t xml:space="preserve"> </w:t>
      </w:r>
      <w:r w:rsidR="003000F0" w:rsidRPr="00976ABD">
        <w:rPr>
          <w:b/>
          <w:sz w:val="26"/>
          <w:szCs w:val="26"/>
          <w:lang w:val="lv-LV"/>
        </w:rPr>
        <w:t>(</w:t>
      </w:r>
      <w:r w:rsidR="00E73425" w:rsidRPr="00976ABD">
        <w:rPr>
          <w:b/>
          <w:sz w:val="26"/>
          <w:szCs w:val="26"/>
          <w:lang w:val="lv-LV"/>
        </w:rPr>
        <w:t>anotācija</w:t>
      </w:r>
      <w:r w:rsidR="003000F0" w:rsidRPr="00976ABD">
        <w:rPr>
          <w:b/>
          <w:sz w:val="26"/>
          <w:szCs w:val="26"/>
          <w:lang w:val="lv-LV"/>
        </w:rPr>
        <w:t>)</w:t>
      </w:r>
    </w:p>
    <w:p w:rsidR="00976ABD" w:rsidRPr="005A7B9C" w:rsidRDefault="00976ABD" w:rsidP="00976ABD">
      <w:pPr>
        <w:ind w:left="-284"/>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976ABD"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976ABD">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976ABD"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706975" w:rsidP="00F22471">
            <w:pPr>
              <w:jc w:val="both"/>
              <w:rPr>
                <w:rFonts w:eastAsia="Times New Roman"/>
                <w:sz w:val="26"/>
                <w:szCs w:val="26"/>
                <w:lang w:val="lv-LV" w:eastAsia="lv-LV"/>
              </w:rPr>
            </w:pPr>
            <w:r w:rsidRPr="00706975">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F4308E" w:rsidRPr="00F4308E" w:rsidRDefault="00602B65" w:rsidP="00D9203E">
            <w:pPr>
              <w:spacing w:after="240"/>
              <w:ind w:firstLine="709"/>
              <w:jc w:val="both"/>
              <w:rPr>
                <w:rFonts w:eastAsia="Times New Roman"/>
                <w:sz w:val="26"/>
                <w:szCs w:val="26"/>
                <w:lang w:val="lv-LV" w:eastAsia="lv-LV"/>
              </w:rPr>
            </w:pPr>
            <w:r w:rsidRPr="00602B65">
              <w:rPr>
                <w:sz w:val="26"/>
                <w:szCs w:val="26"/>
                <w:lang w:val="lv-LV"/>
              </w:rPr>
              <w:t>Noteikumu projekts sagatavots, pamatojoties uz Ministru kabineta iekārtas likuma 31.panta pirmās daļas 3.punktu</w:t>
            </w:r>
            <w:r>
              <w:rPr>
                <w:sz w:val="26"/>
                <w:szCs w:val="26"/>
                <w:lang w:val="lv-LV"/>
              </w:rPr>
              <w:t>.</w:t>
            </w:r>
          </w:p>
        </w:tc>
      </w:tr>
      <w:tr w:rsidR="00A31FDC" w:rsidRPr="00976ABD"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706975" w:rsidP="00F22471">
            <w:pPr>
              <w:jc w:val="both"/>
              <w:rPr>
                <w:rFonts w:eastAsia="Times New Roman"/>
                <w:sz w:val="26"/>
                <w:szCs w:val="26"/>
                <w:lang w:val="lv-LV" w:eastAsia="lv-LV"/>
              </w:rPr>
            </w:pPr>
            <w:r w:rsidRPr="00706975">
              <w:rPr>
                <w:rFonts w:eastAsia="Times New Roman"/>
                <w:sz w:val="26"/>
                <w:szCs w:val="26"/>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331E3" w:rsidRDefault="003331E3" w:rsidP="00BB0025">
            <w:pPr>
              <w:spacing w:after="240"/>
              <w:ind w:firstLine="567"/>
              <w:jc w:val="both"/>
              <w:rPr>
                <w:sz w:val="26"/>
                <w:szCs w:val="26"/>
                <w:lang w:val="lv-LV"/>
              </w:rPr>
            </w:pPr>
            <w:r w:rsidRPr="003331E3">
              <w:rPr>
                <w:sz w:val="26"/>
                <w:szCs w:val="26"/>
                <w:lang w:val="lv-LV"/>
              </w:rPr>
              <w:t>Grozījumi Ministru kabineta 2010.gada 26.oktobra noteikum</w:t>
            </w:r>
            <w:r>
              <w:rPr>
                <w:sz w:val="26"/>
                <w:szCs w:val="26"/>
                <w:lang w:val="lv-LV"/>
              </w:rPr>
              <w:t>os</w:t>
            </w:r>
            <w:r w:rsidRPr="003331E3">
              <w:rPr>
                <w:sz w:val="26"/>
                <w:szCs w:val="26"/>
                <w:lang w:val="lv-LV"/>
              </w:rPr>
              <w:t xml:space="preserve"> Nr.997 „Noteikumi par garantijām komersantu un atbilstošu lauksaimniecības pakalpojumu kooperatīvo sabiedrību konkurētspējas uzlabošanai” (turpmāk – MK noteikumi Nr.997) ir nepieciešami, lai </w:t>
            </w:r>
            <w:r>
              <w:rPr>
                <w:sz w:val="26"/>
                <w:szCs w:val="26"/>
                <w:lang w:val="lv-LV"/>
              </w:rPr>
              <w:t xml:space="preserve">nodrošinātu garantiju pieejamību pēc 2014.gada 30.jūnija. Ņemot vērā, ka kredīta garantija kalpo par nodrošinājumu, lai saimnieciskais darbības veicējs varētu saņemt komercbankas vai tās meitas sabiedrības finansējumu, noteikumu projekts risina finansējuma pieejamības problēmas </w:t>
            </w:r>
            <w:r w:rsidR="00BB0025">
              <w:rPr>
                <w:sz w:val="26"/>
                <w:szCs w:val="26"/>
                <w:lang w:val="lv-LV"/>
              </w:rPr>
              <w:t>saimnieci</w:t>
            </w:r>
            <w:r w:rsidR="00170434">
              <w:rPr>
                <w:sz w:val="26"/>
                <w:szCs w:val="26"/>
                <w:lang w:val="lv-LV"/>
              </w:rPr>
              <w:t>skās darbības veicējiem. G</w:t>
            </w:r>
            <w:r>
              <w:rPr>
                <w:sz w:val="26"/>
                <w:szCs w:val="26"/>
                <w:lang w:val="lv-LV"/>
              </w:rPr>
              <w:t xml:space="preserve">rozījumi MK noteikumos Nr.997 </w:t>
            </w:r>
            <w:r w:rsidR="00BB0025">
              <w:rPr>
                <w:sz w:val="26"/>
                <w:szCs w:val="26"/>
                <w:lang w:val="lv-LV"/>
              </w:rPr>
              <w:t xml:space="preserve">nepieciešami, lai sekmētu 2007.-2013.gada plānošanas perioda finansējuma apguvi. </w:t>
            </w:r>
          </w:p>
          <w:p w:rsidR="00D9203E" w:rsidRDefault="009C4ABA" w:rsidP="00602B65">
            <w:pPr>
              <w:spacing w:after="240"/>
              <w:ind w:firstLine="709"/>
              <w:jc w:val="both"/>
              <w:rPr>
                <w:sz w:val="26"/>
                <w:szCs w:val="26"/>
                <w:lang w:val="lv-LV"/>
              </w:rPr>
            </w:pPr>
            <w:r>
              <w:rPr>
                <w:sz w:val="26"/>
                <w:szCs w:val="26"/>
                <w:lang w:val="lv-LV"/>
              </w:rPr>
              <w:t>Līdzšinēji g</w:t>
            </w:r>
            <w:r w:rsidR="00602B65">
              <w:rPr>
                <w:sz w:val="26"/>
                <w:szCs w:val="26"/>
                <w:lang w:val="lv-LV"/>
              </w:rPr>
              <w:t xml:space="preserve">arantijas </w:t>
            </w:r>
            <w:r w:rsidR="003331E3">
              <w:rPr>
                <w:sz w:val="26"/>
                <w:szCs w:val="26"/>
                <w:lang w:val="lv-LV"/>
              </w:rPr>
              <w:t>MK</w:t>
            </w:r>
            <w:r w:rsidR="00602B65" w:rsidRPr="00602B65">
              <w:rPr>
                <w:sz w:val="26"/>
                <w:szCs w:val="26"/>
                <w:lang w:val="lv-LV"/>
              </w:rPr>
              <w:t xml:space="preserve"> noteikum</w:t>
            </w:r>
            <w:r w:rsidR="00602B65">
              <w:rPr>
                <w:sz w:val="26"/>
                <w:szCs w:val="26"/>
                <w:lang w:val="lv-LV"/>
              </w:rPr>
              <w:t>u</w:t>
            </w:r>
            <w:r w:rsidR="00602B65" w:rsidRPr="00602B65">
              <w:rPr>
                <w:sz w:val="26"/>
                <w:szCs w:val="26"/>
                <w:lang w:val="lv-LV"/>
              </w:rPr>
              <w:t xml:space="preserve"> Nr.997 </w:t>
            </w:r>
            <w:r w:rsidR="00602B65">
              <w:rPr>
                <w:sz w:val="26"/>
                <w:szCs w:val="26"/>
                <w:lang w:val="lv-LV"/>
              </w:rPr>
              <w:t xml:space="preserve">ietvaros tiek sniegtas kā </w:t>
            </w:r>
            <w:r w:rsidR="00602B65" w:rsidRPr="00602B65">
              <w:rPr>
                <w:i/>
                <w:sz w:val="26"/>
                <w:szCs w:val="26"/>
                <w:lang w:val="lv-LV"/>
              </w:rPr>
              <w:t>de minimis</w:t>
            </w:r>
            <w:r w:rsidR="00602B65">
              <w:rPr>
                <w:sz w:val="26"/>
                <w:szCs w:val="26"/>
                <w:lang w:val="lv-LV"/>
              </w:rPr>
              <w:t xml:space="preserve"> atbalsts saskaņā </w:t>
            </w:r>
            <w:r w:rsidR="00602B65" w:rsidRPr="00602B65">
              <w:rPr>
                <w:sz w:val="26"/>
                <w:szCs w:val="26"/>
                <w:lang w:val="lv-LV"/>
              </w:rPr>
              <w:t>ar Komisijas 2006.g</w:t>
            </w:r>
            <w:r w:rsidR="00602B65">
              <w:rPr>
                <w:sz w:val="26"/>
                <w:szCs w:val="26"/>
                <w:lang w:val="lv-LV"/>
              </w:rPr>
              <w:t>ada 15.decembra Regulu (EK) Nr.</w:t>
            </w:r>
            <w:r w:rsidR="00602B65" w:rsidRPr="00602B65">
              <w:rPr>
                <w:sz w:val="26"/>
                <w:szCs w:val="26"/>
                <w:lang w:val="lv-LV"/>
              </w:rPr>
              <w:t xml:space="preserve">1998/2006 par Līguma 87. un 88.panta piemērošanu </w:t>
            </w:r>
            <w:r w:rsidR="00602B65" w:rsidRPr="00602B65">
              <w:rPr>
                <w:i/>
                <w:sz w:val="26"/>
                <w:szCs w:val="26"/>
                <w:lang w:val="lv-LV"/>
              </w:rPr>
              <w:t>de minimis</w:t>
            </w:r>
            <w:r w:rsidR="00602B65" w:rsidRPr="00602B65">
              <w:rPr>
                <w:sz w:val="26"/>
                <w:szCs w:val="26"/>
                <w:lang w:val="lv-LV"/>
              </w:rPr>
              <w:t xml:space="preserve"> atbalstam (Eiropas Savienības Oficiālais Vēstnesis, 2006.gada 28.decembris, Nr. L 379) (turpmāk – Komisijas </w:t>
            </w:r>
            <w:r w:rsidR="00602B65">
              <w:rPr>
                <w:sz w:val="26"/>
                <w:szCs w:val="26"/>
                <w:lang w:val="lv-LV"/>
              </w:rPr>
              <w:t>Regula Nr.</w:t>
            </w:r>
            <w:r w:rsidR="00602B65" w:rsidRPr="00602B65">
              <w:rPr>
                <w:sz w:val="26"/>
                <w:szCs w:val="26"/>
                <w:lang w:val="lv-LV"/>
              </w:rPr>
              <w:t>1998/2006</w:t>
            </w:r>
            <w:r w:rsidR="00602B65">
              <w:rPr>
                <w:sz w:val="26"/>
                <w:szCs w:val="26"/>
                <w:lang w:val="lv-LV"/>
              </w:rPr>
              <w:t>).</w:t>
            </w:r>
          </w:p>
          <w:p w:rsidR="00602B65" w:rsidRDefault="007D1488" w:rsidP="007D1488">
            <w:pPr>
              <w:spacing w:after="240"/>
              <w:ind w:firstLine="709"/>
              <w:jc w:val="both"/>
              <w:rPr>
                <w:sz w:val="26"/>
                <w:szCs w:val="26"/>
                <w:lang w:val="lv-LV"/>
              </w:rPr>
            </w:pPr>
            <w:r>
              <w:rPr>
                <w:sz w:val="26"/>
                <w:szCs w:val="26"/>
                <w:lang w:val="lv-LV"/>
              </w:rPr>
              <w:t>MK noteikumi Nr.</w:t>
            </w:r>
            <w:r w:rsidR="00976ABD">
              <w:rPr>
                <w:sz w:val="26"/>
                <w:szCs w:val="26"/>
                <w:lang w:val="lv-LV"/>
              </w:rPr>
              <w:t>997</w:t>
            </w:r>
            <w:r>
              <w:rPr>
                <w:sz w:val="26"/>
                <w:szCs w:val="26"/>
                <w:lang w:val="lv-LV"/>
              </w:rPr>
              <w:t xml:space="preserve"> nosaka</w:t>
            </w:r>
            <w:r w:rsidR="006D5CDF">
              <w:rPr>
                <w:sz w:val="26"/>
                <w:szCs w:val="26"/>
                <w:lang w:val="lv-LV"/>
              </w:rPr>
              <w:t>, ka atbalst</w:t>
            </w:r>
            <w:r w:rsidR="00170434">
              <w:rPr>
                <w:sz w:val="26"/>
                <w:szCs w:val="26"/>
                <w:lang w:val="lv-LV"/>
              </w:rPr>
              <w:t>u</w:t>
            </w:r>
            <w:r w:rsidR="00976ABD">
              <w:rPr>
                <w:sz w:val="26"/>
                <w:szCs w:val="26"/>
                <w:lang w:val="lv-LV"/>
              </w:rPr>
              <w:t xml:space="preserve"> </w:t>
            </w:r>
            <w:r w:rsidR="00170434">
              <w:rPr>
                <w:sz w:val="26"/>
                <w:szCs w:val="26"/>
                <w:lang w:val="lv-LV"/>
              </w:rPr>
              <w:t xml:space="preserve">sniedz līdz </w:t>
            </w:r>
            <w:r>
              <w:rPr>
                <w:sz w:val="26"/>
                <w:szCs w:val="26"/>
                <w:lang w:val="lv-LV"/>
              </w:rPr>
              <w:t>201</w:t>
            </w:r>
            <w:r w:rsidR="00602B65">
              <w:rPr>
                <w:sz w:val="26"/>
                <w:szCs w:val="26"/>
                <w:lang w:val="lv-LV"/>
              </w:rPr>
              <w:t>4</w:t>
            </w:r>
            <w:r>
              <w:rPr>
                <w:sz w:val="26"/>
                <w:szCs w:val="26"/>
                <w:lang w:val="lv-LV"/>
              </w:rPr>
              <w:t xml:space="preserve">.gada </w:t>
            </w:r>
            <w:r w:rsidR="00602B65">
              <w:rPr>
                <w:sz w:val="26"/>
                <w:szCs w:val="26"/>
                <w:lang w:val="lv-LV"/>
              </w:rPr>
              <w:t>30.jūnij</w:t>
            </w:r>
            <w:r w:rsidR="00170434">
              <w:rPr>
                <w:sz w:val="26"/>
                <w:szCs w:val="26"/>
                <w:lang w:val="lv-LV"/>
              </w:rPr>
              <w:t>am</w:t>
            </w:r>
            <w:r w:rsidR="00602B65">
              <w:rPr>
                <w:sz w:val="26"/>
                <w:szCs w:val="26"/>
                <w:lang w:val="lv-LV"/>
              </w:rPr>
              <w:t xml:space="preserve">, </w:t>
            </w:r>
            <w:r w:rsidR="00170434">
              <w:rPr>
                <w:sz w:val="26"/>
                <w:szCs w:val="26"/>
                <w:lang w:val="lv-LV"/>
              </w:rPr>
              <w:t>atbilstoši</w:t>
            </w:r>
            <w:r w:rsidR="00602B65">
              <w:rPr>
                <w:sz w:val="26"/>
                <w:szCs w:val="26"/>
                <w:lang w:val="lv-LV"/>
              </w:rPr>
              <w:t xml:space="preserve"> Komisijas</w:t>
            </w:r>
            <w:r>
              <w:rPr>
                <w:sz w:val="26"/>
                <w:szCs w:val="26"/>
                <w:lang w:val="lv-LV"/>
              </w:rPr>
              <w:t xml:space="preserve"> Regulas </w:t>
            </w:r>
            <w:r w:rsidR="00602B65">
              <w:rPr>
                <w:sz w:val="26"/>
                <w:szCs w:val="26"/>
                <w:lang w:val="lv-LV"/>
              </w:rPr>
              <w:t>Nr.</w:t>
            </w:r>
            <w:r>
              <w:rPr>
                <w:sz w:val="26"/>
                <w:szCs w:val="26"/>
                <w:lang w:val="lv-LV"/>
              </w:rPr>
              <w:t>1998/2006</w:t>
            </w:r>
            <w:r w:rsidR="00170434">
              <w:rPr>
                <w:sz w:val="26"/>
                <w:szCs w:val="26"/>
                <w:lang w:val="lv-LV"/>
              </w:rPr>
              <w:t xml:space="preserve"> </w:t>
            </w:r>
            <w:r w:rsidR="00602B65">
              <w:rPr>
                <w:sz w:val="26"/>
                <w:szCs w:val="26"/>
                <w:lang w:val="lv-LV"/>
              </w:rPr>
              <w:t>5.panta 3.</w:t>
            </w:r>
            <w:r w:rsidR="00170434">
              <w:rPr>
                <w:sz w:val="26"/>
                <w:szCs w:val="26"/>
                <w:lang w:val="lv-LV"/>
              </w:rPr>
              <w:t>punktam un 6.pantam</w:t>
            </w:r>
            <w:r w:rsidR="00602B65">
              <w:rPr>
                <w:sz w:val="26"/>
                <w:szCs w:val="26"/>
                <w:lang w:val="lv-LV"/>
              </w:rPr>
              <w:t xml:space="preserve">. Ņemot vērā, ka Eiropas Komisija </w:t>
            </w:r>
            <w:r w:rsidR="00602B65" w:rsidRPr="00602B65">
              <w:rPr>
                <w:sz w:val="26"/>
                <w:szCs w:val="26"/>
                <w:lang w:val="lv-LV"/>
              </w:rPr>
              <w:t xml:space="preserve">2013.gada </w:t>
            </w:r>
            <w:r w:rsidR="009C4ABA">
              <w:rPr>
                <w:sz w:val="26"/>
                <w:szCs w:val="26"/>
                <w:lang w:val="lv-LV"/>
              </w:rPr>
              <w:t>18</w:t>
            </w:r>
            <w:r w:rsidR="00602B65" w:rsidRPr="00602B65">
              <w:rPr>
                <w:sz w:val="26"/>
                <w:szCs w:val="26"/>
                <w:lang w:val="lv-LV"/>
              </w:rPr>
              <w:t xml:space="preserve">.decembrī ir pieņēmusi jaunu </w:t>
            </w:r>
            <w:r w:rsidR="00602B65" w:rsidRPr="00602B65">
              <w:rPr>
                <w:i/>
                <w:sz w:val="26"/>
                <w:szCs w:val="26"/>
                <w:lang w:val="lv-LV"/>
              </w:rPr>
              <w:t>de minimis</w:t>
            </w:r>
            <w:r w:rsidR="00602B65" w:rsidRPr="00602B65">
              <w:rPr>
                <w:sz w:val="26"/>
                <w:szCs w:val="26"/>
                <w:lang w:val="lv-LV"/>
              </w:rPr>
              <w:t xml:space="preserve"> atbalsta regulējum</w:t>
            </w:r>
            <w:r w:rsidR="00F401C5">
              <w:rPr>
                <w:sz w:val="26"/>
                <w:szCs w:val="26"/>
                <w:lang w:val="lv-LV"/>
              </w:rPr>
              <w:t>u</w:t>
            </w:r>
            <w:r w:rsidR="00602B65" w:rsidRPr="00602B65">
              <w:rPr>
                <w:sz w:val="26"/>
                <w:szCs w:val="26"/>
                <w:lang w:val="lv-LV"/>
              </w:rPr>
              <w:t xml:space="preserve"> (</w:t>
            </w:r>
            <w:r w:rsidR="00F401C5" w:rsidRPr="00F401C5">
              <w:rPr>
                <w:sz w:val="26"/>
                <w:szCs w:val="26"/>
                <w:lang w:val="lv-LV"/>
              </w:rPr>
              <w:t xml:space="preserve">Eiropas Komisijas 2013. gada 18. decembra Regula (ES) Nr.1407/2013 par Līguma par Eiropas Savienības darbību 107. un 108. panta piemērošanu </w:t>
            </w:r>
            <w:r w:rsidR="00F401C5" w:rsidRPr="00F401C5">
              <w:rPr>
                <w:i/>
                <w:sz w:val="26"/>
                <w:szCs w:val="26"/>
                <w:lang w:val="lv-LV"/>
              </w:rPr>
              <w:t>de minimis</w:t>
            </w:r>
            <w:r w:rsidR="00F401C5" w:rsidRPr="00F401C5">
              <w:rPr>
                <w:sz w:val="26"/>
                <w:szCs w:val="26"/>
                <w:lang w:val="lv-LV"/>
              </w:rPr>
              <w:t xml:space="preserve"> atbalstam (Eiropas Savienības Oficiālais Vēstnesis, 2013. gada 24. decembris, Nr. L 352</w:t>
            </w:r>
            <w:r w:rsidR="009C4ABA">
              <w:rPr>
                <w:sz w:val="26"/>
                <w:szCs w:val="26"/>
                <w:lang w:val="lv-LV"/>
              </w:rPr>
              <w:t>/1</w:t>
            </w:r>
            <w:r w:rsidR="00F401C5" w:rsidRPr="00F401C5">
              <w:rPr>
                <w:sz w:val="26"/>
                <w:szCs w:val="26"/>
                <w:lang w:val="lv-LV"/>
              </w:rPr>
              <w:t>)</w:t>
            </w:r>
            <w:r w:rsidR="00A8034A">
              <w:rPr>
                <w:sz w:val="26"/>
                <w:szCs w:val="26"/>
                <w:lang w:val="lv-LV"/>
              </w:rPr>
              <w:t>)</w:t>
            </w:r>
            <w:r w:rsidR="00F401C5" w:rsidRPr="00F401C5">
              <w:rPr>
                <w:sz w:val="26"/>
                <w:szCs w:val="26"/>
                <w:lang w:val="lv-LV"/>
              </w:rPr>
              <w:t xml:space="preserve"> (turpmāk – Komisijas Regula Nr.1407/2013</w:t>
            </w:r>
            <w:r w:rsidR="00F401C5">
              <w:rPr>
                <w:sz w:val="26"/>
                <w:szCs w:val="26"/>
                <w:lang w:val="lv-LV"/>
              </w:rPr>
              <w:t>)</w:t>
            </w:r>
            <w:r w:rsidR="00602B65" w:rsidRPr="00602B65">
              <w:rPr>
                <w:sz w:val="26"/>
                <w:szCs w:val="26"/>
                <w:lang w:val="lv-LV"/>
              </w:rPr>
              <w:t>,</w:t>
            </w:r>
            <w:r w:rsidR="00F401C5">
              <w:rPr>
                <w:sz w:val="26"/>
                <w:szCs w:val="26"/>
                <w:lang w:val="lv-LV"/>
              </w:rPr>
              <w:t xml:space="preserve"> lai nodrošinātu garantiju pieejamību saimnieciskās darbības veicējiem pēc 2014.gada 30.jūnija, noteikumu projekts paredz pagarināt garantiju izsniegšanas termiņu</w:t>
            </w:r>
            <w:r w:rsidR="00A8034A">
              <w:rPr>
                <w:sz w:val="26"/>
                <w:szCs w:val="26"/>
                <w:lang w:val="lv-LV"/>
              </w:rPr>
              <w:t xml:space="preserve"> līdz</w:t>
            </w:r>
            <w:r w:rsidR="00F401C5">
              <w:rPr>
                <w:sz w:val="26"/>
                <w:szCs w:val="26"/>
                <w:lang w:val="lv-LV"/>
              </w:rPr>
              <w:t xml:space="preserve"> 2015.gada 31.decembri</w:t>
            </w:r>
            <w:r w:rsidR="00A8034A">
              <w:rPr>
                <w:sz w:val="26"/>
                <w:szCs w:val="26"/>
                <w:lang w:val="lv-LV"/>
              </w:rPr>
              <w:t>m</w:t>
            </w:r>
            <w:r w:rsidR="00F401C5">
              <w:rPr>
                <w:sz w:val="26"/>
                <w:szCs w:val="26"/>
                <w:lang w:val="lv-LV"/>
              </w:rPr>
              <w:t xml:space="preserve">, kas ir 2007.-2013.gada plānošanas perioda finansējuma izmantošanas termiņš. </w:t>
            </w:r>
            <w:r w:rsidR="00E451CF">
              <w:rPr>
                <w:sz w:val="26"/>
                <w:szCs w:val="26"/>
                <w:lang w:val="lv-LV"/>
              </w:rPr>
              <w:t>Papildus</w:t>
            </w:r>
            <w:r w:rsidR="00602B65" w:rsidRPr="00602B65">
              <w:rPr>
                <w:sz w:val="26"/>
                <w:szCs w:val="26"/>
                <w:lang w:val="lv-LV"/>
              </w:rPr>
              <w:t xml:space="preserve"> noteikumu projekts paredz grozīt normas, kas līdzšinēji paredz atsauci uz Komisijas Regulu Nr.1998/2006.</w:t>
            </w:r>
          </w:p>
          <w:p w:rsidR="00422062" w:rsidRPr="00F1541A" w:rsidRDefault="00422062" w:rsidP="00B96325">
            <w:pPr>
              <w:spacing w:after="240"/>
              <w:ind w:firstLine="709"/>
              <w:jc w:val="both"/>
              <w:rPr>
                <w:sz w:val="26"/>
                <w:szCs w:val="26"/>
                <w:lang w:val="lv-LV"/>
              </w:rPr>
            </w:pPr>
            <w:r w:rsidRPr="00F1541A">
              <w:rPr>
                <w:sz w:val="26"/>
                <w:szCs w:val="26"/>
                <w:lang w:val="lv-LV"/>
              </w:rPr>
              <w:lastRenderedPageBreak/>
              <w:t>Ņemot vērā, ka Komisijas Regula Nr.1407/2013 var tikt piemērota tikai pārredzamam atbalstam, izsniedzot garantiju mazam</w:t>
            </w:r>
            <w:r w:rsidR="00B96325" w:rsidRPr="00F1541A">
              <w:rPr>
                <w:sz w:val="26"/>
                <w:szCs w:val="26"/>
                <w:lang w:val="lv-LV"/>
              </w:rPr>
              <w:t xml:space="preserve"> un</w:t>
            </w:r>
            <w:r w:rsidRPr="00F1541A">
              <w:rPr>
                <w:sz w:val="26"/>
                <w:szCs w:val="26"/>
                <w:lang w:val="lv-LV"/>
              </w:rPr>
              <w:t xml:space="preserve"> vidējam uzņēmumam</w:t>
            </w:r>
            <w:r w:rsidR="00916830" w:rsidRPr="00F1541A">
              <w:rPr>
                <w:sz w:val="26"/>
                <w:szCs w:val="26"/>
                <w:lang w:val="lv-LV"/>
              </w:rPr>
              <w:t>,</w:t>
            </w:r>
            <w:r w:rsidRPr="00F1541A">
              <w:rPr>
                <w:sz w:val="26"/>
                <w:szCs w:val="26"/>
                <w:lang w:val="lv-LV"/>
              </w:rPr>
              <w:t xml:space="preserve"> bruto dotācijas ekvivalents tiek aprēķināts, pamatojoties uz drošās zonas prēmijas likmēm, kas noteiktas saskaņā ar Komisijas paziņojumu par EK līguma 87. un 88.panta piemērošanu valsts atbalstam garantiju veidā</w:t>
            </w:r>
            <w:r w:rsidR="00916830" w:rsidRPr="00F1541A">
              <w:rPr>
                <w:sz w:val="26"/>
                <w:szCs w:val="26"/>
                <w:lang w:val="lv-LV"/>
              </w:rPr>
              <w:t xml:space="preserve"> (turpmāk – Komisijas paziņojums)</w:t>
            </w:r>
            <w:r w:rsidRPr="00F1541A">
              <w:rPr>
                <w:sz w:val="26"/>
                <w:szCs w:val="26"/>
                <w:lang w:val="lv-LV"/>
              </w:rPr>
              <w:t>.</w:t>
            </w:r>
            <w:r w:rsidR="00916830" w:rsidRPr="00F1541A">
              <w:rPr>
                <w:sz w:val="26"/>
                <w:szCs w:val="26"/>
                <w:lang w:val="lv-LV"/>
              </w:rPr>
              <w:t xml:space="preserve"> Ņemot vērā minēto</w:t>
            </w:r>
            <w:r w:rsidR="002D3CCB" w:rsidRPr="00F1541A">
              <w:rPr>
                <w:sz w:val="26"/>
                <w:szCs w:val="26"/>
                <w:lang w:val="lv-LV"/>
              </w:rPr>
              <w:t>,</w:t>
            </w:r>
            <w:r w:rsidR="00916830" w:rsidRPr="00F1541A">
              <w:rPr>
                <w:sz w:val="26"/>
                <w:szCs w:val="26"/>
                <w:lang w:val="lv-LV"/>
              </w:rPr>
              <w:t xml:space="preserve"> ierobežojumi par garantijas ilgumu un apmēru, kas izriet no Komisijas Regulas Nr.1407/2013 4.panta 6.punkta b) apakšpunkta</w:t>
            </w:r>
            <w:r w:rsidR="002D3CCB" w:rsidRPr="00F1541A">
              <w:rPr>
                <w:sz w:val="26"/>
                <w:szCs w:val="26"/>
                <w:lang w:val="lv-LV"/>
              </w:rPr>
              <w:t>,</w:t>
            </w:r>
            <w:r w:rsidR="00916830" w:rsidRPr="00F1541A">
              <w:rPr>
                <w:sz w:val="26"/>
                <w:szCs w:val="26"/>
                <w:lang w:val="lv-LV"/>
              </w:rPr>
              <w:t xml:space="preserve"> nav attiecināmi uz MK noteikumu Nr.997 ietvaros izsniegtajām garantijām </w:t>
            </w:r>
            <w:r w:rsidR="00B96325" w:rsidRPr="00F1541A">
              <w:rPr>
                <w:sz w:val="26"/>
                <w:szCs w:val="26"/>
                <w:lang w:val="lv-LV"/>
              </w:rPr>
              <w:t xml:space="preserve">maziem un vidējiem uzņēmumiem </w:t>
            </w:r>
            <w:r w:rsidR="002D3CCB" w:rsidRPr="00F1541A">
              <w:rPr>
                <w:sz w:val="26"/>
                <w:szCs w:val="26"/>
                <w:lang w:val="lv-LV"/>
              </w:rPr>
              <w:t>(tie ir</w:t>
            </w:r>
            <w:r w:rsidR="00916830" w:rsidRPr="00F1541A">
              <w:rPr>
                <w:sz w:val="26"/>
                <w:szCs w:val="26"/>
                <w:lang w:val="lv-LV"/>
              </w:rPr>
              <w:t xml:space="preserve"> attiecināmi gadījumos, kad tiek izmantota Komisijas paziņojumā noteiktā zaudējuma likme, nosakot subsīdijas ekvivalentu</w:t>
            </w:r>
            <w:r w:rsidR="002D3CCB" w:rsidRPr="00F1541A">
              <w:rPr>
                <w:sz w:val="26"/>
                <w:szCs w:val="26"/>
                <w:lang w:val="lv-LV"/>
              </w:rPr>
              <w:t>)</w:t>
            </w:r>
            <w:r w:rsidR="00916830" w:rsidRPr="00F1541A">
              <w:rPr>
                <w:sz w:val="26"/>
                <w:szCs w:val="26"/>
                <w:lang w:val="lv-LV"/>
              </w:rPr>
              <w:t xml:space="preserve">. </w:t>
            </w:r>
            <w:r w:rsidR="00B96325" w:rsidRPr="00F1541A">
              <w:rPr>
                <w:sz w:val="26"/>
                <w:szCs w:val="26"/>
                <w:lang w:val="lv-LV"/>
              </w:rPr>
              <w:t>Savukārt, l</w:t>
            </w:r>
            <w:r w:rsidR="00916830" w:rsidRPr="00F1541A">
              <w:rPr>
                <w:sz w:val="26"/>
                <w:szCs w:val="26"/>
                <w:lang w:val="lv-LV"/>
              </w:rPr>
              <w:t>ai ievērotu, ka atbalsts ir pārredzams</w:t>
            </w:r>
            <w:r w:rsidR="00B96325" w:rsidRPr="00F1541A">
              <w:rPr>
                <w:sz w:val="26"/>
                <w:szCs w:val="26"/>
                <w:lang w:val="lv-LV"/>
              </w:rPr>
              <w:t xml:space="preserve"> lielo uzņēmumu gadījumā un lai aprēķina metode nebūtu jāskaņo ar Eiropas Komisiju, noteikumu projekts paredz lielo uzņēmumu gadījumā, nosakot bruto dotācijas ekvivalentu, piemērot Komisijas Regulas Nr.1407/2013 4.panta 6.punkta b) apakšpunktā piedāvāto garantiju </w:t>
            </w:r>
            <w:proofErr w:type="spellStart"/>
            <w:r w:rsidR="00B96325" w:rsidRPr="00F1541A">
              <w:rPr>
                <w:sz w:val="26"/>
                <w:szCs w:val="26"/>
                <w:lang w:val="lv-LV"/>
              </w:rPr>
              <w:t>pārredzamības</w:t>
            </w:r>
            <w:proofErr w:type="spellEnd"/>
            <w:r w:rsidR="00B96325" w:rsidRPr="00F1541A">
              <w:rPr>
                <w:sz w:val="26"/>
                <w:szCs w:val="26"/>
                <w:lang w:val="lv-LV"/>
              </w:rPr>
              <w:t xml:space="preserve"> aprēķina variantu. P</w:t>
            </w:r>
            <w:r w:rsidR="00916830" w:rsidRPr="00F1541A">
              <w:rPr>
                <w:sz w:val="26"/>
                <w:szCs w:val="26"/>
                <w:lang w:val="lv-LV"/>
              </w:rPr>
              <w:t>apildus</w:t>
            </w:r>
            <w:r w:rsidR="00B96325" w:rsidRPr="00F1541A">
              <w:rPr>
                <w:sz w:val="26"/>
                <w:szCs w:val="26"/>
                <w:lang w:val="lv-LV"/>
              </w:rPr>
              <w:t>, lai nodrošinātu atbalsta pārredzamību,</w:t>
            </w:r>
            <w:r w:rsidR="00916830" w:rsidRPr="00F1541A">
              <w:rPr>
                <w:sz w:val="26"/>
                <w:szCs w:val="26"/>
                <w:lang w:val="lv-LV"/>
              </w:rPr>
              <w:t xml:space="preserve"> ir noteikti ierobežojumi attiecībā uz maksātnespēju. Tā arī tiek nodrošināts, ka garantijas gan maziem un vidējiem uzņēmumiem, gan lieliem uzņēmumiem netiek pieš</w:t>
            </w:r>
            <w:r w:rsidR="002D3CCB" w:rsidRPr="00F1541A">
              <w:rPr>
                <w:sz w:val="26"/>
                <w:szCs w:val="26"/>
                <w:lang w:val="lv-LV"/>
              </w:rPr>
              <w:t xml:space="preserve">ķirtas, ja uzņēmumu novērtējuma kategorija ir zemāka par kredīta kvalitātes klasi „Maksātnespēju varētu mazināt </w:t>
            </w:r>
            <w:r w:rsidR="001E6815" w:rsidRPr="00F1541A">
              <w:rPr>
                <w:sz w:val="26"/>
                <w:szCs w:val="26"/>
                <w:lang w:val="lv-LV"/>
              </w:rPr>
              <w:t>nelabvēlīgi apstākļi” (jeb novērtējuma kategorija „Vāja (B)”).</w:t>
            </w:r>
          </w:p>
          <w:p w:rsidR="001D600F" w:rsidRDefault="00F401C5" w:rsidP="007D1488">
            <w:pPr>
              <w:spacing w:after="240"/>
              <w:ind w:firstLine="709"/>
              <w:jc w:val="both"/>
              <w:rPr>
                <w:sz w:val="26"/>
                <w:szCs w:val="26"/>
                <w:lang w:val="lv-LV"/>
              </w:rPr>
            </w:pPr>
            <w:r w:rsidRPr="00F401C5">
              <w:rPr>
                <w:sz w:val="26"/>
                <w:szCs w:val="26"/>
                <w:lang w:val="lv-LV"/>
              </w:rPr>
              <w:t>2.2.1.3.aktivitāte „Garantijas komersantu konkurētspējas uzlabošanai” (turpmāk – 2.2.1.3.aktivitāte)</w:t>
            </w:r>
            <w:r>
              <w:rPr>
                <w:sz w:val="26"/>
                <w:szCs w:val="26"/>
                <w:lang w:val="lv-LV"/>
              </w:rPr>
              <w:t xml:space="preserve"> ir slēgta</w:t>
            </w:r>
            <w:r w:rsidRPr="00F401C5">
              <w:rPr>
                <w:sz w:val="26"/>
                <w:szCs w:val="26"/>
              </w:rPr>
              <w:t xml:space="preserve"> </w:t>
            </w:r>
            <w:r w:rsidRPr="00F401C5">
              <w:rPr>
                <w:sz w:val="26"/>
                <w:szCs w:val="26"/>
                <w:lang w:val="lv-LV"/>
              </w:rPr>
              <w:t>2013.gada 31.decembrī</w:t>
            </w:r>
            <w:r>
              <w:rPr>
                <w:sz w:val="26"/>
                <w:szCs w:val="26"/>
                <w:lang w:val="lv-LV"/>
              </w:rPr>
              <w:t>. Savukārt</w:t>
            </w:r>
            <w:r w:rsidR="00892640">
              <w:rPr>
                <w:sz w:val="26"/>
                <w:szCs w:val="26"/>
                <w:lang w:val="lv-LV"/>
              </w:rPr>
              <w:t>,</w:t>
            </w:r>
            <w:r>
              <w:rPr>
                <w:sz w:val="26"/>
                <w:szCs w:val="26"/>
                <w:lang w:val="lv-LV"/>
              </w:rPr>
              <w:t xml:space="preserve"> ņemot vērā, ka</w:t>
            </w:r>
            <w:r w:rsidRPr="00F401C5">
              <w:rPr>
                <w:sz w:val="26"/>
                <w:szCs w:val="26"/>
                <w:lang w:val="lv-LV"/>
              </w:rPr>
              <w:t xml:space="preserve"> </w:t>
            </w:r>
            <w:r>
              <w:rPr>
                <w:sz w:val="26"/>
                <w:szCs w:val="26"/>
                <w:lang w:val="lv-LV"/>
              </w:rPr>
              <w:t>atbilstoši</w:t>
            </w:r>
            <w:r w:rsidRPr="00F401C5">
              <w:rPr>
                <w:sz w:val="26"/>
                <w:szCs w:val="26"/>
                <w:lang w:val="lv-LV"/>
              </w:rPr>
              <w:t xml:space="preserve"> E</w:t>
            </w:r>
            <w:r>
              <w:rPr>
                <w:sz w:val="26"/>
                <w:szCs w:val="26"/>
                <w:lang w:val="lv-LV"/>
              </w:rPr>
              <w:t>konomikas ministrijas (turpmāk – EM)</w:t>
            </w:r>
            <w:r w:rsidRPr="00F401C5">
              <w:rPr>
                <w:sz w:val="26"/>
                <w:szCs w:val="26"/>
                <w:lang w:val="lv-LV"/>
              </w:rPr>
              <w:t xml:space="preserve"> 2014.</w:t>
            </w:r>
            <w:r w:rsidR="00892640">
              <w:rPr>
                <w:sz w:val="26"/>
                <w:szCs w:val="26"/>
                <w:lang w:val="lv-LV"/>
              </w:rPr>
              <w:t>gadā</w:t>
            </w:r>
            <w:r w:rsidRPr="00F401C5">
              <w:rPr>
                <w:sz w:val="26"/>
                <w:szCs w:val="26"/>
                <w:lang w:val="lv-LV"/>
              </w:rPr>
              <w:t xml:space="preserve"> veiktajai tirgus nepilnību analīzei ir nepieciešams nodrošināt turpmāku garantiju pieejamību saimnieciskās darbības veicējiem, lai sniegtu iespējas</w:t>
            </w:r>
            <w:r w:rsidRPr="00F401C5">
              <w:rPr>
                <w:sz w:val="26"/>
                <w:szCs w:val="26"/>
              </w:rPr>
              <w:t xml:space="preserve"> </w:t>
            </w:r>
            <w:r w:rsidRPr="00F401C5">
              <w:rPr>
                <w:sz w:val="26"/>
                <w:szCs w:val="26"/>
                <w:lang w:val="lv-LV"/>
              </w:rPr>
              <w:t>saņemt aizdevumu no komercbankām vai to meitas sabiedrībām projekta īstenošanai situācijās, kad saimnieciskās darbības veicējiem nav pietiekams nodrošinājums aizdevuma saņemšanai</w:t>
            </w:r>
            <w:r>
              <w:rPr>
                <w:sz w:val="26"/>
                <w:szCs w:val="26"/>
                <w:lang w:val="lv-LV"/>
              </w:rPr>
              <w:t>, sabiedrība ar ierobežotu atbildību „Latvijas Garantiju aģentūra” (turpmāk – LGA) pēc 2.2.1.3.aktivitātes slēgšanas (t.i. pēc 2013.gada 31.decembra) turpina garantiju izsniegšanu saskaņā ar MK noteikumu Nr.997 nosacījumiem</w:t>
            </w:r>
            <w:r w:rsidR="00892640">
              <w:rPr>
                <w:sz w:val="26"/>
                <w:szCs w:val="26"/>
                <w:lang w:val="lv-LV"/>
              </w:rPr>
              <w:t>. P</w:t>
            </w:r>
            <w:r>
              <w:rPr>
                <w:sz w:val="26"/>
                <w:szCs w:val="26"/>
                <w:lang w:val="lv-LV"/>
              </w:rPr>
              <w:t>ēc 2013.gada 31.decembra izsniegtās garantijas netiks deklarētas Eiropas Komisijai 2.2.1.3.aktivitātes ietvaros</w:t>
            </w:r>
            <w:r w:rsidR="00892640">
              <w:rPr>
                <w:sz w:val="26"/>
                <w:szCs w:val="26"/>
                <w:lang w:val="lv-LV"/>
              </w:rPr>
              <w:t>. Garantijas tiek turpināts izsniegt garantiju fonda ietvaros, palielinot multiplikatoru (uzņemto saistību apmērs pret garantiju fonda finansējumu pieļauj iespēju turpināt uzņemties papildus saistības</w:t>
            </w:r>
            <w:r>
              <w:rPr>
                <w:sz w:val="26"/>
                <w:szCs w:val="26"/>
                <w:lang w:val="lv-LV"/>
              </w:rPr>
              <w:t xml:space="preserve">). </w:t>
            </w:r>
            <w:r w:rsidR="00892640">
              <w:rPr>
                <w:sz w:val="26"/>
                <w:szCs w:val="26"/>
                <w:lang w:val="lv-LV"/>
              </w:rPr>
              <w:t>Ņemot vērā, ka šād</w:t>
            </w:r>
            <w:r w:rsidR="00F1541A">
              <w:rPr>
                <w:sz w:val="26"/>
                <w:szCs w:val="26"/>
                <w:lang w:val="lv-LV"/>
              </w:rPr>
              <w:t>a</w:t>
            </w:r>
            <w:r w:rsidR="00892640">
              <w:rPr>
                <w:sz w:val="26"/>
                <w:szCs w:val="26"/>
                <w:lang w:val="lv-LV"/>
              </w:rPr>
              <w:t xml:space="preserve"> papildus saistību uzņemšanās nesniedz ieguldījumu </w:t>
            </w:r>
            <w:r w:rsidR="00892640">
              <w:rPr>
                <w:sz w:val="26"/>
                <w:szCs w:val="26"/>
                <w:lang w:val="lv-LV"/>
              </w:rPr>
              <w:lastRenderedPageBreak/>
              <w:t xml:space="preserve">finansējuma </w:t>
            </w:r>
            <w:r w:rsidR="001D600F">
              <w:rPr>
                <w:sz w:val="26"/>
                <w:szCs w:val="26"/>
                <w:lang w:val="lv-LV"/>
              </w:rPr>
              <w:t>apguvē, l</w:t>
            </w:r>
            <w:r>
              <w:rPr>
                <w:sz w:val="26"/>
                <w:szCs w:val="26"/>
                <w:lang w:val="lv-LV"/>
              </w:rPr>
              <w:t xml:space="preserve">ai </w:t>
            </w:r>
            <w:r w:rsidR="001D600F">
              <w:rPr>
                <w:sz w:val="26"/>
                <w:szCs w:val="26"/>
                <w:lang w:val="lv-LV"/>
              </w:rPr>
              <w:t xml:space="preserve">veicinātu 2007.-2013.gada plānošanas perioda </w:t>
            </w:r>
            <w:r>
              <w:rPr>
                <w:sz w:val="26"/>
                <w:szCs w:val="26"/>
                <w:lang w:val="lv-LV"/>
              </w:rPr>
              <w:t xml:space="preserve">finansējuma apguvi, </w:t>
            </w:r>
            <w:r w:rsidR="00892640">
              <w:rPr>
                <w:sz w:val="26"/>
                <w:szCs w:val="26"/>
                <w:lang w:val="lv-LV"/>
              </w:rPr>
              <w:t xml:space="preserve">EM ir izstrādājusi </w:t>
            </w:r>
            <w:r w:rsidR="00892640" w:rsidRPr="006B36BE">
              <w:rPr>
                <w:sz w:val="26"/>
                <w:szCs w:val="26"/>
                <w:lang w:val="lv-LV"/>
              </w:rPr>
              <w:t>un</w:t>
            </w:r>
            <w:r w:rsidR="006B36BE" w:rsidRPr="006B36BE">
              <w:rPr>
                <w:sz w:val="26"/>
                <w:szCs w:val="26"/>
                <w:lang w:val="lv-LV"/>
              </w:rPr>
              <w:t xml:space="preserve"> š.g.</w:t>
            </w:r>
            <w:r w:rsidR="00892640" w:rsidRPr="006B36BE">
              <w:rPr>
                <w:sz w:val="26"/>
                <w:szCs w:val="26"/>
                <w:lang w:val="lv-LV"/>
              </w:rPr>
              <w:t xml:space="preserve"> </w:t>
            </w:r>
            <w:r w:rsidR="006B36BE" w:rsidRPr="006B36BE">
              <w:rPr>
                <w:sz w:val="26"/>
                <w:szCs w:val="26"/>
                <w:lang w:val="lv-LV"/>
              </w:rPr>
              <w:t xml:space="preserve">17.jūnija Ministru </w:t>
            </w:r>
            <w:r w:rsidR="006B36BE" w:rsidRPr="00D745F7">
              <w:rPr>
                <w:sz w:val="26"/>
                <w:szCs w:val="26"/>
                <w:lang w:val="lv-LV"/>
              </w:rPr>
              <w:t>kabineta sēdē ir apstiprināti groz</w:t>
            </w:r>
            <w:r w:rsidR="006B36BE" w:rsidRPr="00C166A5">
              <w:rPr>
                <w:sz w:val="26"/>
                <w:szCs w:val="26"/>
                <w:lang w:val="lv-LV"/>
              </w:rPr>
              <w:t>ījumi</w:t>
            </w:r>
            <w:r w:rsidR="00892640" w:rsidRPr="006B36BE">
              <w:rPr>
                <w:sz w:val="26"/>
                <w:szCs w:val="26"/>
                <w:lang w:val="lv-LV"/>
              </w:rPr>
              <w:t xml:space="preserve"> Ministru kabineta 2011.gada 2.augusta noteikumos Nr.614 „Noteikumi</w:t>
            </w:r>
            <w:r w:rsidR="00892640" w:rsidRPr="00892640">
              <w:rPr>
                <w:sz w:val="26"/>
                <w:szCs w:val="26"/>
                <w:lang w:val="lv-LV"/>
              </w:rPr>
              <w:t xml:space="preserve"> par darbības programmas „Uzņēmējdarbība un inovācijas” papildinājuma 2.2.1.4.2.apakšaktivitāti „Mezanīna aizdevumi investīcijām komersan</w:t>
            </w:r>
            <w:r w:rsidR="00892640">
              <w:rPr>
                <w:sz w:val="26"/>
                <w:szCs w:val="26"/>
                <w:lang w:val="lv-LV"/>
              </w:rPr>
              <w:t>tu</w:t>
            </w:r>
            <w:r w:rsidR="00C501C4">
              <w:rPr>
                <w:sz w:val="26"/>
                <w:szCs w:val="26"/>
                <w:lang w:val="lv-LV"/>
              </w:rPr>
              <w:t xml:space="preserve"> konkurētspējas uzlabošanai””, </w:t>
            </w:r>
            <w:r w:rsidR="00892640">
              <w:rPr>
                <w:sz w:val="26"/>
                <w:szCs w:val="26"/>
                <w:lang w:val="lv-LV"/>
              </w:rPr>
              <w:t xml:space="preserve">kuri paredz 2.2.1.4.2.apakšaktivitātē  </w:t>
            </w:r>
            <w:r w:rsidR="00892640" w:rsidRPr="00892640">
              <w:rPr>
                <w:sz w:val="26"/>
                <w:szCs w:val="26"/>
                <w:lang w:val="lv-LV"/>
              </w:rPr>
              <w:t>„</w:t>
            </w:r>
            <w:proofErr w:type="spellStart"/>
            <w:r w:rsidR="00892640" w:rsidRPr="00892640">
              <w:rPr>
                <w:sz w:val="26"/>
                <w:szCs w:val="26"/>
                <w:lang w:val="lv-LV"/>
              </w:rPr>
              <w:t>Mezanīna</w:t>
            </w:r>
            <w:proofErr w:type="spellEnd"/>
            <w:r w:rsidR="00892640" w:rsidRPr="00892640">
              <w:rPr>
                <w:sz w:val="26"/>
                <w:szCs w:val="26"/>
                <w:lang w:val="lv-LV"/>
              </w:rPr>
              <w:t xml:space="preserve"> aizdevumi investīcijām komersantu konkurētspējas uzlabošanai”</w:t>
            </w:r>
            <w:r w:rsidR="00892640">
              <w:rPr>
                <w:sz w:val="26"/>
                <w:szCs w:val="26"/>
                <w:lang w:val="lv-LV"/>
              </w:rPr>
              <w:t xml:space="preserve"> attiecināt </w:t>
            </w:r>
            <w:r w:rsidR="001D600F">
              <w:rPr>
                <w:sz w:val="26"/>
                <w:szCs w:val="26"/>
                <w:lang w:val="lv-LV"/>
              </w:rPr>
              <w:t xml:space="preserve">arī kredīta </w:t>
            </w:r>
            <w:r w:rsidR="00892640">
              <w:rPr>
                <w:sz w:val="26"/>
                <w:szCs w:val="26"/>
                <w:lang w:val="lv-LV"/>
              </w:rPr>
              <w:t xml:space="preserve">garantijas, kas izsniegtas atbilstoši normatīvajiem aktiem (līdzšinēji </w:t>
            </w:r>
            <w:r w:rsidR="001D600F">
              <w:rPr>
                <w:sz w:val="26"/>
                <w:szCs w:val="26"/>
                <w:lang w:val="lv-LV"/>
              </w:rPr>
              <w:t xml:space="preserve">atbilstoši </w:t>
            </w:r>
            <w:r w:rsidR="00892640">
              <w:rPr>
                <w:sz w:val="26"/>
                <w:szCs w:val="26"/>
                <w:lang w:val="lv-LV"/>
              </w:rPr>
              <w:t>MK noteikumi</w:t>
            </w:r>
            <w:r w:rsidR="001D600F">
              <w:rPr>
                <w:sz w:val="26"/>
                <w:szCs w:val="26"/>
                <w:lang w:val="lv-LV"/>
              </w:rPr>
              <w:t>em</w:t>
            </w:r>
            <w:r w:rsidR="00C501C4">
              <w:rPr>
                <w:sz w:val="26"/>
                <w:szCs w:val="26"/>
                <w:lang w:val="lv-LV"/>
              </w:rPr>
              <w:t xml:space="preserve"> Nr.997</w:t>
            </w:r>
            <w:r w:rsidR="00892640">
              <w:rPr>
                <w:sz w:val="26"/>
                <w:szCs w:val="26"/>
                <w:lang w:val="lv-LV"/>
              </w:rPr>
              <w:t>). Ņemot vērā minēto</w:t>
            </w:r>
            <w:r w:rsidR="001D600F">
              <w:rPr>
                <w:sz w:val="26"/>
                <w:szCs w:val="26"/>
                <w:lang w:val="lv-LV"/>
              </w:rPr>
              <w:t xml:space="preserve">, un, </w:t>
            </w:r>
            <w:r w:rsidR="00892640">
              <w:rPr>
                <w:sz w:val="26"/>
                <w:szCs w:val="26"/>
                <w:lang w:val="lv-LV"/>
              </w:rPr>
              <w:t xml:space="preserve">lai nodrošinātu 2007.-2013.gada plānošanas perioda finansējuma apguvi, </w:t>
            </w:r>
            <w:r w:rsidR="001D600F">
              <w:rPr>
                <w:sz w:val="26"/>
                <w:szCs w:val="26"/>
                <w:lang w:val="lv-LV"/>
              </w:rPr>
              <w:t>EM uzskata par pamatotu nepieciešamību noteikumu projekta ietvaros</w:t>
            </w:r>
            <w:r w:rsidR="00892640">
              <w:rPr>
                <w:sz w:val="26"/>
                <w:szCs w:val="26"/>
                <w:lang w:val="lv-LV"/>
              </w:rPr>
              <w:t xml:space="preserve"> pagarināt garantiju izsniegšanas termi</w:t>
            </w:r>
            <w:r w:rsidR="001D600F">
              <w:rPr>
                <w:sz w:val="26"/>
                <w:szCs w:val="26"/>
                <w:lang w:val="lv-LV"/>
              </w:rPr>
              <w:t>ņu.</w:t>
            </w:r>
          </w:p>
          <w:p w:rsidR="00756387" w:rsidRDefault="00756387" w:rsidP="007D1488">
            <w:pPr>
              <w:spacing w:after="240"/>
              <w:ind w:firstLine="709"/>
              <w:jc w:val="both"/>
              <w:rPr>
                <w:sz w:val="26"/>
                <w:szCs w:val="26"/>
                <w:lang w:val="lv-LV"/>
              </w:rPr>
            </w:pPr>
            <w:r>
              <w:rPr>
                <w:sz w:val="26"/>
                <w:szCs w:val="26"/>
                <w:lang w:val="lv-LV"/>
              </w:rPr>
              <w:t xml:space="preserve">Noteikumu projekts paredz precizēt neatbalstāmo nozaru un darbību sarakstu. Ņemot vērā, ka atbilstoši Likumam par akcīzes nodokli </w:t>
            </w:r>
            <w:r w:rsidRPr="00756387">
              <w:rPr>
                <w:sz w:val="26"/>
                <w:szCs w:val="26"/>
                <w:lang w:val="lv-LV"/>
              </w:rPr>
              <w:t>(publicēts: "Latvijas Vēstnesis", 161 (2926), 14.11.2003., "Ziņotājs", 23, 11.12.2003)</w:t>
            </w:r>
            <w:r>
              <w:rPr>
                <w:sz w:val="26"/>
                <w:szCs w:val="26"/>
                <w:lang w:val="lv-LV"/>
              </w:rPr>
              <w:t xml:space="preserve"> alus ir iekļauts alkoholisko dzērienu kategorijā, tad n</w:t>
            </w:r>
            <w:r w:rsidRPr="00756387">
              <w:rPr>
                <w:sz w:val="26"/>
                <w:szCs w:val="26"/>
                <w:lang w:val="lv-LV"/>
              </w:rPr>
              <w:t>eatbalstāmo nozaru un darbību sarakstā alus ražošana un tirdzniecība netiek atsevišķi izdalīta</w:t>
            </w:r>
            <w:r>
              <w:rPr>
                <w:sz w:val="26"/>
                <w:szCs w:val="26"/>
                <w:lang w:val="lv-LV"/>
              </w:rPr>
              <w:t xml:space="preserve">. </w:t>
            </w:r>
          </w:p>
          <w:p w:rsidR="00756387" w:rsidRDefault="00756387" w:rsidP="00756387">
            <w:pPr>
              <w:ind w:firstLine="709"/>
              <w:jc w:val="both"/>
              <w:rPr>
                <w:sz w:val="26"/>
                <w:szCs w:val="26"/>
                <w:lang w:val="lv-LV"/>
              </w:rPr>
            </w:pPr>
            <w:r>
              <w:rPr>
                <w:sz w:val="26"/>
                <w:szCs w:val="26"/>
                <w:lang w:val="lv-LV"/>
              </w:rPr>
              <w:t>Lai veicinātu 2007.-2013.gada plānošanas perioda finansējuma apguvi, noteikumu projekts paredz paplašināt atbalstāmo nozaru un darbību sarakstu,  turpmāk sniedzot iespēju garantijas saņemt vairumtirdzniecības un mazumtirdzniecības nozarē</w:t>
            </w:r>
            <w:r w:rsidR="009749A9">
              <w:rPr>
                <w:sz w:val="26"/>
                <w:szCs w:val="26"/>
                <w:lang w:val="lv-LV"/>
              </w:rPr>
              <w:t xml:space="preserve">, kas </w:t>
            </w:r>
            <w:r>
              <w:rPr>
                <w:sz w:val="26"/>
                <w:szCs w:val="26"/>
                <w:lang w:val="lv-LV"/>
              </w:rPr>
              <w:t xml:space="preserve">ir viena no nozīmīgākajām nozarēm Latvijas tautsaimniecībā (atbilstoši LR Centrālās Statistikas pārvaldes datiem vairumtirdzniecības un mazumtirdzniecības īpatsvars iekšzemes kopprodukta struktūrā salīdzinoši ar citām tautsaimniecības nozarēm ir vislielākais – 16,1 % 2012.gadā). </w:t>
            </w:r>
            <w:r w:rsidR="009749A9">
              <w:rPr>
                <w:sz w:val="26"/>
                <w:szCs w:val="26"/>
                <w:lang w:val="lv-LV"/>
              </w:rPr>
              <w:t>I</w:t>
            </w:r>
            <w:r>
              <w:rPr>
                <w:sz w:val="26"/>
                <w:szCs w:val="26"/>
                <w:lang w:val="lv-LV"/>
              </w:rPr>
              <w:t>espējas saņemt atbalstu MK noteikumu Nr.997 ietvaros komersantiem, kas darbojas vairumtirdzniecības un mazumtirdzniecības nozarē</w:t>
            </w:r>
            <w:r w:rsidR="009749A9">
              <w:rPr>
                <w:sz w:val="26"/>
                <w:szCs w:val="26"/>
                <w:lang w:val="lv-LV"/>
              </w:rPr>
              <w:t>,</w:t>
            </w:r>
            <w:r>
              <w:rPr>
                <w:sz w:val="26"/>
                <w:szCs w:val="26"/>
                <w:lang w:val="lv-LV"/>
              </w:rPr>
              <w:t xml:space="preserve"> </w:t>
            </w:r>
            <w:r w:rsidR="009749A9">
              <w:rPr>
                <w:sz w:val="26"/>
                <w:szCs w:val="26"/>
                <w:lang w:val="lv-LV"/>
              </w:rPr>
              <w:t>veicinās</w:t>
            </w:r>
            <w:r>
              <w:rPr>
                <w:sz w:val="26"/>
                <w:szCs w:val="26"/>
                <w:lang w:val="lv-LV"/>
              </w:rPr>
              <w:t xml:space="preserve"> minētās nozares īpatsvara pieaugumu iekšzemes kopproduktā, kā arī </w:t>
            </w:r>
            <w:r w:rsidR="009749A9">
              <w:rPr>
                <w:sz w:val="26"/>
                <w:szCs w:val="26"/>
                <w:lang w:val="lv-LV"/>
              </w:rPr>
              <w:t xml:space="preserve">sekmēs </w:t>
            </w:r>
            <w:r>
              <w:rPr>
                <w:sz w:val="26"/>
                <w:szCs w:val="26"/>
                <w:lang w:val="lv-LV"/>
              </w:rPr>
              <w:t>2007.-2013.gada plānošanas perioda finansējuma apguvi.</w:t>
            </w:r>
            <w:r w:rsidR="009749A9">
              <w:rPr>
                <w:sz w:val="26"/>
                <w:szCs w:val="26"/>
                <w:lang w:val="lv-LV"/>
              </w:rPr>
              <w:t xml:space="preserve"> </w:t>
            </w:r>
            <w:r w:rsidR="009749A9" w:rsidRPr="009749A9">
              <w:rPr>
                <w:sz w:val="26"/>
                <w:szCs w:val="26"/>
                <w:lang w:val="lv-LV"/>
              </w:rPr>
              <w:t xml:space="preserve">Grozījumi </w:t>
            </w:r>
            <w:r w:rsidR="009749A9">
              <w:rPr>
                <w:sz w:val="26"/>
                <w:szCs w:val="26"/>
                <w:lang w:val="lv-LV"/>
              </w:rPr>
              <w:t>neatbalstāmo</w:t>
            </w:r>
            <w:r w:rsidR="009749A9" w:rsidRPr="009749A9">
              <w:rPr>
                <w:sz w:val="26"/>
                <w:szCs w:val="26"/>
                <w:lang w:val="lv-LV"/>
              </w:rPr>
              <w:t xml:space="preserve"> nozaru un darbību sarakstā </w:t>
            </w:r>
            <w:r w:rsidR="009749A9">
              <w:rPr>
                <w:sz w:val="26"/>
                <w:szCs w:val="26"/>
                <w:lang w:val="lv-LV"/>
              </w:rPr>
              <w:t>ir atbilstoši</w:t>
            </w:r>
            <w:r w:rsidR="009749A9" w:rsidRPr="009749A9">
              <w:rPr>
                <w:sz w:val="26"/>
                <w:szCs w:val="26"/>
                <w:lang w:val="lv-LV"/>
              </w:rPr>
              <w:t xml:space="preserve"> Komisijas Regulai Nr.1407/2014</w:t>
            </w:r>
            <w:r w:rsidR="009749A9">
              <w:rPr>
                <w:sz w:val="26"/>
                <w:szCs w:val="26"/>
                <w:lang w:val="lv-LV"/>
              </w:rPr>
              <w:t xml:space="preserve"> un</w:t>
            </w:r>
            <w:r w:rsidR="009749A9" w:rsidRPr="009749A9">
              <w:rPr>
                <w:sz w:val="26"/>
                <w:szCs w:val="26"/>
                <w:lang w:val="lv-LV"/>
              </w:rPr>
              <w:t xml:space="preserve"> darbības programmā „Uzņēmējdarbība un inovācijas” un Valsts stratēģiskā ietvardokumentā 2007.-2013.gada periodam (turpmāk – VSID) noteiktajiem mērķiem un nodrošina finansējuma pieejamības veicināšanu komercdarbības attīstībai, sniedz ieguldījumu tautsaimniecības efektivitātes un konkurētspējas paaugstināšanai (VSID tematiskā ass Nr.2 „Konkurētspējas palielināšana un virzība uz zināšanu ietilpīgu </w:t>
            </w:r>
            <w:r w:rsidR="009749A9" w:rsidRPr="009749A9">
              <w:rPr>
                <w:sz w:val="26"/>
                <w:szCs w:val="26"/>
                <w:lang w:val="lv-LV"/>
              </w:rPr>
              <w:lastRenderedPageBreak/>
              <w:t>ekonomiku”).</w:t>
            </w:r>
          </w:p>
          <w:p w:rsidR="009749A9" w:rsidRDefault="009749A9" w:rsidP="00756387">
            <w:pPr>
              <w:ind w:firstLine="709"/>
              <w:jc w:val="both"/>
              <w:rPr>
                <w:sz w:val="26"/>
                <w:szCs w:val="26"/>
                <w:lang w:val="lv-LV"/>
              </w:rPr>
            </w:pPr>
          </w:p>
          <w:p w:rsidR="008F538E" w:rsidRDefault="009749A9" w:rsidP="00F1541A">
            <w:pPr>
              <w:ind w:firstLine="709"/>
              <w:jc w:val="both"/>
              <w:rPr>
                <w:sz w:val="26"/>
                <w:szCs w:val="26"/>
                <w:lang w:val="lv-LV"/>
              </w:rPr>
            </w:pPr>
            <w:r>
              <w:rPr>
                <w:sz w:val="26"/>
                <w:szCs w:val="26"/>
                <w:lang w:val="lv-LV"/>
              </w:rPr>
              <w:t xml:space="preserve">MK noteikumu Nr.997 ietvaros </w:t>
            </w:r>
            <w:r w:rsidRPr="009749A9">
              <w:rPr>
                <w:sz w:val="26"/>
                <w:szCs w:val="26"/>
                <w:lang w:val="lv-LV"/>
              </w:rPr>
              <w:t>mikro</w:t>
            </w:r>
            <w:r>
              <w:rPr>
                <w:sz w:val="26"/>
                <w:szCs w:val="26"/>
                <w:lang w:val="lv-LV"/>
              </w:rPr>
              <w:t xml:space="preserve"> </w:t>
            </w:r>
            <w:r w:rsidRPr="009749A9">
              <w:rPr>
                <w:sz w:val="26"/>
                <w:szCs w:val="26"/>
                <w:lang w:val="lv-LV"/>
              </w:rPr>
              <w:t>komersant</w:t>
            </w:r>
            <w:r>
              <w:rPr>
                <w:sz w:val="26"/>
                <w:szCs w:val="26"/>
                <w:lang w:val="lv-LV"/>
              </w:rPr>
              <w:t>u</w:t>
            </w:r>
            <w:r w:rsidRPr="009749A9">
              <w:rPr>
                <w:sz w:val="26"/>
                <w:szCs w:val="26"/>
                <w:lang w:val="lv-LV"/>
              </w:rPr>
              <w:t>, maz</w:t>
            </w:r>
            <w:r>
              <w:rPr>
                <w:sz w:val="26"/>
                <w:szCs w:val="26"/>
                <w:lang w:val="lv-LV"/>
              </w:rPr>
              <w:t>o</w:t>
            </w:r>
            <w:r w:rsidRPr="009749A9">
              <w:rPr>
                <w:sz w:val="26"/>
                <w:szCs w:val="26"/>
                <w:lang w:val="lv-LV"/>
              </w:rPr>
              <w:t xml:space="preserve"> un vidēj</w:t>
            </w:r>
            <w:r>
              <w:rPr>
                <w:sz w:val="26"/>
                <w:szCs w:val="26"/>
                <w:lang w:val="lv-LV"/>
              </w:rPr>
              <w:t>o</w:t>
            </w:r>
            <w:r w:rsidRPr="009749A9">
              <w:rPr>
                <w:sz w:val="26"/>
                <w:szCs w:val="26"/>
                <w:lang w:val="lv-LV"/>
              </w:rPr>
              <w:t xml:space="preserve"> komersant</w:t>
            </w:r>
            <w:r>
              <w:rPr>
                <w:sz w:val="26"/>
                <w:szCs w:val="26"/>
                <w:lang w:val="lv-LV"/>
              </w:rPr>
              <w:t xml:space="preserve">u definīcija līdzšinēji ir noteikta atbilstoši </w:t>
            </w:r>
            <w:r w:rsidRPr="009749A9">
              <w:rPr>
                <w:sz w:val="26"/>
                <w:szCs w:val="26"/>
                <w:lang w:val="lv-LV"/>
              </w:rPr>
              <w:t xml:space="preserve">Komisijas 2008.gada 6.augusta </w:t>
            </w:r>
            <w:r>
              <w:rPr>
                <w:sz w:val="26"/>
                <w:szCs w:val="26"/>
                <w:lang w:val="lv-LV"/>
              </w:rPr>
              <w:t>R</w:t>
            </w:r>
            <w:r w:rsidRPr="009749A9">
              <w:rPr>
                <w:sz w:val="26"/>
                <w:szCs w:val="26"/>
                <w:lang w:val="lv-LV"/>
              </w:rPr>
              <w:t xml:space="preserve">egulas (EK) Nr. 800/2008, kas atzīst noteiktas atbalsta kategorijas par saderīgām ar kopējo tirgu, piemērojot Līguma 87. un 88. pantu (vispārējā grupu atbrīvojuma regula) (Eiropas Savienības Oficiālais Vēstnesis, 2008.gada 8.augusts, </w:t>
            </w:r>
            <w:proofErr w:type="spellStart"/>
            <w:r w:rsidRPr="009749A9">
              <w:rPr>
                <w:sz w:val="26"/>
                <w:szCs w:val="26"/>
                <w:lang w:val="lv-LV"/>
              </w:rPr>
              <w:t>Nr</w:t>
            </w:r>
            <w:proofErr w:type="spellEnd"/>
            <w:r w:rsidRPr="009749A9">
              <w:rPr>
                <w:sz w:val="26"/>
                <w:szCs w:val="26"/>
                <w:lang w:val="lv-LV"/>
              </w:rPr>
              <w:t xml:space="preserve">. L 214) (turpmāk – Komisijas </w:t>
            </w:r>
            <w:r>
              <w:rPr>
                <w:sz w:val="26"/>
                <w:szCs w:val="26"/>
                <w:lang w:val="lv-LV"/>
              </w:rPr>
              <w:t>R</w:t>
            </w:r>
            <w:r w:rsidRPr="009749A9">
              <w:rPr>
                <w:sz w:val="26"/>
                <w:szCs w:val="26"/>
                <w:lang w:val="lv-LV"/>
              </w:rPr>
              <w:t>e</w:t>
            </w:r>
            <w:r>
              <w:rPr>
                <w:sz w:val="26"/>
                <w:szCs w:val="26"/>
                <w:lang w:val="lv-LV"/>
              </w:rPr>
              <w:t xml:space="preserve">gula </w:t>
            </w:r>
            <w:proofErr w:type="spellStart"/>
            <w:r>
              <w:rPr>
                <w:sz w:val="26"/>
                <w:szCs w:val="26"/>
                <w:lang w:val="lv-LV"/>
              </w:rPr>
              <w:t>Nr</w:t>
            </w:r>
            <w:proofErr w:type="spellEnd"/>
            <w:r>
              <w:rPr>
                <w:sz w:val="26"/>
                <w:szCs w:val="26"/>
                <w:lang w:val="lv-LV"/>
              </w:rPr>
              <w:t>. 800/2008), 1.</w:t>
            </w:r>
            <w:r w:rsidRPr="00F1541A">
              <w:rPr>
                <w:sz w:val="26"/>
                <w:szCs w:val="26"/>
                <w:lang w:val="lv-LV"/>
              </w:rPr>
              <w:t xml:space="preserve">pielikumam. Komisijas Regula Nr.800/2008 var tikt piemērota līdz 2014.gada 30.jūnijam. Ņemot vērā, ka 2014.gada 21.maijā EK ir pieņēmusi jauno reģionālā atbalsta regulējumu – </w:t>
            </w:r>
            <w:r w:rsidR="006B36BE" w:rsidRPr="00F1541A">
              <w:rPr>
                <w:sz w:val="26"/>
                <w:szCs w:val="26"/>
                <w:lang w:val="lv-LV"/>
              </w:rPr>
              <w:t>Komisijas 2014.gada 17.jūnija Regulu (ES) Nr.651/2014, ar ko noteiktas atbalsta kategorijas atzīst par saderīgām ar iekšējo tirgu, piemērojot Līguma 107. un 108. pantu (vispārējā grupu atbrīvojuma regula) (turpmāk – Komisijas Regula Nr.651/2014) (Eiropas Savienības Oficiālais Vēstnesis, 2014. gada 26. jūnijs, L 187)</w:t>
            </w:r>
            <w:r w:rsidRPr="00F1541A">
              <w:rPr>
                <w:sz w:val="26"/>
                <w:szCs w:val="26"/>
                <w:lang w:val="lv-LV"/>
              </w:rPr>
              <w:t xml:space="preserve"> –,</w:t>
            </w:r>
            <w:r w:rsidR="00244CDE" w:rsidRPr="00F1541A">
              <w:rPr>
                <w:sz w:val="26"/>
                <w:szCs w:val="26"/>
                <w:lang w:val="lv-LV"/>
              </w:rPr>
              <w:t xml:space="preserve"> noteikumu projekts paredz noteikt mikro, mazo un vidējo komersanta definīciju atbilstoši Komisijas Regulai Nr.</w:t>
            </w:r>
            <w:r w:rsidR="006B36BE" w:rsidRPr="00F1541A">
              <w:rPr>
                <w:sz w:val="26"/>
                <w:szCs w:val="26"/>
                <w:lang w:val="lv-LV"/>
              </w:rPr>
              <w:t>651</w:t>
            </w:r>
            <w:r w:rsidR="00244CDE" w:rsidRPr="00F1541A">
              <w:rPr>
                <w:sz w:val="26"/>
                <w:szCs w:val="26"/>
                <w:lang w:val="lv-LV"/>
              </w:rPr>
              <w:t>/2014.</w:t>
            </w:r>
            <w:r w:rsidR="00244CDE">
              <w:rPr>
                <w:sz w:val="26"/>
                <w:szCs w:val="26"/>
                <w:lang w:val="lv-LV"/>
              </w:rPr>
              <w:t xml:space="preserve"> Noteikumu projekta ietvaros tiek grozītas arī citas normas, kas līdzšinēji paredz atsauci uz Komisijas Regulu </w:t>
            </w:r>
            <w:r w:rsidR="00815A04">
              <w:rPr>
                <w:sz w:val="26"/>
                <w:szCs w:val="26"/>
                <w:lang w:val="lv-LV"/>
              </w:rPr>
              <w:t>Nr.800/2008</w:t>
            </w:r>
            <w:r w:rsidR="00244CDE">
              <w:rPr>
                <w:sz w:val="26"/>
                <w:szCs w:val="26"/>
                <w:lang w:val="lv-LV"/>
              </w:rPr>
              <w:t>, tajā skaitā tiek grozītas normas, kas nosaka atbalsta summēšanas nosacījumus. Atbilstoši Komisijas Regulai Nr.</w:t>
            </w:r>
            <w:r w:rsidR="006B36BE">
              <w:rPr>
                <w:sz w:val="26"/>
                <w:szCs w:val="26"/>
                <w:lang w:val="lv-LV"/>
              </w:rPr>
              <w:t>651</w:t>
            </w:r>
            <w:r w:rsidR="00244CDE">
              <w:rPr>
                <w:sz w:val="26"/>
                <w:szCs w:val="26"/>
                <w:lang w:val="lv-LV"/>
              </w:rPr>
              <w:t>/2014 netiek paredzēts atbalsta apmērā samazinājums 20 % apmērā situācijā, ja uzņēmums</w:t>
            </w:r>
            <w:r w:rsidR="00F1541A">
              <w:rPr>
                <w:sz w:val="26"/>
                <w:szCs w:val="26"/>
                <w:lang w:val="lv-LV"/>
              </w:rPr>
              <w:t>,</w:t>
            </w:r>
            <w:r w:rsidR="00244CDE">
              <w:rPr>
                <w:sz w:val="26"/>
                <w:szCs w:val="26"/>
                <w:lang w:val="lv-LV"/>
              </w:rPr>
              <w:t xml:space="preserve"> kas triju gadu laikā ir saņēmis finansējumu saskaņā ar riska kapitāla pasākumu atbilstoši Komisijas Regulai Nr.</w:t>
            </w:r>
            <w:r w:rsidR="006B36BE">
              <w:rPr>
                <w:sz w:val="26"/>
                <w:szCs w:val="26"/>
                <w:lang w:val="lv-LV"/>
              </w:rPr>
              <w:t>651</w:t>
            </w:r>
            <w:r w:rsidR="00244CDE">
              <w:rPr>
                <w:sz w:val="26"/>
                <w:szCs w:val="26"/>
                <w:lang w:val="lv-LV"/>
              </w:rPr>
              <w:t>/2014, vēlas saņemt garantiju. Attiecīgi noteikumu projekts paredz svītrot MK noteikumu Nr.997 22.punktu.</w:t>
            </w:r>
          </w:p>
          <w:p w:rsidR="00F1541A" w:rsidRDefault="00F1541A" w:rsidP="00F1541A">
            <w:pPr>
              <w:ind w:firstLine="709"/>
              <w:jc w:val="both"/>
              <w:rPr>
                <w:sz w:val="26"/>
                <w:szCs w:val="26"/>
                <w:lang w:val="lv-LV"/>
              </w:rPr>
            </w:pPr>
          </w:p>
          <w:p w:rsidR="006B36BE" w:rsidRDefault="00B722AB" w:rsidP="00F1541A">
            <w:pPr>
              <w:ind w:firstLine="709"/>
              <w:jc w:val="both"/>
              <w:rPr>
                <w:sz w:val="24"/>
                <w:szCs w:val="24"/>
                <w:lang w:val="lv-LV"/>
              </w:rPr>
            </w:pPr>
            <w:r w:rsidRPr="00F1541A">
              <w:rPr>
                <w:sz w:val="26"/>
                <w:szCs w:val="26"/>
                <w:lang w:val="lv-LV"/>
              </w:rPr>
              <w:t xml:space="preserve">Aizdevumu garantijas tiek īstenotas finanšu instrumentu veidā. Garantijas MK noteikumu Nr.997 3.1.punktā minētajiem saimnieciskās darbības veicējiem tiek finansētas no Eiropas Reģionālā attīstības fonda finansējuma, kas attiecīgi nosaka, ka ir jāpiemēro Komisijas Regula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Komisijas Regula Nr.1828/2006).  Komisijas Regulas 45.pants nosaka, ka ieguldījumi nedrīkst tikt veikti grūtībās nonākušos uzņēmumos saskaņā ar Kopienas 2004.gada 10.oktobra pamatnostādnēm par valsts atbalstu grūtībās nonākušu uzņēmumu glābšanai (turpmāk – Kopienas pamatnostādnes), attiecīgi MK noteikumi Nr.997 paredz attiecīgās normas (līdzšinēji MK </w:t>
            </w:r>
            <w:r w:rsidRPr="00F1541A">
              <w:rPr>
                <w:sz w:val="26"/>
                <w:szCs w:val="26"/>
                <w:lang w:val="lv-LV"/>
              </w:rPr>
              <w:lastRenderedPageBreak/>
              <w:t xml:space="preserve">noteikumu Nr.997 7.punkts). MK noteikumu Nr.997 3.2.punktā minētie atbalsta saņēmēji (daudzdzīvokļu dzīvojamās mājas dzīvokļu īpašnieku kopības pilnvarotās personas) saņem garantijas, kas tiek attiecinātas uz citu finansējuma avotu </w:t>
            </w:r>
            <w:r w:rsidR="0045244E" w:rsidRPr="00F1541A">
              <w:rPr>
                <w:sz w:val="26"/>
                <w:szCs w:val="26"/>
                <w:lang w:val="lv-LV"/>
              </w:rPr>
              <w:t xml:space="preserve">– procentu ieņēmumiem, kas ir radušies no sākotnēji garantiju fondam papildu piešķirtajiem valsts budžeta līdzekļiem </w:t>
            </w:r>
            <w:r w:rsidR="003C5EEC" w:rsidRPr="00F1541A">
              <w:rPr>
                <w:sz w:val="26"/>
                <w:szCs w:val="26"/>
                <w:lang w:val="lv-LV"/>
              </w:rPr>
              <w:t>38,42</w:t>
            </w:r>
            <w:r w:rsidR="0045244E" w:rsidRPr="00F1541A">
              <w:rPr>
                <w:sz w:val="26"/>
                <w:szCs w:val="26"/>
                <w:lang w:val="lv-LV"/>
              </w:rPr>
              <w:t xml:space="preserve"> milj. </w:t>
            </w:r>
            <w:r w:rsidR="003C5EEC" w:rsidRPr="00F1541A">
              <w:rPr>
                <w:sz w:val="26"/>
                <w:szCs w:val="26"/>
                <w:lang w:val="lv-LV"/>
              </w:rPr>
              <w:t>EUR</w:t>
            </w:r>
            <w:r w:rsidR="0045244E" w:rsidRPr="00F1541A">
              <w:rPr>
                <w:sz w:val="26"/>
                <w:szCs w:val="26"/>
                <w:lang w:val="lv-LV"/>
              </w:rPr>
              <w:t xml:space="preserve"> apmērā, kuri netika deklarēti Eiropas Komisijai</w:t>
            </w:r>
            <w:r w:rsidR="003C5EEC" w:rsidRPr="00F1541A">
              <w:rPr>
                <w:sz w:val="26"/>
                <w:szCs w:val="26"/>
                <w:lang w:val="lv-LV"/>
              </w:rPr>
              <w:t>.</w:t>
            </w:r>
            <w:r w:rsidR="0045244E" w:rsidRPr="00F1541A">
              <w:rPr>
                <w:sz w:val="26"/>
                <w:szCs w:val="26"/>
                <w:lang w:val="lv-LV"/>
              </w:rPr>
              <w:t xml:space="preserve"> Ņemot vērā, ka šādu līdzekļu izmantošanai piemērojams tikai valsts atbalsta regulējums,</w:t>
            </w:r>
            <w:r w:rsidR="003C5EEC" w:rsidRPr="00F1541A">
              <w:rPr>
                <w:sz w:val="26"/>
                <w:szCs w:val="26"/>
                <w:lang w:val="lv-LV"/>
              </w:rPr>
              <w:t xml:space="preserve"> nevis struktūrfondu regulējums, kā arī ņemot vērā, ka Komisijas Regula Nr.1407/2013 neparedz atsauci uz Kopienas pamatnostādnēm,</w:t>
            </w:r>
            <w:r w:rsidR="0045244E" w:rsidRPr="00F1541A">
              <w:rPr>
                <w:sz w:val="26"/>
                <w:szCs w:val="26"/>
                <w:lang w:val="lv-LV"/>
              </w:rPr>
              <w:t xml:space="preserve"> tad noteikumu projekts paredz noteikt, ka</w:t>
            </w:r>
            <w:r w:rsidR="003C5EEC" w:rsidRPr="00F1541A">
              <w:rPr>
                <w:sz w:val="26"/>
                <w:szCs w:val="26"/>
                <w:lang w:val="lv-LV"/>
              </w:rPr>
              <w:t>,</w:t>
            </w:r>
            <w:r w:rsidR="0045244E" w:rsidRPr="00F1541A">
              <w:rPr>
                <w:sz w:val="26"/>
                <w:szCs w:val="26"/>
                <w:lang w:val="lv-LV"/>
              </w:rPr>
              <w:t xml:space="preserve"> vērtējot 3.2.punktā minēto atbalsta saņēmēju atbilstību, tiek piemēroti tikai „cietie” kritēriji attiecī</w:t>
            </w:r>
            <w:r w:rsidR="003C5EEC" w:rsidRPr="00F1541A">
              <w:rPr>
                <w:sz w:val="26"/>
                <w:szCs w:val="26"/>
                <w:lang w:val="lv-LV"/>
              </w:rPr>
              <w:t>b</w:t>
            </w:r>
            <w:r w:rsidR="0045244E" w:rsidRPr="00F1541A">
              <w:rPr>
                <w:sz w:val="26"/>
                <w:szCs w:val="26"/>
                <w:lang w:val="lv-LV"/>
              </w:rPr>
              <w:t xml:space="preserve">ā uz grūtībās nonākušu saimnieciskās darbības veicēju </w:t>
            </w:r>
            <w:r w:rsidR="003C5EEC" w:rsidRPr="00F1541A">
              <w:rPr>
                <w:sz w:val="26"/>
                <w:szCs w:val="26"/>
                <w:lang w:val="lv-LV"/>
              </w:rPr>
              <w:t>noteikšanu.</w:t>
            </w:r>
            <w:r w:rsidR="0045244E" w:rsidRPr="00F1541A">
              <w:rPr>
                <w:sz w:val="24"/>
                <w:szCs w:val="24"/>
                <w:lang w:val="lv-LV"/>
              </w:rPr>
              <w:t xml:space="preserve">  </w:t>
            </w:r>
          </w:p>
          <w:p w:rsidR="00F1541A" w:rsidRPr="00C36389" w:rsidRDefault="00F1541A" w:rsidP="00F1541A">
            <w:pPr>
              <w:ind w:firstLine="709"/>
              <w:jc w:val="both"/>
              <w:rPr>
                <w:sz w:val="26"/>
                <w:szCs w:val="26"/>
                <w:lang w:val="lv-LV"/>
              </w:rPr>
            </w:pPr>
          </w:p>
        </w:tc>
      </w:tr>
      <w:tr w:rsidR="00A31FDC"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706975" w:rsidP="00F22471">
            <w:pPr>
              <w:jc w:val="both"/>
              <w:rPr>
                <w:rFonts w:eastAsia="Times New Roman"/>
                <w:sz w:val="26"/>
                <w:szCs w:val="26"/>
                <w:lang w:val="lv-LV" w:eastAsia="lv-LV"/>
              </w:rPr>
            </w:pPr>
            <w:r w:rsidRPr="00706975">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ind w:firstLine="720"/>
              <w:jc w:val="both"/>
              <w:rPr>
                <w:bCs/>
                <w:sz w:val="26"/>
                <w:szCs w:val="26"/>
                <w:lang w:val="lv-LV"/>
              </w:rPr>
            </w:pPr>
            <w:r w:rsidRPr="005A7B9C">
              <w:rPr>
                <w:iCs/>
                <w:sz w:val="26"/>
                <w:szCs w:val="26"/>
                <w:lang w:val="lv-LV"/>
              </w:rPr>
              <w:t>Projekts šo jomu neskar</w:t>
            </w:r>
            <w:r w:rsidRPr="005A7B9C">
              <w:rPr>
                <w:color w:val="000000"/>
                <w:sz w:val="26"/>
                <w:szCs w:val="26"/>
                <w:lang w:val="lv-LV"/>
              </w:rPr>
              <w:t xml:space="preserve">. </w:t>
            </w:r>
          </w:p>
        </w:tc>
      </w:tr>
      <w:tr w:rsidR="00706975"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5A7B9C" w:rsidRDefault="00706975" w:rsidP="00F22471">
            <w:pPr>
              <w:jc w:val="both"/>
              <w:rPr>
                <w:rFonts w:eastAsia="Times New Roman"/>
                <w:sz w:val="26"/>
                <w:szCs w:val="26"/>
                <w:lang w:val="lv-LV" w:eastAsia="lv-LV"/>
              </w:rPr>
            </w:pPr>
            <w:r>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F22471">
            <w:pPr>
              <w:jc w:val="both"/>
              <w:rPr>
                <w:rFonts w:eastAsia="Times New Roman"/>
                <w:sz w:val="26"/>
                <w:szCs w:val="26"/>
                <w:lang w:val="lv-LV" w:eastAsia="lv-LV"/>
              </w:rPr>
            </w:pPr>
            <w:r w:rsidRPr="00706975">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5A7B9C" w:rsidRDefault="00706975" w:rsidP="00F22471">
            <w:pPr>
              <w:ind w:firstLine="720"/>
              <w:jc w:val="both"/>
              <w:rPr>
                <w:iCs/>
                <w:sz w:val="26"/>
                <w:szCs w:val="26"/>
                <w:lang w:val="lv-LV"/>
              </w:rPr>
            </w:pPr>
            <w:r>
              <w:rPr>
                <w:iCs/>
                <w:sz w:val="26"/>
                <w:szCs w:val="26"/>
                <w:lang w:val="lv-LV"/>
              </w:rPr>
              <w:t>Nav</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706975" w:rsidRDefault="00706975" w:rsidP="00F22471">
      <w:pPr>
        <w:jc w:val="both"/>
        <w:rPr>
          <w:rFonts w:eastAsia="Times New Roman"/>
          <w:sz w:val="26"/>
          <w:szCs w:val="26"/>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706975" w:rsidRPr="00706975" w:rsidTr="002E16BA">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ind w:firstLine="720"/>
              <w:jc w:val="center"/>
              <w:rPr>
                <w:rFonts w:eastAsia="Times New Roman"/>
                <w:b/>
                <w:sz w:val="26"/>
                <w:szCs w:val="26"/>
                <w:lang w:val="lv-LV" w:eastAsia="lv-LV"/>
              </w:rPr>
            </w:pPr>
            <w:r w:rsidRPr="00706975">
              <w:rPr>
                <w:rFonts w:eastAsia="Times New Roman"/>
                <w:b/>
                <w:sz w:val="26"/>
                <w:szCs w:val="26"/>
                <w:lang w:val="lv-LV" w:eastAsia="lv-LV"/>
              </w:rPr>
              <w:t>II. Tiesību akta projekta ietekme uz sabiedrību, tautsaimniecības attīstību un administratīvo slogu</w:t>
            </w:r>
          </w:p>
        </w:tc>
      </w:tr>
      <w:tr w:rsidR="00706975" w:rsidRPr="00706975"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jc w:val="both"/>
              <w:rPr>
                <w:rFonts w:eastAsia="Times New Roman"/>
                <w:sz w:val="24"/>
                <w:szCs w:val="24"/>
                <w:lang w:val="lv-LV" w:eastAsia="lv-LV"/>
              </w:rPr>
            </w:pPr>
            <w:r w:rsidRPr="00706975">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706975" w:rsidRDefault="00706975" w:rsidP="00706975">
            <w:pPr>
              <w:jc w:val="both"/>
              <w:rPr>
                <w:sz w:val="26"/>
                <w:szCs w:val="26"/>
                <w:lang w:val="lv-LV" w:eastAsia="lv-LV"/>
              </w:rPr>
            </w:pPr>
            <w:r w:rsidRPr="00706975">
              <w:rPr>
                <w:sz w:val="26"/>
                <w:szCs w:val="26"/>
                <w:lang w:val="lv-LV" w:eastAsia="lv-LV"/>
              </w:rPr>
              <w:t xml:space="preserve">Sabiedrības </w:t>
            </w:r>
            <w:proofErr w:type="spellStart"/>
            <w:r w:rsidRPr="00706975">
              <w:rPr>
                <w:sz w:val="26"/>
                <w:szCs w:val="26"/>
                <w:lang w:val="lv-LV" w:eastAsia="lv-LV"/>
              </w:rPr>
              <w:t>mērķgrupas</w:t>
            </w:r>
            <w:proofErr w:type="spellEnd"/>
            <w:r w:rsidRPr="00706975">
              <w:rPr>
                <w:sz w:val="26"/>
                <w:szCs w:val="26"/>
                <w:lang w:val="lv-LV" w:eastAsia="lv-LV"/>
              </w:rPr>
              <w:t>,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706975" w:rsidRDefault="00706975" w:rsidP="00706975">
            <w:pPr>
              <w:ind w:firstLine="720"/>
              <w:jc w:val="both"/>
              <w:rPr>
                <w:sz w:val="26"/>
                <w:szCs w:val="26"/>
                <w:lang w:val="lv-LV" w:eastAsia="lv-LV"/>
              </w:rPr>
            </w:pPr>
            <w:r w:rsidRPr="00706975">
              <w:rPr>
                <w:sz w:val="26"/>
                <w:szCs w:val="26"/>
                <w:lang w:val="lv-LV" w:eastAsia="lv-LV"/>
              </w:rPr>
              <w:t>Latvijā reģistrēti saimnieciskās darbības veicēji</w:t>
            </w:r>
            <w:r>
              <w:rPr>
                <w:sz w:val="26"/>
                <w:szCs w:val="26"/>
                <w:lang w:val="lv-LV" w:eastAsia="lv-LV"/>
              </w:rPr>
              <w:t>.</w:t>
            </w:r>
          </w:p>
        </w:tc>
      </w:tr>
      <w:tr w:rsidR="00706975" w:rsidRPr="00706975"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jc w:val="both"/>
              <w:rPr>
                <w:rFonts w:eastAsia="Times New Roman"/>
                <w:sz w:val="24"/>
                <w:szCs w:val="24"/>
                <w:lang w:val="lv-LV" w:eastAsia="lv-LV"/>
              </w:rPr>
            </w:pPr>
            <w:r w:rsidRPr="00706975">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706975" w:rsidRDefault="00706975" w:rsidP="00706975">
            <w:pPr>
              <w:jc w:val="both"/>
              <w:rPr>
                <w:sz w:val="26"/>
                <w:szCs w:val="26"/>
                <w:lang w:val="lv-LV" w:eastAsia="lv-LV"/>
              </w:rPr>
            </w:pPr>
            <w:r w:rsidRPr="00706975">
              <w:rPr>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706975" w:rsidRPr="00706975" w:rsidRDefault="00706975" w:rsidP="00706975">
            <w:pPr>
              <w:ind w:right="142" w:firstLine="720"/>
              <w:jc w:val="both"/>
              <w:rPr>
                <w:sz w:val="26"/>
                <w:szCs w:val="26"/>
                <w:lang w:val="lv-LV" w:eastAsia="lv-LV"/>
              </w:rPr>
            </w:pPr>
            <w:r w:rsidRPr="00706975">
              <w:rPr>
                <w:sz w:val="26"/>
                <w:szCs w:val="26"/>
                <w:lang w:val="lv-LV" w:eastAsia="lv-LV"/>
              </w:rPr>
              <w:t>Projekts šo jomu neskar</w:t>
            </w:r>
          </w:p>
        </w:tc>
      </w:tr>
      <w:tr w:rsidR="00706975" w:rsidRPr="00706975"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jc w:val="both"/>
              <w:rPr>
                <w:rFonts w:eastAsia="Times New Roman"/>
                <w:sz w:val="24"/>
                <w:szCs w:val="24"/>
                <w:lang w:val="lv-LV" w:eastAsia="lv-LV"/>
              </w:rPr>
            </w:pPr>
            <w:r w:rsidRPr="00706975">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jc w:val="both"/>
              <w:rPr>
                <w:sz w:val="26"/>
                <w:szCs w:val="26"/>
                <w:lang w:val="lv-LV" w:eastAsia="lv-LV"/>
              </w:rPr>
            </w:pPr>
            <w:r w:rsidRPr="00706975">
              <w:rPr>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ind w:right="142" w:firstLine="720"/>
              <w:jc w:val="both"/>
              <w:rPr>
                <w:sz w:val="26"/>
                <w:szCs w:val="26"/>
                <w:lang w:val="lv-LV" w:eastAsia="lv-LV"/>
              </w:rPr>
            </w:pPr>
            <w:r w:rsidRPr="00706975">
              <w:rPr>
                <w:sz w:val="26"/>
                <w:szCs w:val="26"/>
                <w:lang w:val="lv-LV" w:eastAsia="lv-LV"/>
              </w:rPr>
              <w:t>Projekts šo jomu neskar</w:t>
            </w:r>
          </w:p>
        </w:tc>
      </w:tr>
      <w:tr w:rsidR="00706975" w:rsidRPr="00706975" w:rsidTr="002E16BA">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jc w:val="both"/>
              <w:rPr>
                <w:rFonts w:eastAsia="Times New Roman"/>
                <w:sz w:val="24"/>
                <w:szCs w:val="24"/>
                <w:lang w:val="lv-LV" w:eastAsia="lv-LV"/>
              </w:rPr>
            </w:pPr>
            <w:r w:rsidRPr="00706975">
              <w:rPr>
                <w:rFonts w:eastAsia="Times New Roman"/>
                <w:sz w:val="24"/>
                <w:szCs w:val="24"/>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jc w:val="both"/>
              <w:rPr>
                <w:sz w:val="26"/>
                <w:szCs w:val="26"/>
                <w:lang w:val="lv-LV" w:eastAsia="lv-LV"/>
              </w:rPr>
            </w:pPr>
            <w:r w:rsidRPr="00706975">
              <w:rPr>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706975" w:rsidRPr="00706975" w:rsidRDefault="00706975" w:rsidP="00706975">
            <w:pPr>
              <w:ind w:firstLine="720"/>
              <w:jc w:val="both"/>
              <w:rPr>
                <w:sz w:val="26"/>
                <w:szCs w:val="26"/>
                <w:lang w:val="lv-LV" w:eastAsia="lv-LV"/>
              </w:rPr>
            </w:pPr>
            <w:r w:rsidRPr="00706975">
              <w:rPr>
                <w:sz w:val="26"/>
                <w:szCs w:val="26"/>
                <w:lang w:val="lv-LV" w:eastAsia="lv-LV"/>
              </w:rPr>
              <w:t>Nav</w:t>
            </w:r>
          </w:p>
        </w:tc>
      </w:tr>
    </w:tbl>
    <w:p w:rsidR="00706975" w:rsidRDefault="00706975" w:rsidP="00F22471">
      <w:pPr>
        <w:jc w:val="both"/>
        <w:rPr>
          <w:rFonts w:eastAsia="Times New Roman"/>
          <w:sz w:val="26"/>
          <w:szCs w:val="26"/>
          <w:lang w:val="lv-LV" w:eastAsia="lv-LV"/>
        </w:rPr>
      </w:pPr>
    </w:p>
    <w:p w:rsidR="00706975" w:rsidRPr="005A7B9C" w:rsidRDefault="00706975" w:rsidP="00F22471">
      <w:pPr>
        <w:jc w:val="both"/>
        <w:rPr>
          <w:rFonts w:eastAsia="Times New Roman"/>
          <w:sz w:val="26"/>
          <w:szCs w:val="26"/>
          <w:lang w:val="lv-LV" w:eastAsia="lv-LV"/>
        </w:rPr>
        <w:sectPr w:rsidR="00706975" w:rsidRPr="005A7B9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C82F3D" w:rsidRPr="00C82F3D" w:rsidTr="002E16BA">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ind w:firstLine="720"/>
              <w:jc w:val="both"/>
              <w:rPr>
                <w:rFonts w:eastAsia="Times New Roman"/>
                <w:b/>
                <w:sz w:val="26"/>
                <w:szCs w:val="26"/>
                <w:lang w:val="lv-LV" w:eastAsia="lv-LV"/>
              </w:rPr>
            </w:pPr>
            <w:r w:rsidRPr="00C82F3D">
              <w:rPr>
                <w:rFonts w:eastAsia="Times New Roman"/>
                <w:b/>
                <w:sz w:val="26"/>
                <w:szCs w:val="26"/>
                <w:lang w:val="lv-LV" w:eastAsia="lv-LV"/>
              </w:rPr>
              <w:lastRenderedPageBreak/>
              <w:t>IV. Tiesību akta projekta ietekme uz spēkā esošo tiesību normu sistēmu</w:t>
            </w:r>
          </w:p>
        </w:tc>
      </w:tr>
      <w:tr w:rsidR="00C82F3D" w:rsidRPr="00C82F3D" w:rsidTr="002E16BA">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2D4E4B">
            <w:pPr>
              <w:ind w:right="142" w:firstLine="720"/>
              <w:jc w:val="both"/>
              <w:rPr>
                <w:rFonts w:eastAsia="Times New Roman"/>
                <w:sz w:val="26"/>
                <w:szCs w:val="26"/>
                <w:lang w:val="lv-LV" w:eastAsia="lv-LV"/>
              </w:rPr>
            </w:pPr>
            <w:r w:rsidRPr="00C82F3D">
              <w:rPr>
                <w:rFonts w:eastAsia="Times New Roman"/>
                <w:sz w:val="26"/>
                <w:szCs w:val="26"/>
                <w:lang w:val="lv-LV" w:eastAsia="lv-LV"/>
              </w:rPr>
              <w:t xml:space="preserve"> </w:t>
            </w:r>
            <w:r w:rsidR="00F1541A">
              <w:rPr>
                <w:rFonts w:eastAsia="Times New Roman"/>
                <w:sz w:val="26"/>
                <w:szCs w:val="26"/>
                <w:lang w:val="lv-LV" w:eastAsia="lv-LV"/>
              </w:rPr>
              <w:t>Projekts šo jomu neskar</w:t>
            </w:r>
          </w:p>
        </w:tc>
      </w:tr>
      <w:tr w:rsidR="00C82F3D" w:rsidRPr="00C82F3D" w:rsidTr="002E16BA">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ind w:right="142" w:firstLine="720"/>
              <w:jc w:val="both"/>
              <w:rPr>
                <w:rFonts w:eastAsia="Times New Roman"/>
                <w:sz w:val="26"/>
                <w:szCs w:val="26"/>
                <w:lang w:val="lv-LV" w:eastAsia="lv-LV"/>
              </w:rPr>
            </w:pPr>
            <w:r w:rsidRPr="00C82F3D">
              <w:rPr>
                <w:rFonts w:eastAsia="Times New Roman"/>
                <w:sz w:val="26"/>
                <w:szCs w:val="26"/>
                <w:lang w:val="lv-LV" w:eastAsia="lv-LV"/>
              </w:rPr>
              <w:t>Ekonomikas ministrija</w:t>
            </w:r>
          </w:p>
        </w:tc>
      </w:tr>
      <w:tr w:rsidR="00C82F3D" w:rsidRPr="00C82F3D" w:rsidTr="002E16BA">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3.</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E451CF" w:rsidP="00C82F3D">
            <w:pPr>
              <w:ind w:firstLine="720"/>
              <w:jc w:val="both"/>
              <w:rPr>
                <w:rFonts w:eastAsia="Times New Roman"/>
                <w:sz w:val="26"/>
                <w:szCs w:val="26"/>
                <w:lang w:val="lv-LV" w:eastAsia="lv-LV"/>
              </w:rPr>
            </w:pPr>
            <w:r>
              <w:rPr>
                <w:rFonts w:eastAsia="Times New Roman"/>
                <w:sz w:val="26"/>
                <w:szCs w:val="26"/>
                <w:lang w:val="lv-LV" w:eastAsia="lv-LV"/>
              </w:rPr>
              <w:t>Nav</w:t>
            </w:r>
          </w:p>
        </w:tc>
      </w:tr>
    </w:tbl>
    <w:p w:rsidR="00765A89" w:rsidRPr="005A7B9C" w:rsidRDefault="00765A89" w:rsidP="00C82F3D">
      <w:pPr>
        <w:jc w:val="both"/>
        <w:rPr>
          <w:rFonts w:eastAsia="Times New Roman"/>
          <w:sz w:val="26"/>
          <w:szCs w:val="26"/>
          <w:lang w:val="lv-LV" w:eastAsia="lv-LV"/>
        </w:rPr>
      </w:pPr>
    </w:p>
    <w:p w:rsidR="00C9779A" w:rsidRDefault="00C9779A" w:rsidP="00C9779A">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7"/>
        <w:gridCol w:w="2048"/>
        <w:gridCol w:w="685"/>
        <w:gridCol w:w="1216"/>
        <w:gridCol w:w="1485"/>
        <w:gridCol w:w="3133"/>
      </w:tblGrid>
      <w:tr w:rsidR="00765A89" w:rsidRPr="00976ABD" w:rsidTr="005E5DE3">
        <w:trPr>
          <w:tblCellSpacing w:w="15" w:type="dxa"/>
        </w:trPr>
        <w:tc>
          <w:tcPr>
            <w:tcW w:w="4966" w:type="pct"/>
            <w:gridSpan w:val="6"/>
            <w:shd w:val="clear" w:color="auto" w:fill="auto"/>
            <w:hideMark/>
          </w:tcPr>
          <w:p w:rsidR="00765A89" w:rsidRPr="00C82F3D" w:rsidRDefault="00765A89" w:rsidP="005E5DE3">
            <w:pPr>
              <w:jc w:val="center"/>
              <w:rPr>
                <w:rFonts w:eastAsia="Times New Roman"/>
                <w:b/>
                <w:bCs/>
                <w:sz w:val="26"/>
                <w:szCs w:val="26"/>
                <w:highlight w:val="green"/>
                <w:lang w:val="lv-LV" w:eastAsia="lv-LV"/>
              </w:rPr>
            </w:pPr>
            <w:r w:rsidRPr="001802AA">
              <w:rPr>
                <w:rFonts w:eastAsia="Times New Roman"/>
                <w:b/>
                <w:bCs/>
                <w:sz w:val="26"/>
                <w:szCs w:val="26"/>
                <w:lang w:val="lv-LV" w:eastAsia="lv-LV"/>
              </w:rPr>
              <w:lastRenderedPageBreak/>
              <w:t>V. Tiesību akta projekta atbilstība Latvijas Republikas starptautiskajām saistībām</w:t>
            </w:r>
          </w:p>
        </w:tc>
      </w:tr>
      <w:tr w:rsidR="00765A89" w:rsidRPr="00976ABD" w:rsidTr="00F1541A">
        <w:trPr>
          <w:tblCellSpacing w:w="15" w:type="dxa"/>
        </w:trPr>
        <w:tc>
          <w:tcPr>
            <w:tcW w:w="186" w:type="pct"/>
            <w:shd w:val="clear" w:color="auto" w:fill="auto"/>
            <w:hideMark/>
          </w:tcPr>
          <w:p w:rsidR="00765A89" w:rsidRPr="001F6D46" w:rsidRDefault="00765A89" w:rsidP="005E5DE3">
            <w:pPr>
              <w:jc w:val="center"/>
              <w:rPr>
                <w:rFonts w:eastAsia="Times New Roman"/>
                <w:sz w:val="26"/>
                <w:szCs w:val="26"/>
                <w:lang w:val="lv-LV" w:eastAsia="lv-LV"/>
              </w:rPr>
            </w:pPr>
            <w:r w:rsidRPr="001F6D46">
              <w:rPr>
                <w:rFonts w:eastAsia="Times New Roman"/>
                <w:sz w:val="26"/>
                <w:szCs w:val="26"/>
                <w:lang w:val="lv-LV" w:eastAsia="lv-LV"/>
              </w:rPr>
              <w:t>1.</w:t>
            </w:r>
          </w:p>
        </w:tc>
        <w:tc>
          <w:tcPr>
            <w:tcW w:w="1524"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223" w:type="pct"/>
            <w:gridSpan w:val="3"/>
            <w:shd w:val="clear" w:color="auto" w:fill="auto"/>
            <w:hideMark/>
          </w:tcPr>
          <w:p w:rsidR="00765A89" w:rsidRPr="00C82F3D" w:rsidRDefault="001802AA" w:rsidP="005E5DE3">
            <w:pPr>
              <w:ind w:firstLine="364"/>
              <w:jc w:val="both"/>
              <w:rPr>
                <w:rFonts w:eastAsia="Times New Roman"/>
                <w:sz w:val="26"/>
                <w:szCs w:val="26"/>
                <w:highlight w:val="green"/>
                <w:lang w:val="lv-LV" w:eastAsia="lv-LV"/>
              </w:rPr>
            </w:pPr>
            <w:r w:rsidRPr="001802AA">
              <w:rPr>
                <w:sz w:val="26"/>
                <w:szCs w:val="26"/>
                <w:lang w:val="lv-LV"/>
              </w:rPr>
              <w:t xml:space="preserve">Noteikumu projekts paredz Komisijas Regulas Nr.1407/2013  </w:t>
            </w:r>
            <w:r>
              <w:rPr>
                <w:sz w:val="26"/>
                <w:szCs w:val="26"/>
                <w:lang w:val="lv-LV"/>
              </w:rPr>
              <w:t>piemērošanu.</w:t>
            </w:r>
          </w:p>
          <w:p w:rsidR="00765A89" w:rsidRPr="00C82F3D" w:rsidRDefault="001802AA" w:rsidP="002D4E4B">
            <w:pPr>
              <w:spacing w:after="40"/>
              <w:ind w:firstLine="415"/>
              <w:jc w:val="both"/>
              <w:rPr>
                <w:rFonts w:eastAsia="Times New Roman"/>
                <w:sz w:val="26"/>
                <w:szCs w:val="26"/>
                <w:highlight w:val="green"/>
                <w:lang w:val="lv-LV" w:eastAsia="lv-LV"/>
              </w:rPr>
            </w:pPr>
            <w:r w:rsidRPr="001802AA">
              <w:rPr>
                <w:rFonts w:eastAsia="Times New Roman"/>
                <w:sz w:val="26"/>
                <w:szCs w:val="26"/>
                <w:lang w:val="lv-LV" w:eastAsia="lv-LV"/>
              </w:rPr>
              <w:t>Atsevišķās noteikumu projekta normas paredz atsauci uz Komisijas Regulu Nr.</w:t>
            </w:r>
            <w:r w:rsidR="002D4E4B">
              <w:rPr>
                <w:rFonts w:eastAsia="Times New Roman"/>
                <w:sz w:val="26"/>
                <w:szCs w:val="26"/>
                <w:lang w:val="lv-LV" w:eastAsia="lv-LV"/>
              </w:rPr>
              <w:t>651</w:t>
            </w:r>
            <w:r w:rsidRPr="001802AA">
              <w:rPr>
                <w:rFonts w:eastAsia="Times New Roman"/>
                <w:sz w:val="26"/>
                <w:szCs w:val="26"/>
                <w:lang w:val="lv-LV" w:eastAsia="lv-LV"/>
              </w:rPr>
              <w:t>/2014.</w:t>
            </w:r>
          </w:p>
        </w:tc>
      </w:tr>
      <w:tr w:rsidR="00765A89" w:rsidRPr="001F6D46" w:rsidTr="00F1541A">
        <w:trPr>
          <w:tblCellSpacing w:w="15" w:type="dxa"/>
        </w:trPr>
        <w:tc>
          <w:tcPr>
            <w:tcW w:w="186" w:type="pct"/>
            <w:shd w:val="clear" w:color="auto" w:fill="auto"/>
            <w:hideMark/>
          </w:tcPr>
          <w:p w:rsidR="00765A89" w:rsidRPr="001F6D46" w:rsidRDefault="00765A89" w:rsidP="005E5DE3">
            <w:pPr>
              <w:jc w:val="center"/>
              <w:rPr>
                <w:rFonts w:eastAsia="Times New Roman"/>
                <w:sz w:val="26"/>
                <w:szCs w:val="26"/>
                <w:lang w:val="lv-LV" w:eastAsia="lv-LV"/>
              </w:rPr>
            </w:pPr>
            <w:r w:rsidRPr="001F6D46">
              <w:rPr>
                <w:rFonts w:eastAsia="Times New Roman"/>
                <w:sz w:val="26"/>
                <w:szCs w:val="26"/>
                <w:lang w:val="lv-LV" w:eastAsia="lv-LV"/>
              </w:rPr>
              <w:t>2.</w:t>
            </w:r>
          </w:p>
        </w:tc>
        <w:tc>
          <w:tcPr>
            <w:tcW w:w="1524"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223" w:type="pct"/>
            <w:gridSpan w:val="3"/>
            <w:shd w:val="clear" w:color="auto" w:fill="auto"/>
            <w:hideMark/>
          </w:tcPr>
          <w:p w:rsidR="00765A89" w:rsidRPr="001F6D46" w:rsidRDefault="00765A89" w:rsidP="005E5DE3">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765A89" w:rsidRPr="009F052F" w:rsidTr="00F1541A">
        <w:trPr>
          <w:tblCellSpacing w:w="15" w:type="dxa"/>
        </w:trPr>
        <w:tc>
          <w:tcPr>
            <w:tcW w:w="186" w:type="pct"/>
            <w:shd w:val="clear" w:color="auto" w:fill="auto"/>
            <w:hideMark/>
          </w:tcPr>
          <w:p w:rsidR="00765A89" w:rsidRPr="001F6D46" w:rsidRDefault="00765A89" w:rsidP="005E5DE3">
            <w:pPr>
              <w:jc w:val="center"/>
              <w:rPr>
                <w:rFonts w:eastAsia="Times New Roman"/>
                <w:sz w:val="26"/>
                <w:szCs w:val="26"/>
                <w:lang w:val="lv-LV" w:eastAsia="lv-LV"/>
              </w:rPr>
            </w:pPr>
            <w:r w:rsidRPr="001F6D46">
              <w:rPr>
                <w:rFonts w:eastAsia="Times New Roman"/>
                <w:sz w:val="26"/>
                <w:szCs w:val="26"/>
                <w:lang w:val="lv-LV" w:eastAsia="lv-LV"/>
              </w:rPr>
              <w:t>3.</w:t>
            </w:r>
          </w:p>
        </w:tc>
        <w:tc>
          <w:tcPr>
            <w:tcW w:w="1524"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223" w:type="pct"/>
            <w:gridSpan w:val="3"/>
            <w:shd w:val="clear" w:color="auto" w:fill="auto"/>
            <w:hideMark/>
          </w:tcPr>
          <w:p w:rsidR="00765A89" w:rsidRPr="001F6D46" w:rsidRDefault="00765A89" w:rsidP="005E5DE3">
            <w:pPr>
              <w:ind w:firstLine="341"/>
              <w:jc w:val="both"/>
              <w:rPr>
                <w:rFonts w:eastAsia="Times New Roman"/>
                <w:sz w:val="26"/>
                <w:szCs w:val="26"/>
                <w:lang w:val="lv-LV" w:eastAsia="lv-LV"/>
              </w:rPr>
            </w:pPr>
          </w:p>
        </w:tc>
      </w:tr>
      <w:tr w:rsidR="00765A89" w:rsidRPr="00976ABD" w:rsidTr="005E5DE3">
        <w:trPr>
          <w:tblCellSpacing w:w="15" w:type="dxa"/>
        </w:trPr>
        <w:tc>
          <w:tcPr>
            <w:tcW w:w="4966" w:type="pct"/>
            <w:gridSpan w:val="6"/>
            <w:shd w:val="clear" w:color="auto" w:fill="auto"/>
            <w:vAlign w:val="center"/>
            <w:hideMark/>
          </w:tcPr>
          <w:p w:rsidR="00765A89" w:rsidRPr="001F6D46" w:rsidRDefault="00765A89" w:rsidP="005E5DE3">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765A89" w:rsidRPr="00976ABD" w:rsidTr="00F1541A">
        <w:trPr>
          <w:tblCellSpacing w:w="15" w:type="dxa"/>
        </w:trPr>
        <w:tc>
          <w:tcPr>
            <w:tcW w:w="1331"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619" w:type="pct"/>
            <w:gridSpan w:val="4"/>
            <w:shd w:val="clear" w:color="auto" w:fill="auto"/>
            <w:vAlign w:val="center"/>
            <w:hideMark/>
          </w:tcPr>
          <w:p w:rsidR="00E451CF" w:rsidRDefault="00E451CF" w:rsidP="001802AA">
            <w:pPr>
              <w:jc w:val="both"/>
              <w:rPr>
                <w:sz w:val="26"/>
                <w:szCs w:val="26"/>
                <w:lang w:val="lv-LV"/>
              </w:rPr>
            </w:pPr>
            <w:r w:rsidRPr="001802AA">
              <w:rPr>
                <w:sz w:val="26"/>
                <w:szCs w:val="26"/>
                <w:lang w:val="lv-LV"/>
              </w:rPr>
              <w:t xml:space="preserve">Komisijas 2013.gada 18.decembra Regula (EK) Nr.1407/2013 par Līguma 87. un 88.panta piemērošanu </w:t>
            </w:r>
            <w:proofErr w:type="spellStart"/>
            <w:r w:rsidRPr="001802AA">
              <w:rPr>
                <w:i/>
                <w:sz w:val="26"/>
                <w:szCs w:val="26"/>
                <w:lang w:val="lv-LV"/>
              </w:rPr>
              <w:t>de</w:t>
            </w:r>
            <w:proofErr w:type="spellEnd"/>
            <w:r w:rsidRPr="001802AA">
              <w:rPr>
                <w:i/>
                <w:sz w:val="26"/>
                <w:szCs w:val="26"/>
                <w:lang w:val="lv-LV"/>
              </w:rPr>
              <w:t xml:space="preserve"> </w:t>
            </w:r>
            <w:proofErr w:type="spellStart"/>
            <w:r w:rsidRPr="001802AA">
              <w:rPr>
                <w:i/>
                <w:sz w:val="26"/>
                <w:szCs w:val="26"/>
                <w:lang w:val="lv-LV"/>
              </w:rPr>
              <w:t>minimis</w:t>
            </w:r>
            <w:proofErr w:type="spellEnd"/>
            <w:r w:rsidRPr="001802AA">
              <w:rPr>
                <w:sz w:val="26"/>
                <w:szCs w:val="26"/>
                <w:lang w:val="lv-LV"/>
              </w:rPr>
              <w:t xml:space="preserve"> atbalstam (Eiropas Savienības Oficiālais Vēstnesis, 2013.gada 24.decembris, </w:t>
            </w:r>
            <w:proofErr w:type="spellStart"/>
            <w:r w:rsidRPr="001802AA">
              <w:rPr>
                <w:sz w:val="26"/>
                <w:szCs w:val="26"/>
                <w:lang w:val="lv-LV"/>
              </w:rPr>
              <w:t>Nr</w:t>
            </w:r>
            <w:proofErr w:type="spellEnd"/>
            <w:r w:rsidRPr="001802AA">
              <w:rPr>
                <w:sz w:val="26"/>
                <w:szCs w:val="26"/>
                <w:lang w:val="lv-LV"/>
              </w:rPr>
              <w:t>. L 352/1).</w:t>
            </w:r>
          </w:p>
          <w:p w:rsidR="00E451CF" w:rsidRDefault="00E451CF" w:rsidP="001802AA">
            <w:pPr>
              <w:jc w:val="both"/>
              <w:rPr>
                <w:sz w:val="26"/>
                <w:szCs w:val="26"/>
                <w:lang w:val="lv-LV"/>
              </w:rPr>
            </w:pPr>
          </w:p>
          <w:p w:rsidR="00765A89" w:rsidRPr="00E451CF" w:rsidRDefault="002D4E4B" w:rsidP="00F1541A">
            <w:pPr>
              <w:spacing w:after="240"/>
              <w:jc w:val="both"/>
              <w:rPr>
                <w:rFonts w:eastAsia="Times New Roman"/>
                <w:sz w:val="26"/>
                <w:szCs w:val="26"/>
                <w:lang w:val="lv-LV" w:eastAsia="lv-LV"/>
              </w:rPr>
            </w:pPr>
            <w:r w:rsidRPr="00F1541A">
              <w:rPr>
                <w:sz w:val="26"/>
                <w:szCs w:val="26"/>
                <w:lang w:val="lv-LV"/>
              </w:rPr>
              <w:t>Komisijas 2014.gada 17.jūnija Regula (ES) Nr.651/2014, ar ko noteiktas atbalsta kategorijas atzīst par saderīgām ar iekšējo tirgu, piemērojot Līguma 107. un 108. pantu (vispārējā grupu atbrīvojuma regula) (Eiropas Savienības Oficiālais Vēstnesis, 2014. gada 26. jūnijs, L 187).</w:t>
            </w:r>
          </w:p>
        </w:tc>
      </w:tr>
      <w:tr w:rsidR="00765A89" w:rsidRPr="001F6D46" w:rsidTr="00F1541A">
        <w:trPr>
          <w:tblCellSpacing w:w="15" w:type="dxa"/>
        </w:trPr>
        <w:tc>
          <w:tcPr>
            <w:tcW w:w="1331"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A</w:t>
            </w:r>
          </w:p>
        </w:tc>
        <w:tc>
          <w:tcPr>
            <w:tcW w:w="1060"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B</w:t>
            </w:r>
          </w:p>
        </w:tc>
        <w:tc>
          <w:tcPr>
            <w:tcW w:w="813" w:type="pct"/>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w:t>
            </w:r>
          </w:p>
        </w:tc>
        <w:tc>
          <w:tcPr>
            <w:tcW w:w="1712" w:type="pct"/>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D</w:t>
            </w:r>
          </w:p>
        </w:tc>
      </w:tr>
      <w:tr w:rsidR="00765A89" w:rsidRPr="00976ABD" w:rsidTr="00F1541A">
        <w:trPr>
          <w:tblCellSpacing w:w="15" w:type="dxa"/>
        </w:trPr>
        <w:tc>
          <w:tcPr>
            <w:tcW w:w="1331" w:type="pct"/>
            <w:gridSpan w:val="2"/>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1060" w:type="pct"/>
            <w:gridSpan w:val="2"/>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13" w:type="pct"/>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rsidR="00765A89" w:rsidRPr="001F6D46" w:rsidRDefault="00765A89" w:rsidP="005E5DE3">
            <w:pPr>
              <w:pStyle w:val="naiskr"/>
              <w:spacing w:before="0" w:after="0"/>
              <w:jc w:val="both"/>
              <w:rPr>
                <w:sz w:val="26"/>
                <w:szCs w:val="26"/>
              </w:rPr>
            </w:pPr>
            <w:r w:rsidRPr="001F6D46">
              <w:rPr>
                <w:sz w:val="26"/>
                <w:szCs w:val="26"/>
              </w:rPr>
              <w:t xml:space="preserve">Ja attiecīgā ES tiesību akta vienība tiek pārņemta vai ieviesta daļēji, – sniedz </w:t>
            </w:r>
            <w:r w:rsidRPr="001F6D46">
              <w:rPr>
                <w:sz w:val="26"/>
                <w:szCs w:val="26"/>
              </w:rPr>
              <w:lastRenderedPageBreak/>
              <w:t>attiecīgu skaidrojumu, kā arī precīzi norāda, kad un kādā veidā ES tiesību akta vienība tiks pārņemta vai ieviesta pilnībā.</w:t>
            </w:r>
          </w:p>
          <w:p w:rsidR="00765A89" w:rsidRPr="001F6D46" w:rsidRDefault="00765A89" w:rsidP="005E5DE3">
            <w:pPr>
              <w:pStyle w:val="naiskr"/>
              <w:spacing w:before="0" w:after="0"/>
              <w:jc w:val="both"/>
              <w:rPr>
                <w:sz w:val="26"/>
                <w:szCs w:val="26"/>
              </w:rPr>
            </w:pPr>
            <w:r w:rsidRPr="001F6D46">
              <w:rPr>
                <w:sz w:val="26"/>
                <w:szCs w:val="26"/>
              </w:rPr>
              <w:t>Norāda institūciju, kas ir atbildīga par šo saistību izpildi pilnībā</w:t>
            </w:r>
          </w:p>
        </w:tc>
        <w:tc>
          <w:tcPr>
            <w:tcW w:w="1712" w:type="pct"/>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lastRenderedPageBreak/>
              <w:t>Informācija par to, vai šīs tabulas B ailē minētās projekta vienības paredz stingrākas prasības nekā šīs tabulas A ailē minētās ES tiesību akta vienības.</w:t>
            </w:r>
          </w:p>
          <w:p w:rsidR="00765A89" w:rsidRPr="001F6D46" w:rsidRDefault="00765A89" w:rsidP="005E5DE3">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id" w:val="-1"/>
                <w:attr w:name="baseform" w:val="akts"/>
                <w:attr w:name="text" w:val="akts"/>
              </w:smartTagPr>
              <w:r w:rsidRPr="001F6D46">
                <w:rPr>
                  <w:sz w:val="26"/>
                  <w:szCs w:val="26"/>
                </w:rPr>
                <w:t>akts</w:t>
              </w:r>
            </w:smartTag>
            <w:r w:rsidRPr="001F6D46">
              <w:rPr>
                <w:sz w:val="26"/>
                <w:szCs w:val="26"/>
              </w:rPr>
              <w:t>, – norāda pamatojumu un samērīgumu.</w:t>
            </w:r>
          </w:p>
          <w:p w:rsidR="00765A89" w:rsidRPr="001F6D46" w:rsidRDefault="00765A89" w:rsidP="005E5DE3">
            <w:pPr>
              <w:pStyle w:val="naiskr"/>
              <w:spacing w:before="0" w:after="0"/>
              <w:jc w:val="both"/>
              <w:rPr>
                <w:sz w:val="26"/>
                <w:szCs w:val="26"/>
              </w:rPr>
            </w:pPr>
            <w:r w:rsidRPr="001F6D46">
              <w:rPr>
                <w:sz w:val="26"/>
                <w:szCs w:val="26"/>
              </w:rPr>
              <w:t>Norāda iespējamās alternatīvas (</w:t>
            </w:r>
            <w:proofErr w:type="spellStart"/>
            <w:r w:rsidRPr="001F6D46">
              <w:rPr>
                <w:sz w:val="26"/>
                <w:szCs w:val="26"/>
              </w:rPr>
              <w:t>t.sk</w:t>
            </w:r>
            <w:proofErr w:type="spellEnd"/>
            <w:r w:rsidRPr="001F6D46">
              <w:rPr>
                <w:sz w:val="26"/>
                <w:szCs w:val="26"/>
              </w:rPr>
              <w:t xml:space="preserve">. alternatīvas, kas neparedz tiesiskā regulējuma izstrādi) – kādos gadījumos būtu iespējams izvairīties no stingrāku prasību noteikšanas, nekā paredzēts </w:t>
            </w:r>
            <w:r w:rsidRPr="001F6D46">
              <w:rPr>
                <w:sz w:val="26"/>
                <w:szCs w:val="26"/>
              </w:rPr>
              <w:lastRenderedPageBreak/>
              <w:t>attiecīgajos ES tiesību aktos</w:t>
            </w:r>
          </w:p>
        </w:tc>
      </w:tr>
      <w:tr w:rsidR="00765A89" w:rsidRPr="009F052F" w:rsidTr="00F1541A">
        <w:trPr>
          <w:tblCellSpacing w:w="15" w:type="dxa"/>
        </w:trPr>
        <w:tc>
          <w:tcPr>
            <w:tcW w:w="1331" w:type="pct"/>
            <w:gridSpan w:val="2"/>
            <w:shd w:val="clear" w:color="auto" w:fill="auto"/>
          </w:tcPr>
          <w:p w:rsidR="00765A89" w:rsidRPr="001F6D46" w:rsidRDefault="00F93C71" w:rsidP="002D4E4B">
            <w:pPr>
              <w:pStyle w:val="naiskr"/>
              <w:spacing w:before="0" w:after="0"/>
              <w:jc w:val="both"/>
              <w:rPr>
                <w:i/>
                <w:color w:val="000000" w:themeColor="text1"/>
                <w:sz w:val="26"/>
                <w:szCs w:val="26"/>
              </w:rPr>
            </w:pPr>
            <w:r>
              <w:rPr>
                <w:i/>
                <w:color w:val="000000" w:themeColor="text1"/>
                <w:sz w:val="26"/>
                <w:szCs w:val="26"/>
              </w:rPr>
              <w:lastRenderedPageBreak/>
              <w:t>Komisijas Regulas Nr.</w:t>
            </w:r>
            <w:r w:rsidR="002D4E4B">
              <w:rPr>
                <w:i/>
                <w:color w:val="000000" w:themeColor="text1"/>
                <w:sz w:val="26"/>
                <w:szCs w:val="26"/>
              </w:rPr>
              <w:t>651</w:t>
            </w:r>
            <w:r>
              <w:rPr>
                <w:i/>
                <w:color w:val="000000" w:themeColor="text1"/>
                <w:sz w:val="26"/>
                <w:szCs w:val="26"/>
              </w:rPr>
              <w:t>/2014 1.pielikums</w:t>
            </w:r>
          </w:p>
        </w:tc>
        <w:tc>
          <w:tcPr>
            <w:tcW w:w="1060" w:type="pct"/>
            <w:gridSpan w:val="2"/>
            <w:shd w:val="clear" w:color="auto" w:fill="auto"/>
          </w:tcPr>
          <w:p w:rsidR="00765A89" w:rsidRPr="00A868E7" w:rsidRDefault="00765A89" w:rsidP="00D745F7">
            <w:pPr>
              <w:pStyle w:val="naiskr"/>
              <w:spacing w:before="0" w:after="0"/>
              <w:jc w:val="both"/>
              <w:rPr>
                <w:sz w:val="26"/>
                <w:szCs w:val="26"/>
              </w:rPr>
            </w:pPr>
            <w:r w:rsidRPr="00A868E7">
              <w:rPr>
                <w:sz w:val="26"/>
                <w:szCs w:val="26"/>
              </w:rPr>
              <w:t xml:space="preserve">Noteikumu projekta </w:t>
            </w:r>
            <w:r w:rsidR="00D745F7">
              <w:rPr>
                <w:sz w:val="26"/>
                <w:szCs w:val="26"/>
              </w:rPr>
              <w:t>2</w:t>
            </w:r>
            <w:r w:rsidR="00BC5382">
              <w:rPr>
                <w:sz w:val="26"/>
                <w:szCs w:val="26"/>
              </w:rPr>
              <w:t xml:space="preserve">.punkts </w:t>
            </w:r>
          </w:p>
        </w:tc>
        <w:tc>
          <w:tcPr>
            <w:tcW w:w="813" w:type="pct"/>
            <w:shd w:val="clear" w:color="auto" w:fill="auto"/>
          </w:tcPr>
          <w:p w:rsidR="00765A89" w:rsidRPr="00A868E7" w:rsidRDefault="00765A89" w:rsidP="005E5DE3">
            <w:pPr>
              <w:pStyle w:val="naiskr"/>
              <w:spacing w:before="0" w:after="0"/>
              <w:jc w:val="both"/>
              <w:rPr>
                <w:sz w:val="26"/>
                <w:szCs w:val="26"/>
              </w:rPr>
            </w:pPr>
            <w:r w:rsidRPr="00A868E7">
              <w:rPr>
                <w:sz w:val="26"/>
                <w:szCs w:val="26"/>
              </w:rPr>
              <w:t>Ieviests pilnībā</w:t>
            </w:r>
          </w:p>
        </w:tc>
        <w:tc>
          <w:tcPr>
            <w:tcW w:w="1712" w:type="pct"/>
            <w:shd w:val="clear" w:color="auto" w:fill="auto"/>
          </w:tcPr>
          <w:p w:rsidR="00765A89" w:rsidRPr="00A868E7" w:rsidRDefault="00765A89" w:rsidP="005E5DE3">
            <w:pPr>
              <w:pStyle w:val="naiskr"/>
              <w:spacing w:before="0" w:after="0"/>
              <w:jc w:val="both"/>
              <w:rPr>
                <w:sz w:val="26"/>
                <w:szCs w:val="26"/>
              </w:rPr>
            </w:pPr>
            <w:r w:rsidRPr="00A868E7">
              <w:rPr>
                <w:sz w:val="26"/>
                <w:szCs w:val="26"/>
              </w:rPr>
              <w:t>Neparedz stingrākas prasības.</w:t>
            </w:r>
          </w:p>
        </w:tc>
      </w:tr>
      <w:tr w:rsidR="00F93C71" w:rsidRPr="009F052F" w:rsidTr="00F1541A">
        <w:trPr>
          <w:tblCellSpacing w:w="15" w:type="dxa"/>
        </w:trPr>
        <w:tc>
          <w:tcPr>
            <w:tcW w:w="1331" w:type="pct"/>
            <w:gridSpan w:val="2"/>
            <w:shd w:val="clear" w:color="auto" w:fill="auto"/>
          </w:tcPr>
          <w:p w:rsidR="00F93C71" w:rsidRPr="001F6D46" w:rsidRDefault="00F93C71" w:rsidP="00F93C71">
            <w:pPr>
              <w:pStyle w:val="naiskr"/>
              <w:spacing w:before="0" w:after="0"/>
              <w:jc w:val="both"/>
              <w:rPr>
                <w:i/>
                <w:color w:val="000000" w:themeColor="text1"/>
                <w:sz w:val="26"/>
                <w:szCs w:val="26"/>
              </w:rPr>
            </w:pPr>
            <w:r>
              <w:rPr>
                <w:i/>
                <w:color w:val="000000" w:themeColor="text1"/>
                <w:sz w:val="26"/>
                <w:szCs w:val="26"/>
              </w:rPr>
              <w:t>Komisijas Regulas Nr.1407/20132.panta 2.punkts</w:t>
            </w:r>
          </w:p>
        </w:tc>
        <w:tc>
          <w:tcPr>
            <w:tcW w:w="1060" w:type="pct"/>
            <w:gridSpan w:val="2"/>
            <w:shd w:val="clear" w:color="auto" w:fill="auto"/>
          </w:tcPr>
          <w:p w:rsidR="00F93C71" w:rsidRPr="00A868E7" w:rsidRDefault="00F93C71" w:rsidP="00D745F7">
            <w:pPr>
              <w:pStyle w:val="naiskr"/>
              <w:spacing w:before="0" w:after="0"/>
              <w:jc w:val="both"/>
              <w:rPr>
                <w:sz w:val="26"/>
                <w:szCs w:val="26"/>
              </w:rPr>
            </w:pPr>
            <w:r>
              <w:rPr>
                <w:sz w:val="26"/>
                <w:szCs w:val="26"/>
              </w:rPr>
              <w:t xml:space="preserve">Noteikumu projekta </w:t>
            </w:r>
            <w:r w:rsidR="00D745F7">
              <w:rPr>
                <w:sz w:val="26"/>
                <w:szCs w:val="26"/>
              </w:rPr>
              <w:t>5</w:t>
            </w:r>
            <w:r>
              <w:rPr>
                <w:sz w:val="26"/>
                <w:szCs w:val="26"/>
              </w:rPr>
              <w:t>.punkts</w:t>
            </w:r>
          </w:p>
        </w:tc>
        <w:tc>
          <w:tcPr>
            <w:tcW w:w="813" w:type="pct"/>
            <w:shd w:val="clear" w:color="auto" w:fill="auto"/>
          </w:tcPr>
          <w:p w:rsidR="00F93C71" w:rsidRPr="00A868E7" w:rsidRDefault="00FA5D90" w:rsidP="005E5DE3">
            <w:pPr>
              <w:pStyle w:val="naiskr"/>
              <w:spacing w:before="0" w:after="0"/>
              <w:jc w:val="both"/>
              <w:rPr>
                <w:sz w:val="26"/>
                <w:szCs w:val="26"/>
              </w:rPr>
            </w:pPr>
            <w:r>
              <w:rPr>
                <w:sz w:val="26"/>
                <w:szCs w:val="26"/>
              </w:rPr>
              <w:t>Ieviests pilnībā</w:t>
            </w:r>
          </w:p>
        </w:tc>
        <w:tc>
          <w:tcPr>
            <w:tcW w:w="1712" w:type="pct"/>
            <w:shd w:val="clear" w:color="auto" w:fill="auto"/>
          </w:tcPr>
          <w:p w:rsidR="00F93C71" w:rsidRPr="00A868E7" w:rsidRDefault="00FA5D90" w:rsidP="005E5DE3">
            <w:pPr>
              <w:pStyle w:val="naiskr"/>
              <w:spacing w:before="0" w:after="0"/>
              <w:jc w:val="both"/>
              <w:rPr>
                <w:sz w:val="26"/>
                <w:szCs w:val="26"/>
              </w:rPr>
            </w:pPr>
            <w:r>
              <w:rPr>
                <w:sz w:val="26"/>
                <w:szCs w:val="26"/>
              </w:rPr>
              <w:t>Neparedz stingrākas prasības</w:t>
            </w:r>
          </w:p>
        </w:tc>
      </w:tr>
      <w:tr w:rsidR="00F93C71" w:rsidRPr="009F052F" w:rsidTr="00F1541A">
        <w:trPr>
          <w:tblCellSpacing w:w="15" w:type="dxa"/>
        </w:trPr>
        <w:tc>
          <w:tcPr>
            <w:tcW w:w="1331" w:type="pct"/>
            <w:gridSpan w:val="2"/>
            <w:shd w:val="clear" w:color="auto" w:fill="auto"/>
          </w:tcPr>
          <w:p w:rsidR="00F93C71" w:rsidRDefault="00F93C71" w:rsidP="00F93C71">
            <w:pPr>
              <w:pStyle w:val="naiskr"/>
              <w:spacing w:before="0" w:after="0"/>
              <w:jc w:val="both"/>
              <w:rPr>
                <w:i/>
                <w:color w:val="000000" w:themeColor="text1"/>
                <w:sz w:val="26"/>
                <w:szCs w:val="26"/>
              </w:rPr>
            </w:pPr>
            <w:r>
              <w:rPr>
                <w:i/>
                <w:color w:val="000000" w:themeColor="text1"/>
                <w:sz w:val="26"/>
                <w:szCs w:val="26"/>
              </w:rPr>
              <w:t>Komisijas Regulas Nr.1407/2013 1.panta 1.daļas a), b), c), d), e) apakšpunkts</w:t>
            </w:r>
          </w:p>
        </w:tc>
        <w:tc>
          <w:tcPr>
            <w:tcW w:w="1060" w:type="pct"/>
            <w:gridSpan w:val="2"/>
            <w:shd w:val="clear" w:color="auto" w:fill="auto"/>
          </w:tcPr>
          <w:p w:rsidR="00F93C71" w:rsidRDefault="00F93C71" w:rsidP="00D745F7">
            <w:pPr>
              <w:pStyle w:val="naiskr"/>
              <w:spacing w:before="0" w:after="0"/>
              <w:jc w:val="both"/>
              <w:rPr>
                <w:sz w:val="26"/>
                <w:szCs w:val="26"/>
              </w:rPr>
            </w:pPr>
            <w:r>
              <w:rPr>
                <w:sz w:val="26"/>
                <w:szCs w:val="26"/>
              </w:rPr>
              <w:t xml:space="preserve">Noteikumu projekta </w:t>
            </w:r>
            <w:r w:rsidR="00D745F7">
              <w:rPr>
                <w:sz w:val="26"/>
                <w:szCs w:val="26"/>
              </w:rPr>
              <w:t>7</w:t>
            </w:r>
            <w:r>
              <w:rPr>
                <w:sz w:val="26"/>
                <w:szCs w:val="26"/>
              </w:rPr>
              <w:t>.punkts</w:t>
            </w:r>
          </w:p>
        </w:tc>
        <w:tc>
          <w:tcPr>
            <w:tcW w:w="813" w:type="pct"/>
            <w:shd w:val="clear" w:color="auto" w:fill="auto"/>
          </w:tcPr>
          <w:p w:rsidR="00F93C71" w:rsidRPr="00A868E7" w:rsidRDefault="00FA5D90" w:rsidP="005E5DE3">
            <w:pPr>
              <w:pStyle w:val="naiskr"/>
              <w:spacing w:before="0" w:after="0"/>
              <w:jc w:val="both"/>
              <w:rPr>
                <w:sz w:val="26"/>
                <w:szCs w:val="26"/>
              </w:rPr>
            </w:pPr>
            <w:r>
              <w:rPr>
                <w:sz w:val="26"/>
                <w:szCs w:val="26"/>
              </w:rPr>
              <w:t>Ieviests pilnībā</w:t>
            </w:r>
          </w:p>
        </w:tc>
        <w:tc>
          <w:tcPr>
            <w:tcW w:w="1712" w:type="pct"/>
            <w:shd w:val="clear" w:color="auto" w:fill="auto"/>
          </w:tcPr>
          <w:p w:rsidR="00F93C71" w:rsidRPr="00A868E7" w:rsidRDefault="00FA5D90" w:rsidP="005E5DE3">
            <w:pPr>
              <w:pStyle w:val="naiskr"/>
              <w:spacing w:before="0" w:after="0"/>
              <w:jc w:val="both"/>
              <w:rPr>
                <w:sz w:val="26"/>
                <w:szCs w:val="26"/>
              </w:rPr>
            </w:pPr>
            <w:r>
              <w:rPr>
                <w:sz w:val="26"/>
                <w:szCs w:val="26"/>
              </w:rPr>
              <w:t>Neparedz stingrākas prasības</w:t>
            </w:r>
          </w:p>
        </w:tc>
      </w:tr>
      <w:tr w:rsidR="00D745F7" w:rsidRPr="009F052F" w:rsidTr="00D745F7">
        <w:trPr>
          <w:tblCellSpacing w:w="15" w:type="dxa"/>
        </w:trPr>
        <w:tc>
          <w:tcPr>
            <w:tcW w:w="1331" w:type="pct"/>
            <w:gridSpan w:val="2"/>
            <w:shd w:val="clear" w:color="auto" w:fill="auto"/>
          </w:tcPr>
          <w:p w:rsidR="00D745F7" w:rsidRPr="00F1541A" w:rsidRDefault="00D745F7" w:rsidP="00C166A5">
            <w:pPr>
              <w:pStyle w:val="naiskr"/>
              <w:spacing w:before="0" w:after="0"/>
              <w:jc w:val="both"/>
              <w:rPr>
                <w:i/>
                <w:color w:val="000000" w:themeColor="text1"/>
                <w:sz w:val="26"/>
                <w:szCs w:val="26"/>
              </w:rPr>
            </w:pPr>
            <w:r w:rsidRPr="00F1541A">
              <w:rPr>
                <w:i/>
                <w:color w:val="000000" w:themeColor="text1"/>
                <w:sz w:val="26"/>
                <w:szCs w:val="26"/>
              </w:rPr>
              <w:t xml:space="preserve">Komisijas Regulas </w:t>
            </w:r>
            <w:r w:rsidR="00C166A5" w:rsidRPr="00F1541A">
              <w:rPr>
                <w:i/>
                <w:color w:val="000000" w:themeColor="text1"/>
                <w:sz w:val="26"/>
                <w:szCs w:val="26"/>
              </w:rPr>
              <w:t>Nr.1407/2013 4.pants</w:t>
            </w:r>
          </w:p>
        </w:tc>
        <w:tc>
          <w:tcPr>
            <w:tcW w:w="1060" w:type="pct"/>
            <w:gridSpan w:val="2"/>
            <w:shd w:val="clear" w:color="auto" w:fill="auto"/>
          </w:tcPr>
          <w:p w:rsidR="00D745F7" w:rsidRPr="00F1541A" w:rsidRDefault="00D745F7" w:rsidP="00D745F7">
            <w:pPr>
              <w:pStyle w:val="naiskr"/>
              <w:spacing w:before="0" w:after="0"/>
              <w:jc w:val="both"/>
              <w:rPr>
                <w:sz w:val="26"/>
                <w:szCs w:val="26"/>
              </w:rPr>
            </w:pPr>
            <w:r w:rsidRPr="00F1541A">
              <w:rPr>
                <w:sz w:val="26"/>
                <w:szCs w:val="26"/>
              </w:rPr>
              <w:t>Noteikumu projekta 10.punkts</w:t>
            </w:r>
          </w:p>
        </w:tc>
        <w:tc>
          <w:tcPr>
            <w:tcW w:w="813" w:type="pct"/>
            <w:shd w:val="clear" w:color="auto" w:fill="auto"/>
          </w:tcPr>
          <w:p w:rsidR="00D745F7" w:rsidRPr="00F1541A" w:rsidRDefault="00D745F7" w:rsidP="005E5DE3">
            <w:pPr>
              <w:pStyle w:val="naiskr"/>
              <w:spacing w:before="0" w:after="0"/>
              <w:jc w:val="both"/>
              <w:rPr>
                <w:sz w:val="26"/>
                <w:szCs w:val="26"/>
              </w:rPr>
            </w:pPr>
            <w:r w:rsidRPr="00F1541A">
              <w:rPr>
                <w:sz w:val="26"/>
                <w:szCs w:val="26"/>
              </w:rPr>
              <w:t>Ieviests pilnībā</w:t>
            </w:r>
          </w:p>
        </w:tc>
        <w:tc>
          <w:tcPr>
            <w:tcW w:w="1712" w:type="pct"/>
            <w:shd w:val="clear" w:color="auto" w:fill="auto"/>
          </w:tcPr>
          <w:p w:rsidR="00D745F7" w:rsidRPr="00F1541A" w:rsidRDefault="00D745F7" w:rsidP="005E5DE3">
            <w:pPr>
              <w:pStyle w:val="naiskr"/>
              <w:spacing w:before="0" w:after="0"/>
              <w:jc w:val="both"/>
              <w:rPr>
                <w:sz w:val="26"/>
                <w:szCs w:val="26"/>
              </w:rPr>
            </w:pPr>
            <w:r w:rsidRPr="00F1541A">
              <w:rPr>
                <w:sz w:val="26"/>
                <w:szCs w:val="26"/>
              </w:rPr>
              <w:t>Neparedz stingrākas prasības</w:t>
            </w:r>
          </w:p>
        </w:tc>
      </w:tr>
      <w:tr w:rsidR="00FA5D90" w:rsidRPr="009F052F" w:rsidTr="00F1541A">
        <w:trPr>
          <w:tblCellSpacing w:w="15" w:type="dxa"/>
        </w:trPr>
        <w:tc>
          <w:tcPr>
            <w:tcW w:w="1331"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A5D90" w:rsidRDefault="00FA5D90" w:rsidP="00D36EF8">
            <w:pPr>
              <w:pStyle w:val="naiskr"/>
              <w:spacing w:before="0" w:after="0"/>
              <w:jc w:val="both"/>
              <w:rPr>
                <w:i/>
                <w:color w:val="000000" w:themeColor="text1"/>
                <w:sz w:val="26"/>
                <w:szCs w:val="26"/>
              </w:rPr>
            </w:pPr>
            <w:r w:rsidRPr="00FA5D90">
              <w:rPr>
                <w:i/>
                <w:color w:val="000000" w:themeColor="text1"/>
                <w:sz w:val="26"/>
                <w:szCs w:val="26"/>
              </w:rPr>
              <w:t>Komisijas Regul</w:t>
            </w:r>
            <w:r>
              <w:rPr>
                <w:i/>
                <w:color w:val="000000" w:themeColor="text1"/>
                <w:sz w:val="26"/>
                <w:szCs w:val="26"/>
              </w:rPr>
              <w:t>as Nr.1407/2013 3.panta 2.punkts</w:t>
            </w:r>
          </w:p>
        </w:tc>
        <w:tc>
          <w:tcPr>
            <w:tcW w:w="1060" w:type="pct"/>
            <w:gridSpan w:val="2"/>
            <w:tcBorders>
              <w:top w:val="single" w:sz="6" w:space="0" w:color="C0C0C0"/>
              <w:left w:val="single" w:sz="6" w:space="0" w:color="C0C0C0"/>
              <w:bottom w:val="single" w:sz="6" w:space="0" w:color="C0C0C0"/>
              <w:right w:val="single" w:sz="6" w:space="0" w:color="C0C0C0"/>
            </w:tcBorders>
            <w:shd w:val="clear" w:color="auto" w:fill="auto"/>
          </w:tcPr>
          <w:p w:rsidR="00FA5D90" w:rsidRDefault="00FA5D90" w:rsidP="00D745F7">
            <w:pPr>
              <w:pStyle w:val="naiskr"/>
              <w:spacing w:before="0" w:after="0"/>
              <w:jc w:val="both"/>
              <w:rPr>
                <w:sz w:val="26"/>
                <w:szCs w:val="26"/>
              </w:rPr>
            </w:pPr>
            <w:r>
              <w:rPr>
                <w:sz w:val="26"/>
                <w:szCs w:val="26"/>
              </w:rPr>
              <w:t xml:space="preserve">Noteikumu projekta </w:t>
            </w:r>
            <w:r w:rsidR="00D745F7">
              <w:rPr>
                <w:sz w:val="26"/>
                <w:szCs w:val="26"/>
              </w:rPr>
              <w:t>11</w:t>
            </w:r>
            <w:r>
              <w:rPr>
                <w:sz w:val="26"/>
                <w:szCs w:val="26"/>
              </w:rPr>
              <w:t>.punkts</w:t>
            </w:r>
          </w:p>
        </w:tc>
        <w:tc>
          <w:tcPr>
            <w:tcW w:w="813" w:type="pct"/>
            <w:tcBorders>
              <w:top w:val="single" w:sz="6" w:space="0" w:color="C0C0C0"/>
              <w:left w:val="single" w:sz="6" w:space="0" w:color="C0C0C0"/>
              <w:bottom w:val="single" w:sz="6" w:space="0" w:color="C0C0C0"/>
              <w:right w:val="single" w:sz="6" w:space="0" w:color="C0C0C0"/>
            </w:tcBorders>
            <w:shd w:val="clear" w:color="auto" w:fill="auto"/>
          </w:tcPr>
          <w:p w:rsidR="00FA5D90" w:rsidRPr="00A868E7" w:rsidRDefault="00FA5D90" w:rsidP="00D36EF8">
            <w:pPr>
              <w:pStyle w:val="naiskr"/>
              <w:spacing w:before="0" w:after="0"/>
              <w:jc w:val="both"/>
              <w:rPr>
                <w:sz w:val="26"/>
                <w:szCs w:val="26"/>
              </w:rPr>
            </w:pPr>
            <w:r>
              <w:rPr>
                <w:sz w:val="26"/>
                <w:szCs w:val="26"/>
              </w:rPr>
              <w:t xml:space="preserve">Ieviests pilnībā </w:t>
            </w:r>
          </w:p>
        </w:tc>
        <w:tc>
          <w:tcPr>
            <w:tcW w:w="1712" w:type="pct"/>
            <w:tcBorders>
              <w:top w:val="single" w:sz="6" w:space="0" w:color="C0C0C0"/>
              <w:left w:val="single" w:sz="6" w:space="0" w:color="C0C0C0"/>
              <w:bottom w:val="single" w:sz="6" w:space="0" w:color="C0C0C0"/>
              <w:right w:val="thinThickLargeGap" w:sz="6" w:space="0" w:color="C0C0C0"/>
            </w:tcBorders>
            <w:shd w:val="clear" w:color="auto" w:fill="auto"/>
          </w:tcPr>
          <w:p w:rsidR="00FA5D90" w:rsidRPr="00A868E7" w:rsidRDefault="00FA5D90" w:rsidP="00D36EF8">
            <w:pPr>
              <w:pStyle w:val="naiskr"/>
              <w:spacing w:before="0" w:after="0"/>
              <w:jc w:val="both"/>
              <w:rPr>
                <w:sz w:val="26"/>
                <w:szCs w:val="26"/>
              </w:rPr>
            </w:pPr>
            <w:r>
              <w:rPr>
                <w:sz w:val="26"/>
                <w:szCs w:val="26"/>
              </w:rPr>
              <w:t>Neparedz stingrākas prasības</w:t>
            </w:r>
          </w:p>
        </w:tc>
      </w:tr>
      <w:tr w:rsidR="00AB06DA" w:rsidRPr="009F052F" w:rsidTr="00F1541A">
        <w:trPr>
          <w:tblCellSpacing w:w="15" w:type="dxa"/>
        </w:trPr>
        <w:tc>
          <w:tcPr>
            <w:tcW w:w="1331"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AB06DA" w:rsidRPr="00FA5D90" w:rsidRDefault="00AB06DA" w:rsidP="00D36EF8">
            <w:pPr>
              <w:pStyle w:val="naiskr"/>
              <w:spacing w:before="0" w:after="0"/>
              <w:jc w:val="both"/>
              <w:rPr>
                <w:i/>
                <w:color w:val="000000" w:themeColor="text1"/>
                <w:sz w:val="26"/>
                <w:szCs w:val="26"/>
              </w:rPr>
            </w:pPr>
            <w:r w:rsidRPr="00FA5D90">
              <w:rPr>
                <w:i/>
                <w:color w:val="000000" w:themeColor="text1"/>
                <w:sz w:val="26"/>
                <w:szCs w:val="26"/>
              </w:rPr>
              <w:t>Komisijas Regul</w:t>
            </w:r>
            <w:r>
              <w:rPr>
                <w:i/>
                <w:color w:val="000000" w:themeColor="text1"/>
                <w:sz w:val="26"/>
                <w:szCs w:val="26"/>
              </w:rPr>
              <w:t>as Nr.1407/2013 3.panta 2.punkts</w:t>
            </w:r>
          </w:p>
        </w:tc>
        <w:tc>
          <w:tcPr>
            <w:tcW w:w="1060" w:type="pct"/>
            <w:gridSpan w:val="2"/>
            <w:tcBorders>
              <w:top w:val="single" w:sz="6" w:space="0" w:color="C0C0C0"/>
              <w:left w:val="single" w:sz="6" w:space="0" w:color="C0C0C0"/>
              <w:bottom w:val="single" w:sz="6" w:space="0" w:color="C0C0C0"/>
              <w:right w:val="single" w:sz="6" w:space="0" w:color="C0C0C0"/>
            </w:tcBorders>
            <w:shd w:val="clear" w:color="auto" w:fill="auto"/>
          </w:tcPr>
          <w:p w:rsidR="00AB06DA" w:rsidRDefault="00AB06DA" w:rsidP="00D745F7">
            <w:pPr>
              <w:pStyle w:val="naiskr"/>
              <w:spacing w:before="0" w:after="0"/>
              <w:jc w:val="both"/>
              <w:rPr>
                <w:sz w:val="26"/>
                <w:szCs w:val="26"/>
              </w:rPr>
            </w:pPr>
            <w:r>
              <w:rPr>
                <w:sz w:val="26"/>
                <w:szCs w:val="26"/>
              </w:rPr>
              <w:t xml:space="preserve">Noteikumu projekta </w:t>
            </w:r>
            <w:r w:rsidR="00D745F7">
              <w:rPr>
                <w:sz w:val="26"/>
                <w:szCs w:val="26"/>
              </w:rPr>
              <w:t>12</w:t>
            </w:r>
            <w:r>
              <w:rPr>
                <w:sz w:val="26"/>
                <w:szCs w:val="26"/>
              </w:rPr>
              <w:t>.punkts</w:t>
            </w:r>
          </w:p>
        </w:tc>
        <w:tc>
          <w:tcPr>
            <w:tcW w:w="813" w:type="pct"/>
            <w:tcBorders>
              <w:top w:val="single" w:sz="6" w:space="0" w:color="C0C0C0"/>
              <w:left w:val="single" w:sz="6" w:space="0" w:color="C0C0C0"/>
              <w:bottom w:val="single" w:sz="6" w:space="0" w:color="C0C0C0"/>
              <w:right w:val="single" w:sz="6" w:space="0" w:color="C0C0C0"/>
            </w:tcBorders>
            <w:shd w:val="clear" w:color="auto" w:fill="auto"/>
          </w:tcPr>
          <w:p w:rsidR="00AB06DA" w:rsidRDefault="00AB06DA" w:rsidP="00D36EF8">
            <w:pPr>
              <w:pStyle w:val="naiskr"/>
              <w:spacing w:before="0" w:after="0"/>
              <w:jc w:val="both"/>
              <w:rPr>
                <w:sz w:val="26"/>
                <w:szCs w:val="26"/>
              </w:rPr>
            </w:pPr>
            <w:r>
              <w:rPr>
                <w:sz w:val="26"/>
                <w:szCs w:val="26"/>
              </w:rPr>
              <w:t>Ieviests pilnībā</w:t>
            </w:r>
          </w:p>
        </w:tc>
        <w:tc>
          <w:tcPr>
            <w:tcW w:w="1712" w:type="pct"/>
            <w:tcBorders>
              <w:top w:val="single" w:sz="6" w:space="0" w:color="C0C0C0"/>
              <w:left w:val="single" w:sz="6" w:space="0" w:color="C0C0C0"/>
              <w:bottom w:val="single" w:sz="6" w:space="0" w:color="C0C0C0"/>
              <w:right w:val="thinThickLargeGap" w:sz="6" w:space="0" w:color="C0C0C0"/>
            </w:tcBorders>
            <w:shd w:val="clear" w:color="auto" w:fill="auto"/>
          </w:tcPr>
          <w:p w:rsidR="00AB06DA" w:rsidRDefault="00AB06DA" w:rsidP="00D36EF8">
            <w:pPr>
              <w:pStyle w:val="naiskr"/>
              <w:spacing w:before="0" w:after="0"/>
              <w:jc w:val="both"/>
              <w:rPr>
                <w:sz w:val="26"/>
                <w:szCs w:val="26"/>
              </w:rPr>
            </w:pPr>
            <w:r>
              <w:rPr>
                <w:sz w:val="26"/>
                <w:szCs w:val="26"/>
              </w:rPr>
              <w:t>Neparedz stingrākas prasības</w:t>
            </w:r>
          </w:p>
        </w:tc>
      </w:tr>
      <w:tr w:rsidR="002C158C" w:rsidRPr="009F052F" w:rsidTr="00F1541A">
        <w:trPr>
          <w:tblCellSpacing w:w="15" w:type="dxa"/>
        </w:trPr>
        <w:tc>
          <w:tcPr>
            <w:tcW w:w="1331"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2C158C" w:rsidRPr="00FA5D90" w:rsidRDefault="002C158C" w:rsidP="00D36EF8">
            <w:pPr>
              <w:pStyle w:val="naiskr"/>
              <w:spacing w:before="0" w:after="0"/>
              <w:jc w:val="both"/>
              <w:rPr>
                <w:i/>
                <w:color w:val="000000" w:themeColor="text1"/>
                <w:sz w:val="26"/>
                <w:szCs w:val="26"/>
              </w:rPr>
            </w:pPr>
            <w:r w:rsidRPr="00FA5D90">
              <w:rPr>
                <w:i/>
                <w:color w:val="000000" w:themeColor="text1"/>
                <w:sz w:val="26"/>
                <w:szCs w:val="26"/>
              </w:rPr>
              <w:t>Komisijas Regul</w:t>
            </w:r>
            <w:r>
              <w:rPr>
                <w:i/>
                <w:color w:val="000000" w:themeColor="text1"/>
                <w:sz w:val="26"/>
                <w:szCs w:val="26"/>
              </w:rPr>
              <w:t>as Nr.1407/2013 3.panta 2.punkts, 6.panta 3.punkts</w:t>
            </w:r>
          </w:p>
        </w:tc>
        <w:tc>
          <w:tcPr>
            <w:tcW w:w="1060" w:type="pct"/>
            <w:gridSpan w:val="2"/>
            <w:tcBorders>
              <w:top w:val="single" w:sz="6" w:space="0" w:color="C0C0C0"/>
              <w:left w:val="single" w:sz="6" w:space="0" w:color="C0C0C0"/>
              <w:bottom w:val="single" w:sz="6" w:space="0" w:color="C0C0C0"/>
              <w:right w:val="single" w:sz="6" w:space="0" w:color="C0C0C0"/>
            </w:tcBorders>
            <w:shd w:val="clear" w:color="auto" w:fill="auto"/>
          </w:tcPr>
          <w:p w:rsidR="002C158C" w:rsidRDefault="002C158C" w:rsidP="00D745F7">
            <w:pPr>
              <w:pStyle w:val="naiskr"/>
              <w:spacing w:before="0" w:after="0"/>
              <w:jc w:val="both"/>
              <w:rPr>
                <w:sz w:val="26"/>
                <w:szCs w:val="26"/>
              </w:rPr>
            </w:pPr>
            <w:r>
              <w:rPr>
                <w:sz w:val="26"/>
                <w:szCs w:val="26"/>
              </w:rPr>
              <w:t xml:space="preserve">Noteikumu projekta </w:t>
            </w:r>
            <w:r w:rsidR="00D745F7">
              <w:rPr>
                <w:sz w:val="26"/>
                <w:szCs w:val="26"/>
              </w:rPr>
              <w:t>13</w:t>
            </w:r>
            <w:r>
              <w:rPr>
                <w:sz w:val="26"/>
                <w:szCs w:val="26"/>
              </w:rPr>
              <w:t>.punkts</w:t>
            </w:r>
          </w:p>
        </w:tc>
        <w:tc>
          <w:tcPr>
            <w:tcW w:w="813" w:type="pct"/>
            <w:tcBorders>
              <w:top w:val="single" w:sz="6" w:space="0" w:color="C0C0C0"/>
              <w:left w:val="single" w:sz="6" w:space="0" w:color="C0C0C0"/>
              <w:bottom w:val="single" w:sz="6" w:space="0" w:color="C0C0C0"/>
              <w:right w:val="single" w:sz="6" w:space="0" w:color="C0C0C0"/>
            </w:tcBorders>
            <w:shd w:val="clear" w:color="auto" w:fill="auto"/>
          </w:tcPr>
          <w:p w:rsidR="002C158C" w:rsidRDefault="002C158C" w:rsidP="00D36EF8">
            <w:pPr>
              <w:pStyle w:val="naiskr"/>
              <w:spacing w:before="0" w:after="0"/>
              <w:jc w:val="both"/>
              <w:rPr>
                <w:sz w:val="26"/>
                <w:szCs w:val="26"/>
              </w:rPr>
            </w:pPr>
            <w:r>
              <w:rPr>
                <w:sz w:val="26"/>
                <w:szCs w:val="26"/>
              </w:rPr>
              <w:t>Ieviests pilnībā</w:t>
            </w:r>
          </w:p>
        </w:tc>
        <w:tc>
          <w:tcPr>
            <w:tcW w:w="1712" w:type="pct"/>
            <w:tcBorders>
              <w:top w:val="single" w:sz="6" w:space="0" w:color="C0C0C0"/>
              <w:left w:val="single" w:sz="6" w:space="0" w:color="C0C0C0"/>
              <w:bottom w:val="single" w:sz="6" w:space="0" w:color="C0C0C0"/>
              <w:right w:val="thinThickLargeGap" w:sz="6" w:space="0" w:color="C0C0C0"/>
            </w:tcBorders>
            <w:shd w:val="clear" w:color="auto" w:fill="auto"/>
          </w:tcPr>
          <w:p w:rsidR="002C158C" w:rsidRDefault="002C158C" w:rsidP="00D36EF8">
            <w:pPr>
              <w:pStyle w:val="naiskr"/>
              <w:spacing w:before="0" w:after="0"/>
              <w:jc w:val="both"/>
              <w:rPr>
                <w:sz w:val="26"/>
                <w:szCs w:val="26"/>
              </w:rPr>
            </w:pPr>
            <w:r>
              <w:rPr>
                <w:sz w:val="26"/>
                <w:szCs w:val="26"/>
              </w:rPr>
              <w:t>Neparedz stingrākas prasības</w:t>
            </w:r>
          </w:p>
        </w:tc>
      </w:tr>
      <w:tr w:rsidR="00362B06" w:rsidRPr="009F052F" w:rsidTr="00F1541A">
        <w:trPr>
          <w:tblCellSpacing w:w="15" w:type="dxa"/>
        </w:trPr>
        <w:tc>
          <w:tcPr>
            <w:tcW w:w="1331" w:type="pct"/>
            <w:gridSpan w:val="2"/>
            <w:shd w:val="clear" w:color="auto" w:fill="auto"/>
          </w:tcPr>
          <w:p w:rsidR="00362B06" w:rsidRDefault="001F2B3A" w:rsidP="001F2B3A">
            <w:pPr>
              <w:pStyle w:val="naiskr"/>
              <w:spacing w:before="0" w:after="0"/>
              <w:jc w:val="both"/>
              <w:rPr>
                <w:i/>
                <w:color w:val="000000" w:themeColor="text1"/>
                <w:sz w:val="26"/>
                <w:szCs w:val="26"/>
              </w:rPr>
            </w:pPr>
            <w:r w:rsidRPr="00FA5D90">
              <w:rPr>
                <w:i/>
                <w:color w:val="000000" w:themeColor="text1"/>
                <w:sz w:val="26"/>
                <w:szCs w:val="26"/>
              </w:rPr>
              <w:lastRenderedPageBreak/>
              <w:t>Komisijas Regul</w:t>
            </w:r>
            <w:r>
              <w:rPr>
                <w:i/>
                <w:color w:val="000000" w:themeColor="text1"/>
                <w:sz w:val="26"/>
                <w:szCs w:val="26"/>
              </w:rPr>
              <w:t>as Nr.1407/2013 3.panta 8., 9.punkts</w:t>
            </w:r>
          </w:p>
        </w:tc>
        <w:tc>
          <w:tcPr>
            <w:tcW w:w="1060" w:type="pct"/>
            <w:gridSpan w:val="2"/>
            <w:shd w:val="clear" w:color="auto" w:fill="auto"/>
          </w:tcPr>
          <w:p w:rsidR="00362B06" w:rsidRDefault="00362B06" w:rsidP="00D745F7">
            <w:pPr>
              <w:pStyle w:val="naiskr"/>
              <w:spacing w:before="0" w:after="0"/>
              <w:jc w:val="both"/>
              <w:rPr>
                <w:sz w:val="26"/>
                <w:szCs w:val="26"/>
              </w:rPr>
            </w:pPr>
            <w:r>
              <w:rPr>
                <w:sz w:val="26"/>
                <w:szCs w:val="26"/>
              </w:rPr>
              <w:t xml:space="preserve">Noteikumu projekta </w:t>
            </w:r>
            <w:r w:rsidR="00D745F7">
              <w:rPr>
                <w:sz w:val="26"/>
                <w:szCs w:val="26"/>
              </w:rPr>
              <w:t>20</w:t>
            </w:r>
            <w:r w:rsidR="002E2A85">
              <w:rPr>
                <w:sz w:val="26"/>
                <w:szCs w:val="26"/>
              </w:rPr>
              <w:t>.</w:t>
            </w:r>
            <w:bookmarkStart w:id="7" w:name="_GoBack"/>
            <w:bookmarkEnd w:id="7"/>
            <w:r>
              <w:rPr>
                <w:sz w:val="26"/>
                <w:szCs w:val="26"/>
              </w:rPr>
              <w:t>punkts</w:t>
            </w:r>
          </w:p>
        </w:tc>
        <w:tc>
          <w:tcPr>
            <w:tcW w:w="813" w:type="pct"/>
            <w:shd w:val="clear" w:color="auto" w:fill="auto"/>
          </w:tcPr>
          <w:p w:rsidR="00362B06" w:rsidRDefault="00362B06" w:rsidP="005E5DE3">
            <w:pPr>
              <w:pStyle w:val="naiskr"/>
              <w:spacing w:before="0" w:after="0"/>
              <w:jc w:val="both"/>
              <w:rPr>
                <w:sz w:val="26"/>
                <w:szCs w:val="26"/>
              </w:rPr>
            </w:pPr>
            <w:r>
              <w:rPr>
                <w:sz w:val="26"/>
                <w:szCs w:val="26"/>
              </w:rPr>
              <w:t>Ieviests pilnībā</w:t>
            </w:r>
          </w:p>
        </w:tc>
        <w:tc>
          <w:tcPr>
            <w:tcW w:w="1712" w:type="pct"/>
            <w:shd w:val="clear" w:color="auto" w:fill="auto"/>
          </w:tcPr>
          <w:p w:rsidR="00362B06" w:rsidRDefault="00362B06" w:rsidP="005E5DE3">
            <w:pPr>
              <w:pStyle w:val="naiskr"/>
              <w:spacing w:before="0" w:after="0"/>
              <w:jc w:val="both"/>
              <w:rPr>
                <w:sz w:val="26"/>
                <w:szCs w:val="26"/>
              </w:rPr>
            </w:pPr>
            <w:r>
              <w:rPr>
                <w:sz w:val="26"/>
                <w:szCs w:val="26"/>
              </w:rPr>
              <w:t>Neparedz stingrākas prasības</w:t>
            </w:r>
          </w:p>
        </w:tc>
      </w:tr>
      <w:tr w:rsidR="00D745F7" w:rsidRPr="009F052F" w:rsidTr="00F1541A">
        <w:trPr>
          <w:tblCellSpacing w:w="15" w:type="dxa"/>
        </w:trPr>
        <w:tc>
          <w:tcPr>
            <w:tcW w:w="1331"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D745F7" w:rsidRDefault="00D745F7" w:rsidP="00FF5FB2">
            <w:pPr>
              <w:pStyle w:val="naiskr"/>
              <w:spacing w:before="0" w:after="0"/>
              <w:jc w:val="both"/>
              <w:rPr>
                <w:i/>
                <w:color w:val="000000" w:themeColor="text1"/>
                <w:sz w:val="26"/>
                <w:szCs w:val="26"/>
              </w:rPr>
            </w:pPr>
            <w:r>
              <w:rPr>
                <w:i/>
                <w:color w:val="000000" w:themeColor="text1"/>
                <w:sz w:val="26"/>
                <w:szCs w:val="26"/>
              </w:rPr>
              <w:t>Komisijas Regula Nr.1407/2013 8.pants</w:t>
            </w:r>
          </w:p>
        </w:tc>
        <w:tc>
          <w:tcPr>
            <w:tcW w:w="1060" w:type="pct"/>
            <w:gridSpan w:val="2"/>
            <w:tcBorders>
              <w:top w:val="single" w:sz="6" w:space="0" w:color="C0C0C0"/>
              <w:left w:val="single" w:sz="6" w:space="0" w:color="C0C0C0"/>
              <w:bottom w:val="single" w:sz="6" w:space="0" w:color="C0C0C0"/>
              <w:right w:val="single" w:sz="6" w:space="0" w:color="C0C0C0"/>
            </w:tcBorders>
            <w:shd w:val="clear" w:color="auto" w:fill="auto"/>
          </w:tcPr>
          <w:p w:rsidR="00D745F7" w:rsidRDefault="00D745F7" w:rsidP="00FF5FB2">
            <w:pPr>
              <w:pStyle w:val="naiskr"/>
              <w:spacing w:before="0" w:after="0"/>
              <w:jc w:val="both"/>
              <w:rPr>
                <w:sz w:val="26"/>
                <w:szCs w:val="26"/>
              </w:rPr>
            </w:pPr>
            <w:r>
              <w:rPr>
                <w:sz w:val="26"/>
                <w:szCs w:val="26"/>
              </w:rPr>
              <w:t>Noteikumu projekta 21.punkts</w:t>
            </w:r>
          </w:p>
        </w:tc>
        <w:tc>
          <w:tcPr>
            <w:tcW w:w="813" w:type="pct"/>
            <w:tcBorders>
              <w:top w:val="single" w:sz="6" w:space="0" w:color="C0C0C0"/>
              <w:left w:val="single" w:sz="6" w:space="0" w:color="C0C0C0"/>
              <w:bottom w:val="single" w:sz="6" w:space="0" w:color="C0C0C0"/>
              <w:right w:val="single" w:sz="6" w:space="0" w:color="C0C0C0"/>
            </w:tcBorders>
            <w:shd w:val="clear" w:color="auto" w:fill="auto"/>
          </w:tcPr>
          <w:p w:rsidR="00D745F7" w:rsidRPr="00A868E7" w:rsidRDefault="00D745F7" w:rsidP="00FF5FB2">
            <w:pPr>
              <w:pStyle w:val="naiskr"/>
              <w:spacing w:before="0" w:after="0"/>
              <w:jc w:val="both"/>
              <w:rPr>
                <w:sz w:val="26"/>
                <w:szCs w:val="26"/>
              </w:rPr>
            </w:pPr>
            <w:r>
              <w:rPr>
                <w:sz w:val="26"/>
                <w:szCs w:val="26"/>
              </w:rPr>
              <w:t>Ieviests pilnībā</w:t>
            </w:r>
          </w:p>
        </w:tc>
        <w:tc>
          <w:tcPr>
            <w:tcW w:w="1712" w:type="pct"/>
            <w:tcBorders>
              <w:top w:val="single" w:sz="6" w:space="0" w:color="C0C0C0"/>
              <w:left w:val="single" w:sz="6" w:space="0" w:color="C0C0C0"/>
              <w:bottom w:val="single" w:sz="6" w:space="0" w:color="C0C0C0"/>
              <w:right w:val="thinThickLargeGap" w:sz="6" w:space="0" w:color="C0C0C0"/>
            </w:tcBorders>
            <w:shd w:val="clear" w:color="auto" w:fill="auto"/>
          </w:tcPr>
          <w:p w:rsidR="00D745F7" w:rsidRPr="00A868E7" w:rsidRDefault="00D745F7" w:rsidP="00FF5FB2">
            <w:pPr>
              <w:pStyle w:val="naiskr"/>
              <w:spacing w:before="0" w:after="0"/>
              <w:jc w:val="both"/>
              <w:rPr>
                <w:sz w:val="26"/>
                <w:szCs w:val="26"/>
              </w:rPr>
            </w:pPr>
            <w:r>
              <w:rPr>
                <w:sz w:val="26"/>
                <w:szCs w:val="26"/>
              </w:rPr>
              <w:t>Neparedz stingrākas prasības</w:t>
            </w:r>
          </w:p>
        </w:tc>
      </w:tr>
      <w:tr w:rsidR="00765A89" w:rsidRPr="00976ABD" w:rsidTr="00F1541A">
        <w:trPr>
          <w:tblCellSpacing w:w="15" w:type="dxa"/>
        </w:trPr>
        <w:tc>
          <w:tcPr>
            <w:tcW w:w="1331"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Kā ir izmantota ES tiesību aktā paredzētā rīcības brīvība dalībvalstij pārņemt vai ieviest noteiktas ES tiesību akta normas.</w:t>
            </w:r>
          </w:p>
        </w:tc>
        <w:tc>
          <w:tcPr>
            <w:tcW w:w="3619" w:type="pct"/>
            <w:gridSpan w:val="4"/>
            <w:shd w:val="clear" w:color="auto" w:fill="auto"/>
            <w:hideMark/>
          </w:tcPr>
          <w:p w:rsidR="00765A89" w:rsidRPr="001F6D46" w:rsidRDefault="001802AA" w:rsidP="005E5DE3">
            <w:pPr>
              <w:autoSpaceDE w:val="0"/>
              <w:autoSpaceDN w:val="0"/>
              <w:adjustRightInd w:val="0"/>
              <w:jc w:val="both"/>
              <w:rPr>
                <w:rFonts w:ascii="EUAlbertina" w:hAnsi="EUAlbertina" w:cs="EUAlbertina"/>
                <w:sz w:val="26"/>
                <w:szCs w:val="26"/>
                <w:lang w:val="lv-LV"/>
              </w:rPr>
            </w:pPr>
            <w:r w:rsidRPr="001802AA">
              <w:rPr>
                <w:rFonts w:eastAsia="Times New Roman"/>
                <w:iCs/>
                <w:sz w:val="26"/>
                <w:szCs w:val="26"/>
                <w:lang w:val="lv-LV" w:eastAsia="lv-LV"/>
              </w:rPr>
              <w:t xml:space="preserve">Komisijas </w:t>
            </w:r>
            <w:r>
              <w:rPr>
                <w:rFonts w:eastAsia="Times New Roman"/>
                <w:iCs/>
                <w:sz w:val="26"/>
                <w:szCs w:val="26"/>
                <w:lang w:val="lv-LV" w:eastAsia="lv-LV"/>
              </w:rPr>
              <w:t>R</w:t>
            </w:r>
            <w:r w:rsidRPr="001802AA">
              <w:rPr>
                <w:rFonts w:eastAsia="Times New Roman"/>
                <w:iCs/>
                <w:sz w:val="26"/>
                <w:szCs w:val="26"/>
                <w:lang w:val="lv-LV" w:eastAsia="lv-LV"/>
              </w:rPr>
              <w:t>egula Nr.1407/2013</w:t>
            </w:r>
            <w:r w:rsidR="00FA5D90">
              <w:rPr>
                <w:rFonts w:eastAsia="Times New Roman"/>
                <w:iCs/>
                <w:sz w:val="26"/>
                <w:szCs w:val="26"/>
                <w:lang w:val="lv-LV" w:eastAsia="lv-LV"/>
              </w:rPr>
              <w:t xml:space="preserve"> neparedz rīcības brīvību. Sniedzot </w:t>
            </w:r>
            <w:proofErr w:type="spellStart"/>
            <w:r w:rsidR="00FA5D90" w:rsidRPr="00F1541A">
              <w:rPr>
                <w:rFonts w:eastAsia="Times New Roman"/>
                <w:i/>
                <w:iCs/>
                <w:sz w:val="26"/>
                <w:szCs w:val="26"/>
                <w:lang w:val="lv-LV" w:eastAsia="lv-LV"/>
              </w:rPr>
              <w:t>de</w:t>
            </w:r>
            <w:proofErr w:type="spellEnd"/>
            <w:r w:rsidR="00FA5D90" w:rsidRPr="00F1541A">
              <w:rPr>
                <w:rFonts w:eastAsia="Times New Roman"/>
                <w:i/>
                <w:iCs/>
                <w:sz w:val="26"/>
                <w:szCs w:val="26"/>
                <w:lang w:val="lv-LV" w:eastAsia="lv-LV"/>
              </w:rPr>
              <w:t xml:space="preserve"> </w:t>
            </w:r>
            <w:proofErr w:type="spellStart"/>
            <w:r w:rsidR="00FA5D90" w:rsidRPr="00F1541A">
              <w:rPr>
                <w:rFonts w:eastAsia="Times New Roman"/>
                <w:i/>
                <w:iCs/>
                <w:sz w:val="26"/>
                <w:szCs w:val="26"/>
                <w:lang w:val="lv-LV" w:eastAsia="lv-LV"/>
              </w:rPr>
              <w:t>minimis</w:t>
            </w:r>
            <w:proofErr w:type="spellEnd"/>
            <w:r w:rsidR="00FA5D90">
              <w:rPr>
                <w:rFonts w:eastAsia="Times New Roman"/>
                <w:iCs/>
                <w:sz w:val="26"/>
                <w:szCs w:val="26"/>
                <w:lang w:val="lv-LV" w:eastAsia="lv-LV"/>
              </w:rPr>
              <w:t xml:space="preserve"> atbalstu, Komisijas Regula Nr.1407/2013 ir obligāti piemērojama.</w:t>
            </w:r>
          </w:p>
          <w:p w:rsidR="00765A89" w:rsidRPr="001F6D46" w:rsidRDefault="00765A89" w:rsidP="005E5DE3">
            <w:pPr>
              <w:jc w:val="both"/>
              <w:rPr>
                <w:rFonts w:eastAsia="Times New Roman"/>
                <w:sz w:val="26"/>
                <w:szCs w:val="26"/>
                <w:lang w:val="lv-LV" w:eastAsia="lv-LV"/>
              </w:rPr>
            </w:pPr>
          </w:p>
        </w:tc>
      </w:tr>
      <w:tr w:rsidR="00765A89" w:rsidRPr="00976ABD" w:rsidTr="00F1541A">
        <w:trPr>
          <w:tblCellSpacing w:w="15" w:type="dxa"/>
        </w:trPr>
        <w:tc>
          <w:tcPr>
            <w:tcW w:w="1331"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9" w:type="pct"/>
            <w:gridSpan w:val="4"/>
            <w:shd w:val="clear" w:color="auto" w:fill="auto"/>
            <w:hideMark/>
          </w:tcPr>
          <w:p w:rsidR="00765A89" w:rsidRPr="001F6D46" w:rsidRDefault="001A2070" w:rsidP="005E5DE3">
            <w:pPr>
              <w:jc w:val="both"/>
              <w:rPr>
                <w:rFonts w:eastAsia="Times New Roman"/>
                <w:iCs/>
                <w:sz w:val="26"/>
                <w:szCs w:val="26"/>
                <w:lang w:val="lv-LV" w:eastAsia="lv-LV"/>
              </w:rPr>
            </w:pPr>
            <w:r>
              <w:rPr>
                <w:rFonts w:eastAsia="Times New Roman"/>
                <w:iCs/>
                <w:sz w:val="26"/>
                <w:szCs w:val="26"/>
                <w:lang w:val="lv-LV" w:eastAsia="lv-LV"/>
              </w:rPr>
              <w:t xml:space="preserve">Ņemot vērā, ka tiek sniegts </w:t>
            </w:r>
            <w:r w:rsidRPr="001A2070">
              <w:rPr>
                <w:rFonts w:eastAsia="Times New Roman"/>
                <w:i/>
                <w:iCs/>
                <w:sz w:val="26"/>
                <w:szCs w:val="26"/>
                <w:lang w:val="lv-LV" w:eastAsia="lv-LV"/>
              </w:rPr>
              <w:t>de minimis</w:t>
            </w:r>
            <w:r>
              <w:rPr>
                <w:rFonts w:eastAsia="Times New Roman"/>
                <w:iCs/>
                <w:sz w:val="26"/>
                <w:szCs w:val="26"/>
                <w:lang w:val="lv-LV" w:eastAsia="lv-LV"/>
              </w:rPr>
              <w:t xml:space="preserve"> atbalsts, </w:t>
            </w:r>
            <w:r w:rsidR="00765A89" w:rsidRPr="001F6D46">
              <w:rPr>
                <w:rFonts w:eastAsia="Times New Roman"/>
                <w:iCs/>
                <w:sz w:val="26"/>
                <w:szCs w:val="26"/>
                <w:lang w:val="lv-LV" w:eastAsia="lv-LV"/>
              </w:rPr>
              <w:t xml:space="preserve">noteikumu projekts saskaņā ar </w:t>
            </w:r>
            <w:r>
              <w:rPr>
                <w:sz w:val="26"/>
                <w:szCs w:val="26"/>
                <w:lang w:val="lv-LV"/>
              </w:rPr>
              <w:t>Komisijas Regulu</w:t>
            </w:r>
            <w:r w:rsidR="00765A89" w:rsidRPr="001F6D46">
              <w:rPr>
                <w:sz w:val="26"/>
                <w:szCs w:val="26"/>
                <w:lang w:val="lv-LV"/>
              </w:rPr>
              <w:t xml:space="preserve"> Nr.1</w:t>
            </w:r>
            <w:r>
              <w:rPr>
                <w:sz w:val="26"/>
                <w:szCs w:val="26"/>
                <w:lang w:val="lv-LV"/>
              </w:rPr>
              <w:t>407/2013</w:t>
            </w:r>
            <w:r w:rsidR="00765A89" w:rsidRPr="001F6D46">
              <w:rPr>
                <w:sz w:val="26"/>
                <w:szCs w:val="26"/>
                <w:lang w:val="lv-LV"/>
              </w:rPr>
              <w:t xml:space="preserve"> </w:t>
            </w:r>
            <w:r w:rsidR="00765A89" w:rsidRPr="001F6D46">
              <w:rPr>
                <w:rFonts w:eastAsia="Times New Roman"/>
                <w:iCs/>
                <w:sz w:val="26"/>
                <w:szCs w:val="26"/>
                <w:lang w:val="lv-LV" w:eastAsia="lv-LV"/>
              </w:rPr>
              <w:t>ir atbrīvots</w:t>
            </w:r>
            <w:r w:rsidR="00765A89">
              <w:rPr>
                <w:rFonts w:eastAsia="Times New Roman"/>
                <w:iCs/>
                <w:sz w:val="26"/>
                <w:szCs w:val="26"/>
                <w:lang w:val="lv-LV" w:eastAsia="lv-LV"/>
              </w:rPr>
              <w:t xml:space="preserve"> no iepriekšējas paziņošanas Eiropas Komisijai</w:t>
            </w:r>
            <w:r>
              <w:rPr>
                <w:rFonts w:eastAsia="Times New Roman"/>
                <w:iCs/>
                <w:sz w:val="26"/>
                <w:szCs w:val="26"/>
                <w:lang w:val="lv-LV" w:eastAsia="lv-LV"/>
              </w:rPr>
              <w:t>.</w:t>
            </w:r>
          </w:p>
          <w:p w:rsidR="00765A89" w:rsidRPr="001F6D46" w:rsidRDefault="00765A89" w:rsidP="005E5DE3">
            <w:pPr>
              <w:jc w:val="both"/>
              <w:rPr>
                <w:rFonts w:eastAsia="Times New Roman"/>
                <w:iCs/>
                <w:sz w:val="26"/>
                <w:szCs w:val="26"/>
                <w:lang w:val="lv-LV" w:eastAsia="lv-LV"/>
              </w:rPr>
            </w:pPr>
          </w:p>
          <w:p w:rsidR="00765A89" w:rsidRPr="001F6D46" w:rsidRDefault="00765A89" w:rsidP="005E5DE3">
            <w:pPr>
              <w:jc w:val="both"/>
              <w:rPr>
                <w:rFonts w:eastAsia="Times New Roman"/>
                <w:sz w:val="26"/>
                <w:szCs w:val="26"/>
                <w:lang w:val="lv-LV" w:eastAsia="lv-LV"/>
              </w:rPr>
            </w:pPr>
          </w:p>
        </w:tc>
      </w:tr>
      <w:tr w:rsidR="00765A89" w:rsidRPr="001F6D46" w:rsidTr="00F1541A">
        <w:trPr>
          <w:tblCellSpacing w:w="15" w:type="dxa"/>
        </w:trPr>
        <w:tc>
          <w:tcPr>
            <w:tcW w:w="1331"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619" w:type="pct"/>
            <w:gridSpan w:val="4"/>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Nav</w:t>
            </w:r>
          </w:p>
        </w:tc>
      </w:tr>
    </w:tbl>
    <w:p w:rsidR="00765A89" w:rsidRDefault="00765A89" w:rsidP="00C9779A">
      <w:pPr>
        <w:rPr>
          <w:sz w:val="26"/>
          <w:szCs w:val="26"/>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C82F3D" w:rsidRPr="00C82F3D" w:rsidTr="002E16BA">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jc w:val="center"/>
              <w:rPr>
                <w:rFonts w:eastAsia="Times New Roman"/>
                <w:b/>
                <w:sz w:val="26"/>
                <w:szCs w:val="26"/>
                <w:lang w:val="lv-LV" w:eastAsia="lv-LV"/>
              </w:rPr>
            </w:pPr>
            <w:r w:rsidRPr="00C82F3D">
              <w:rPr>
                <w:b/>
                <w:bCs/>
                <w:sz w:val="26"/>
                <w:szCs w:val="26"/>
                <w:lang w:val="lv-LV"/>
              </w:rPr>
              <w:t>VI. Sabiedrības līdzdalība un komunikācijas aktivitātes</w:t>
            </w:r>
          </w:p>
        </w:tc>
      </w:tr>
      <w:tr w:rsidR="00C82F3D" w:rsidRPr="00C82F3D" w:rsidTr="002E16BA">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F93C71" w:rsidP="00C82F3D">
            <w:pPr>
              <w:ind w:left="124"/>
              <w:jc w:val="both"/>
              <w:rPr>
                <w:rFonts w:eastAsia="Times New Roman"/>
                <w:sz w:val="26"/>
                <w:szCs w:val="26"/>
                <w:lang w:val="lv-LV" w:eastAsia="lv-LV"/>
              </w:rPr>
            </w:pPr>
            <w:r>
              <w:rPr>
                <w:rFonts w:eastAsia="Times New Roman"/>
                <w:iCs/>
                <w:sz w:val="26"/>
                <w:szCs w:val="26"/>
                <w:lang w:val="lv-LV" w:eastAsia="lv-LV"/>
              </w:rPr>
              <w:t>S</w:t>
            </w:r>
            <w:r w:rsidR="00C82F3D" w:rsidRPr="00C82F3D">
              <w:rPr>
                <w:rFonts w:eastAsia="Times New Roman"/>
                <w:iCs/>
                <w:sz w:val="26"/>
                <w:szCs w:val="26"/>
                <w:lang w:val="lv-LV" w:eastAsia="lv-LV"/>
              </w:rPr>
              <w:t>abiedrības līdzdalība noteikumu projekta izstrādē nav nepieciešama.</w:t>
            </w:r>
          </w:p>
        </w:tc>
      </w:tr>
      <w:tr w:rsidR="00C82F3D" w:rsidRPr="00C82F3D" w:rsidTr="002E16BA">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F93C71" w:rsidP="00F93C71">
            <w:pPr>
              <w:spacing w:after="240"/>
              <w:ind w:left="124"/>
              <w:jc w:val="both"/>
              <w:rPr>
                <w:rFonts w:eastAsia="Times New Roman"/>
                <w:iCs/>
                <w:sz w:val="26"/>
                <w:szCs w:val="26"/>
                <w:lang w:val="lv-LV" w:eastAsia="lv-LV"/>
              </w:rPr>
            </w:pPr>
            <w:r>
              <w:rPr>
                <w:rFonts w:eastAsia="Times New Roman"/>
                <w:iCs/>
                <w:sz w:val="26"/>
                <w:szCs w:val="26"/>
                <w:lang w:val="lv-LV" w:eastAsia="lv-LV"/>
              </w:rPr>
              <w:t>S</w:t>
            </w:r>
            <w:r w:rsidR="00C82F3D" w:rsidRPr="00C82F3D">
              <w:rPr>
                <w:rFonts w:eastAsia="Times New Roman"/>
                <w:iCs/>
                <w:sz w:val="26"/>
                <w:szCs w:val="26"/>
                <w:lang w:val="lv-LV" w:eastAsia="lv-LV"/>
              </w:rPr>
              <w:t>abiedrības līdzdalība noteikumu projekta izstrādē nav nepieciešama.</w:t>
            </w:r>
          </w:p>
        </w:tc>
      </w:tr>
      <w:tr w:rsidR="00C82F3D" w:rsidRPr="00C82F3D" w:rsidTr="002E16BA">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F93C71" w:rsidP="00C82F3D">
            <w:pPr>
              <w:ind w:left="124"/>
              <w:jc w:val="both"/>
              <w:rPr>
                <w:rFonts w:eastAsia="Times New Roman"/>
                <w:b/>
                <w:sz w:val="26"/>
                <w:szCs w:val="26"/>
                <w:lang w:val="lv-LV" w:eastAsia="lv-LV"/>
              </w:rPr>
            </w:pPr>
            <w:r>
              <w:rPr>
                <w:rFonts w:eastAsia="Times New Roman"/>
                <w:iCs/>
                <w:sz w:val="26"/>
                <w:szCs w:val="26"/>
                <w:lang w:val="lv-LV" w:eastAsia="lv-LV"/>
              </w:rPr>
              <w:t>S</w:t>
            </w:r>
            <w:r w:rsidR="00C82F3D" w:rsidRPr="00C82F3D">
              <w:rPr>
                <w:rFonts w:eastAsia="Times New Roman"/>
                <w:iCs/>
                <w:sz w:val="26"/>
                <w:szCs w:val="26"/>
                <w:lang w:val="lv-LV" w:eastAsia="lv-LV"/>
              </w:rPr>
              <w:t>abiedrības līdzdalība noteikumu projekta izstrādē nav nepieciešama.</w:t>
            </w:r>
          </w:p>
        </w:tc>
      </w:tr>
      <w:tr w:rsidR="00C82F3D" w:rsidRPr="00C82F3D" w:rsidTr="002E16BA">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rPr>
                <w:rFonts w:eastAsia="Times New Roman"/>
                <w:sz w:val="26"/>
                <w:szCs w:val="26"/>
                <w:lang w:val="lv-LV" w:eastAsia="lv-LV"/>
              </w:rPr>
            </w:pPr>
            <w:r w:rsidRPr="00C82F3D">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ind w:firstLine="284"/>
              <w:jc w:val="both"/>
              <w:rPr>
                <w:rFonts w:eastAsia="Times New Roman"/>
                <w:sz w:val="26"/>
                <w:szCs w:val="26"/>
                <w:lang w:val="lv-LV" w:eastAsia="lv-LV"/>
              </w:rPr>
            </w:pPr>
            <w:r w:rsidRPr="00C82F3D">
              <w:rPr>
                <w:rFonts w:eastAsia="Times New Roman"/>
                <w:iCs/>
                <w:sz w:val="26"/>
                <w:szCs w:val="26"/>
                <w:lang w:val="lv-LV" w:eastAsia="lv-LV"/>
              </w:rPr>
              <w:t>Nav</w:t>
            </w:r>
          </w:p>
        </w:tc>
      </w:tr>
    </w:tbl>
    <w:p w:rsidR="00C82F3D" w:rsidRDefault="00C82F3D"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C82F3D" w:rsidRPr="00C82F3D" w:rsidTr="002E16BA">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ind w:firstLine="720"/>
              <w:jc w:val="both"/>
              <w:rPr>
                <w:rFonts w:eastAsia="Times New Roman"/>
                <w:b/>
                <w:sz w:val="26"/>
                <w:szCs w:val="26"/>
                <w:lang w:val="lv-LV" w:eastAsia="lv-LV"/>
              </w:rPr>
            </w:pPr>
            <w:r w:rsidRPr="00C82F3D">
              <w:rPr>
                <w:rFonts w:eastAsia="Times New Roman"/>
                <w:b/>
                <w:sz w:val="26"/>
                <w:szCs w:val="26"/>
                <w:lang w:val="lv-LV" w:eastAsia="lv-LV"/>
              </w:rPr>
              <w:t>VII. Tiesību akta projekta izpildes nodrošināšana un tās ietekme uz institūcijām</w:t>
            </w:r>
          </w:p>
        </w:tc>
      </w:tr>
      <w:tr w:rsidR="00C82F3D" w:rsidRPr="00C82F3D" w:rsidTr="002E16B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ind w:firstLine="720"/>
              <w:jc w:val="both"/>
              <w:rPr>
                <w:rFonts w:eastAsia="Times New Roman"/>
                <w:sz w:val="26"/>
                <w:szCs w:val="26"/>
                <w:lang w:val="lv-LV" w:eastAsia="lv-LV"/>
              </w:rPr>
            </w:pPr>
            <w:r w:rsidRPr="00C82F3D">
              <w:rPr>
                <w:rFonts w:eastAsia="Times New Roman"/>
                <w:sz w:val="26"/>
                <w:szCs w:val="26"/>
                <w:lang w:val="lv-LV" w:eastAsia="lv-LV"/>
              </w:rPr>
              <w:t xml:space="preserve">Ministru kabineta </w:t>
            </w:r>
            <w:r w:rsidRPr="00C82F3D">
              <w:rPr>
                <w:sz w:val="26"/>
                <w:szCs w:val="26"/>
                <w:lang w:val="lv-LV"/>
              </w:rPr>
              <w:t>noteikumu</w:t>
            </w:r>
            <w:r w:rsidRPr="00C82F3D">
              <w:rPr>
                <w:rFonts w:eastAsia="Times New Roman"/>
                <w:sz w:val="26"/>
                <w:szCs w:val="26"/>
                <w:lang w:val="lv-LV" w:eastAsia="lv-LV"/>
              </w:rPr>
              <w:t xml:space="preserve"> projekta izpildi nodrošinās EM un LGA.</w:t>
            </w:r>
          </w:p>
          <w:p w:rsidR="00C82F3D" w:rsidRPr="00C82F3D" w:rsidRDefault="00C82F3D" w:rsidP="00C82F3D">
            <w:pPr>
              <w:ind w:firstLine="720"/>
              <w:jc w:val="both"/>
              <w:rPr>
                <w:rFonts w:eastAsia="Times New Roman"/>
                <w:sz w:val="26"/>
                <w:szCs w:val="26"/>
                <w:lang w:val="lv-LV" w:eastAsia="lv-LV"/>
              </w:rPr>
            </w:pPr>
          </w:p>
        </w:tc>
      </w:tr>
      <w:tr w:rsidR="00C82F3D" w:rsidRPr="00C82F3D" w:rsidTr="002E16BA">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ind w:firstLine="720"/>
              <w:jc w:val="both"/>
              <w:rPr>
                <w:rFonts w:eastAsia="Times New Roman"/>
                <w:sz w:val="26"/>
                <w:szCs w:val="26"/>
                <w:lang w:val="lv-LV" w:eastAsia="lv-LV"/>
              </w:rPr>
            </w:pPr>
            <w:r w:rsidRPr="00C82F3D">
              <w:rPr>
                <w:rFonts w:eastAsia="Times New Roman"/>
                <w:sz w:val="26"/>
                <w:szCs w:val="26"/>
                <w:lang w:val="lv-LV" w:eastAsia="lv-LV"/>
              </w:rPr>
              <w:t xml:space="preserve">Ministru kabineta </w:t>
            </w:r>
            <w:r w:rsidRPr="00C82F3D">
              <w:rPr>
                <w:sz w:val="26"/>
                <w:szCs w:val="26"/>
                <w:lang w:val="lv-LV"/>
              </w:rPr>
              <w:t>noteikumu</w:t>
            </w:r>
            <w:r w:rsidRPr="00C82F3D">
              <w:rPr>
                <w:rFonts w:eastAsia="Times New Roman"/>
                <w:sz w:val="26"/>
                <w:szCs w:val="26"/>
                <w:lang w:val="lv-LV" w:eastAsia="lv-LV"/>
              </w:rPr>
              <w:t xml:space="preserve"> projekta izpilde tiks nodrošināta EM un LGA esošo funkciju ietvaros.</w:t>
            </w:r>
          </w:p>
          <w:p w:rsidR="00C82F3D" w:rsidRPr="00C82F3D" w:rsidRDefault="00C82F3D" w:rsidP="00C82F3D">
            <w:pPr>
              <w:ind w:firstLine="720"/>
              <w:jc w:val="both"/>
              <w:rPr>
                <w:rFonts w:eastAsia="Times New Roman"/>
                <w:sz w:val="26"/>
                <w:szCs w:val="26"/>
                <w:lang w:val="lv-LV" w:eastAsia="lv-LV"/>
              </w:rPr>
            </w:pPr>
          </w:p>
        </w:tc>
      </w:tr>
      <w:tr w:rsidR="00C82F3D" w:rsidRPr="00C82F3D" w:rsidTr="002E16BA">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jc w:val="both"/>
              <w:rPr>
                <w:rFonts w:eastAsia="Times New Roman"/>
                <w:sz w:val="26"/>
                <w:szCs w:val="26"/>
                <w:lang w:val="lv-LV" w:eastAsia="lv-LV"/>
              </w:rPr>
            </w:pPr>
            <w:r w:rsidRPr="00C82F3D">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C82F3D" w:rsidRPr="00C82F3D" w:rsidRDefault="00C82F3D" w:rsidP="00C82F3D">
            <w:pPr>
              <w:ind w:firstLine="720"/>
              <w:jc w:val="both"/>
              <w:rPr>
                <w:rFonts w:eastAsia="Times New Roman"/>
                <w:sz w:val="26"/>
                <w:szCs w:val="26"/>
                <w:lang w:val="lv-LV" w:eastAsia="lv-LV"/>
              </w:rPr>
            </w:pPr>
            <w:r w:rsidRPr="00C82F3D">
              <w:rPr>
                <w:rFonts w:eastAsia="Times New Roman"/>
                <w:sz w:val="26"/>
                <w:szCs w:val="26"/>
                <w:lang w:val="lv-LV" w:eastAsia="lv-LV"/>
              </w:rPr>
              <w:t>Nav</w:t>
            </w:r>
          </w:p>
        </w:tc>
      </w:tr>
    </w:tbl>
    <w:p w:rsidR="00C82F3D" w:rsidRPr="005A7B9C" w:rsidRDefault="00C82F3D" w:rsidP="00C9779A">
      <w:pPr>
        <w:rPr>
          <w:sz w:val="26"/>
          <w:szCs w:val="26"/>
          <w:lang w:val="lv-LV"/>
        </w:rPr>
      </w:pPr>
    </w:p>
    <w:p w:rsidR="00765A89" w:rsidRDefault="00765A89" w:rsidP="00F22471">
      <w:pPr>
        <w:tabs>
          <w:tab w:val="left" w:pos="7655"/>
        </w:tabs>
        <w:jc w:val="both"/>
        <w:rPr>
          <w:sz w:val="26"/>
          <w:szCs w:val="26"/>
          <w:lang w:val="lv-LV"/>
        </w:rPr>
      </w:pPr>
    </w:p>
    <w:p w:rsidR="0088512F" w:rsidRPr="005A7B9C" w:rsidRDefault="0088512F" w:rsidP="00F22471">
      <w:pPr>
        <w:tabs>
          <w:tab w:val="left" w:pos="7655"/>
        </w:tabs>
        <w:jc w:val="both"/>
        <w:rPr>
          <w:sz w:val="26"/>
          <w:szCs w:val="26"/>
          <w:lang w:val="lv-LV"/>
        </w:rPr>
      </w:pPr>
      <w:r w:rsidRPr="005A7B9C">
        <w:rPr>
          <w:sz w:val="26"/>
          <w:szCs w:val="26"/>
          <w:lang w:val="lv-LV"/>
        </w:rPr>
        <w:t xml:space="preserve">Anotācijas </w:t>
      </w:r>
      <w:r w:rsidR="00511ADB" w:rsidRPr="005A7B9C">
        <w:rPr>
          <w:sz w:val="26"/>
          <w:szCs w:val="26"/>
          <w:lang w:val="lv-LV"/>
        </w:rPr>
        <w:t>III</w:t>
      </w:r>
      <w:r w:rsidR="001D4E7C" w:rsidRPr="005A7B9C">
        <w:rPr>
          <w:rFonts w:ascii="Times" w:hAnsi="Times"/>
          <w:sz w:val="26"/>
          <w:szCs w:val="26"/>
          <w:lang w:val="lv-LV"/>
        </w:rPr>
        <w:t xml:space="preserve"> </w:t>
      </w:r>
      <w:r w:rsidRPr="005A7B9C">
        <w:rPr>
          <w:sz w:val="26"/>
          <w:szCs w:val="26"/>
          <w:lang w:val="lv-LV"/>
        </w:rPr>
        <w:t xml:space="preserve">sadaļa – </w:t>
      </w:r>
      <w:r w:rsidRPr="005A7B9C">
        <w:rPr>
          <w:iCs/>
          <w:sz w:val="26"/>
          <w:szCs w:val="26"/>
          <w:lang w:val="lv-LV"/>
        </w:rPr>
        <w:t xml:space="preserve">projekts </w:t>
      </w:r>
      <w:r w:rsidR="00C82F3D">
        <w:rPr>
          <w:iCs/>
          <w:sz w:val="26"/>
          <w:szCs w:val="26"/>
          <w:lang w:val="lv-LV"/>
        </w:rPr>
        <w:t>šo</w:t>
      </w:r>
      <w:r w:rsidRPr="005A7B9C">
        <w:rPr>
          <w:iCs/>
          <w:sz w:val="26"/>
          <w:szCs w:val="26"/>
          <w:lang w:val="lv-LV"/>
        </w:rPr>
        <w:t xml:space="preserve"> jom</w:t>
      </w:r>
      <w:r w:rsidR="00C82F3D">
        <w:rPr>
          <w:iCs/>
          <w:sz w:val="26"/>
          <w:szCs w:val="26"/>
          <w:lang w:val="lv-LV"/>
        </w:rPr>
        <w:t>u</w:t>
      </w:r>
      <w:r w:rsidRPr="005A7B9C">
        <w:rPr>
          <w:iCs/>
          <w:sz w:val="26"/>
          <w:szCs w:val="26"/>
          <w:lang w:val="lv-LV"/>
        </w:rPr>
        <w:t xml:space="preserve"> neskar</w:t>
      </w:r>
      <w:r w:rsidRPr="005A7B9C">
        <w:rPr>
          <w:sz w:val="26"/>
          <w:szCs w:val="26"/>
          <w:lang w:val="lv-LV"/>
        </w:rPr>
        <w:t>.</w:t>
      </w:r>
    </w:p>
    <w:p w:rsidR="009D5C1D" w:rsidRPr="005A7B9C" w:rsidRDefault="009D5C1D" w:rsidP="00F22471">
      <w:pPr>
        <w:tabs>
          <w:tab w:val="left" w:pos="7655"/>
        </w:tabs>
        <w:rPr>
          <w:sz w:val="26"/>
          <w:szCs w:val="26"/>
          <w:lang w:val="lv-LV"/>
        </w:rPr>
      </w:pPr>
    </w:p>
    <w:p w:rsidR="00BE6E9C" w:rsidRPr="005A7B9C" w:rsidRDefault="00BE6E9C" w:rsidP="00A43665">
      <w:pPr>
        <w:tabs>
          <w:tab w:val="right" w:pos="9072"/>
        </w:tabs>
        <w:rPr>
          <w:sz w:val="26"/>
          <w:szCs w:val="26"/>
          <w:lang w:val="lv-LV"/>
        </w:rPr>
      </w:pPr>
    </w:p>
    <w:p w:rsidR="009032ED" w:rsidRDefault="009032ED" w:rsidP="00A43665">
      <w:pPr>
        <w:tabs>
          <w:tab w:val="right" w:pos="9072"/>
        </w:tabs>
        <w:rPr>
          <w:sz w:val="26"/>
          <w:szCs w:val="26"/>
          <w:lang w:val="lv-LV"/>
        </w:rPr>
      </w:pPr>
    </w:p>
    <w:p w:rsidR="00F93C71" w:rsidRDefault="00F93C71" w:rsidP="00A43665">
      <w:pPr>
        <w:tabs>
          <w:tab w:val="right" w:pos="9072"/>
        </w:tabs>
        <w:rPr>
          <w:sz w:val="26"/>
          <w:szCs w:val="26"/>
          <w:lang w:val="lv-LV"/>
        </w:rPr>
      </w:pPr>
    </w:p>
    <w:p w:rsidR="00F93C71" w:rsidRDefault="00F93C71" w:rsidP="00A43665">
      <w:pPr>
        <w:tabs>
          <w:tab w:val="right" w:pos="9072"/>
        </w:tabs>
        <w:rPr>
          <w:sz w:val="26"/>
          <w:szCs w:val="26"/>
          <w:lang w:val="lv-LV"/>
        </w:rPr>
      </w:pPr>
    </w:p>
    <w:p w:rsidR="00522B62" w:rsidRPr="005A7B9C" w:rsidRDefault="003E65C5" w:rsidP="00A43665">
      <w:pPr>
        <w:tabs>
          <w:tab w:val="right" w:pos="9072"/>
        </w:tabs>
        <w:rPr>
          <w:sz w:val="26"/>
          <w:szCs w:val="26"/>
          <w:lang w:val="lv-LV"/>
        </w:rPr>
      </w:pPr>
      <w:r>
        <w:rPr>
          <w:sz w:val="26"/>
          <w:szCs w:val="26"/>
          <w:lang w:val="lv-LV"/>
        </w:rPr>
        <w:t xml:space="preserve">Ekonomikas ministrs </w:t>
      </w:r>
      <w:r>
        <w:rPr>
          <w:sz w:val="26"/>
          <w:szCs w:val="26"/>
          <w:lang w:val="lv-LV"/>
        </w:rPr>
        <w:tab/>
      </w:r>
      <w:r w:rsidR="00C82F3D">
        <w:rPr>
          <w:sz w:val="26"/>
          <w:szCs w:val="26"/>
          <w:lang w:val="lv-LV"/>
        </w:rPr>
        <w:t>V.Dombrovskis</w:t>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p>
    <w:p w:rsidR="009D5C1D" w:rsidRPr="005A7B9C" w:rsidRDefault="009D5C1D" w:rsidP="00F22471">
      <w:pPr>
        <w:tabs>
          <w:tab w:val="left" w:pos="8222"/>
        </w:tabs>
        <w:rPr>
          <w:sz w:val="26"/>
          <w:szCs w:val="26"/>
          <w:lang w:val="lv-LV"/>
        </w:rPr>
      </w:pPr>
    </w:p>
    <w:p w:rsidR="00BE6E9C" w:rsidRDefault="00BE6E9C" w:rsidP="008E5F7D">
      <w:pPr>
        <w:tabs>
          <w:tab w:val="right" w:pos="9072"/>
        </w:tabs>
        <w:rPr>
          <w:sz w:val="26"/>
          <w:szCs w:val="26"/>
          <w:lang w:val="lv-LV"/>
        </w:rPr>
      </w:pPr>
    </w:p>
    <w:p w:rsidR="00F93C71" w:rsidRPr="005A7B9C" w:rsidRDefault="00F93C71" w:rsidP="008E5F7D">
      <w:pPr>
        <w:tabs>
          <w:tab w:val="right" w:pos="9072"/>
        </w:tabs>
        <w:rPr>
          <w:sz w:val="26"/>
          <w:szCs w:val="26"/>
          <w:lang w:val="lv-LV"/>
        </w:rPr>
      </w:pPr>
    </w:p>
    <w:p w:rsidR="0064693F" w:rsidRPr="0064693F" w:rsidRDefault="00F64511" w:rsidP="00C166A5">
      <w:pPr>
        <w:tabs>
          <w:tab w:val="right" w:pos="9071"/>
        </w:tabs>
        <w:jc w:val="both"/>
        <w:rPr>
          <w:rFonts w:eastAsiaTheme="minorEastAsia"/>
          <w:sz w:val="26"/>
          <w:szCs w:val="26"/>
          <w:lang w:val="lv-LV" w:eastAsia="ja-JP"/>
        </w:rPr>
      </w:pPr>
      <w:r>
        <w:rPr>
          <w:rFonts w:eastAsiaTheme="minorEastAsia"/>
          <w:sz w:val="26"/>
          <w:szCs w:val="26"/>
          <w:lang w:val="lv-LV" w:eastAsia="ja-JP"/>
        </w:rPr>
        <w:t xml:space="preserve">Vīza: Valsts </w:t>
      </w:r>
      <w:r w:rsidR="00C166A5">
        <w:rPr>
          <w:rFonts w:eastAsiaTheme="minorEastAsia"/>
          <w:sz w:val="26"/>
          <w:szCs w:val="26"/>
          <w:lang w:val="lv-LV" w:eastAsia="ja-JP"/>
        </w:rPr>
        <w:t>sekretārs</w:t>
      </w:r>
      <w:r w:rsidR="004314B3">
        <w:rPr>
          <w:rFonts w:eastAsiaTheme="minorEastAsia"/>
          <w:sz w:val="26"/>
          <w:szCs w:val="26"/>
          <w:lang w:val="lv-LV" w:eastAsia="ja-JP"/>
        </w:rPr>
        <w:tab/>
      </w:r>
      <w:r w:rsidR="00C166A5">
        <w:rPr>
          <w:rFonts w:eastAsiaTheme="minorEastAsia"/>
          <w:sz w:val="26"/>
          <w:szCs w:val="26"/>
          <w:lang w:val="lv-LV" w:eastAsia="ja-JP"/>
        </w:rPr>
        <w:t>M.Lazdovskis</w:t>
      </w:r>
    </w:p>
    <w:p w:rsidR="009D5C1D" w:rsidRPr="005A7B9C" w:rsidRDefault="009D5C1D" w:rsidP="00F22471">
      <w:pPr>
        <w:jc w:val="both"/>
        <w:rPr>
          <w:color w:val="000000"/>
          <w:sz w:val="26"/>
          <w:szCs w:val="26"/>
          <w:lang w:val="lv-LV"/>
        </w:rPr>
      </w:pPr>
    </w:p>
    <w:p w:rsidR="00BE6E9C" w:rsidRDefault="00BE6E9C" w:rsidP="00F22471">
      <w:pPr>
        <w:jc w:val="both"/>
        <w:rPr>
          <w:color w:val="000000"/>
          <w:sz w:val="26"/>
          <w:szCs w:val="26"/>
          <w:lang w:val="lv-LV"/>
        </w:rPr>
      </w:pPr>
    </w:p>
    <w:p w:rsidR="009032ED" w:rsidRDefault="009032ED" w:rsidP="00F22471">
      <w:pPr>
        <w:jc w:val="both"/>
        <w:rPr>
          <w:color w:val="000000"/>
          <w:sz w:val="26"/>
          <w:szCs w:val="26"/>
          <w:lang w:val="lv-LV"/>
        </w:rPr>
      </w:pPr>
    </w:p>
    <w:p w:rsidR="002E2A85" w:rsidRDefault="002E2A85" w:rsidP="00F22471">
      <w:pPr>
        <w:jc w:val="both"/>
        <w:rPr>
          <w:color w:val="000000"/>
          <w:sz w:val="26"/>
          <w:szCs w:val="26"/>
          <w:lang w:val="lv-LV"/>
        </w:rPr>
      </w:pPr>
    </w:p>
    <w:p w:rsidR="00F93C71" w:rsidRPr="005A7B9C" w:rsidRDefault="00F93C71" w:rsidP="00F22471">
      <w:pPr>
        <w:jc w:val="both"/>
        <w:rPr>
          <w:color w:val="000000"/>
          <w:sz w:val="26"/>
          <w:szCs w:val="26"/>
          <w:lang w:val="lv-LV"/>
        </w:rPr>
      </w:pPr>
    </w:p>
    <w:p w:rsidR="00BE6E9C" w:rsidRPr="00765A89" w:rsidRDefault="00BE6E9C" w:rsidP="00F22471">
      <w:pPr>
        <w:jc w:val="both"/>
        <w:rPr>
          <w:color w:val="000000"/>
          <w:sz w:val="22"/>
          <w:szCs w:val="22"/>
          <w:lang w:val="lv-LV"/>
        </w:rPr>
      </w:pPr>
    </w:p>
    <w:p w:rsidR="00845083" w:rsidRPr="00A27BE4" w:rsidRDefault="00C166A5" w:rsidP="00F22471">
      <w:pPr>
        <w:jc w:val="both"/>
        <w:rPr>
          <w:sz w:val="22"/>
          <w:szCs w:val="22"/>
          <w:lang w:val="lv-LV"/>
        </w:rPr>
      </w:pPr>
      <w:r>
        <w:rPr>
          <w:sz w:val="22"/>
          <w:szCs w:val="22"/>
          <w:lang w:val="lv-LV"/>
        </w:rPr>
        <w:t>0</w:t>
      </w:r>
      <w:r w:rsidR="002E2A85">
        <w:rPr>
          <w:sz w:val="22"/>
          <w:szCs w:val="22"/>
          <w:lang w:val="lv-LV"/>
        </w:rPr>
        <w:t>4</w:t>
      </w:r>
      <w:r w:rsidR="00C82F3D">
        <w:rPr>
          <w:sz w:val="22"/>
          <w:szCs w:val="22"/>
          <w:lang w:val="lv-LV"/>
        </w:rPr>
        <w:t>.0</w:t>
      </w:r>
      <w:r>
        <w:rPr>
          <w:sz w:val="22"/>
          <w:szCs w:val="22"/>
          <w:lang w:val="lv-LV"/>
        </w:rPr>
        <w:t>7</w:t>
      </w:r>
      <w:r w:rsidR="00C82F3D">
        <w:rPr>
          <w:sz w:val="22"/>
          <w:szCs w:val="22"/>
          <w:lang w:val="lv-LV"/>
        </w:rPr>
        <w:t>.2014</w:t>
      </w:r>
      <w:r w:rsidR="00A14F69" w:rsidRPr="00A27BE4">
        <w:rPr>
          <w:sz w:val="22"/>
          <w:szCs w:val="22"/>
          <w:lang w:val="lv-LV"/>
        </w:rPr>
        <w:t xml:space="preserve"> </w:t>
      </w:r>
      <w:r w:rsidR="002E2A85">
        <w:rPr>
          <w:sz w:val="22"/>
          <w:szCs w:val="22"/>
          <w:lang w:val="lv-LV"/>
        </w:rPr>
        <w:t>00:10</w:t>
      </w:r>
    </w:p>
    <w:p w:rsidR="00BF2F17" w:rsidRPr="00A27BE4" w:rsidRDefault="00C166A5" w:rsidP="00F22471">
      <w:pPr>
        <w:jc w:val="both"/>
        <w:rPr>
          <w:sz w:val="22"/>
          <w:szCs w:val="22"/>
          <w:lang w:val="lv-LV"/>
        </w:rPr>
      </w:pPr>
      <w:r w:rsidRPr="002E2A85">
        <w:rPr>
          <w:sz w:val="22"/>
          <w:szCs w:val="22"/>
          <w:lang w:val="lv-LV"/>
        </w:rPr>
        <w:t>201</w:t>
      </w:r>
      <w:r w:rsidR="002E2A85">
        <w:rPr>
          <w:sz w:val="22"/>
          <w:szCs w:val="22"/>
          <w:lang w:val="lv-LV"/>
        </w:rPr>
        <w:t>1</w:t>
      </w:r>
    </w:p>
    <w:p w:rsidR="00643B54" w:rsidRPr="00A27BE4" w:rsidRDefault="00842EE7" w:rsidP="00F22471">
      <w:pPr>
        <w:jc w:val="both"/>
        <w:rPr>
          <w:sz w:val="22"/>
          <w:szCs w:val="22"/>
          <w:lang w:val="lv-LV"/>
        </w:rPr>
      </w:pPr>
      <w:r w:rsidRPr="00A27BE4">
        <w:rPr>
          <w:sz w:val="22"/>
          <w:szCs w:val="22"/>
          <w:lang w:val="lv-LV"/>
        </w:rPr>
        <w:t>A.Nicmane</w:t>
      </w:r>
    </w:p>
    <w:p w:rsidR="00097583" w:rsidRPr="00A27BE4" w:rsidRDefault="00B74BCA" w:rsidP="00F22471">
      <w:pPr>
        <w:jc w:val="both"/>
        <w:rPr>
          <w:sz w:val="22"/>
          <w:szCs w:val="22"/>
          <w:lang w:val="lv-LV"/>
        </w:rPr>
      </w:pPr>
      <w:r w:rsidRPr="00A27BE4">
        <w:rPr>
          <w:sz w:val="22"/>
          <w:szCs w:val="22"/>
          <w:lang w:val="lv-LV"/>
        </w:rPr>
        <w:t>67013</w:t>
      </w:r>
      <w:r w:rsidR="00842EE7" w:rsidRPr="00A27BE4">
        <w:rPr>
          <w:sz w:val="22"/>
          <w:szCs w:val="22"/>
          <w:lang w:val="lv-LV"/>
        </w:rPr>
        <w:t>203</w:t>
      </w:r>
      <w:r w:rsidR="00386053" w:rsidRPr="00A27BE4">
        <w:rPr>
          <w:sz w:val="22"/>
          <w:szCs w:val="22"/>
          <w:lang w:val="lv-LV"/>
        </w:rPr>
        <w:t>,</w:t>
      </w:r>
      <w:r w:rsidR="00D90514">
        <w:rPr>
          <w:sz w:val="22"/>
          <w:szCs w:val="22"/>
          <w:lang w:val="lv-LV"/>
        </w:rPr>
        <w:t xml:space="preserve"> </w:t>
      </w:r>
      <w:r w:rsidR="00842EE7" w:rsidRPr="00A27BE4">
        <w:rPr>
          <w:sz w:val="22"/>
          <w:szCs w:val="22"/>
          <w:lang w:val="lv-LV"/>
        </w:rPr>
        <w:t>Agita.Nicmane@em.gov.lv</w:t>
      </w:r>
    </w:p>
    <w:sectPr w:rsidR="00097583" w:rsidRPr="00A27BE4"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DD" w:rsidRDefault="00914BDD" w:rsidP="00B014C2">
      <w:r>
        <w:separator/>
      </w:r>
    </w:p>
  </w:endnote>
  <w:endnote w:type="continuationSeparator" w:id="0">
    <w:p w:rsidR="00914BDD" w:rsidRDefault="00914BDD"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3" w:rsidRPr="006D5CDF" w:rsidRDefault="00C5456D" w:rsidP="009032ED">
    <w:pPr>
      <w:pStyle w:val="Footer"/>
      <w:jc w:val="both"/>
      <w:rPr>
        <w:lang w:val="lv-LV"/>
      </w:rPr>
    </w:pPr>
    <w:r>
      <w:rPr>
        <w:lang w:val="lv-LV"/>
      </w:rPr>
      <w:t>EMANOT_</w:t>
    </w:r>
    <w:r w:rsidR="006B36BE">
      <w:rPr>
        <w:lang w:val="lv-LV"/>
      </w:rPr>
      <w:t>0</w:t>
    </w:r>
    <w:r w:rsidR="00F1541A">
      <w:rPr>
        <w:lang w:val="lv-LV"/>
      </w:rPr>
      <w:t>3</w:t>
    </w:r>
    <w:r w:rsidR="006B36BE">
      <w:rPr>
        <w:lang w:val="lv-LV"/>
      </w:rPr>
      <w:t>07</w:t>
    </w:r>
    <w:r w:rsidR="00B4740F">
      <w:rPr>
        <w:lang w:val="lv-LV"/>
      </w:rPr>
      <w:t>14</w:t>
    </w:r>
    <w:r w:rsidR="006D5CDF" w:rsidRPr="006D5CDF">
      <w:rPr>
        <w:lang w:val="lv-LV"/>
      </w:rPr>
      <w:t>_GROZ977; 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3" w:rsidRPr="005741F1" w:rsidRDefault="00A14F69" w:rsidP="00D7256E">
    <w:pPr>
      <w:pStyle w:val="BodyText"/>
      <w:rPr>
        <w:sz w:val="20"/>
      </w:rPr>
    </w:pPr>
    <w:r>
      <w:rPr>
        <w:sz w:val="20"/>
      </w:rPr>
      <w:t>EMANOT</w:t>
    </w:r>
    <w:r w:rsidR="005E5DE3" w:rsidRPr="005741F1">
      <w:rPr>
        <w:sz w:val="20"/>
      </w:rPr>
      <w:t>_</w:t>
    </w:r>
    <w:r w:rsidR="00D745F7">
      <w:rPr>
        <w:sz w:val="20"/>
      </w:rPr>
      <w:t>0</w:t>
    </w:r>
    <w:r w:rsidR="00F1541A">
      <w:rPr>
        <w:sz w:val="20"/>
      </w:rPr>
      <w:t>3</w:t>
    </w:r>
    <w:r w:rsidR="00D745F7">
      <w:rPr>
        <w:sz w:val="20"/>
      </w:rPr>
      <w:t>07</w:t>
    </w:r>
    <w:r w:rsidR="00B4740F">
      <w:rPr>
        <w:sz w:val="20"/>
      </w:rPr>
      <w:t>14</w:t>
    </w:r>
    <w:r>
      <w:rPr>
        <w:sz w:val="20"/>
      </w:rPr>
      <w:t>_GROZ</w:t>
    </w:r>
    <w:r w:rsidR="006D5CDF">
      <w:rPr>
        <w:sz w:val="20"/>
      </w:rPr>
      <w:t>977</w:t>
    </w:r>
    <w:r w:rsidR="005E5DE3" w:rsidRPr="005741F1">
      <w:rPr>
        <w:sz w:val="20"/>
      </w:rPr>
      <w:t xml:space="preserve">; </w:t>
    </w:r>
    <w:r w:rsidR="006D5CDF" w:rsidRPr="006D5CDF">
      <w:rPr>
        <w:sz w:val="20"/>
      </w:rPr>
      <w:t>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DD" w:rsidRDefault="00914BDD" w:rsidP="00B014C2">
      <w:r>
        <w:separator/>
      </w:r>
    </w:p>
  </w:footnote>
  <w:footnote w:type="continuationSeparator" w:id="0">
    <w:p w:rsidR="00914BDD" w:rsidRDefault="00914BDD"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E5DE3" w:rsidRPr="00B014C2" w:rsidRDefault="005E5DE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2E2A85">
          <w:rPr>
            <w:noProof/>
            <w:sz w:val="24"/>
            <w:szCs w:val="24"/>
          </w:rPr>
          <w:t>2</w:t>
        </w:r>
        <w:r w:rsidRPr="00B014C2">
          <w:rPr>
            <w:sz w:val="24"/>
            <w:szCs w:val="24"/>
          </w:rPr>
          <w:fldChar w:fldCharType="end"/>
        </w:r>
      </w:p>
    </w:sdtContent>
  </w:sdt>
  <w:p w:rsidR="005E5DE3" w:rsidRDefault="005E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EF3441"/>
    <w:multiLevelType w:val="hybridMultilevel"/>
    <w:tmpl w:val="7C42710A"/>
    <w:lvl w:ilvl="0" w:tplc="0D6EB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2">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3">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
  </w:num>
  <w:num w:numId="5">
    <w:abstractNumId w:val="0"/>
  </w:num>
  <w:num w:numId="6">
    <w:abstractNumId w:val="6"/>
  </w:num>
  <w:num w:numId="7">
    <w:abstractNumId w:val="13"/>
  </w:num>
  <w:num w:numId="8">
    <w:abstractNumId w:val="3"/>
  </w:num>
  <w:num w:numId="9">
    <w:abstractNumId w:val="8"/>
  </w:num>
  <w:num w:numId="10">
    <w:abstractNumId w:val="10"/>
  </w:num>
  <w:num w:numId="11">
    <w:abstractNumId w:val="2"/>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25E"/>
    <w:rsid w:val="0001186C"/>
    <w:rsid w:val="000120A0"/>
    <w:rsid w:val="00012AA4"/>
    <w:rsid w:val="00013D36"/>
    <w:rsid w:val="00014006"/>
    <w:rsid w:val="0001626D"/>
    <w:rsid w:val="0001764D"/>
    <w:rsid w:val="00017F31"/>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56C95"/>
    <w:rsid w:val="00060D39"/>
    <w:rsid w:val="000643D5"/>
    <w:rsid w:val="00064EDB"/>
    <w:rsid w:val="000654E5"/>
    <w:rsid w:val="00071114"/>
    <w:rsid w:val="000729ED"/>
    <w:rsid w:val="00072ECD"/>
    <w:rsid w:val="00077999"/>
    <w:rsid w:val="00080F3F"/>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218B"/>
    <w:rsid w:val="00114BB1"/>
    <w:rsid w:val="00115E25"/>
    <w:rsid w:val="00120651"/>
    <w:rsid w:val="0012067B"/>
    <w:rsid w:val="001232D1"/>
    <w:rsid w:val="001254CC"/>
    <w:rsid w:val="0012569B"/>
    <w:rsid w:val="001267F1"/>
    <w:rsid w:val="001305B3"/>
    <w:rsid w:val="00130D33"/>
    <w:rsid w:val="00131980"/>
    <w:rsid w:val="00131C62"/>
    <w:rsid w:val="00131E05"/>
    <w:rsid w:val="00134E0F"/>
    <w:rsid w:val="00140DF3"/>
    <w:rsid w:val="001428EB"/>
    <w:rsid w:val="00142A69"/>
    <w:rsid w:val="00142AC2"/>
    <w:rsid w:val="00142CBB"/>
    <w:rsid w:val="00144D39"/>
    <w:rsid w:val="00153C1A"/>
    <w:rsid w:val="001611D0"/>
    <w:rsid w:val="00170434"/>
    <w:rsid w:val="0017312C"/>
    <w:rsid w:val="001733BE"/>
    <w:rsid w:val="0017472D"/>
    <w:rsid w:val="001764E7"/>
    <w:rsid w:val="001802AA"/>
    <w:rsid w:val="001803F1"/>
    <w:rsid w:val="00182537"/>
    <w:rsid w:val="00182CC4"/>
    <w:rsid w:val="001831F7"/>
    <w:rsid w:val="00184308"/>
    <w:rsid w:val="00184C02"/>
    <w:rsid w:val="00184E37"/>
    <w:rsid w:val="00186895"/>
    <w:rsid w:val="001871BB"/>
    <w:rsid w:val="00190498"/>
    <w:rsid w:val="00191102"/>
    <w:rsid w:val="00191B2C"/>
    <w:rsid w:val="00192EFE"/>
    <w:rsid w:val="00194800"/>
    <w:rsid w:val="00196D43"/>
    <w:rsid w:val="001971A4"/>
    <w:rsid w:val="001973A7"/>
    <w:rsid w:val="001A082F"/>
    <w:rsid w:val="001A2070"/>
    <w:rsid w:val="001A2ABA"/>
    <w:rsid w:val="001A3B25"/>
    <w:rsid w:val="001A3C19"/>
    <w:rsid w:val="001B0C97"/>
    <w:rsid w:val="001B262F"/>
    <w:rsid w:val="001B3236"/>
    <w:rsid w:val="001B4EB9"/>
    <w:rsid w:val="001B5566"/>
    <w:rsid w:val="001B57A5"/>
    <w:rsid w:val="001B5F59"/>
    <w:rsid w:val="001B6F62"/>
    <w:rsid w:val="001B7875"/>
    <w:rsid w:val="001C1BFF"/>
    <w:rsid w:val="001C1C5C"/>
    <w:rsid w:val="001C2D96"/>
    <w:rsid w:val="001C5831"/>
    <w:rsid w:val="001C6A1F"/>
    <w:rsid w:val="001C7464"/>
    <w:rsid w:val="001D02A2"/>
    <w:rsid w:val="001D2EDB"/>
    <w:rsid w:val="001D39D9"/>
    <w:rsid w:val="001D416F"/>
    <w:rsid w:val="001D46D6"/>
    <w:rsid w:val="001D4E7C"/>
    <w:rsid w:val="001D5E9C"/>
    <w:rsid w:val="001D600F"/>
    <w:rsid w:val="001D64EC"/>
    <w:rsid w:val="001D76FC"/>
    <w:rsid w:val="001E3BD0"/>
    <w:rsid w:val="001E5031"/>
    <w:rsid w:val="001E6815"/>
    <w:rsid w:val="001E7BB7"/>
    <w:rsid w:val="001F02C1"/>
    <w:rsid w:val="001F2B3A"/>
    <w:rsid w:val="001F6151"/>
    <w:rsid w:val="001F69F7"/>
    <w:rsid w:val="001F7527"/>
    <w:rsid w:val="00200045"/>
    <w:rsid w:val="00200612"/>
    <w:rsid w:val="00205FEE"/>
    <w:rsid w:val="0021241F"/>
    <w:rsid w:val="0021252B"/>
    <w:rsid w:val="00213D6A"/>
    <w:rsid w:val="002149CB"/>
    <w:rsid w:val="00216B96"/>
    <w:rsid w:val="00221058"/>
    <w:rsid w:val="00221205"/>
    <w:rsid w:val="00221561"/>
    <w:rsid w:val="00221CAE"/>
    <w:rsid w:val="00224C7C"/>
    <w:rsid w:val="00225CD7"/>
    <w:rsid w:val="0023085A"/>
    <w:rsid w:val="00230FB6"/>
    <w:rsid w:val="00231EB0"/>
    <w:rsid w:val="00233657"/>
    <w:rsid w:val="00233F7A"/>
    <w:rsid w:val="0023462C"/>
    <w:rsid w:val="00234C58"/>
    <w:rsid w:val="00234DDC"/>
    <w:rsid w:val="00244CDE"/>
    <w:rsid w:val="00245D09"/>
    <w:rsid w:val="00247529"/>
    <w:rsid w:val="002507A0"/>
    <w:rsid w:val="002543B5"/>
    <w:rsid w:val="0025484B"/>
    <w:rsid w:val="00257EAE"/>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158C"/>
    <w:rsid w:val="002C20C8"/>
    <w:rsid w:val="002C4039"/>
    <w:rsid w:val="002C586C"/>
    <w:rsid w:val="002D259E"/>
    <w:rsid w:val="002D3CCB"/>
    <w:rsid w:val="002D3E95"/>
    <w:rsid w:val="002D43D4"/>
    <w:rsid w:val="002D4E4B"/>
    <w:rsid w:val="002D7C26"/>
    <w:rsid w:val="002E1D56"/>
    <w:rsid w:val="002E2A85"/>
    <w:rsid w:val="002E3CFA"/>
    <w:rsid w:val="002E6122"/>
    <w:rsid w:val="002E7059"/>
    <w:rsid w:val="002E7530"/>
    <w:rsid w:val="002E7962"/>
    <w:rsid w:val="002E7BEF"/>
    <w:rsid w:val="002F063C"/>
    <w:rsid w:val="002F423D"/>
    <w:rsid w:val="002F4553"/>
    <w:rsid w:val="002F487F"/>
    <w:rsid w:val="002F6D2C"/>
    <w:rsid w:val="003000F0"/>
    <w:rsid w:val="00302447"/>
    <w:rsid w:val="003124BE"/>
    <w:rsid w:val="00314594"/>
    <w:rsid w:val="00320EB0"/>
    <w:rsid w:val="00321E80"/>
    <w:rsid w:val="00322A15"/>
    <w:rsid w:val="00324F11"/>
    <w:rsid w:val="00330AF0"/>
    <w:rsid w:val="00332C11"/>
    <w:rsid w:val="003331E3"/>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B06"/>
    <w:rsid w:val="00362D30"/>
    <w:rsid w:val="003707C8"/>
    <w:rsid w:val="0037466C"/>
    <w:rsid w:val="00383500"/>
    <w:rsid w:val="00384799"/>
    <w:rsid w:val="00385DB0"/>
    <w:rsid w:val="00386053"/>
    <w:rsid w:val="00391942"/>
    <w:rsid w:val="00396D2E"/>
    <w:rsid w:val="003A18B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C5EEC"/>
    <w:rsid w:val="003D342E"/>
    <w:rsid w:val="003D3A14"/>
    <w:rsid w:val="003E0167"/>
    <w:rsid w:val="003E0BD3"/>
    <w:rsid w:val="003E159F"/>
    <w:rsid w:val="003E284A"/>
    <w:rsid w:val="003E2968"/>
    <w:rsid w:val="003E3604"/>
    <w:rsid w:val="003E65C5"/>
    <w:rsid w:val="003E6CB3"/>
    <w:rsid w:val="003F0C4F"/>
    <w:rsid w:val="003F17ED"/>
    <w:rsid w:val="003F4E09"/>
    <w:rsid w:val="00401C5F"/>
    <w:rsid w:val="00402B2B"/>
    <w:rsid w:val="00404C10"/>
    <w:rsid w:val="00404D4B"/>
    <w:rsid w:val="0040578F"/>
    <w:rsid w:val="00406C83"/>
    <w:rsid w:val="004074FD"/>
    <w:rsid w:val="00407E6B"/>
    <w:rsid w:val="00410FEE"/>
    <w:rsid w:val="004133E8"/>
    <w:rsid w:val="00414CC7"/>
    <w:rsid w:val="00415C03"/>
    <w:rsid w:val="00415D84"/>
    <w:rsid w:val="00416C3A"/>
    <w:rsid w:val="00420FC8"/>
    <w:rsid w:val="0042129F"/>
    <w:rsid w:val="00422062"/>
    <w:rsid w:val="004232D7"/>
    <w:rsid w:val="0042395B"/>
    <w:rsid w:val="0042472B"/>
    <w:rsid w:val="00431039"/>
    <w:rsid w:val="004314B3"/>
    <w:rsid w:val="00431CB5"/>
    <w:rsid w:val="00434ACC"/>
    <w:rsid w:val="00435CDA"/>
    <w:rsid w:val="00436E46"/>
    <w:rsid w:val="00436E6A"/>
    <w:rsid w:val="004413C4"/>
    <w:rsid w:val="004426FC"/>
    <w:rsid w:val="00442884"/>
    <w:rsid w:val="00443B04"/>
    <w:rsid w:val="0044567A"/>
    <w:rsid w:val="004465FC"/>
    <w:rsid w:val="004522D7"/>
    <w:rsid w:val="0045244E"/>
    <w:rsid w:val="004527EA"/>
    <w:rsid w:val="0045318E"/>
    <w:rsid w:val="00457B62"/>
    <w:rsid w:val="00460A29"/>
    <w:rsid w:val="004671D7"/>
    <w:rsid w:val="00467342"/>
    <w:rsid w:val="00472EF3"/>
    <w:rsid w:val="00472FA5"/>
    <w:rsid w:val="00475A76"/>
    <w:rsid w:val="004775F4"/>
    <w:rsid w:val="00484C10"/>
    <w:rsid w:val="00485E0B"/>
    <w:rsid w:val="00486BD6"/>
    <w:rsid w:val="00487753"/>
    <w:rsid w:val="0049013B"/>
    <w:rsid w:val="004916DD"/>
    <w:rsid w:val="00491F0A"/>
    <w:rsid w:val="004960FB"/>
    <w:rsid w:val="00497086"/>
    <w:rsid w:val="00497EB7"/>
    <w:rsid w:val="004A22E5"/>
    <w:rsid w:val="004A554F"/>
    <w:rsid w:val="004B18A4"/>
    <w:rsid w:val="004B1FE7"/>
    <w:rsid w:val="004B43E6"/>
    <w:rsid w:val="004B77C0"/>
    <w:rsid w:val="004C1463"/>
    <w:rsid w:val="004D4997"/>
    <w:rsid w:val="004D54CD"/>
    <w:rsid w:val="004D6EF0"/>
    <w:rsid w:val="004D790D"/>
    <w:rsid w:val="004E01F5"/>
    <w:rsid w:val="004E3075"/>
    <w:rsid w:val="004E7B96"/>
    <w:rsid w:val="004F0E94"/>
    <w:rsid w:val="004F178A"/>
    <w:rsid w:val="004F2110"/>
    <w:rsid w:val="004F2331"/>
    <w:rsid w:val="004F2B79"/>
    <w:rsid w:val="00501F08"/>
    <w:rsid w:val="00502247"/>
    <w:rsid w:val="00503D5C"/>
    <w:rsid w:val="0050440A"/>
    <w:rsid w:val="00505A0D"/>
    <w:rsid w:val="00505B7D"/>
    <w:rsid w:val="00506DDA"/>
    <w:rsid w:val="00510235"/>
    <w:rsid w:val="00511ADB"/>
    <w:rsid w:val="0051358D"/>
    <w:rsid w:val="00513AF6"/>
    <w:rsid w:val="00517C20"/>
    <w:rsid w:val="0052062B"/>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1F1"/>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A7B9C"/>
    <w:rsid w:val="005B0E77"/>
    <w:rsid w:val="005B29DE"/>
    <w:rsid w:val="005B4307"/>
    <w:rsid w:val="005C251D"/>
    <w:rsid w:val="005C6DDB"/>
    <w:rsid w:val="005D1220"/>
    <w:rsid w:val="005D3658"/>
    <w:rsid w:val="005D4522"/>
    <w:rsid w:val="005D6171"/>
    <w:rsid w:val="005E4730"/>
    <w:rsid w:val="005E5DE3"/>
    <w:rsid w:val="005E713D"/>
    <w:rsid w:val="005F09EC"/>
    <w:rsid w:val="006000F7"/>
    <w:rsid w:val="00602B65"/>
    <w:rsid w:val="006049D1"/>
    <w:rsid w:val="00607722"/>
    <w:rsid w:val="00610DDF"/>
    <w:rsid w:val="00614602"/>
    <w:rsid w:val="006218A6"/>
    <w:rsid w:val="00624FCB"/>
    <w:rsid w:val="00625D54"/>
    <w:rsid w:val="006263FB"/>
    <w:rsid w:val="00626F78"/>
    <w:rsid w:val="00630367"/>
    <w:rsid w:val="006309F5"/>
    <w:rsid w:val="00630BAA"/>
    <w:rsid w:val="00631039"/>
    <w:rsid w:val="00634095"/>
    <w:rsid w:val="00636440"/>
    <w:rsid w:val="00641379"/>
    <w:rsid w:val="00643B54"/>
    <w:rsid w:val="006456BB"/>
    <w:rsid w:val="0064693F"/>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2DB"/>
    <w:rsid w:val="00682B64"/>
    <w:rsid w:val="0068409B"/>
    <w:rsid w:val="00684EA2"/>
    <w:rsid w:val="006910BE"/>
    <w:rsid w:val="006A3649"/>
    <w:rsid w:val="006A3A28"/>
    <w:rsid w:val="006A3A2B"/>
    <w:rsid w:val="006A668E"/>
    <w:rsid w:val="006A6AD4"/>
    <w:rsid w:val="006A7488"/>
    <w:rsid w:val="006A7638"/>
    <w:rsid w:val="006B0E03"/>
    <w:rsid w:val="006B36BE"/>
    <w:rsid w:val="006B7B22"/>
    <w:rsid w:val="006C114F"/>
    <w:rsid w:val="006C15FA"/>
    <w:rsid w:val="006D0B9B"/>
    <w:rsid w:val="006D1F62"/>
    <w:rsid w:val="006D22BA"/>
    <w:rsid w:val="006D30BF"/>
    <w:rsid w:val="006D5CDF"/>
    <w:rsid w:val="006D662F"/>
    <w:rsid w:val="006D69A4"/>
    <w:rsid w:val="006E07AC"/>
    <w:rsid w:val="006E09B6"/>
    <w:rsid w:val="006E0ECB"/>
    <w:rsid w:val="006E1F97"/>
    <w:rsid w:val="006E3949"/>
    <w:rsid w:val="006F02CA"/>
    <w:rsid w:val="006F0C19"/>
    <w:rsid w:val="006F24A8"/>
    <w:rsid w:val="006F56C1"/>
    <w:rsid w:val="007058E9"/>
    <w:rsid w:val="0070678E"/>
    <w:rsid w:val="00706975"/>
    <w:rsid w:val="00706EC2"/>
    <w:rsid w:val="00707348"/>
    <w:rsid w:val="00707470"/>
    <w:rsid w:val="00720EE5"/>
    <w:rsid w:val="007217E4"/>
    <w:rsid w:val="00721D6C"/>
    <w:rsid w:val="00721E50"/>
    <w:rsid w:val="00725107"/>
    <w:rsid w:val="00725B16"/>
    <w:rsid w:val="007278CF"/>
    <w:rsid w:val="00732F77"/>
    <w:rsid w:val="00734495"/>
    <w:rsid w:val="007363F2"/>
    <w:rsid w:val="00737AB8"/>
    <w:rsid w:val="00743E33"/>
    <w:rsid w:val="00744513"/>
    <w:rsid w:val="00756387"/>
    <w:rsid w:val="0075648C"/>
    <w:rsid w:val="00765A89"/>
    <w:rsid w:val="00767185"/>
    <w:rsid w:val="00767E0F"/>
    <w:rsid w:val="007715A2"/>
    <w:rsid w:val="00771E40"/>
    <w:rsid w:val="0077435A"/>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0D6"/>
    <w:rsid w:val="007F0242"/>
    <w:rsid w:val="007F0C15"/>
    <w:rsid w:val="00810BB4"/>
    <w:rsid w:val="00812990"/>
    <w:rsid w:val="00814B24"/>
    <w:rsid w:val="00815A04"/>
    <w:rsid w:val="00815CC0"/>
    <w:rsid w:val="008173C3"/>
    <w:rsid w:val="00817839"/>
    <w:rsid w:val="00823419"/>
    <w:rsid w:val="00823C4F"/>
    <w:rsid w:val="0082492B"/>
    <w:rsid w:val="008253A7"/>
    <w:rsid w:val="008265EF"/>
    <w:rsid w:val="00827407"/>
    <w:rsid w:val="00836318"/>
    <w:rsid w:val="00837E38"/>
    <w:rsid w:val="00840961"/>
    <w:rsid w:val="00842EE7"/>
    <w:rsid w:val="00843AB9"/>
    <w:rsid w:val="008444BD"/>
    <w:rsid w:val="00844943"/>
    <w:rsid w:val="00844DC6"/>
    <w:rsid w:val="00845083"/>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2640"/>
    <w:rsid w:val="0089429A"/>
    <w:rsid w:val="0089622A"/>
    <w:rsid w:val="00897C16"/>
    <w:rsid w:val="008A4831"/>
    <w:rsid w:val="008A492C"/>
    <w:rsid w:val="008A4C41"/>
    <w:rsid w:val="008A515D"/>
    <w:rsid w:val="008A615D"/>
    <w:rsid w:val="008A6918"/>
    <w:rsid w:val="008A69DC"/>
    <w:rsid w:val="008B4856"/>
    <w:rsid w:val="008B7C3D"/>
    <w:rsid w:val="008C1C0C"/>
    <w:rsid w:val="008C2886"/>
    <w:rsid w:val="008D1537"/>
    <w:rsid w:val="008D17E5"/>
    <w:rsid w:val="008D6725"/>
    <w:rsid w:val="008D78FF"/>
    <w:rsid w:val="008E476F"/>
    <w:rsid w:val="008E5F7D"/>
    <w:rsid w:val="008E6217"/>
    <w:rsid w:val="008E7722"/>
    <w:rsid w:val="008F230C"/>
    <w:rsid w:val="008F48C1"/>
    <w:rsid w:val="008F4C9D"/>
    <w:rsid w:val="008F538E"/>
    <w:rsid w:val="008F5394"/>
    <w:rsid w:val="008F636C"/>
    <w:rsid w:val="008F6397"/>
    <w:rsid w:val="0090048A"/>
    <w:rsid w:val="009032ED"/>
    <w:rsid w:val="009041C1"/>
    <w:rsid w:val="0090449A"/>
    <w:rsid w:val="00904A06"/>
    <w:rsid w:val="0090536A"/>
    <w:rsid w:val="00911D0C"/>
    <w:rsid w:val="00914BDD"/>
    <w:rsid w:val="00914CB3"/>
    <w:rsid w:val="00916328"/>
    <w:rsid w:val="00916830"/>
    <w:rsid w:val="00917324"/>
    <w:rsid w:val="00920CC5"/>
    <w:rsid w:val="00921F74"/>
    <w:rsid w:val="009223CF"/>
    <w:rsid w:val="009223E3"/>
    <w:rsid w:val="00922926"/>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0CCE"/>
    <w:rsid w:val="00962693"/>
    <w:rsid w:val="00962CEA"/>
    <w:rsid w:val="00970EF3"/>
    <w:rsid w:val="00971B45"/>
    <w:rsid w:val="00972275"/>
    <w:rsid w:val="00973857"/>
    <w:rsid w:val="009749A9"/>
    <w:rsid w:val="00976ABD"/>
    <w:rsid w:val="00977A1D"/>
    <w:rsid w:val="0098472B"/>
    <w:rsid w:val="0099344A"/>
    <w:rsid w:val="00994A10"/>
    <w:rsid w:val="00995388"/>
    <w:rsid w:val="00996D7F"/>
    <w:rsid w:val="009A164D"/>
    <w:rsid w:val="009A19C7"/>
    <w:rsid w:val="009A1BFD"/>
    <w:rsid w:val="009A38AD"/>
    <w:rsid w:val="009A4558"/>
    <w:rsid w:val="009A6C4D"/>
    <w:rsid w:val="009A712C"/>
    <w:rsid w:val="009B0DB2"/>
    <w:rsid w:val="009B2F66"/>
    <w:rsid w:val="009B6D24"/>
    <w:rsid w:val="009C1ADF"/>
    <w:rsid w:val="009C2CF9"/>
    <w:rsid w:val="009C4ABA"/>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4973"/>
    <w:rsid w:val="00A14F69"/>
    <w:rsid w:val="00A15971"/>
    <w:rsid w:val="00A20A01"/>
    <w:rsid w:val="00A246DC"/>
    <w:rsid w:val="00A271B4"/>
    <w:rsid w:val="00A27BE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51BB"/>
    <w:rsid w:val="00A76001"/>
    <w:rsid w:val="00A8034A"/>
    <w:rsid w:val="00A805C2"/>
    <w:rsid w:val="00A806F1"/>
    <w:rsid w:val="00A87BE9"/>
    <w:rsid w:val="00A9241A"/>
    <w:rsid w:val="00A95893"/>
    <w:rsid w:val="00A963C3"/>
    <w:rsid w:val="00A96F94"/>
    <w:rsid w:val="00AA127F"/>
    <w:rsid w:val="00AA230A"/>
    <w:rsid w:val="00AA5C4F"/>
    <w:rsid w:val="00AA712A"/>
    <w:rsid w:val="00AA7E8A"/>
    <w:rsid w:val="00AB06D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4740F"/>
    <w:rsid w:val="00B5655C"/>
    <w:rsid w:val="00B56EB8"/>
    <w:rsid w:val="00B57637"/>
    <w:rsid w:val="00B60083"/>
    <w:rsid w:val="00B60EEC"/>
    <w:rsid w:val="00B6151B"/>
    <w:rsid w:val="00B6163A"/>
    <w:rsid w:val="00B62197"/>
    <w:rsid w:val="00B63BE0"/>
    <w:rsid w:val="00B6474E"/>
    <w:rsid w:val="00B65CFA"/>
    <w:rsid w:val="00B66159"/>
    <w:rsid w:val="00B70F42"/>
    <w:rsid w:val="00B722AB"/>
    <w:rsid w:val="00B74BCA"/>
    <w:rsid w:val="00B756EA"/>
    <w:rsid w:val="00B75B65"/>
    <w:rsid w:val="00B7691D"/>
    <w:rsid w:val="00B7774A"/>
    <w:rsid w:val="00B81E82"/>
    <w:rsid w:val="00B82499"/>
    <w:rsid w:val="00B85C22"/>
    <w:rsid w:val="00B866E5"/>
    <w:rsid w:val="00B91EA5"/>
    <w:rsid w:val="00B931D1"/>
    <w:rsid w:val="00B943B1"/>
    <w:rsid w:val="00B96325"/>
    <w:rsid w:val="00BA0A22"/>
    <w:rsid w:val="00BA14F4"/>
    <w:rsid w:val="00BA2E9B"/>
    <w:rsid w:val="00BA7189"/>
    <w:rsid w:val="00BB0025"/>
    <w:rsid w:val="00BB09C5"/>
    <w:rsid w:val="00BB1C9B"/>
    <w:rsid w:val="00BB2330"/>
    <w:rsid w:val="00BB34B8"/>
    <w:rsid w:val="00BB4180"/>
    <w:rsid w:val="00BB6E67"/>
    <w:rsid w:val="00BB7960"/>
    <w:rsid w:val="00BC06E8"/>
    <w:rsid w:val="00BC0E4B"/>
    <w:rsid w:val="00BC4144"/>
    <w:rsid w:val="00BC4472"/>
    <w:rsid w:val="00BC51A3"/>
    <w:rsid w:val="00BC5382"/>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6A5"/>
    <w:rsid w:val="00C16A63"/>
    <w:rsid w:val="00C16F7D"/>
    <w:rsid w:val="00C1739F"/>
    <w:rsid w:val="00C20A0F"/>
    <w:rsid w:val="00C20EF9"/>
    <w:rsid w:val="00C21A1E"/>
    <w:rsid w:val="00C24F0A"/>
    <w:rsid w:val="00C25337"/>
    <w:rsid w:val="00C307D2"/>
    <w:rsid w:val="00C31A26"/>
    <w:rsid w:val="00C327A5"/>
    <w:rsid w:val="00C32F05"/>
    <w:rsid w:val="00C33121"/>
    <w:rsid w:val="00C332FC"/>
    <w:rsid w:val="00C33F2C"/>
    <w:rsid w:val="00C34377"/>
    <w:rsid w:val="00C34941"/>
    <w:rsid w:val="00C36389"/>
    <w:rsid w:val="00C37B14"/>
    <w:rsid w:val="00C40FDA"/>
    <w:rsid w:val="00C44943"/>
    <w:rsid w:val="00C44C95"/>
    <w:rsid w:val="00C4549D"/>
    <w:rsid w:val="00C45AB4"/>
    <w:rsid w:val="00C501C4"/>
    <w:rsid w:val="00C5082A"/>
    <w:rsid w:val="00C52C5E"/>
    <w:rsid w:val="00C5456D"/>
    <w:rsid w:val="00C5549D"/>
    <w:rsid w:val="00C61BDC"/>
    <w:rsid w:val="00C61FF9"/>
    <w:rsid w:val="00C627A2"/>
    <w:rsid w:val="00C65525"/>
    <w:rsid w:val="00C6637E"/>
    <w:rsid w:val="00C7152A"/>
    <w:rsid w:val="00C728A7"/>
    <w:rsid w:val="00C7500F"/>
    <w:rsid w:val="00C751EA"/>
    <w:rsid w:val="00C75A4F"/>
    <w:rsid w:val="00C772EA"/>
    <w:rsid w:val="00C77663"/>
    <w:rsid w:val="00C8212B"/>
    <w:rsid w:val="00C82F3D"/>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27AD"/>
    <w:rsid w:val="00CC76C2"/>
    <w:rsid w:val="00CD291B"/>
    <w:rsid w:val="00CD40FD"/>
    <w:rsid w:val="00CD4E1C"/>
    <w:rsid w:val="00CE09F6"/>
    <w:rsid w:val="00CE128B"/>
    <w:rsid w:val="00CE46A5"/>
    <w:rsid w:val="00CF0131"/>
    <w:rsid w:val="00CF05DA"/>
    <w:rsid w:val="00CF370C"/>
    <w:rsid w:val="00CF4D9E"/>
    <w:rsid w:val="00CF50F6"/>
    <w:rsid w:val="00CF5C7C"/>
    <w:rsid w:val="00D0079F"/>
    <w:rsid w:val="00D02EA6"/>
    <w:rsid w:val="00D03BE9"/>
    <w:rsid w:val="00D0470C"/>
    <w:rsid w:val="00D11E93"/>
    <w:rsid w:val="00D12D69"/>
    <w:rsid w:val="00D12F6E"/>
    <w:rsid w:val="00D14BBF"/>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45F7"/>
    <w:rsid w:val="00D8286C"/>
    <w:rsid w:val="00D83021"/>
    <w:rsid w:val="00D90514"/>
    <w:rsid w:val="00D9203E"/>
    <w:rsid w:val="00D94F4A"/>
    <w:rsid w:val="00DA0A55"/>
    <w:rsid w:val="00DA0EDA"/>
    <w:rsid w:val="00DA33A5"/>
    <w:rsid w:val="00DA3D82"/>
    <w:rsid w:val="00DA4F89"/>
    <w:rsid w:val="00DA61A3"/>
    <w:rsid w:val="00DA6973"/>
    <w:rsid w:val="00DA775F"/>
    <w:rsid w:val="00DB0477"/>
    <w:rsid w:val="00DB1642"/>
    <w:rsid w:val="00DB28DC"/>
    <w:rsid w:val="00DB35ED"/>
    <w:rsid w:val="00DB7168"/>
    <w:rsid w:val="00DC00DC"/>
    <w:rsid w:val="00DC0A98"/>
    <w:rsid w:val="00DC1068"/>
    <w:rsid w:val="00DC2009"/>
    <w:rsid w:val="00DC27BB"/>
    <w:rsid w:val="00DC2AFF"/>
    <w:rsid w:val="00DC614F"/>
    <w:rsid w:val="00DC7ACA"/>
    <w:rsid w:val="00DD0266"/>
    <w:rsid w:val="00DD21C0"/>
    <w:rsid w:val="00DD42C2"/>
    <w:rsid w:val="00DD5102"/>
    <w:rsid w:val="00DD5665"/>
    <w:rsid w:val="00DE01CE"/>
    <w:rsid w:val="00DE0762"/>
    <w:rsid w:val="00DE67FC"/>
    <w:rsid w:val="00DF00C1"/>
    <w:rsid w:val="00DF0637"/>
    <w:rsid w:val="00DF0A7E"/>
    <w:rsid w:val="00DF4BCE"/>
    <w:rsid w:val="00E00885"/>
    <w:rsid w:val="00E03A78"/>
    <w:rsid w:val="00E042D4"/>
    <w:rsid w:val="00E07DF2"/>
    <w:rsid w:val="00E10FFF"/>
    <w:rsid w:val="00E147E0"/>
    <w:rsid w:val="00E22906"/>
    <w:rsid w:val="00E22D5A"/>
    <w:rsid w:val="00E22EBE"/>
    <w:rsid w:val="00E25884"/>
    <w:rsid w:val="00E26AAA"/>
    <w:rsid w:val="00E3385D"/>
    <w:rsid w:val="00E360B7"/>
    <w:rsid w:val="00E43842"/>
    <w:rsid w:val="00E44062"/>
    <w:rsid w:val="00E4416C"/>
    <w:rsid w:val="00E451CF"/>
    <w:rsid w:val="00E51BA8"/>
    <w:rsid w:val="00E51BE9"/>
    <w:rsid w:val="00E52FCD"/>
    <w:rsid w:val="00E54741"/>
    <w:rsid w:val="00E56A1F"/>
    <w:rsid w:val="00E5743D"/>
    <w:rsid w:val="00E61D5C"/>
    <w:rsid w:val="00E62150"/>
    <w:rsid w:val="00E6447F"/>
    <w:rsid w:val="00E65F36"/>
    <w:rsid w:val="00E65F64"/>
    <w:rsid w:val="00E671E2"/>
    <w:rsid w:val="00E70B81"/>
    <w:rsid w:val="00E73425"/>
    <w:rsid w:val="00E73C02"/>
    <w:rsid w:val="00E7628E"/>
    <w:rsid w:val="00E76C4E"/>
    <w:rsid w:val="00E77577"/>
    <w:rsid w:val="00E8006C"/>
    <w:rsid w:val="00E90C7E"/>
    <w:rsid w:val="00E921F7"/>
    <w:rsid w:val="00E9274F"/>
    <w:rsid w:val="00EA2820"/>
    <w:rsid w:val="00EA5FED"/>
    <w:rsid w:val="00EA6137"/>
    <w:rsid w:val="00EB03F5"/>
    <w:rsid w:val="00EB263C"/>
    <w:rsid w:val="00EB4862"/>
    <w:rsid w:val="00EB6622"/>
    <w:rsid w:val="00EC09FD"/>
    <w:rsid w:val="00EC1C10"/>
    <w:rsid w:val="00EC1CD1"/>
    <w:rsid w:val="00EC28C1"/>
    <w:rsid w:val="00EC4103"/>
    <w:rsid w:val="00ED175B"/>
    <w:rsid w:val="00ED29AD"/>
    <w:rsid w:val="00ED377B"/>
    <w:rsid w:val="00ED49F3"/>
    <w:rsid w:val="00EE2944"/>
    <w:rsid w:val="00EE35DE"/>
    <w:rsid w:val="00EE4E64"/>
    <w:rsid w:val="00EE4FC3"/>
    <w:rsid w:val="00EF26A5"/>
    <w:rsid w:val="00EF335B"/>
    <w:rsid w:val="00EF4B50"/>
    <w:rsid w:val="00EF5FA2"/>
    <w:rsid w:val="00EF662A"/>
    <w:rsid w:val="00EF6CB9"/>
    <w:rsid w:val="00EF6E5B"/>
    <w:rsid w:val="00EF7435"/>
    <w:rsid w:val="00EF7A99"/>
    <w:rsid w:val="00F017F1"/>
    <w:rsid w:val="00F02F53"/>
    <w:rsid w:val="00F10EB1"/>
    <w:rsid w:val="00F11159"/>
    <w:rsid w:val="00F12786"/>
    <w:rsid w:val="00F14553"/>
    <w:rsid w:val="00F1541A"/>
    <w:rsid w:val="00F154DF"/>
    <w:rsid w:val="00F15932"/>
    <w:rsid w:val="00F17FB6"/>
    <w:rsid w:val="00F20A3B"/>
    <w:rsid w:val="00F210C4"/>
    <w:rsid w:val="00F213B5"/>
    <w:rsid w:val="00F2244C"/>
    <w:rsid w:val="00F22471"/>
    <w:rsid w:val="00F23AB0"/>
    <w:rsid w:val="00F24053"/>
    <w:rsid w:val="00F25271"/>
    <w:rsid w:val="00F25DD3"/>
    <w:rsid w:val="00F27161"/>
    <w:rsid w:val="00F32ACD"/>
    <w:rsid w:val="00F33C48"/>
    <w:rsid w:val="00F33E2D"/>
    <w:rsid w:val="00F401C5"/>
    <w:rsid w:val="00F4308E"/>
    <w:rsid w:val="00F45FC6"/>
    <w:rsid w:val="00F528E5"/>
    <w:rsid w:val="00F543D6"/>
    <w:rsid w:val="00F56864"/>
    <w:rsid w:val="00F573E5"/>
    <w:rsid w:val="00F64511"/>
    <w:rsid w:val="00F64547"/>
    <w:rsid w:val="00F65DC0"/>
    <w:rsid w:val="00F65EC5"/>
    <w:rsid w:val="00F67545"/>
    <w:rsid w:val="00F73E4D"/>
    <w:rsid w:val="00F73FBF"/>
    <w:rsid w:val="00F768B2"/>
    <w:rsid w:val="00F80221"/>
    <w:rsid w:val="00F81BA5"/>
    <w:rsid w:val="00F82D25"/>
    <w:rsid w:val="00F86F4B"/>
    <w:rsid w:val="00F90216"/>
    <w:rsid w:val="00F90307"/>
    <w:rsid w:val="00F9294A"/>
    <w:rsid w:val="00F92A3D"/>
    <w:rsid w:val="00F93936"/>
    <w:rsid w:val="00F93C71"/>
    <w:rsid w:val="00F97A74"/>
    <w:rsid w:val="00FA2DB4"/>
    <w:rsid w:val="00FA371D"/>
    <w:rsid w:val="00FA5D90"/>
    <w:rsid w:val="00FA6053"/>
    <w:rsid w:val="00FA6507"/>
    <w:rsid w:val="00FA6DB0"/>
    <w:rsid w:val="00FB0E25"/>
    <w:rsid w:val="00FB442E"/>
    <w:rsid w:val="00FB4555"/>
    <w:rsid w:val="00FC02DA"/>
    <w:rsid w:val="00FC4CC7"/>
    <w:rsid w:val="00FD389D"/>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591356961">
      <w:bodyDiv w:val="1"/>
      <w:marLeft w:val="0"/>
      <w:marRight w:val="0"/>
      <w:marTop w:val="0"/>
      <w:marBottom w:val="0"/>
      <w:divBdr>
        <w:top w:val="none" w:sz="0" w:space="0" w:color="auto"/>
        <w:left w:val="none" w:sz="0" w:space="0" w:color="auto"/>
        <w:bottom w:val="none" w:sz="0" w:space="0" w:color="auto"/>
        <w:right w:val="none" w:sz="0" w:space="0" w:color="auto"/>
      </w:divBdr>
    </w:div>
    <w:div w:id="786583486">
      <w:bodyDiv w:val="1"/>
      <w:marLeft w:val="0"/>
      <w:marRight w:val="0"/>
      <w:marTop w:val="0"/>
      <w:marBottom w:val="0"/>
      <w:divBdr>
        <w:top w:val="none" w:sz="0" w:space="0" w:color="auto"/>
        <w:left w:val="none" w:sz="0" w:space="0" w:color="auto"/>
        <w:bottom w:val="none" w:sz="0" w:space="0" w:color="auto"/>
        <w:right w:val="none" w:sz="0" w:space="0" w:color="auto"/>
      </w:divBdr>
    </w:div>
    <w:div w:id="100069421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45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E981-5C69-4F45-9463-05E40699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10790</Words>
  <Characters>6151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26.oktobra noteikumos Nr.997 „Noteikumi par garantijām komersantu un atbilstošu lauksaimniecības pakalpojumu kooperatīvo sabiedrību konkurētspējas uzlabošanai”” sākotnējās ietekme</vt:lpstr>
    </vt:vector>
  </TitlesOfParts>
  <Company>LR Ekonomikas ministrija</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8</cp:revision>
  <cp:lastPrinted>2014-06-04T13:08:00Z</cp:lastPrinted>
  <dcterms:created xsi:type="dcterms:W3CDTF">2014-07-02T08:05:00Z</dcterms:created>
  <dcterms:modified xsi:type="dcterms:W3CDTF">2014-07-03T21:11:00Z</dcterms:modified>
</cp:coreProperties>
</file>