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D3" w:rsidRPr="003E5A6D" w:rsidRDefault="00EA6CD3" w:rsidP="00EA6CD3">
      <w:pPr>
        <w:jc w:val="center"/>
        <w:rPr>
          <w:rFonts w:eastAsia="Times New Roman"/>
          <w:b/>
          <w:sz w:val="26"/>
          <w:szCs w:val="26"/>
          <w:lang w:val="lv-LV" w:eastAsia="lv-LV"/>
        </w:rPr>
      </w:pPr>
      <w:bookmarkStart w:id="0" w:name="OLE_LINK3"/>
      <w:bookmarkStart w:id="1" w:name="OLE_LINK1"/>
      <w:bookmarkStart w:id="2" w:name="OLE_LINK2"/>
      <w:r w:rsidRPr="003E5A6D">
        <w:rPr>
          <w:b/>
          <w:sz w:val="26"/>
          <w:szCs w:val="26"/>
          <w:lang w:val="lv-LV"/>
        </w:rPr>
        <w:t>Ministru kabineta noteikumu projekta ,,</w:t>
      </w:r>
      <w:bookmarkStart w:id="3" w:name="OLE_LINK7"/>
      <w:bookmarkStart w:id="4" w:name="OLE_LINK8"/>
      <w:r w:rsidR="00CA0BCB" w:rsidRPr="00CA0BCB">
        <w:rPr>
          <w:b/>
          <w:sz w:val="26"/>
          <w:szCs w:val="26"/>
          <w:lang w:val="lv-LV"/>
        </w:rPr>
        <w:t>Grozījumi Ministru kabineta 2014.gada 13.maija Ministru kabineta noteikumos Nr.241 „Noteikumi par mezanīna</w:t>
      </w:r>
      <w:bookmarkStart w:id="5" w:name="_GoBack"/>
      <w:bookmarkEnd w:id="5"/>
      <w:r w:rsidR="00CA0BCB" w:rsidRPr="00CA0BCB">
        <w:rPr>
          <w:b/>
          <w:sz w:val="26"/>
          <w:szCs w:val="26"/>
          <w:lang w:val="lv-LV"/>
        </w:rPr>
        <w:t xml:space="preserve"> aizdevumiem saimnieciskās darbības veicēju konkurētspējas uzlabošanai”</w:t>
      </w:r>
      <w:r w:rsidRPr="003E5A6D">
        <w:rPr>
          <w:b/>
          <w:sz w:val="26"/>
          <w:szCs w:val="26"/>
          <w:lang w:val="lv-LV"/>
        </w:rPr>
        <w:t>”</w:t>
      </w:r>
      <w:bookmarkEnd w:id="3"/>
      <w:bookmarkEnd w:id="4"/>
    </w:p>
    <w:p w:rsidR="00EA6CD3" w:rsidRPr="003E5A6D" w:rsidRDefault="00EA6CD3" w:rsidP="00EA6CD3">
      <w:pPr>
        <w:pStyle w:val="BodyText"/>
        <w:jc w:val="center"/>
        <w:rPr>
          <w:b/>
          <w:sz w:val="26"/>
          <w:szCs w:val="26"/>
        </w:rPr>
      </w:pPr>
      <w:r w:rsidRPr="003E5A6D">
        <w:rPr>
          <w:b/>
          <w:sz w:val="26"/>
          <w:szCs w:val="26"/>
        </w:rPr>
        <w:t>sākotnējās ietekmes novērtējuma ziņojums (anotācija)</w:t>
      </w:r>
    </w:p>
    <w:p w:rsidR="00EA6CD3" w:rsidRPr="00FB311D" w:rsidRDefault="00EA6CD3" w:rsidP="00E15447">
      <w:pPr>
        <w:pStyle w:val="BodyText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EA6CD3" w:rsidRPr="00FB311D" w:rsidTr="00CB6AC4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EA6CD3" w:rsidRPr="00FB311D" w:rsidRDefault="00EA6CD3" w:rsidP="00CB6AC4">
            <w:pPr>
              <w:ind w:firstLine="720"/>
              <w:jc w:val="center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EA6CD3" w:rsidRPr="00FB311D" w:rsidTr="00CB6AC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CA0BCB" w:rsidP="006559F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>Noteikumu projekts sagatavots, pamatojoties uz Ministru kabineta iekārtas likuma 31.panta pirmās daļas 3.punktu</w:t>
            </w:r>
            <w:r w:rsidR="00E539B3" w:rsidRPr="00FB311D">
              <w:rPr>
                <w:sz w:val="26"/>
                <w:szCs w:val="26"/>
                <w:lang w:val="lv-LV"/>
              </w:rPr>
              <w:t>.</w:t>
            </w:r>
          </w:p>
        </w:tc>
      </w:tr>
      <w:tr w:rsidR="00EA6CD3" w:rsidRPr="00FB311D" w:rsidTr="00CB6AC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problēmas</w:t>
            </w:r>
            <w:r w:rsidR="00186A4D" w:rsidRPr="00FB311D">
              <w:rPr>
                <w:rFonts w:eastAsia="Times New Roman"/>
                <w:sz w:val="26"/>
                <w:szCs w:val="26"/>
                <w:lang w:val="lv-LV" w:eastAsia="lv-LV"/>
              </w:rPr>
              <w:t>, kuru risināšanai tiesību akta projekts izstrādāts, 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229AC" w:rsidRPr="00FB311D" w:rsidRDefault="00A229AC" w:rsidP="00A2522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Ministru kabineta </w:t>
            </w:r>
            <w:r w:rsidR="00CA0BCB" w:rsidRPr="00FB311D">
              <w:rPr>
                <w:sz w:val="26"/>
                <w:szCs w:val="26"/>
                <w:lang w:val="lv-LV"/>
              </w:rPr>
              <w:t>2014</w:t>
            </w:r>
            <w:r w:rsidRPr="00FB311D">
              <w:rPr>
                <w:sz w:val="26"/>
                <w:szCs w:val="26"/>
                <w:lang w:val="lv-LV"/>
              </w:rPr>
              <w:t xml:space="preserve">.gada </w:t>
            </w:r>
            <w:r w:rsidR="00CA0BCB" w:rsidRPr="00FB311D">
              <w:rPr>
                <w:sz w:val="26"/>
                <w:szCs w:val="26"/>
                <w:lang w:val="lv-LV"/>
              </w:rPr>
              <w:t>13.maija</w:t>
            </w:r>
            <w:r w:rsidRPr="00FB311D">
              <w:rPr>
                <w:sz w:val="26"/>
                <w:szCs w:val="26"/>
                <w:lang w:val="lv-LV"/>
              </w:rPr>
              <w:t xml:space="preserve"> noteikumi Nr.</w:t>
            </w:r>
            <w:r w:rsidR="00CA0BCB" w:rsidRPr="00FB311D">
              <w:rPr>
                <w:sz w:val="26"/>
                <w:szCs w:val="26"/>
                <w:lang w:val="lv-LV"/>
              </w:rPr>
              <w:t>241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r w:rsidR="00CA0BCB" w:rsidRPr="00FB311D">
              <w:rPr>
                <w:sz w:val="26"/>
                <w:szCs w:val="26"/>
                <w:lang w:val="lv-LV"/>
              </w:rPr>
              <w:t xml:space="preserve">„Noteikumi par </w:t>
            </w:r>
            <w:proofErr w:type="spellStart"/>
            <w:r w:rsidR="00CA0BCB"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CA0BCB" w:rsidRPr="00FB311D">
              <w:rPr>
                <w:sz w:val="26"/>
                <w:szCs w:val="26"/>
                <w:lang w:val="lv-LV"/>
              </w:rPr>
              <w:t xml:space="preserve"> aizdevumiem saimnieciskās darbības veicēju konkurētspējas uzlabošanai” </w:t>
            </w:r>
            <w:r w:rsidRPr="00FB311D">
              <w:rPr>
                <w:sz w:val="26"/>
                <w:szCs w:val="26"/>
                <w:lang w:val="lv-LV"/>
              </w:rPr>
              <w:t>(turpmāk - MK noteikumi Nr.</w:t>
            </w:r>
            <w:r w:rsidR="00CA0BCB" w:rsidRPr="00FB311D">
              <w:rPr>
                <w:sz w:val="26"/>
                <w:szCs w:val="26"/>
                <w:lang w:val="lv-LV"/>
              </w:rPr>
              <w:t>241</w:t>
            </w:r>
            <w:r w:rsidRPr="00FB311D">
              <w:rPr>
                <w:sz w:val="26"/>
                <w:szCs w:val="26"/>
                <w:lang w:val="lv-LV"/>
              </w:rPr>
              <w:t>) nosaka atbalsta piešķiršanas</w:t>
            </w:r>
            <w:r w:rsidR="00CA0BCB" w:rsidRPr="00FB311D">
              <w:rPr>
                <w:sz w:val="26"/>
                <w:szCs w:val="26"/>
                <w:lang w:val="lv-LV"/>
              </w:rPr>
              <w:t xml:space="preserve"> nosacījumus </w:t>
            </w:r>
            <w:proofErr w:type="spellStart"/>
            <w:r w:rsidR="00CA0BCB"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CA0BCB" w:rsidRPr="00FB311D">
              <w:rPr>
                <w:sz w:val="26"/>
                <w:szCs w:val="26"/>
                <w:lang w:val="lv-LV"/>
              </w:rPr>
              <w:t xml:space="preserve"> aizdevum</w:t>
            </w:r>
            <w:r w:rsidR="00E7567F" w:rsidRPr="00FB311D">
              <w:rPr>
                <w:sz w:val="26"/>
                <w:szCs w:val="26"/>
                <w:lang w:val="lv-LV"/>
              </w:rPr>
              <w:t>iem</w:t>
            </w:r>
            <w:r w:rsidR="00CA0BCB" w:rsidRPr="00FB311D">
              <w:rPr>
                <w:sz w:val="26"/>
                <w:szCs w:val="26"/>
                <w:lang w:val="lv-LV"/>
              </w:rPr>
              <w:t xml:space="preserve"> investīcijām un apgrozāmajiem līdzekļiem</w:t>
            </w:r>
            <w:r w:rsidR="00F30608" w:rsidRPr="00FB311D">
              <w:rPr>
                <w:sz w:val="26"/>
                <w:szCs w:val="26"/>
                <w:lang w:val="lv-LV"/>
              </w:rPr>
              <w:t xml:space="preserve"> </w:t>
            </w:r>
            <w:r w:rsidRPr="00FB311D">
              <w:rPr>
                <w:sz w:val="26"/>
                <w:szCs w:val="26"/>
                <w:lang w:val="lv-LV"/>
              </w:rPr>
              <w:t>saimnieciskās darbības veicēju konkurētspējas uzlabošanai.</w:t>
            </w:r>
          </w:p>
          <w:p w:rsidR="00CA0BCB" w:rsidRPr="00FB311D" w:rsidRDefault="00CA0BCB" w:rsidP="00A2522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>Laikā uz 2014.gada 31.maiju 2.2.1.4.2.</w:t>
            </w:r>
            <w:r w:rsidR="00B51427" w:rsidRPr="00FB311D">
              <w:rPr>
                <w:sz w:val="26"/>
                <w:szCs w:val="26"/>
                <w:lang w:val="lv-LV"/>
              </w:rPr>
              <w:t xml:space="preserve">aktivitātes </w:t>
            </w:r>
            <w:r w:rsidR="00337AC6" w:rsidRPr="00FB311D">
              <w:rPr>
                <w:sz w:val="26"/>
                <w:szCs w:val="26"/>
                <w:lang w:val="lv-LV"/>
              </w:rPr>
              <w:t>„</w:t>
            </w:r>
            <w:proofErr w:type="spellStart"/>
            <w:r w:rsidR="00337AC6"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337AC6" w:rsidRPr="00FB311D">
              <w:rPr>
                <w:sz w:val="26"/>
                <w:szCs w:val="26"/>
                <w:lang w:val="lv-LV"/>
              </w:rPr>
              <w:t xml:space="preserve"> aizdevumi un nodrošinājuma garantijas saimnieciskās darbības veicēju konkurētspējas uzlabošanai” </w:t>
            </w:r>
            <w:r w:rsidR="00B51427" w:rsidRPr="00FB311D">
              <w:rPr>
                <w:sz w:val="26"/>
                <w:szCs w:val="26"/>
                <w:lang w:val="lv-LV"/>
              </w:rPr>
              <w:t xml:space="preserve">ietvaros </w:t>
            </w:r>
            <w:r w:rsidRPr="00FB311D">
              <w:rPr>
                <w:sz w:val="26"/>
                <w:szCs w:val="26"/>
                <w:lang w:val="lv-LV"/>
              </w:rPr>
              <w:t xml:space="preserve">ir uzņemtas saistības </w:t>
            </w:r>
            <w:r w:rsidR="00B51427" w:rsidRPr="00FB311D">
              <w:rPr>
                <w:sz w:val="26"/>
                <w:szCs w:val="26"/>
                <w:lang w:val="lv-LV"/>
              </w:rPr>
              <w:t xml:space="preserve">(noslēgti līgumi ar saimnieciskās darbības veicējiem) par kopējā publiskā finansējuma apmēru </w:t>
            </w:r>
            <w:r w:rsidRPr="00FB311D">
              <w:rPr>
                <w:sz w:val="26"/>
                <w:szCs w:val="26"/>
                <w:lang w:val="lv-LV"/>
              </w:rPr>
              <w:t xml:space="preserve">3 241 121 </w:t>
            </w:r>
            <w:proofErr w:type="spellStart"/>
            <w:r w:rsidR="00B51427" w:rsidRPr="00FB311D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B51427" w:rsidRPr="00FB311D">
              <w:rPr>
                <w:sz w:val="26"/>
                <w:szCs w:val="26"/>
                <w:lang w:val="lv-LV"/>
              </w:rPr>
              <w:t xml:space="preserve">, </w:t>
            </w:r>
            <w:r w:rsidRPr="00FB311D">
              <w:rPr>
                <w:sz w:val="26"/>
                <w:szCs w:val="26"/>
                <w:lang w:val="lv-LV"/>
              </w:rPr>
              <w:t>kas sastāda 10,8 % no kopējā MK noteikumu Nr.241 ietvaros pieejamā finansējuma apmēra</w:t>
            </w:r>
            <w:r w:rsidR="00B51427" w:rsidRPr="00FB311D">
              <w:rPr>
                <w:sz w:val="26"/>
                <w:szCs w:val="26"/>
                <w:lang w:val="lv-LV"/>
              </w:rPr>
              <w:t xml:space="preserve"> (29 780 554 </w:t>
            </w:r>
            <w:proofErr w:type="spellStart"/>
            <w:r w:rsidR="00B51427" w:rsidRPr="00FB311D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B51427" w:rsidRPr="00FB311D">
              <w:rPr>
                <w:sz w:val="26"/>
                <w:szCs w:val="26"/>
                <w:lang w:val="lv-LV"/>
              </w:rPr>
              <w:t>)</w:t>
            </w:r>
            <w:r w:rsidRPr="00FB311D">
              <w:rPr>
                <w:sz w:val="26"/>
                <w:szCs w:val="26"/>
                <w:lang w:val="lv-LV"/>
              </w:rPr>
              <w:t xml:space="preserve">. </w:t>
            </w:r>
          </w:p>
          <w:p w:rsidR="00F30608" w:rsidRPr="00FB311D" w:rsidRDefault="00B51427" w:rsidP="00F30608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Saskaņā ar Ekonomikas ministrijas (turpmāk – EM) 2014.gada 2.ceturksnī </w:t>
            </w:r>
            <w:r w:rsidR="00E539B3" w:rsidRPr="00FB311D">
              <w:rPr>
                <w:sz w:val="26"/>
                <w:szCs w:val="26"/>
                <w:lang w:val="lv-LV"/>
              </w:rPr>
              <w:t>veikto tirgus nepilnību analīzi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aizdevumu instruments ir nepieciešams finanšu tirgū, lai nodrošinātu finansējuma pieejamību</w:t>
            </w:r>
            <w:r w:rsidR="00F30608" w:rsidRPr="00FB311D">
              <w:rPr>
                <w:sz w:val="26"/>
                <w:szCs w:val="26"/>
                <w:lang w:val="lv-LV"/>
              </w:rPr>
              <w:t xml:space="preserve"> tiem </w:t>
            </w:r>
            <w:r w:rsidRPr="00FB311D">
              <w:rPr>
                <w:sz w:val="26"/>
                <w:szCs w:val="26"/>
                <w:lang w:val="lv-LV"/>
              </w:rPr>
              <w:t xml:space="preserve">saimnieciskās darbības veicējiem, kuriem uzņemto saistību apmēra un neto ieņēmumu attiecība </w:t>
            </w:r>
            <w:r w:rsidR="00F30608" w:rsidRPr="00FB311D">
              <w:rPr>
                <w:sz w:val="26"/>
                <w:szCs w:val="26"/>
                <w:lang w:val="lv-LV"/>
              </w:rPr>
              <w:t xml:space="preserve">neatbilst komercbanku vērtēšanas kritērijiem, pieņemot lēmumu par aizdevuma izsniegšanu </w:t>
            </w:r>
            <w:r w:rsidRPr="00FB311D">
              <w:rPr>
                <w:sz w:val="26"/>
                <w:szCs w:val="26"/>
                <w:lang w:val="lv-LV"/>
              </w:rPr>
              <w:t>(</w:t>
            </w:r>
            <w:r w:rsidR="005B2DA5" w:rsidRPr="00FB311D">
              <w:rPr>
                <w:sz w:val="26"/>
                <w:szCs w:val="26"/>
                <w:lang w:val="lv-LV"/>
              </w:rPr>
              <w:t xml:space="preserve">proti, </w:t>
            </w:r>
            <w:r w:rsidR="00F30608" w:rsidRPr="00FB311D">
              <w:rPr>
                <w:sz w:val="26"/>
                <w:szCs w:val="26"/>
                <w:lang w:val="lv-LV"/>
              </w:rPr>
              <w:t>komercbankas, pieņemot lēmumu par aizdevuma piešķiršanu</w:t>
            </w:r>
            <w:r w:rsidR="00E7567F" w:rsidRPr="00FB311D">
              <w:rPr>
                <w:sz w:val="26"/>
                <w:szCs w:val="26"/>
                <w:lang w:val="lv-LV"/>
              </w:rPr>
              <w:t>,</w:t>
            </w:r>
            <w:r w:rsidR="00F30608" w:rsidRPr="00FB311D">
              <w:rPr>
                <w:sz w:val="26"/>
                <w:szCs w:val="26"/>
                <w:lang w:val="lv-LV"/>
              </w:rPr>
              <w:t xml:space="preserve"> vērtē, vai saimnieciskās darbības veicēja neto ieņēmumu plūsma ir pietiekoša, lai nodrošinātu regulārus maksājumus gan par esošajām, gan potenciālajām saistībām).  </w:t>
            </w:r>
          </w:p>
          <w:p w:rsidR="00F30608" w:rsidRPr="00FB311D" w:rsidRDefault="00F30608" w:rsidP="00F30608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Ņemot vērā </w:t>
            </w:r>
            <w:proofErr w:type="spellStart"/>
            <w:r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aizdevuma instrumenta nozīmi tirgus nepilnību risināšanā, kā arī, lai veicinātu 2007.-2013.gada plānošanas perioda finansējuma apguvi, ir būtiski nodrošināt </w:t>
            </w:r>
            <w:proofErr w:type="spellStart"/>
            <w:r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aizdevumu investīcijām pieejamību saimnieciskās darbības veicējiem līdz 2015.gada beigām. Līdzšinēji MK noteikumi Nr.241 nosaka, ka </w:t>
            </w:r>
            <w:proofErr w:type="spellStart"/>
            <w:r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aizdevums pieejams līdz 2015.gada beigām vienīgi apgrozāmo līdzekļu finansēšanai.</w:t>
            </w:r>
          </w:p>
          <w:p w:rsidR="005E4164" w:rsidRPr="00FB311D" w:rsidRDefault="00E539B3" w:rsidP="00A2522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proofErr w:type="spellStart"/>
            <w:r w:rsidRPr="00FB311D">
              <w:rPr>
                <w:sz w:val="26"/>
                <w:szCs w:val="26"/>
                <w:lang w:val="lv-LV"/>
              </w:rPr>
              <w:t>M</w:t>
            </w:r>
            <w:r w:rsidR="00B51427" w:rsidRPr="00FB311D">
              <w:rPr>
                <w:sz w:val="26"/>
                <w:szCs w:val="26"/>
                <w:lang w:val="lv-LV"/>
              </w:rPr>
              <w:t>ez</w:t>
            </w:r>
            <w:r w:rsidR="00261B97" w:rsidRPr="00FB311D">
              <w:rPr>
                <w:sz w:val="26"/>
                <w:szCs w:val="26"/>
                <w:lang w:val="lv-LV"/>
              </w:rPr>
              <w:t>anīna</w:t>
            </w:r>
            <w:proofErr w:type="spellEnd"/>
            <w:r w:rsidR="00261B97" w:rsidRPr="00FB311D">
              <w:rPr>
                <w:sz w:val="26"/>
                <w:szCs w:val="26"/>
                <w:lang w:val="lv-LV"/>
              </w:rPr>
              <w:t xml:space="preserve"> aizdevums investīcijām ti</w:t>
            </w:r>
            <w:r w:rsidR="00B51427" w:rsidRPr="00FB311D">
              <w:rPr>
                <w:sz w:val="26"/>
                <w:szCs w:val="26"/>
                <w:lang w:val="lv-LV"/>
              </w:rPr>
              <w:t>k</w:t>
            </w:r>
            <w:r w:rsidR="00261B97" w:rsidRPr="00FB311D">
              <w:rPr>
                <w:sz w:val="26"/>
                <w:szCs w:val="26"/>
                <w:lang w:val="lv-LV"/>
              </w:rPr>
              <w:t>a</w:t>
            </w:r>
            <w:r w:rsidR="00B51427" w:rsidRPr="00FB311D">
              <w:rPr>
                <w:sz w:val="26"/>
                <w:szCs w:val="26"/>
                <w:lang w:val="lv-LV"/>
              </w:rPr>
              <w:t xml:space="preserve"> piešķirts kā reģionālais atbalsts ieguldījumiem saskaņā ar Eiropas Komisijas 2008. g</w:t>
            </w:r>
            <w:r w:rsidRPr="00FB311D">
              <w:rPr>
                <w:sz w:val="26"/>
                <w:szCs w:val="26"/>
                <w:lang w:val="lv-LV"/>
              </w:rPr>
              <w:t>ada 6.</w:t>
            </w:r>
            <w:r w:rsidR="00B51427" w:rsidRPr="00FB311D">
              <w:rPr>
                <w:sz w:val="26"/>
                <w:szCs w:val="26"/>
                <w:lang w:val="lv-LV"/>
              </w:rPr>
              <w:t>augusta Regul</w:t>
            </w:r>
            <w:r w:rsidR="007E2FDE" w:rsidRPr="00FB311D">
              <w:rPr>
                <w:sz w:val="26"/>
                <w:szCs w:val="26"/>
                <w:lang w:val="lv-LV"/>
              </w:rPr>
              <w:t>u</w:t>
            </w:r>
            <w:r w:rsidR="00B51427" w:rsidRPr="00FB311D">
              <w:rPr>
                <w:sz w:val="26"/>
                <w:szCs w:val="26"/>
                <w:lang w:val="lv-LV"/>
              </w:rPr>
              <w:t xml:space="preserve"> (EK) Nr.800/2008, kas atzīst noteiktas atbalsta kategorijas par saderīgām ar kopējo tirgu, piemērojot Līguma 87. un 88. pantu (vispārējā grupu atbrīvojuma regula) (Eiropas Savienības Oficiālais Vēstnesis, 2008. gada 9. augusts, </w:t>
            </w:r>
            <w:proofErr w:type="spellStart"/>
            <w:r w:rsidR="00B51427" w:rsidRPr="00FB311D">
              <w:rPr>
                <w:sz w:val="26"/>
                <w:szCs w:val="26"/>
                <w:lang w:val="lv-LV"/>
              </w:rPr>
              <w:t>N</w:t>
            </w:r>
            <w:r w:rsidR="007E2FDE" w:rsidRPr="00FB311D">
              <w:rPr>
                <w:sz w:val="26"/>
                <w:szCs w:val="26"/>
                <w:lang w:val="lv-LV"/>
              </w:rPr>
              <w:t>r.</w:t>
            </w:r>
            <w:r w:rsidR="00F30608" w:rsidRPr="00FB311D">
              <w:rPr>
                <w:sz w:val="26"/>
                <w:szCs w:val="26"/>
                <w:lang w:val="lv-LV"/>
              </w:rPr>
              <w:t>L</w:t>
            </w:r>
            <w:proofErr w:type="spellEnd"/>
            <w:r w:rsidR="00F30608" w:rsidRPr="00FB311D">
              <w:rPr>
                <w:sz w:val="26"/>
                <w:szCs w:val="26"/>
                <w:lang w:val="lv-LV"/>
              </w:rPr>
              <w:t xml:space="preserve"> 214) (turpmāk - Komisijas Regula Nr.</w:t>
            </w:r>
            <w:r w:rsidR="00B51427" w:rsidRPr="00FB311D">
              <w:rPr>
                <w:sz w:val="26"/>
                <w:szCs w:val="26"/>
                <w:lang w:val="lv-LV"/>
              </w:rPr>
              <w:t>800/2008)</w:t>
            </w:r>
            <w:r w:rsidRPr="00FB311D">
              <w:rPr>
                <w:sz w:val="26"/>
                <w:szCs w:val="26"/>
                <w:lang w:val="lv-LV"/>
              </w:rPr>
              <w:t>.</w:t>
            </w:r>
            <w:r w:rsidR="007E2FDE" w:rsidRPr="00FB311D">
              <w:rPr>
                <w:sz w:val="26"/>
                <w:szCs w:val="26"/>
                <w:lang w:val="lv-LV"/>
              </w:rPr>
              <w:t xml:space="preserve"> </w:t>
            </w:r>
            <w:r w:rsidR="00B868AD" w:rsidRPr="00FB311D">
              <w:rPr>
                <w:sz w:val="26"/>
                <w:szCs w:val="26"/>
                <w:lang w:val="lv-LV"/>
              </w:rPr>
              <w:lastRenderedPageBreak/>
              <w:t xml:space="preserve">Saskaņā ar Komisijas Regulas Nr.800/2008 44.panta 3.punktu un 45.pantu </w:t>
            </w:r>
            <w:r w:rsidRPr="00FB311D">
              <w:rPr>
                <w:sz w:val="26"/>
                <w:szCs w:val="26"/>
                <w:lang w:val="lv-LV"/>
              </w:rPr>
              <w:t>atbalsta</w:t>
            </w:r>
            <w:r w:rsidR="00B868AD" w:rsidRPr="00FB311D">
              <w:rPr>
                <w:sz w:val="26"/>
                <w:szCs w:val="26"/>
                <w:lang w:val="lv-LV"/>
              </w:rPr>
              <w:t xml:space="preserve"> piešķiršanas termiņš ir noteikts 2014.gada 30.jūnijs. 2014.gada 21.maijā </w:t>
            </w:r>
            <w:r w:rsidR="001C68A2" w:rsidRPr="00FB311D">
              <w:rPr>
                <w:sz w:val="26"/>
                <w:szCs w:val="26"/>
                <w:lang w:val="lv-LV"/>
              </w:rPr>
              <w:t xml:space="preserve">Eiropas Komisija </w:t>
            </w:r>
            <w:r w:rsidR="00B868AD" w:rsidRPr="00FB311D">
              <w:rPr>
                <w:sz w:val="26"/>
                <w:szCs w:val="26"/>
                <w:lang w:val="lv-LV"/>
              </w:rPr>
              <w:t xml:space="preserve">ir pieņēmusi jauno vispārējo grupu atbrīvojuma regulējumu – </w:t>
            </w:r>
            <w:r w:rsidR="00F53217" w:rsidRPr="00FB311D">
              <w:rPr>
                <w:sz w:val="26"/>
                <w:szCs w:val="26"/>
                <w:lang w:val="lv-LV"/>
              </w:rPr>
              <w:t>Komisijas 2014.gada 17.jūnija Regulu (ES) Nr.651/2014, ar ko noteiktas atbalsta kategorijas atzīst par saderīgām ar iekšējo tirgu, piemērojot Līguma 107. un 108. pantu (vispārējā grupu atbrīvojuma regula) (turpmāk – Komisijas Regula Nr.651/2014) (Eiropas Savienības Oficiālais Vēstnesis, 2014. gada 26. jūnijs, L 187)</w:t>
            </w:r>
            <w:r w:rsidR="00B868AD" w:rsidRPr="00FB311D">
              <w:rPr>
                <w:sz w:val="26"/>
                <w:szCs w:val="26"/>
                <w:lang w:val="lv-LV"/>
              </w:rPr>
              <w:t xml:space="preserve"> –, kas paredz reģionālā atbalsta piešķiršanas nosacījumus un kas aizstā</w:t>
            </w:r>
            <w:r w:rsidR="00261B97" w:rsidRPr="00FB311D">
              <w:rPr>
                <w:sz w:val="26"/>
                <w:szCs w:val="26"/>
                <w:lang w:val="lv-LV"/>
              </w:rPr>
              <w:t>j</w:t>
            </w:r>
            <w:r w:rsidR="00B868AD" w:rsidRPr="00FB311D">
              <w:rPr>
                <w:sz w:val="26"/>
                <w:szCs w:val="26"/>
                <w:lang w:val="lv-LV"/>
              </w:rPr>
              <w:t xml:space="preserve"> Komisijas Regulu Nr.800/2008. Tāpat jānorāda, ka Eiropas Komisija 2014.gada 9.aprīlī ir apstiprinājusi jauno Latvijas reģionālā atbalsta karti 2014. – 2020.gadam. Lai nodrošinātu </w:t>
            </w:r>
            <w:proofErr w:type="spellStart"/>
            <w:r w:rsidR="00B868AD"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B868AD" w:rsidRPr="00FB311D">
              <w:rPr>
                <w:sz w:val="26"/>
                <w:szCs w:val="26"/>
                <w:lang w:val="lv-LV"/>
              </w:rPr>
              <w:t xml:space="preserve"> aizdevumu investīcijām pieejamību pēc 2014.gada 30.jūnija un </w:t>
            </w:r>
            <w:r w:rsidR="00E7567F" w:rsidRPr="00FB311D">
              <w:rPr>
                <w:sz w:val="26"/>
                <w:szCs w:val="26"/>
                <w:lang w:val="lv-LV"/>
              </w:rPr>
              <w:t>sekmētu</w:t>
            </w:r>
            <w:r w:rsidR="00B868AD" w:rsidRPr="00FB311D">
              <w:rPr>
                <w:sz w:val="26"/>
                <w:szCs w:val="26"/>
                <w:lang w:val="lv-LV"/>
              </w:rPr>
              <w:t xml:space="preserve"> 2007.-2013.gada plānošanas perioda finansējuma apguvi, ir nepieciešams grozīt normas, kas paredz atsauci uz Komisijas Regulu Nr.800/2008, tajā skaitā paredzot pagarināt </w:t>
            </w:r>
            <w:proofErr w:type="spellStart"/>
            <w:r w:rsidR="00B868AD"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B868AD" w:rsidRPr="00FB311D">
              <w:rPr>
                <w:sz w:val="26"/>
                <w:szCs w:val="26"/>
                <w:lang w:val="lv-LV"/>
              </w:rPr>
              <w:t xml:space="preserve"> aizdevumu investīcijām piešķiršanas termiņu</w:t>
            </w:r>
            <w:r w:rsidR="00F53217" w:rsidRPr="00FB311D">
              <w:rPr>
                <w:sz w:val="26"/>
                <w:szCs w:val="26"/>
                <w:lang w:val="lv-LV"/>
              </w:rPr>
              <w:t xml:space="preserve">. </w:t>
            </w:r>
          </w:p>
          <w:p w:rsidR="00E23059" w:rsidRPr="00FB311D" w:rsidRDefault="00E23059" w:rsidP="00A2522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Lai nodrošinātu MK noteikumu Nr.241 normu atbilstību Komisijas Regulai Nr.651/2014, tiek grozīti arī atbalsta summēšanas nosacījumi. Komisijas Regula Nr.651/2014 neparedz atbalsta apmēra samazinājumu par 20 % gadījumā, ja </w:t>
            </w:r>
            <w:r w:rsidR="00921504" w:rsidRPr="00FB311D">
              <w:rPr>
                <w:sz w:val="26"/>
                <w:szCs w:val="26"/>
                <w:lang w:val="lv-LV"/>
              </w:rPr>
              <w:t>saimnieciskās darbības veicējs</w:t>
            </w:r>
            <w:r w:rsidRPr="00FB311D">
              <w:rPr>
                <w:sz w:val="26"/>
                <w:szCs w:val="26"/>
                <w:lang w:val="lv-LV"/>
              </w:rPr>
              <w:t>, kas triju gadu laikā ir saņēmis finansējumu saskaņā ar riska kapitāla pasākumu atbilstoši Komisijas Regulai Nr.651/2014, vēlas saņemt ilgtermiņa investīciju aizdevumu. Ņemot vērā minēto, noteikumu projekts paredz svītrot MK noteikumu Nr.241 41.punktu.</w:t>
            </w:r>
          </w:p>
          <w:p w:rsidR="00831A5D" w:rsidRPr="00FB311D" w:rsidRDefault="00831A5D" w:rsidP="006373FF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Tāpat tiek precizēts neatbalstāmo nozaru un darbību saraksts ilgtermiņa investīciju aizdevumiem, lai nodrošinātu MK noteikumu Nr.241 atbilstību Komisijas Regulai Nr.651/2014. Noteikumu projekts papildus paredz normu, kas nosaka, ka atbalsts nevar tikt piešķirts Komisijas Regulas Nr.651/2014 13.panta </w:t>
            </w:r>
            <w:r w:rsidR="006373FF" w:rsidRPr="00FB311D">
              <w:rPr>
                <w:sz w:val="26"/>
                <w:szCs w:val="26"/>
                <w:lang w:val="lv-LV"/>
              </w:rPr>
              <w:t>(</w:t>
            </w:r>
            <w:r w:rsidRPr="00FB311D">
              <w:rPr>
                <w:sz w:val="26"/>
                <w:szCs w:val="26"/>
                <w:lang w:val="lv-LV"/>
              </w:rPr>
              <w:t>a) punktā noteiktajā</w:t>
            </w:r>
            <w:r w:rsidR="006373FF" w:rsidRPr="00FB311D">
              <w:rPr>
                <w:sz w:val="26"/>
                <w:szCs w:val="26"/>
                <w:lang w:val="lv-LV"/>
              </w:rPr>
              <w:t>m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r w:rsidR="006373FF" w:rsidRPr="00FB311D">
              <w:rPr>
                <w:sz w:val="26"/>
                <w:szCs w:val="26"/>
                <w:lang w:val="lv-LV"/>
              </w:rPr>
              <w:t>darbībām</w:t>
            </w:r>
            <w:r w:rsidRPr="00FB311D">
              <w:rPr>
                <w:sz w:val="26"/>
                <w:szCs w:val="26"/>
                <w:lang w:val="lv-LV"/>
              </w:rPr>
              <w:t xml:space="preserve"> - </w:t>
            </w:r>
            <w:r w:rsidR="006373FF" w:rsidRPr="00FB311D">
              <w:rPr>
                <w:sz w:val="26"/>
                <w:szCs w:val="26"/>
                <w:lang w:val="lv-LV"/>
              </w:rPr>
              <w:t>darbībām tērauda nozarē, ogļrūpniecības nozarē, kuģu būves nozarē, sintētisko šķiedru nozarē, transporta nozarē, kā arī saistītajai infrastruktūrai, un enerģijas ražošanas, sadales un infrastruktūras nozarē.</w:t>
            </w:r>
          </w:p>
          <w:p w:rsidR="00B51427" w:rsidRPr="00FB311D" w:rsidRDefault="00E23059" w:rsidP="00A2522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Noteikumu projekts paredz noteikt arī </w:t>
            </w:r>
            <w:r w:rsidR="00F53217" w:rsidRPr="00FB311D">
              <w:rPr>
                <w:sz w:val="26"/>
                <w:szCs w:val="26"/>
                <w:lang w:val="lv-LV"/>
              </w:rPr>
              <w:t xml:space="preserve">atbilstošas atbalsta intensitātes </w:t>
            </w:r>
            <w:r w:rsidR="00684808" w:rsidRPr="00FB311D">
              <w:rPr>
                <w:sz w:val="26"/>
                <w:szCs w:val="26"/>
                <w:lang w:val="lv-LV"/>
              </w:rPr>
              <w:t xml:space="preserve">ilgtermiņa investīciju aizdevumam </w:t>
            </w:r>
            <w:r w:rsidR="00F53217" w:rsidRPr="00FB311D">
              <w:rPr>
                <w:sz w:val="26"/>
                <w:szCs w:val="26"/>
                <w:lang w:val="lv-LV"/>
              </w:rPr>
              <w:t>(atbalsta intensitāti nosaka Latvijas reģionālā atbalsta karte 2014.-2020.gadam).</w:t>
            </w:r>
            <w:r w:rsidR="00B868AD" w:rsidRPr="00FB311D">
              <w:rPr>
                <w:sz w:val="26"/>
                <w:szCs w:val="26"/>
                <w:lang w:val="lv-LV"/>
              </w:rPr>
              <w:t xml:space="preserve"> </w:t>
            </w:r>
            <w:r w:rsidR="00684808" w:rsidRPr="00FB311D">
              <w:rPr>
                <w:sz w:val="26"/>
                <w:szCs w:val="26"/>
                <w:lang w:val="lv-LV"/>
              </w:rPr>
              <w:t xml:space="preserve">Maziem un vidējiem </w:t>
            </w:r>
            <w:r w:rsidR="00921504" w:rsidRPr="00FB311D">
              <w:rPr>
                <w:sz w:val="26"/>
                <w:szCs w:val="26"/>
                <w:lang w:val="lv-LV"/>
              </w:rPr>
              <w:t xml:space="preserve">saimnieciskās darbības veicējiem </w:t>
            </w:r>
            <w:r w:rsidR="00684808" w:rsidRPr="00FB311D">
              <w:rPr>
                <w:sz w:val="26"/>
                <w:szCs w:val="26"/>
                <w:lang w:val="lv-LV"/>
              </w:rPr>
              <w:t>atbalsta intensitāte ilgtermiņa investīciju aizdevumam paliek nemainīga (40 %)</w:t>
            </w:r>
            <w:r w:rsidR="00921504" w:rsidRPr="00FB311D">
              <w:rPr>
                <w:sz w:val="26"/>
                <w:szCs w:val="26"/>
                <w:lang w:val="lv-LV"/>
              </w:rPr>
              <w:t xml:space="preserve">. </w:t>
            </w:r>
            <w:r w:rsidR="00684808" w:rsidRPr="00FB311D">
              <w:rPr>
                <w:sz w:val="26"/>
                <w:szCs w:val="26"/>
                <w:lang w:val="lv-LV"/>
              </w:rPr>
              <w:t xml:space="preserve">Latvijas reģionālās atbalsta kartes 2014.-2020.gadam ietvaros atbalsta intensitāte lieliem </w:t>
            </w:r>
            <w:r w:rsidR="00921504" w:rsidRPr="00FB311D">
              <w:rPr>
                <w:sz w:val="26"/>
                <w:szCs w:val="26"/>
                <w:lang w:val="lv-LV"/>
              </w:rPr>
              <w:t>saimnieciskās darbības veicējiem</w:t>
            </w:r>
            <w:r w:rsidR="00684808" w:rsidRPr="00FB311D">
              <w:rPr>
                <w:sz w:val="26"/>
                <w:szCs w:val="26"/>
                <w:lang w:val="lv-LV"/>
              </w:rPr>
              <w:t xml:space="preserve">, ja salīdzina ar iepriekšējā periodā reģionālās atbalsta kartes noteiktajām atbalsta intensitātēm, 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ir samazināta un ir </w:t>
            </w:r>
            <w:r w:rsidR="00C52004" w:rsidRPr="00FB311D">
              <w:rPr>
                <w:sz w:val="26"/>
                <w:szCs w:val="26"/>
                <w:lang w:val="lv-LV"/>
              </w:rPr>
              <w:lastRenderedPageBreak/>
              <w:t>noteikta 35 % apmērā</w:t>
            </w:r>
            <w:r w:rsidR="00921504" w:rsidRPr="00FB311D">
              <w:rPr>
                <w:sz w:val="26"/>
                <w:szCs w:val="26"/>
                <w:lang w:val="lv-LV"/>
              </w:rPr>
              <w:t>. Tā arī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 nav paredzētas iespējas lieliem </w:t>
            </w:r>
            <w:r w:rsidR="00921504" w:rsidRPr="00FB311D">
              <w:rPr>
                <w:sz w:val="26"/>
                <w:szCs w:val="26"/>
                <w:lang w:val="lv-LV"/>
              </w:rPr>
              <w:t>saimnieciskās darbības veicējiem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 intensitāti palielināt, kā tas ir mazu un vidēju </w:t>
            </w:r>
            <w:r w:rsidR="00921504" w:rsidRPr="00FB311D">
              <w:rPr>
                <w:sz w:val="26"/>
                <w:szCs w:val="26"/>
                <w:lang w:val="lv-LV"/>
              </w:rPr>
              <w:t>saimnieciskās darbības veicēju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 gadījumā</w:t>
            </w:r>
            <w:r w:rsidR="00921504" w:rsidRPr="00FB311D">
              <w:rPr>
                <w:sz w:val="26"/>
                <w:szCs w:val="26"/>
                <w:lang w:val="lv-LV"/>
              </w:rPr>
              <w:t xml:space="preserve">. Ņemot vērā minēto, 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noteikumu projekts </w:t>
            </w:r>
            <w:r w:rsidR="00921504" w:rsidRPr="00FB311D">
              <w:rPr>
                <w:sz w:val="26"/>
                <w:szCs w:val="26"/>
                <w:lang w:val="lv-LV"/>
              </w:rPr>
              <w:t xml:space="preserve">nosaka, ka lielie saimnieciskās darbības veicēji 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var saņemt atbalstu 35 % apmērā no kopējām </w:t>
            </w:r>
            <w:r w:rsidR="00672822" w:rsidRPr="00FB311D">
              <w:rPr>
                <w:sz w:val="26"/>
                <w:szCs w:val="26"/>
                <w:lang w:val="lv-LV"/>
              </w:rPr>
              <w:t>projekta attiecināmajām</w:t>
            </w:r>
            <w:r w:rsidR="00C52004" w:rsidRPr="00FB311D">
              <w:rPr>
                <w:sz w:val="26"/>
                <w:szCs w:val="26"/>
                <w:lang w:val="lv-LV"/>
              </w:rPr>
              <w:t xml:space="preserve"> izmaksām.</w:t>
            </w:r>
          </w:p>
          <w:p w:rsidR="00BD7AE1" w:rsidRPr="00FB311D" w:rsidRDefault="00661782" w:rsidP="00F53217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proofErr w:type="spellStart"/>
            <w:r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aizdevumi investīcijām un apgrozāmajiem līdzekļiem tiek īstenoti finanšu instrumentu veidā un tiek līdzfinansēti no 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2007.-2013.gada plānošanas perioda </w:t>
            </w:r>
            <w:r w:rsidRPr="00FB311D">
              <w:rPr>
                <w:sz w:val="26"/>
                <w:szCs w:val="26"/>
                <w:lang w:val="lv-LV"/>
              </w:rPr>
              <w:t>Eiropas Reģionālā attīstības fonda finansējuma. Ņemot vērā minēto,</w:t>
            </w:r>
            <w:r w:rsidR="00BD7AE1" w:rsidRPr="00FB311D">
              <w:rPr>
                <w:sz w:val="26"/>
                <w:szCs w:val="26"/>
                <w:lang w:val="lv-LV"/>
              </w:rPr>
              <w:t xml:space="preserve"> ir jāpiemēro Komisijas Regulas (EK) Nr.1828/2006, kas paredz noteikumus par to, kā īstenot Padomes Regulu (EK) Nr.1083/2006, ar ko paredz vispārīgus noteikumus par Eiropas Reģionālās attīstības fondu, Eiropas Sociālo fondu un Kohēzijas fondu, un Eiropas Parlamenta un Padomes Regulu (EK) Nr.1080/2006 par Eiropas Reģionālās attīstības fondu (turpmāk – </w:t>
            </w:r>
            <w:r w:rsidRPr="00FB311D">
              <w:rPr>
                <w:sz w:val="26"/>
                <w:szCs w:val="26"/>
                <w:lang w:val="lv-LV"/>
              </w:rPr>
              <w:t xml:space="preserve">Komisijas </w:t>
            </w:r>
            <w:r w:rsidR="00BD7AE1" w:rsidRPr="00FB311D">
              <w:rPr>
                <w:sz w:val="26"/>
                <w:szCs w:val="26"/>
                <w:lang w:val="lv-LV"/>
              </w:rPr>
              <w:t>Regula Nr.1828/2006)</w:t>
            </w:r>
            <w:r w:rsidR="00672822" w:rsidRPr="00FB311D">
              <w:rPr>
                <w:sz w:val="26"/>
                <w:szCs w:val="26"/>
                <w:lang w:val="lv-LV"/>
              </w:rPr>
              <w:t>, normas</w:t>
            </w:r>
            <w:r w:rsidRPr="00FB311D">
              <w:rPr>
                <w:sz w:val="26"/>
                <w:szCs w:val="26"/>
                <w:lang w:val="lv-LV"/>
              </w:rPr>
              <w:t>. Komisijas Regulas</w:t>
            </w:r>
            <w:r w:rsidR="00D455A4" w:rsidRPr="00FB311D">
              <w:rPr>
                <w:sz w:val="26"/>
                <w:szCs w:val="26"/>
                <w:lang w:val="lv-LV"/>
              </w:rPr>
              <w:t xml:space="preserve"> Nr.1828/2006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r w:rsidR="00BD7AE1" w:rsidRPr="00FB311D">
              <w:rPr>
                <w:sz w:val="26"/>
                <w:szCs w:val="26"/>
                <w:lang w:val="lv-LV"/>
              </w:rPr>
              <w:t>45.pants</w:t>
            </w:r>
            <w:r w:rsidRPr="00FB311D">
              <w:rPr>
                <w:sz w:val="26"/>
                <w:szCs w:val="26"/>
                <w:lang w:val="lv-LV"/>
              </w:rPr>
              <w:t xml:space="preserve"> nosaka, ka 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finanšu instrumentu ietvaros </w:t>
            </w:r>
            <w:r w:rsidRPr="00FB311D">
              <w:rPr>
                <w:sz w:val="26"/>
                <w:szCs w:val="26"/>
                <w:lang w:val="lv-LV"/>
              </w:rPr>
              <w:t>ieguldījumi nedrīkst</w:t>
            </w:r>
            <w:r w:rsidR="00BD7AE1" w:rsidRPr="00FB311D">
              <w:rPr>
                <w:sz w:val="26"/>
                <w:szCs w:val="26"/>
                <w:lang w:val="lv-LV"/>
              </w:rPr>
              <w:t xml:space="preserve"> tikt veikti grūtībās nonākušos uzņēmumos</w:t>
            </w:r>
            <w:r w:rsidRPr="00FB311D">
              <w:rPr>
                <w:sz w:val="26"/>
                <w:szCs w:val="26"/>
                <w:lang w:val="lv-LV"/>
              </w:rPr>
              <w:t xml:space="preserve"> saskaņā ar</w:t>
            </w:r>
            <w:r w:rsidR="00BD7AE1" w:rsidRPr="00FB311D">
              <w:rPr>
                <w:sz w:val="26"/>
                <w:szCs w:val="26"/>
                <w:lang w:val="lv-LV"/>
              </w:rPr>
              <w:t xml:space="preserve"> Kopienas 2004.gada 10.oktobra pamatnostādn</w:t>
            </w:r>
            <w:r w:rsidRPr="00FB311D">
              <w:rPr>
                <w:sz w:val="26"/>
                <w:szCs w:val="26"/>
                <w:lang w:val="lv-LV"/>
              </w:rPr>
              <w:t>ēm</w:t>
            </w:r>
            <w:r w:rsidR="00BD7AE1" w:rsidRPr="00FB311D">
              <w:rPr>
                <w:sz w:val="26"/>
                <w:szCs w:val="26"/>
                <w:lang w:val="lv-LV"/>
              </w:rPr>
              <w:t xml:space="preserve"> par valsts atbalstu grūtībās nonākušu uzņēmumu glābšanai</w:t>
            </w:r>
            <w:r w:rsidR="00E539B3" w:rsidRPr="00FB311D">
              <w:rPr>
                <w:sz w:val="26"/>
                <w:szCs w:val="26"/>
                <w:lang w:val="lv-LV"/>
              </w:rPr>
              <w:t xml:space="preserve"> (turpmāk – Kopienas pamatnostādnes)</w:t>
            </w:r>
            <w:r w:rsidRPr="00FB311D">
              <w:rPr>
                <w:sz w:val="26"/>
                <w:szCs w:val="26"/>
                <w:lang w:val="lv-LV"/>
              </w:rPr>
              <w:t xml:space="preserve">. </w:t>
            </w:r>
            <w:r w:rsidR="00E539B3" w:rsidRPr="00FB311D">
              <w:rPr>
                <w:sz w:val="26"/>
                <w:szCs w:val="26"/>
                <w:lang w:val="lv-LV"/>
              </w:rPr>
              <w:t>Tādejādi,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 neskatoties uz to, ka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jaunā </w:t>
            </w:r>
            <w:proofErr w:type="spellStart"/>
            <w:r w:rsidR="00672822" w:rsidRPr="00FB311D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672822"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672822" w:rsidRPr="00FB311D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672822" w:rsidRPr="00FB311D">
              <w:rPr>
                <w:sz w:val="26"/>
                <w:szCs w:val="26"/>
                <w:lang w:val="lv-LV"/>
              </w:rPr>
              <w:t xml:space="preserve"> atbalsta regula - 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Komisijas Regula (ES) Nr.1407/2013 par Līguma par Eiropas Savienības darbību 107. un 108.panta piemērošanu </w:t>
            </w:r>
            <w:proofErr w:type="spellStart"/>
            <w:r w:rsidR="00AE0055" w:rsidRPr="00FB311D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AE0055"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AE0055" w:rsidRPr="00FB311D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AE0055" w:rsidRPr="00FB311D">
              <w:rPr>
                <w:sz w:val="26"/>
                <w:szCs w:val="26"/>
                <w:lang w:val="lv-LV"/>
              </w:rPr>
              <w:t xml:space="preserve"> atbalstam</w:t>
            </w:r>
            <w:r w:rsidR="00445945" w:rsidRPr="00FB311D">
              <w:rPr>
                <w:sz w:val="26"/>
                <w:szCs w:val="26"/>
                <w:lang w:val="lv-LV"/>
              </w:rPr>
              <w:t xml:space="preserve"> (turpmāk – Komisijas Regula </w:t>
            </w:r>
            <w:r w:rsidR="00672822" w:rsidRPr="00FB311D">
              <w:rPr>
                <w:sz w:val="26"/>
                <w:szCs w:val="26"/>
                <w:lang w:val="lv-LV"/>
              </w:rPr>
              <w:t>Nr.1407/2013</w:t>
            </w:r>
            <w:r w:rsidR="00D455A4" w:rsidRPr="00FB311D">
              <w:rPr>
                <w:sz w:val="26"/>
                <w:szCs w:val="26"/>
                <w:lang w:val="lv-LV"/>
              </w:rPr>
              <w:t>)</w:t>
            </w:r>
            <w:r w:rsidR="00672822" w:rsidRPr="00FB311D">
              <w:rPr>
                <w:sz w:val="26"/>
                <w:szCs w:val="26"/>
                <w:lang w:val="lv-LV"/>
              </w:rPr>
              <w:t xml:space="preserve"> -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 paredz atvieglotus nosacījumus attiecībā uz grūtībās nonākušajiem uzņēmumiem, ir jānodrošina, </w:t>
            </w:r>
            <w:r w:rsidRPr="00FB311D">
              <w:rPr>
                <w:sz w:val="26"/>
                <w:szCs w:val="26"/>
                <w:lang w:val="lv-LV"/>
              </w:rPr>
              <w:t xml:space="preserve">lai </w:t>
            </w:r>
            <w:r w:rsidR="00E539B3" w:rsidRPr="00FB311D">
              <w:rPr>
                <w:sz w:val="26"/>
                <w:szCs w:val="26"/>
                <w:lang w:val="lv-LV"/>
              </w:rPr>
              <w:t>MK noteikumu Nr.241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r w:rsidR="00AE0055" w:rsidRPr="00FB311D">
              <w:rPr>
                <w:sz w:val="26"/>
                <w:szCs w:val="26"/>
                <w:lang w:val="lv-LV"/>
              </w:rPr>
              <w:t xml:space="preserve">normas vienlaikus atbilstu arī </w:t>
            </w:r>
            <w:r w:rsidRPr="00FB311D">
              <w:rPr>
                <w:sz w:val="26"/>
                <w:szCs w:val="26"/>
                <w:lang w:val="lv-LV"/>
              </w:rPr>
              <w:t>Komisijas Regulai Nr.1828/2006</w:t>
            </w:r>
            <w:r w:rsidR="00AE0055" w:rsidRPr="00FB311D">
              <w:rPr>
                <w:sz w:val="26"/>
                <w:szCs w:val="26"/>
                <w:lang w:val="lv-LV"/>
              </w:rPr>
              <w:t>. Tādejādi noteikumu projekts nosaka, ka,</w:t>
            </w:r>
            <w:r w:rsidR="00E539B3" w:rsidRPr="00FB311D">
              <w:rPr>
                <w:sz w:val="26"/>
                <w:szCs w:val="26"/>
                <w:lang w:val="lv-LV"/>
              </w:rPr>
              <w:t xml:space="preserve"> piešķirot </w:t>
            </w:r>
            <w:proofErr w:type="spellStart"/>
            <w:r w:rsidR="00E539B3" w:rsidRPr="00FB311D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E539B3" w:rsidRPr="00FB311D">
              <w:rPr>
                <w:sz w:val="26"/>
                <w:szCs w:val="26"/>
                <w:lang w:val="lv-LV"/>
              </w:rPr>
              <w:t xml:space="preserve"> aizdevumu apgrozāmo līdzekļu finansēšanai</w:t>
            </w:r>
            <w:r w:rsidR="00672822" w:rsidRPr="00FB311D">
              <w:rPr>
                <w:sz w:val="26"/>
                <w:szCs w:val="26"/>
                <w:lang w:val="lv-LV"/>
              </w:rPr>
              <w:t xml:space="preserve"> un atbalstu darījumu strukturēšanas izmaksu segšanai,</w:t>
            </w:r>
            <w:r w:rsidR="00E539B3" w:rsidRPr="00FB311D">
              <w:rPr>
                <w:sz w:val="26"/>
                <w:szCs w:val="26"/>
                <w:lang w:val="lv-LV"/>
              </w:rPr>
              <w:t xml:space="preserve"> saimnieciskā darbības veicēja atbilstība grūtībās nonākušam ir jāvērtē</w:t>
            </w:r>
            <w:r w:rsidR="00672822" w:rsidRPr="00FB311D">
              <w:rPr>
                <w:sz w:val="26"/>
                <w:szCs w:val="26"/>
                <w:lang w:val="lv-LV"/>
              </w:rPr>
              <w:t xml:space="preserve"> atbilstoš</w:t>
            </w:r>
            <w:r w:rsidR="00D455A4" w:rsidRPr="00FB311D">
              <w:rPr>
                <w:sz w:val="26"/>
                <w:szCs w:val="26"/>
                <w:lang w:val="lv-LV"/>
              </w:rPr>
              <w:t>i</w:t>
            </w:r>
            <w:r w:rsidR="00E539B3" w:rsidRPr="00FB311D">
              <w:rPr>
                <w:sz w:val="26"/>
                <w:szCs w:val="26"/>
                <w:lang w:val="lv-LV"/>
              </w:rPr>
              <w:t xml:space="preserve"> Kopienas </w:t>
            </w:r>
            <w:r w:rsidR="00672822" w:rsidRPr="00FB311D">
              <w:rPr>
                <w:sz w:val="26"/>
                <w:szCs w:val="26"/>
                <w:lang w:val="lv-LV"/>
              </w:rPr>
              <w:t>pamatnostādnēm</w:t>
            </w:r>
            <w:r w:rsidR="00E539B3" w:rsidRPr="00FB311D">
              <w:rPr>
                <w:sz w:val="26"/>
                <w:szCs w:val="26"/>
                <w:lang w:val="lv-LV"/>
              </w:rPr>
              <w:t>.</w:t>
            </w:r>
          </w:p>
          <w:p w:rsidR="00304810" w:rsidRPr="00FB311D" w:rsidRDefault="00445945" w:rsidP="00D455A4">
            <w:pPr>
              <w:ind w:firstLine="708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Komisijas Regula Nr.1407/2013 nosaka, ka, veicot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atbalsta uzskaiti un pārbaudot, vai </w:t>
            </w:r>
            <w:r w:rsidR="001655DD" w:rsidRPr="00FB311D">
              <w:rPr>
                <w:sz w:val="26"/>
                <w:szCs w:val="26"/>
                <w:lang w:val="lv-LV"/>
              </w:rPr>
              <w:t>saņemtais</w:t>
            </w:r>
            <w:r w:rsidR="001655DD"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atbalst</w:t>
            </w:r>
            <w:r w:rsidR="001655DD" w:rsidRPr="00FB311D">
              <w:rPr>
                <w:sz w:val="26"/>
                <w:szCs w:val="26"/>
                <w:lang w:val="lv-LV"/>
              </w:rPr>
              <w:t>s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r w:rsidR="001655DD" w:rsidRPr="00FB311D">
              <w:rPr>
                <w:sz w:val="26"/>
                <w:szCs w:val="26"/>
                <w:lang w:val="lv-LV"/>
              </w:rPr>
              <w:t xml:space="preserve">par </w:t>
            </w:r>
            <w:r w:rsidRPr="00FB311D">
              <w:rPr>
                <w:sz w:val="26"/>
                <w:szCs w:val="26"/>
                <w:lang w:val="lv-LV"/>
              </w:rPr>
              <w:t xml:space="preserve">kārtējo gadu un diviem iepriekšējiem kalendāra gadiem nepārsniedz Komisijas Regulas Nr.1407/2013 3.panta 2.punktā minētos </w:t>
            </w:r>
            <w:r w:rsidR="001655DD" w:rsidRPr="00FB311D">
              <w:rPr>
                <w:sz w:val="26"/>
                <w:szCs w:val="26"/>
                <w:lang w:val="lv-LV"/>
              </w:rPr>
              <w:t>ierobežojumus viena vienota uzņēmuma līmenī</w:t>
            </w:r>
            <w:r w:rsidRPr="00FB311D">
              <w:rPr>
                <w:sz w:val="26"/>
                <w:szCs w:val="26"/>
                <w:lang w:val="lv-LV"/>
              </w:rPr>
              <w:t xml:space="preserve">, </w:t>
            </w:r>
            <w:r w:rsidR="001655DD" w:rsidRPr="00FB311D">
              <w:rPr>
                <w:sz w:val="26"/>
                <w:szCs w:val="26"/>
                <w:lang w:val="lv-LV"/>
              </w:rPr>
              <w:t>ir jāvērtē</w:t>
            </w:r>
            <w:r w:rsidRPr="00FB311D">
              <w:rPr>
                <w:sz w:val="26"/>
                <w:szCs w:val="26"/>
                <w:lang w:val="lv-LV"/>
              </w:rPr>
              <w:t xml:space="preserve">, vai nav notikusi saimnieciskā darbības veicēja apvienošanās vai sadalīšanās. Attiecīgi noteikumu projekts paredz jaunas normas, kas nosaka, kādā veidā Latvijas Garantiju aģentūra  </w:t>
            </w:r>
            <w:r w:rsidR="001655DD" w:rsidRPr="00FB311D">
              <w:rPr>
                <w:sz w:val="26"/>
                <w:szCs w:val="26"/>
                <w:lang w:val="lv-LV"/>
              </w:rPr>
              <w:t xml:space="preserve">pārbauda </w:t>
            </w:r>
            <w:r w:rsidRPr="00FB311D">
              <w:rPr>
                <w:sz w:val="26"/>
                <w:szCs w:val="26"/>
                <w:lang w:val="lv-LV"/>
              </w:rPr>
              <w:t>saņemt</w:t>
            </w:r>
            <w:r w:rsidR="001655DD" w:rsidRPr="00FB311D">
              <w:rPr>
                <w:sz w:val="26"/>
                <w:szCs w:val="26"/>
                <w:lang w:val="lv-LV"/>
              </w:rPr>
              <w:t>ā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atbalst</w:t>
            </w:r>
            <w:r w:rsidR="001655DD" w:rsidRPr="00FB311D">
              <w:rPr>
                <w:sz w:val="26"/>
                <w:szCs w:val="26"/>
                <w:lang w:val="lv-LV"/>
              </w:rPr>
              <w:t>a apmēru, ja uzņēmums ir sadalījies vai apvienojies.</w:t>
            </w:r>
            <w:r w:rsidRPr="00FB311D">
              <w:rPr>
                <w:sz w:val="26"/>
                <w:szCs w:val="26"/>
                <w:lang w:val="lv-LV"/>
              </w:rPr>
              <w:t xml:space="preserve"> </w:t>
            </w:r>
          </w:p>
          <w:p w:rsidR="00D455A4" w:rsidRPr="00FB311D" w:rsidRDefault="00D455A4" w:rsidP="00D455A4">
            <w:pPr>
              <w:ind w:firstLine="708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EA6CD3" w:rsidRPr="00FB311D" w:rsidTr="00CB6AC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255BAC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Projekta izstrādē iesaistītās 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B868AD" w:rsidP="00CB6AC4">
            <w:pPr>
              <w:ind w:firstLine="720"/>
              <w:jc w:val="both"/>
              <w:rPr>
                <w:bCs/>
                <w:sz w:val="26"/>
                <w:szCs w:val="26"/>
                <w:lang w:val="lv-LV"/>
              </w:rPr>
            </w:pPr>
            <w:r w:rsidRPr="00FB311D">
              <w:rPr>
                <w:iCs/>
                <w:sz w:val="26"/>
                <w:szCs w:val="26"/>
                <w:lang w:val="lv-LV"/>
              </w:rPr>
              <w:lastRenderedPageBreak/>
              <w:t>Latvijas Garantiju aģentūra</w:t>
            </w:r>
            <w:r w:rsidR="00EA6CD3" w:rsidRPr="00FB311D">
              <w:rPr>
                <w:color w:val="000000"/>
                <w:sz w:val="26"/>
                <w:szCs w:val="26"/>
                <w:lang w:val="lv-LV"/>
              </w:rPr>
              <w:t xml:space="preserve"> </w:t>
            </w:r>
          </w:p>
        </w:tc>
      </w:tr>
      <w:tr w:rsidR="00B300C7" w:rsidRPr="00FB311D" w:rsidTr="00CB6AC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300C7" w:rsidRPr="00FB311D" w:rsidRDefault="00B300C7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300C7" w:rsidRPr="00FB311D" w:rsidRDefault="00B300C7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300C7" w:rsidRPr="00FB311D" w:rsidRDefault="00B300C7" w:rsidP="00CB6AC4">
            <w:pPr>
              <w:ind w:firstLine="720"/>
              <w:jc w:val="both"/>
              <w:rPr>
                <w:iCs/>
                <w:sz w:val="26"/>
                <w:szCs w:val="26"/>
                <w:lang w:val="lv-LV"/>
              </w:rPr>
            </w:pPr>
            <w:r w:rsidRPr="00FB311D">
              <w:rPr>
                <w:iCs/>
                <w:sz w:val="26"/>
                <w:szCs w:val="26"/>
                <w:lang w:val="lv-LV"/>
              </w:rPr>
              <w:t>Nav</w:t>
            </w:r>
          </w:p>
        </w:tc>
      </w:tr>
    </w:tbl>
    <w:p w:rsidR="00EA6CD3" w:rsidRPr="00FB311D" w:rsidRDefault="00EA6CD3" w:rsidP="00EA6CD3">
      <w:pPr>
        <w:jc w:val="both"/>
        <w:rPr>
          <w:rFonts w:eastAsia="Times New Roman"/>
          <w:sz w:val="26"/>
          <w:szCs w:val="26"/>
          <w:lang w:val="lv-LV" w:eastAsia="lv-LV"/>
        </w:rPr>
        <w:sectPr w:rsidR="00EA6CD3" w:rsidRPr="00FB311D" w:rsidSect="00CB6AC4">
          <w:headerReference w:type="default" r:id="rId9"/>
          <w:footerReference w:type="default" r:id="rId10"/>
          <w:footerReference w:type="first" r:id="rId11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ED4255" w:rsidRPr="00FB311D" w:rsidRDefault="00ED4255" w:rsidP="00A23E8B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EA6CD3" w:rsidRPr="00FB311D" w:rsidTr="00CB6AC4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ind w:firstLine="720"/>
              <w:jc w:val="center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  <w:r w:rsidR="00255BAC" w:rsidRPr="00FB311D">
              <w:rPr>
                <w:rFonts w:eastAsia="Times New Roman"/>
                <w:b/>
                <w:sz w:val="26"/>
                <w:szCs w:val="26"/>
                <w:lang w:val="lv-LV" w:eastAsia="lv-LV"/>
              </w:rPr>
              <w:t>, tautsaimniecības attīstību un administratīvo slogu</w:t>
            </w:r>
          </w:p>
        </w:tc>
      </w:tr>
      <w:tr w:rsidR="00EA6CD3" w:rsidRPr="00FB311D" w:rsidTr="00CB6AC4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mērķgrupa</w:t>
            </w:r>
            <w:r w:rsidR="00255BAC" w:rsidRPr="00FB311D">
              <w:rPr>
                <w:rFonts w:eastAsia="Times New Roman"/>
                <w:sz w:val="26"/>
                <w:szCs w:val="26"/>
                <w:lang w:val="lv-LV" w:eastAsia="lv-LV"/>
              </w:rPr>
              <w:t>s</w:t>
            </w:r>
            <w:proofErr w:type="spellEnd"/>
            <w:r w:rsidR="00255BAC" w:rsidRPr="00FB311D">
              <w:rPr>
                <w:rFonts w:eastAsia="Times New Roman"/>
                <w:sz w:val="26"/>
                <w:szCs w:val="26"/>
                <w:lang w:val="lv-LV" w:eastAsia="lv-LV"/>
              </w:rPr>
              <w:t>, kurs tiesiskais regulējums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646A6F" w:rsidP="00E7567F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>Latvijā reģistrēti saimnieciskās darbības veicēji</w:t>
            </w:r>
          </w:p>
        </w:tc>
      </w:tr>
      <w:tr w:rsidR="00EA6CD3" w:rsidRPr="00FB311D" w:rsidTr="00CB6AC4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255BAC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7567F" w:rsidP="00A23E8B">
            <w:pPr>
              <w:pStyle w:val="BodyText"/>
              <w:ind w:right="142" w:firstLine="720"/>
              <w:rPr>
                <w:iCs/>
                <w:sz w:val="26"/>
                <w:szCs w:val="26"/>
              </w:rPr>
            </w:pPr>
            <w:r w:rsidRPr="00FB311D">
              <w:rPr>
                <w:iCs/>
                <w:sz w:val="26"/>
                <w:szCs w:val="26"/>
              </w:rPr>
              <w:t>Noteikumu projekts neparedz ietekmi uz administratīvo slogu.</w:t>
            </w:r>
          </w:p>
          <w:p w:rsidR="00E7567F" w:rsidRPr="00FB311D" w:rsidRDefault="00E7567F" w:rsidP="00A23E8B">
            <w:pPr>
              <w:pStyle w:val="BodyText"/>
              <w:ind w:right="142" w:firstLine="720"/>
              <w:rPr>
                <w:iCs/>
                <w:sz w:val="26"/>
                <w:szCs w:val="26"/>
              </w:rPr>
            </w:pPr>
            <w:r w:rsidRPr="00FB311D">
              <w:rPr>
                <w:iCs/>
                <w:sz w:val="26"/>
                <w:szCs w:val="26"/>
              </w:rPr>
              <w:t xml:space="preserve">Noteikumu projekts sniedz ieguldījumu tautsaimniecībā, nodrošinot finansējuma pieejamību saimnieciskās darbības veicējiem to izaugsmei. </w:t>
            </w:r>
          </w:p>
        </w:tc>
      </w:tr>
      <w:tr w:rsidR="00EA6CD3" w:rsidRPr="00FB311D" w:rsidTr="00CB6AC4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255BAC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D06E8" w:rsidRPr="00FB311D" w:rsidRDefault="00255BAC" w:rsidP="001D0800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Projekts šo jomu neskar</w:t>
            </w:r>
          </w:p>
        </w:tc>
      </w:tr>
      <w:tr w:rsidR="00EA6CD3" w:rsidRPr="00FB311D" w:rsidTr="00CB6AC4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2A0BC1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4</w:t>
            </w:r>
            <w:r w:rsidR="00EA6CD3" w:rsidRPr="00FB311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B300C7" w:rsidP="00CB6AC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:rsidR="00895E41" w:rsidRPr="00FB311D" w:rsidRDefault="00895E41">
      <w:pPr>
        <w:rPr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EA6CD3" w:rsidRPr="00FB311D" w:rsidTr="003C3D3D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EA6CD3" w:rsidRPr="00FB311D" w:rsidTr="003C3D3D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7567F" w:rsidP="00E7567F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projekts šo jomu neskar</w:t>
            </w:r>
          </w:p>
        </w:tc>
      </w:tr>
      <w:tr w:rsidR="002A0BC1" w:rsidRPr="00FB311D" w:rsidTr="003C3D3D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0BC1" w:rsidRPr="00FB311D" w:rsidRDefault="002A0BC1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0BC1" w:rsidRPr="00FB311D" w:rsidRDefault="002A0BC1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0BC1" w:rsidRPr="00FB311D" w:rsidRDefault="002A0BC1" w:rsidP="00D217AC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Ekonomikas ministrija</w:t>
            </w:r>
          </w:p>
        </w:tc>
      </w:tr>
      <w:tr w:rsidR="00EA6CD3" w:rsidRPr="00FB311D" w:rsidTr="003C3D3D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2A0BC1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3</w:t>
            </w:r>
            <w:r w:rsidR="00EA6CD3" w:rsidRPr="00FB311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5B476F" w:rsidP="00D455A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Pēc noteikumu projekta spēkā </w:t>
            </w:r>
            <w:r w:rsidR="00D455A4" w:rsidRPr="00FB311D">
              <w:rPr>
                <w:rFonts w:eastAsia="Times New Roman"/>
                <w:sz w:val="26"/>
                <w:szCs w:val="26"/>
                <w:lang w:val="lv-LV" w:eastAsia="lv-LV"/>
              </w:rPr>
              <w:t>stāšanās,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tiks veikti grozījumi līgumā ar </w:t>
            </w:r>
            <w:r w:rsidR="00D455A4" w:rsidRPr="00FB311D">
              <w:rPr>
                <w:rFonts w:eastAsia="Times New Roman"/>
                <w:sz w:val="26"/>
                <w:szCs w:val="26"/>
                <w:lang w:val="lv-LV" w:eastAsia="lv-LV"/>
              </w:rPr>
              <w:t>Latvijas Garantiju aģentūru.</w:t>
            </w:r>
          </w:p>
        </w:tc>
      </w:tr>
    </w:tbl>
    <w:p w:rsidR="00ED4255" w:rsidRPr="00FB311D" w:rsidRDefault="00ED4255" w:rsidP="00EA6CD3">
      <w:pPr>
        <w:rPr>
          <w:sz w:val="26"/>
          <w:szCs w:val="26"/>
          <w:lang w:val="lv-LV"/>
        </w:rPr>
      </w:pPr>
    </w:p>
    <w:tbl>
      <w:tblPr>
        <w:tblW w:w="4803" w:type="pct"/>
        <w:tblCellSpacing w:w="15" w:type="dxa"/>
        <w:tblInd w:w="102" w:type="dxa"/>
        <w:tblBorders>
          <w:top w:val="thickThinLargeGap" w:sz="6" w:space="0" w:color="C0C0C0"/>
          <w:left w:val="thickThinLargeGap" w:sz="6" w:space="0" w:color="C0C0C0"/>
          <w:bottom w:val="thinThickLargeGap" w:sz="6" w:space="0" w:color="C0C0C0"/>
          <w:right w:val="thinThickLargeGap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"/>
        <w:gridCol w:w="1710"/>
        <w:gridCol w:w="73"/>
        <w:gridCol w:w="412"/>
        <w:gridCol w:w="1274"/>
        <w:gridCol w:w="112"/>
        <w:gridCol w:w="1374"/>
        <w:gridCol w:w="76"/>
        <w:gridCol w:w="3536"/>
      </w:tblGrid>
      <w:tr w:rsidR="00EA6CD3" w:rsidRPr="00FB311D" w:rsidTr="00CB6AC4">
        <w:trPr>
          <w:tblCellSpacing w:w="15" w:type="dxa"/>
        </w:trPr>
        <w:tc>
          <w:tcPr>
            <w:tcW w:w="4966" w:type="pct"/>
            <w:gridSpan w:val="9"/>
            <w:shd w:val="clear" w:color="auto" w:fill="auto"/>
            <w:hideMark/>
          </w:tcPr>
          <w:p w:rsidR="00EA6CD3" w:rsidRPr="00FB311D" w:rsidRDefault="00EA6CD3" w:rsidP="00CB6AC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6D1520" w:rsidRPr="00FB311D" w:rsidTr="00171E97">
        <w:trPr>
          <w:tblCellSpacing w:w="15" w:type="dxa"/>
        </w:trPr>
        <w:tc>
          <w:tcPr>
            <w:tcW w:w="177" w:type="pct"/>
            <w:shd w:val="clear" w:color="auto" w:fill="auto"/>
            <w:hideMark/>
          </w:tcPr>
          <w:p w:rsidR="00EA6CD3" w:rsidRPr="00FB311D" w:rsidRDefault="00EA6CD3" w:rsidP="00CB6AC4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248" w:type="pct"/>
            <w:gridSpan w:val="3"/>
            <w:shd w:val="clear" w:color="auto" w:fill="auto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507" w:type="pct"/>
            <w:gridSpan w:val="5"/>
            <w:shd w:val="clear" w:color="auto" w:fill="auto"/>
            <w:hideMark/>
          </w:tcPr>
          <w:p w:rsidR="00EA6CD3" w:rsidRPr="00FB311D" w:rsidRDefault="0025023B" w:rsidP="00D455A4">
            <w:pPr>
              <w:ind w:firstLine="364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Noteikumu projekts paredz Komisijas Regulas Nr.</w:t>
            </w:r>
            <w:r w:rsidR="00D455A4" w:rsidRPr="00FB311D">
              <w:rPr>
                <w:rFonts w:eastAsia="Times New Roman"/>
                <w:sz w:val="26"/>
                <w:szCs w:val="26"/>
                <w:lang w:val="lv-LV" w:eastAsia="lv-LV"/>
              </w:rPr>
              <w:t>651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/2014 </w:t>
            </w:r>
            <w:r w:rsidR="00D455A4"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un Komisijas Regulas Nr.1407/2013 normu 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ieviešanu.</w:t>
            </w:r>
          </w:p>
        </w:tc>
      </w:tr>
      <w:tr w:rsidR="006D1520" w:rsidRPr="00FB311D" w:rsidTr="00171E97">
        <w:trPr>
          <w:tblCellSpacing w:w="15" w:type="dxa"/>
        </w:trPr>
        <w:tc>
          <w:tcPr>
            <w:tcW w:w="177" w:type="pct"/>
            <w:shd w:val="clear" w:color="auto" w:fill="auto"/>
            <w:hideMark/>
          </w:tcPr>
          <w:p w:rsidR="00EA6CD3" w:rsidRPr="00FB311D" w:rsidRDefault="00EA6CD3" w:rsidP="00CB6AC4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248" w:type="pct"/>
            <w:gridSpan w:val="3"/>
            <w:shd w:val="clear" w:color="auto" w:fill="auto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507" w:type="pct"/>
            <w:gridSpan w:val="5"/>
            <w:shd w:val="clear" w:color="auto" w:fill="auto"/>
            <w:hideMark/>
          </w:tcPr>
          <w:p w:rsidR="00EA6CD3" w:rsidRPr="00FB311D" w:rsidRDefault="00EA6CD3" w:rsidP="00CB6AC4">
            <w:pPr>
              <w:ind w:firstLine="34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</w:tc>
      </w:tr>
      <w:tr w:rsidR="006D1520" w:rsidRPr="00FB311D" w:rsidTr="00171E97">
        <w:trPr>
          <w:tblCellSpacing w:w="15" w:type="dxa"/>
        </w:trPr>
        <w:tc>
          <w:tcPr>
            <w:tcW w:w="177" w:type="pct"/>
            <w:shd w:val="clear" w:color="auto" w:fill="auto"/>
            <w:hideMark/>
          </w:tcPr>
          <w:p w:rsidR="00EA6CD3" w:rsidRPr="00FB311D" w:rsidRDefault="00EA6CD3" w:rsidP="00CB6AC4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248" w:type="pct"/>
            <w:gridSpan w:val="3"/>
            <w:shd w:val="clear" w:color="auto" w:fill="auto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507" w:type="pct"/>
            <w:gridSpan w:val="5"/>
            <w:shd w:val="clear" w:color="auto" w:fill="auto"/>
            <w:hideMark/>
          </w:tcPr>
          <w:p w:rsidR="00EA6CD3" w:rsidRPr="00FB311D" w:rsidRDefault="00EA6CD3" w:rsidP="00CB6AC4">
            <w:pPr>
              <w:ind w:firstLine="34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EA6CD3" w:rsidRPr="00FB311D" w:rsidTr="00CB6AC4">
        <w:trPr>
          <w:tblCellSpacing w:w="15" w:type="dxa"/>
        </w:trPr>
        <w:tc>
          <w:tcPr>
            <w:tcW w:w="4966" w:type="pct"/>
            <w:gridSpan w:val="9"/>
            <w:shd w:val="clear" w:color="auto" w:fill="auto"/>
            <w:vAlign w:val="center"/>
            <w:hideMark/>
          </w:tcPr>
          <w:p w:rsidR="00EA6CD3" w:rsidRPr="00FB311D" w:rsidRDefault="00EA6CD3" w:rsidP="00CB6AC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1.tabula</w:t>
            </w:r>
            <w:r w:rsidRPr="00FB311D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EA6CD3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  <w:vAlign w:val="center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Attiecīgā ES tiesību akta datums, numurs un nosaukums</w:t>
            </w:r>
          </w:p>
        </w:tc>
        <w:tc>
          <w:tcPr>
            <w:tcW w:w="3795" w:type="pct"/>
            <w:gridSpan w:val="7"/>
            <w:shd w:val="clear" w:color="auto" w:fill="auto"/>
            <w:vAlign w:val="center"/>
            <w:hideMark/>
          </w:tcPr>
          <w:p w:rsidR="0025023B" w:rsidRPr="00FB311D" w:rsidRDefault="00F53217" w:rsidP="0025023B">
            <w:pPr>
              <w:spacing w:after="120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Komisijas 2014.gada 17.jūnija Regula (ES) Nr.651/2014, ar ko noteiktas atbalsta kategorijas atzīst par saderīgām ar iekšējo tirgu, piemērojot Līguma 107. un 108. pantu (vispārējā grupu atbrīvojuma regula) (Eiropas Savienības Oficiālais Vēstnesis, </w:t>
            </w:r>
            <w:r w:rsidRPr="00FB311D">
              <w:rPr>
                <w:sz w:val="26"/>
                <w:szCs w:val="26"/>
                <w:lang w:val="lv-LV"/>
              </w:rPr>
              <w:lastRenderedPageBreak/>
              <w:t>2014. gada 26. jūnijs, L 187).</w:t>
            </w:r>
          </w:p>
          <w:p w:rsidR="00D455A4" w:rsidRPr="00FB311D" w:rsidRDefault="00D455A4" w:rsidP="0025023B">
            <w:pPr>
              <w:spacing w:after="120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Komisijas 2013. gada 18. decembra Regula (ES) Nr.1407/2013 par Līguma par Eiropas Savienības darbību 107. un 108. panta piemērošanu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FB311D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B311D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 xml:space="preserve"> atbalstam (Eiropas Savienības Oficiālais Vēstnesis, 2013. gada 24. decembris, </w:t>
            </w:r>
            <w:proofErr w:type="spellStart"/>
            <w:r w:rsidRPr="00FB311D">
              <w:rPr>
                <w:sz w:val="26"/>
                <w:szCs w:val="26"/>
                <w:lang w:val="lv-LV"/>
              </w:rPr>
              <w:t>Nr</w:t>
            </w:r>
            <w:proofErr w:type="spellEnd"/>
            <w:r w:rsidRPr="00FB311D">
              <w:rPr>
                <w:sz w:val="26"/>
                <w:szCs w:val="26"/>
                <w:lang w:val="lv-LV"/>
              </w:rPr>
              <w:t>. L 352).</w:t>
            </w:r>
          </w:p>
          <w:p w:rsidR="0043554A" w:rsidRPr="00FB311D" w:rsidRDefault="0025023B" w:rsidP="0025023B">
            <w:pPr>
              <w:spacing w:after="120"/>
              <w:jc w:val="both"/>
              <w:rPr>
                <w:sz w:val="26"/>
                <w:szCs w:val="26"/>
                <w:lang w:val="lv-LV"/>
              </w:rPr>
            </w:pPr>
            <w:r w:rsidRPr="00FB311D">
              <w:rPr>
                <w:sz w:val="26"/>
                <w:szCs w:val="26"/>
                <w:lang w:val="lv-LV"/>
              </w:rPr>
              <w:t xml:space="preserve">Komisijas lēmums SA.38385 „Reģionālā atbalsta karte Latvijai (2014-2020)” </w:t>
            </w:r>
          </w:p>
        </w:tc>
      </w:tr>
      <w:tr w:rsidR="00EA6CD3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  <w:vAlign w:val="center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D</w:t>
            </w:r>
          </w:p>
        </w:tc>
      </w:tr>
      <w:tr w:rsidR="00EA6CD3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  <w:hideMark/>
          </w:tcPr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Attiecīgā ES tiesību akta panta numurs (uzskaitot katru tiesību akta </w:t>
            </w:r>
            <w:r w:rsidRPr="00FB311D">
              <w:rPr>
                <w:sz w:val="26"/>
                <w:szCs w:val="26"/>
              </w:rPr>
              <w:br/>
              <w:t>vienību – pantu, daļu, punktu, apakšpunktu)</w:t>
            </w: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Projekta vienība, kas pārņem vai ievieš katru šīs tabulas A ailē minēto ES tiesību akta vienību</w:t>
            </w:r>
          </w:p>
        </w:tc>
        <w:tc>
          <w:tcPr>
            <w:tcW w:w="755" w:type="pct"/>
            <w:gridSpan w:val="2"/>
            <w:shd w:val="clear" w:color="auto" w:fill="auto"/>
            <w:hideMark/>
          </w:tcPr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Informācija par to, vai šīs tabulas A ailē minētās ES tiesību akta vienības tiek pārņemtas vai ieviestas pilnībā vai daļēji.</w:t>
            </w:r>
          </w:p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Norāda institūciju, kas ir atbildīga par šo saistību izpildi </w:t>
            </w:r>
            <w:r w:rsidRPr="00FB311D">
              <w:rPr>
                <w:sz w:val="26"/>
                <w:szCs w:val="26"/>
              </w:rPr>
              <w:lastRenderedPageBreak/>
              <w:t>pilnībā</w:t>
            </w:r>
          </w:p>
        </w:tc>
        <w:tc>
          <w:tcPr>
            <w:tcW w:w="2008" w:type="pct"/>
            <w:gridSpan w:val="2"/>
            <w:shd w:val="clear" w:color="auto" w:fill="auto"/>
            <w:hideMark/>
          </w:tcPr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FB311D">
                <w:rPr>
                  <w:sz w:val="26"/>
                  <w:szCs w:val="26"/>
                </w:rPr>
                <w:t>akts</w:t>
              </w:r>
            </w:smartTag>
            <w:r w:rsidRPr="00FB311D">
              <w:rPr>
                <w:sz w:val="26"/>
                <w:szCs w:val="26"/>
              </w:rPr>
              <w:t>, – norāda pamatojumu un samērīgumu.</w:t>
            </w:r>
          </w:p>
          <w:p w:rsidR="00EA6CD3" w:rsidRPr="00FB311D" w:rsidRDefault="00EA6CD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Norāda iespējamās alternatīvas (</w:t>
            </w:r>
            <w:proofErr w:type="spellStart"/>
            <w:r w:rsidRPr="00FB311D">
              <w:rPr>
                <w:sz w:val="26"/>
                <w:szCs w:val="26"/>
              </w:rPr>
              <w:t>t.sk</w:t>
            </w:r>
            <w:proofErr w:type="spellEnd"/>
            <w:r w:rsidRPr="00FB311D">
              <w:rPr>
                <w:sz w:val="26"/>
                <w:szCs w:val="26"/>
              </w:rPr>
              <w:t>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32793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</w:tcPr>
          <w:p w:rsidR="00B32793" w:rsidRPr="00FB311D" w:rsidRDefault="00F53217" w:rsidP="00F53217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lastRenderedPageBreak/>
              <w:t>Komisijas Regulas Nr.651</w:t>
            </w:r>
            <w:r w:rsidR="003B63BE" w:rsidRPr="00FB311D">
              <w:rPr>
                <w:sz w:val="26"/>
                <w:szCs w:val="26"/>
              </w:rPr>
              <w:t>/2014 1.pielikums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3B63BE" w:rsidRPr="00FB311D" w:rsidRDefault="00B32793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B32793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1</w:t>
            </w:r>
            <w:r w:rsidR="00B32793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B32793" w:rsidRPr="00FB311D" w:rsidRDefault="00B3279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shd w:val="clear" w:color="auto" w:fill="auto"/>
          </w:tcPr>
          <w:p w:rsidR="00B32793" w:rsidRPr="00FB311D" w:rsidRDefault="00B32793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0D43D9" w:rsidRPr="00FB311D" w:rsidTr="00A32A3F">
        <w:trPr>
          <w:tblCellSpacing w:w="15" w:type="dxa"/>
        </w:trPr>
        <w:tc>
          <w:tcPr>
            <w:tcW w:w="1155" w:type="pct"/>
            <w:gridSpan w:val="2"/>
            <w:shd w:val="clear" w:color="auto" w:fill="auto"/>
          </w:tcPr>
          <w:p w:rsidR="000D43D9" w:rsidRPr="00FB311D" w:rsidRDefault="003B63BE" w:rsidP="006775B3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Regulas Nr.</w:t>
            </w:r>
            <w:r w:rsidR="00F53217" w:rsidRPr="00FB311D">
              <w:rPr>
                <w:sz w:val="26"/>
                <w:szCs w:val="26"/>
              </w:rPr>
              <w:t>651</w:t>
            </w:r>
            <w:r w:rsidRPr="00FB311D">
              <w:rPr>
                <w:sz w:val="26"/>
                <w:szCs w:val="26"/>
              </w:rPr>
              <w:t>/2014  1.panta 2.punkts, 1.panta 3.punkts, 13.panta  a) punkts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3B63BE" w:rsidRPr="00FB311D" w:rsidRDefault="000D43D9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0D43D9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3</w:t>
            </w:r>
            <w:r w:rsidR="000D43D9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0D43D9" w:rsidRPr="00FB311D" w:rsidRDefault="000D43D9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shd w:val="clear" w:color="auto" w:fill="auto"/>
          </w:tcPr>
          <w:p w:rsidR="000D43D9" w:rsidRPr="00FB311D" w:rsidRDefault="000D43D9" w:rsidP="00CB6AC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3B63BE" w:rsidRPr="00FB311D" w:rsidTr="00171E97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3B63BE" w:rsidRPr="00FB311D" w:rsidRDefault="003B63BE" w:rsidP="00F53217">
            <w:pPr>
              <w:rPr>
                <w:sz w:val="26"/>
                <w:szCs w:val="26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Komisijas Regulas Nr.</w:t>
            </w:r>
            <w:r w:rsidR="00F53217" w:rsidRPr="00FB311D">
              <w:rPr>
                <w:rFonts w:eastAsia="Times New Roman"/>
                <w:sz w:val="26"/>
                <w:szCs w:val="26"/>
                <w:lang w:val="lv-LV" w:eastAsia="lv-LV"/>
              </w:rPr>
              <w:t>651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/2014 1.panta 3.punkts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3B63BE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3B63BE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4.punkts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3B63BE" w:rsidRPr="00FB311D" w:rsidRDefault="003B63BE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  <w:hideMark/>
          </w:tcPr>
          <w:p w:rsidR="003B63BE" w:rsidRPr="00FB311D" w:rsidRDefault="003B63BE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3B63BE" w:rsidRPr="00FB311D" w:rsidTr="00171E97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3B63BE" w:rsidP="00F53217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Komisijas Regulas Nr.</w:t>
            </w:r>
            <w:r w:rsidR="00F53217" w:rsidRPr="00FB311D">
              <w:rPr>
                <w:rFonts w:eastAsia="Times New Roman"/>
                <w:sz w:val="26"/>
                <w:szCs w:val="26"/>
                <w:lang w:val="lv-LV" w:eastAsia="lv-LV"/>
              </w:rPr>
              <w:t>651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/2014 1.panta 4.punkta a) apakšpunkts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3B63BE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5.punkts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3B63BE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3B63BE" w:rsidRPr="00FB311D" w:rsidRDefault="003B63BE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DB3721" w:rsidRPr="00FB311D" w:rsidTr="00171E97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B3721" w:rsidRPr="00FB311D" w:rsidRDefault="003B63BE" w:rsidP="00F53217">
            <w:pPr>
              <w:pStyle w:val="naiskr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</w:t>
            </w:r>
            <w:r w:rsidR="00DB3721" w:rsidRPr="00FB311D">
              <w:rPr>
                <w:sz w:val="26"/>
                <w:szCs w:val="26"/>
              </w:rPr>
              <w:t>egulas Nr.</w:t>
            </w:r>
            <w:r w:rsidR="00F53217" w:rsidRPr="00FB311D">
              <w:rPr>
                <w:sz w:val="26"/>
                <w:szCs w:val="26"/>
              </w:rPr>
              <w:t>651</w:t>
            </w:r>
            <w:r w:rsidRPr="00FB311D">
              <w:rPr>
                <w:sz w:val="26"/>
                <w:szCs w:val="26"/>
              </w:rPr>
              <w:t>/2014</w:t>
            </w:r>
            <w:r w:rsidR="00DB3721" w:rsidRPr="00FB311D">
              <w:rPr>
                <w:sz w:val="26"/>
                <w:szCs w:val="26"/>
              </w:rPr>
              <w:t xml:space="preserve"> </w:t>
            </w:r>
            <w:r w:rsidRPr="00FB311D">
              <w:rPr>
                <w:sz w:val="26"/>
                <w:szCs w:val="26"/>
              </w:rPr>
              <w:t>2.panta 41., 49., 51.punkts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DB3721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DB3721" w:rsidRPr="00FB311D" w:rsidRDefault="003B63BE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6.punkts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B3721" w:rsidRPr="00FB311D" w:rsidRDefault="00DB3721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DB3721" w:rsidRPr="00FB311D" w:rsidRDefault="00DB3721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F70443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3B63BE" w:rsidP="00F53217">
            <w:pPr>
              <w:pStyle w:val="naiskr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Regulas Nr.</w:t>
            </w:r>
            <w:r w:rsidR="00F53217" w:rsidRPr="00FB311D">
              <w:rPr>
                <w:sz w:val="26"/>
                <w:szCs w:val="26"/>
              </w:rPr>
              <w:t>651</w:t>
            </w:r>
            <w:r w:rsidRPr="00FB311D">
              <w:rPr>
                <w:sz w:val="26"/>
                <w:szCs w:val="26"/>
              </w:rPr>
              <w:t>/2014 14.panta 6.punkts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F70443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F70443" w:rsidRPr="00FB311D" w:rsidRDefault="00B9742D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6</w:t>
            </w:r>
            <w:r w:rsidR="003B63BE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F70443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3B63BE" w:rsidP="00F53217">
            <w:pPr>
              <w:pStyle w:val="naiskr"/>
              <w:jc w:val="both"/>
              <w:rPr>
                <w:sz w:val="26"/>
                <w:szCs w:val="26"/>
                <w:highlight w:val="yellow"/>
              </w:rPr>
            </w:pPr>
            <w:r w:rsidRPr="00FB311D">
              <w:rPr>
                <w:sz w:val="26"/>
                <w:szCs w:val="26"/>
              </w:rPr>
              <w:t>Komisijas Regulas Nr.</w:t>
            </w:r>
            <w:r w:rsidR="00F53217" w:rsidRPr="00FB311D">
              <w:rPr>
                <w:sz w:val="26"/>
                <w:szCs w:val="26"/>
              </w:rPr>
              <w:t>651</w:t>
            </w:r>
            <w:r w:rsidRPr="00FB311D">
              <w:rPr>
                <w:sz w:val="26"/>
                <w:szCs w:val="26"/>
              </w:rPr>
              <w:t>/2014 14.panta 8.punkts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F70443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F70443" w:rsidRPr="00FB311D" w:rsidRDefault="00B9742D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6</w:t>
            </w:r>
            <w:r w:rsidR="003B63BE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F70443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3B63BE" w:rsidP="00F53217">
            <w:pPr>
              <w:pStyle w:val="naiskr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Regulas Nr.</w:t>
            </w:r>
            <w:r w:rsidR="00F53217" w:rsidRPr="00FB311D">
              <w:rPr>
                <w:sz w:val="26"/>
                <w:szCs w:val="26"/>
              </w:rPr>
              <w:t>651</w:t>
            </w:r>
            <w:r w:rsidRPr="00FB311D">
              <w:rPr>
                <w:sz w:val="26"/>
                <w:szCs w:val="26"/>
              </w:rPr>
              <w:t>/2014 14.panta 5.punkts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F70443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</w:p>
          <w:p w:rsidR="00F70443" w:rsidRPr="00FB311D" w:rsidRDefault="00B9742D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6</w:t>
            </w:r>
            <w:r w:rsidR="003B63BE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F70443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3B63BE" w:rsidP="00F53217">
            <w:pPr>
              <w:pStyle w:val="naiskr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Komisijas Regulas </w:t>
            </w:r>
            <w:r w:rsidRPr="00FB311D">
              <w:rPr>
                <w:sz w:val="26"/>
                <w:szCs w:val="26"/>
              </w:rPr>
              <w:lastRenderedPageBreak/>
              <w:t>Nr.</w:t>
            </w:r>
            <w:r w:rsidR="00F53217" w:rsidRPr="00FB311D">
              <w:rPr>
                <w:sz w:val="26"/>
                <w:szCs w:val="26"/>
              </w:rPr>
              <w:t>651</w:t>
            </w:r>
            <w:r w:rsidRPr="00FB311D">
              <w:rPr>
                <w:sz w:val="26"/>
                <w:szCs w:val="26"/>
              </w:rPr>
              <w:t>/2014 6.panta 2.punkts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F70443" w:rsidP="00B9742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lastRenderedPageBreak/>
              <w:t xml:space="preserve">Noteikumu projekta </w:t>
            </w:r>
            <w:r w:rsidR="00B9742D" w:rsidRPr="00FB311D">
              <w:rPr>
                <w:sz w:val="26"/>
                <w:szCs w:val="26"/>
              </w:rPr>
              <w:lastRenderedPageBreak/>
              <w:t>6</w:t>
            </w:r>
            <w:r w:rsidR="003B63BE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lastRenderedPageBreak/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F70443" w:rsidRPr="00FB311D" w:rsidRDefault="00F70443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3F30FC" w:rsidRPr="00FB311D" w:rsidTr="00171E97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F30FC" w:rsidRPr="00FB311D" w:rsidRDefault="003F30FC" w:rsidP="00684808">
            <w:pPr>
              <w:pStyle w:val="naiskr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lastRenderedPageBreak/>
              <w:t xml:space="preserve">Komisijas Regulas Nr.651/2014 14.panta </w:t>
            </w:r>
            <w:r w:rsidR="00684808" w:rsidRPr="00FB311D">
              <w:rPr>
                <w:sz w:val="26"/>
                <w:szCs w:val="26"/>
              </w:rPr>
              <w:t>7.punkts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F30FC" w:rsidRPr="00FB311D" w:rsidRDefault="003F30FC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Noteikumu projekta </w:t>
            </w:r>
            <w:r w:rsidR="004B0B1D" w:rsidRPr="00FB311D">
              <w:rPr>
                <w:sz w:val="26"/>
                <w:szCs w:val="26"/>
              </w:rPr>
              <w:t>7</w:t>
            </w:r>
            <w:r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F30FC" w:rsidRPr="00FB311D" w:rsidRDefault="003F30FC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3F30FC" w:rsidRPr="00FB311D" w:rsidRDefault="003F30FC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A32A3F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D5CF7" w:rsidRPr="00FB311D" w:rsidRDefault="00ED5CF7" w:rsidP="00B32793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Komisijas Regulas Nr.651/2014 8.panta </w:t>
            </w:r>
            <w:r w:rsidR="00954428" w:rsidRPr="00FB311D">
              <w:rPr>
                <w:sz w:val="26"/>
                <w:szCs w:val="26"/>
              </w:rPr>
              <w:t>3. līdz 5.punkts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D5CF7" w:rsidRPr="00FB311D" w:rsidRDefault="00ED5CF7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projekta 1</w:t>
            </w:r>
            <w:r w:rsidR="004B0B1D" w:rsidRPr="00FB311D">
              <w:rPr>
                <w:sz w:val="26"/>
                <w:szCs w:val="26"/>
              </w:rPr>
              <w:t>0</w:t>
            </w:r>
            <w:r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D5CF7" w:rsidRPr="00FB311D" w:rsidRDefault="00ED5CF7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ED5CF7" w:rsidRPr="00FB311D" w:rsidRDefault="00ED5CF7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A32A3F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56F8A" w:rsidRPr="00FB311D" w:rsidRDefault="00756F8A" w:rsidP="00B32793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Regulas Nr.1407/2013 5.pants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56F8A" w:rsidRPr="00FB311D" w:rsidRDefault="00756F8A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projekta 1</w:t>
            </w:r>
            <w:r w:rsidR="004B0B1D" w:rsidRPr="00FB311D">
              <w:rPr>
                <w:sz w:val="26"/>
                <w:szCs w:val="26"/>
              </w:rPr>
              <w:t>0</w:t>
            </w:r>
            <w:r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56F8A" w:rsidRPr="00FB311D" w:rsidRDefault="00756F8A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756F8A" w:rsidRPr="00FB311D" w:rsidRDefault="00756F8A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A32A3F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C68A2" w:rsidRPr="00FB311D" w:rsidRDefault="001C68A2" w:rsidP="00B32793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Komisijas Regulas </w:t>
            </w:r>
            <w:r w:rsidR="00ED5CF7" w:rsidRPr="00FB311D">
              <w:rPr>
                <w:sz w:val="26"/>
                <w:szCs w:val="26"/>
              </w:rPr>
              <w:t>Nr.651/2014 14.panta 13.punkts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C68A2" w:rsidRPr="00FB311D" w:rsidRDefault="001C68A2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projekta 1</w:t>
            </w:r>
            <w:r w:rsidR="004B0B1D" w:rsidRPr="00FB311D">
              <w:rPr>
                <w:sz w:val="26"/>
                <w:szCs w:val="26"/>
              </w:rPr>
              <w:t>3</w:t>
            </w:r>
            <w:r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C68A2" w:rsidRPr="00FB311D" w:rsidRDefault="001C68A2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1C68A2" w:rsidRPr="00FB311D" w:rsidRDefault="001C68A2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A32A3F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D5CF7" w:rsidRPr="00FB311D" w:rsidRDefault="00ED5CF7" w:rsidP="00B32793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Regulas Nr.651/2014 13.panta 1.punkta d) apakšpunkts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D5CF7" w:rsidRPr="00FB311D" w:rsidRDefault="00ED5CF7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projekta 1</w:t>
            </w:r>
            <w:r w:rsidR="004B0B1D" w:rsidRPr="00FB311D">
              <w:rPr>
                <w:sz w:val="26"/>
                <w:szCs w:val="26"/>
              </w:rPr>
              <w:t>3</w:t>
            </w:r>
            <w:r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D5CF7" w:rsidRPr="00FB311D" w:rsidRDefault="00ED5CF7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ED5CF7" w:rsidRPr="00FB311D" w:rsidRDefault="00ED5CF7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A32A3F" w:rsidRPr="00FB311D" w:rsidTr="00A32A3F">
        <w:trPr>
          <w:tblCellSpacing w:w="15" w:type="dxa"/>
        </w:trPr>
        <w:tc>
          <w:tcPr>
            <w:tcW w:w="1190" w:type="pct"/>
            <w:gridSpan w:val="3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54C0F" w:rsidRPr="00FB311D" w:rsidRDefault="00954C0F" w:rsidP="00044CFA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Komisijas Regulas Nr.1407/2013 3.panta 8., 9.punkts</w:t>
            </w:r>
          </w:p>
        </w:tc>
        <w:tc>
          <w:tcPr>
            <w:tcW w:w="1006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54C0F" w:rsidRPr="00FB311D" w:rsidRDefault="00954C0F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projekta 1</w:t>
            </w:r>
            <w:r w:rsidR="004B0B1D" w:rsidRPr="00FB311D">
              <w:rPr>
                <w:sz w:val="26"/>
                <w:szCs w:val="26"/>
              </w:rPr>
              <w:t>4</w:t>
            </w:r>
            <w:r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54C0F" w:rsidRPr="00FB311D" w:rsidRDefault="00954C0F" w:rsidP="00044CFA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19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954C0F" w:rsidRPr="00FB311D" w:rsidRDefault="00954C0F" w:rsidP="00044CFA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5F3FC6" w:rsidRPr="00FB311D" w:rsidTr="00A32A3F">
        <w:trPr>
          <w:tblCellSpacing w:w="15" w:type="dxa"/>
        </w:trPr>
        <w:tc>
          <w:tcPr>
            <w:tcW w:w="1155" w:type="pct"/>
            <w:gridSpan w:val="2"/>
            <w:tcBorders>
              <w:top w:val="single" w:sz="6" w:space="0" w:color="C0C0C0"/>
              <w:left w:val="thickThinLargeGap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F3FC6" w:rsidRPr="00FB311D" w:rsidRDefault="006D1520" w:rsidP="00F53217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 xml:space="preserve">Komisijas </w:t>
            </w:r>
            <w:r w:rsidR="003B63BE" w:rsidRPr="00FB311D">
              <w:rPr>
                <w:sz w:val="26"/>
                <w:szCs w:val="26"/>
              </w:rPr>
              <w:t>Regulas Nr.</w:t>
            </w:r>
            <w:r w:rsidR="00F53217" w:rsidRPr="00FB311D">
              <w:rPr>
                <w:sz w:val="26"/>
                <w:szCs w:val="26"/>
              </w:rPr>
              <w:t>651</w:t>
            </w:r>
            <w:r w:rsidR="003B63BE" w:rsidRPr="00FB311D">
              <w:rPr>
                <w:sz w:val="26"/>
                <w:szCs w:val="26"/>
              </w:rPr>
              <w:t>/2014 9.panta 1., 4.punkts</w:t>
            </w:r>
          </w:p>
        </w:tc>
        <w:tc>
          <w:tcPr>
            <w:tcW w:w="998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B63BE" w:rsidRPr="00FB311D" w:rsidRDefault="005F3FC6" w:rsidP="003B63B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Noteikumu projekta</w:t>
            </w:r>
          </w:p>
          <w:p w:rsidR="005F3FC6" w:rsidRPr="00FB311D" w:rsidRDefault="001C68A2" w:rsidP="004B0B1D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1</w:t>
            </w:r>
            <w:r w:rsidR="004B0B1D" w:rsidRPr="00FB311D">
              <w:rPr>
                <w:sz w:val="26"/>
                <w:szCs w:val="26"/>
              </w:rPr>
              <w:t>4</w:t>
            </w:r>
            <w:r w:rsidR="003B63BE" w:rsidRPr="00FB311D">
              <w:rPr>
                <w:sz w:val="26"/>
                <w:szCs w:val="26"/>
              </w:rPr>
              <w:t>.punkts</w:t>
            </w:r>
          </w:p>
        </w:tc>
        <w:tc>
          <w:tcPr>
            <w:tcW w:w="75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F3FC6" w:rsidRPr="00FB311D" w:rsidRDefault="005F3FC6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Ieviests pilnībā</w:t>
            </w:r>
          </w:p>
        </w:tc>
        <w:tc>
          <w:tcPr>
            <w:tcW w:w="200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inThickLargeGap" w:sz="6" w:space="0" w:color="C0C0C0"/>
            </w:tcBorders>
            <w:shd w:val="clear" w:color="auto" w:fill="auto"/>
          </w:tcPr>
          <w:p w:rsidR="005F3FC6" w:rsidRPr="00FB311D" w:rsidRDefault="005F3FC6" w:rsidP="007E4C1F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FB311D">
              <w:rPr>
                <w:sz w:val="26"/>
                <w:szCs w:val="26"/>
              </w:rPr>
              <w:t>Neparedz stingrākas prasības</w:t>
            </w:r>
          </w:p>
        </w:tc>
      </w:tr>
      <w:tr w:rsidR="00A03E32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  <w:vAlign w:val="center"/>
            <w:hideMark/>
          </w:tcPr>
          <w:p w:rsidR="00A03E32" w:rsidRPr="00FB311D" w:rsidRDefault="00A03E32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Kā ir izmantota ES tiesību aktā paredzētā rīcības brīvība dalībvalstij pārņemt vai ieviest noteiktas ES tiesību akta 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normas.</w:t>
            </w:r>
          </w:p>
        </w:tc>
        <w:tc>
          <w:tcPr>
            <w:tcW w:w="3795" w:type="pct"/>
            <w:gridSpan w:val="7"/>
            <w:shd w:val="clear" w:color="auto" w:fill="auto"/>
            <w:hideMark/>
          </w:tcPr>
          <w:p w:rsidR="00A03E32" w:rsidRPr="00FB311D" w:rsidRDefault="001A7C3A" w:rsidP="00F532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Komisijas R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egula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Nr.</w:t>
            </w:r>
            <w:r w:rsidR="00F53217" w:rsidRPr="00FB311D">
              <w:rPr>
                <w:rFonts w:eastAsia="Times New Roman"/>
                <w:sz w:val="26"/>
                <w:szCs w:val="26"/>
                <w:lang w:val="lv-LV" w:eastAsia="lv-LV"/>
              </w:rPr>
              <w:t>651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/2014 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un Komisijas Regula Nr.1407/2013 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neparedz rīcības brīvību.</w:t>
            </w:r>
          </w:p>
        </w:tc>
      </w:tr>
      <w:tr w:rsidR="00A03E32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  <w:vAlign w:val="center"/>
            <w:hideMark/>
          </w:tcPr>
          <w:p w:rsidR="00A03E32" w:rsidRPr="00FB311D" w:rsidRDefault="00A03E32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95" w:type="pct"/>
            <w:gridSpan w:val="7"/>
            <w:shd w:val="clear" w:color="auto" w:fill="auto"/>
            <w:hideMark/>
          </w:tcPr>
          <w:p w:rsidR="00A03E32" w:rsidRPr="00FB311D" w:rsidRDefault="006D1520" w:rsidP="00CB6AC4">
            <w:pPr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Atbilstoši Komisijas </w:t>
            </w:r>
            <w:r w:rsidR="001A7C3A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Regulai Nr.</w:t>
            </w:r>
            <w:r w:rsidR="00F53217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651</w:t>
            </w:r>
            <w:r w:rsidR="001A7C3A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/2014</w:t>
            </w:r>
            <w:r w:rsidR="00A03E32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pēc </w:t>
            </w:r>
            <w:r w:rsidR="001A7C3A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projekta</w:t>
            </w:r>
            <w:r w:rsidR="00A03E32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spēkā stāšanās tiks sniegts kopsavilkums Eiropas Komisijai. </w:t>
            </w:r>
          </w:p>
          <w:p w:rsidR="00A03E32" w:rsidRPr="00FB311D" w:rsidRDefault="00A03E32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A03E32" w:rsidRPr="00FB311D" w:rsidTr="00171E97">
        <w:trPr>
          <w:tblCellSpacing w:w="15" w:type="dxa"/>
        </w:trPr>
        <w:tc>
          <w:tcPr>
            <w:tcW w:w="1155" w:type="pct"/>
            <w:gridSpan w:val="2"/>
            <w:shd w:val="clear" w:color="auto" w:fill="auto"/>
            <w:hideMark/>
          </w:tcPr>
          <w:p w:rsidR="00A03E32" w:rsidRPr="00FB311D" w:rsidRDefault="00A03E32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795" w:type="pct"/>
            <w:gridSpan w:val="7"/>
            <w:shd w:val="clear" w:color="auto" w:fill="auto"/>
            <w:hideMark/>
          </w:tcPr>
          <w:p w:rsidR="00A14369" w:rsidRPr="00FB311D" w:rsidRDefault="00A14369" w:rsidP="00A1436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Izstrādājot noteikumu projektu, papildus ir ņemts vērā Komisijas paziņojums Kopienas pamatnostādn</w:t>
            </w:r>
            <w:r w:rsidR="004A5EEF" w:rsidRPr="00FB311D">
              <w:rPr>
                <w:rFonts w:eastAsia="Times New Roman"/>
                <w:sz w:val="26"/>
                <w:szCs w:val="26"/>
                <w:lang w:val="lv-LV" w:eastAsia="lv-LV"/>
              </w:rPr>
              <w:t>es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par valsts atbalstu grūtībās nonākušu uzņēmumu glābšanai un pārstrukturēšanai (2004/C 244/02) (turpmāk – Kopienas pamatnostādnes).</w:t>
            </w:r>
          </w:p>
          <w:p w:rsidR="00A14369" w:rsidRPr="00FB311D" w:rsidRDefault="00A14369" w:rsidP="00A32A3F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Atbilstoši Kopienas pamatnostād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ņu 10. līdz 12.punktam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ir izstrādāt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s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noteikumu projekta 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10.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punkt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s.</w:t>
            </w:r>
          </w:p>
        </w:tc>
      </w:tr>
    </w:tbl>
    <w:p w:rsidR="00ED4255" w:rsidRPr="00FB311D" w:rsidRDefault="00ED4255" w:rsidP="00EA6CD3">
      <w:pPr>
        <w:rPr>
          <w:sz w:val="26"/>
          <w:szCs w:val="26"/>
          <w:lang w:val="lv-LV"/>
        </w:rPr>
      </w:pPr>
    </w:p>
    <w:tbl>
      <w:tblPr>
        <w:tblW w:w="8931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230"/>
        <w:gridCol w:w="4925"/>
      </w:tblGrid>
      <w:tr w:rsidR="002A0BC1" w:rsidRPr="00FB311D" w:rsidTr="002A0BC1">
        <w:tc>
          <w:tcPr>
            <w:tcW w:w="893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B311D">
              <w:rPr>
                <w:b/>
                <w:bCs/>
                <w:sz w:val="26"/>
                <w:szCs w:val="26"/>
                <w:lang w:val="lv-LV"/>
              </w:rPr>
              <w:t>VI. Sabiedrības līdzdalība un komunikācijas aktivitātes</w:t>
            </w:r>
          </w:p>
        </w:tc>
      </w:tr>
      <w:tr w:rsidR="002A0BC1" w:rsidRPr="00FB311D" w:rsidTr="002A0BC1"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sz w:val="26"/>
                <w:szCs w:val="26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026F18">
            <w:pPr>
              <w:ind w:left="124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Grozījumi ir labvēlīgāki saimnieciskās darbības veicējiem</w:t>
            </w:r>
            <w:r w:rsidR="00026F18"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, jo paredz pagarināt investīciju aizdevumu pieejamības termiņu.</w:t>
            </w:r>
          </w:p>
        </w:tc>
      </w:tr>
      <w:tr w:rsidR="002A0BC1" w:rsidRPr="00FB311D" w:rsidTr="002A0BC1"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sz w:val="26"/>
                <w:szCs w:val="26"/>
                <w:lang w:val="lv-LV"/>
              </w:rPr>
              <w:t>Sabiedrības līdzdalība projekta izstrādē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026F18" w:rsidP="00254901">
            <w:pPr>
              <w:ind w:left="124"/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Grozījumi ir labvēlīgāki saimnieciskās darbības veicējiem, jo paredz pagarināt investīciju aizdevumu pieejamības termiņu.</w:t>
            </w:r>
          </w:p>
        </w:tc>
      </w:tr>
      <w:tr w:rsidR="002A0BC1" w:rsidRPr="00FB311D" w:rsidTr="002A0BC1">
        <w:trPr>
          <w:trHeight w:val="930"/>
        </w:trPr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sz w:val="26"/>
                <w:szCs w:val="26"/>
                <w:lang w:val="lv-LV"/>
              </w:rPr>
              <w:t>Sabiedrības līdzdalības rezultāti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026F18" w:rsidP="00254901">
            <w:pPr>
              <w:ind w:left="124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Grozījumi ir labvēlīgāki saimnieciskās darbības veicējiem, jo paredz pagarināt investīciju aizdevumu pieejamības termiņu.</w:t>
            </w:r>
          </w:p>
        </w:tc>
      </w:tr>
      <w:tr w:rsidR="002A0BC1" w:rsidRPr="00FB311D" w:rsidTr="002A0BC1">
        <w:trPr>
          <w:trHeight w:val="391"/>
        </w:trPr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A0BC1" w:rsidRPr="00FB311D" w:rsidRDefault="002A0BC1" w:rsidP="006D1520">
            <w:pPr>
              <w:ind w:firstLine="284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Nav</w:t>
            </w:r>
          </w:p>
        </w:tc>
      </w:tr>
    </w:tbl>
    <w:p w:rsidR="00ED4255" w:rsidRPr="00FB311D" w:rsidRDefault="00ED4255">
      <w:pPr>
        <w:rPr>
          <w:sz w:val="26"/>
          <w:szCs w:val="26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EA6CD3" w:rsidRPr="00FB311D" w:rsidTr="002A0BC1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A6CD3" w:rsidRPr="00FB311D" w:rsidTr="002A0BC1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Pr="00FB311D">
              <w:rPr>
                <w:sz w:val="26"/>
                <w:szCs w:val="26"/>
                <w:lang w:val="lv-LV"/>
              </w:rPr>
              <w:t>noteikumu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izpildi nodrošinās E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konomikas ministrija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un 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Latvijas Garantiju aģentūra.</w:t>
            </w:r>
          </w:p>
          <w:p w:rsidR="00EA6CD3" w:rsidRPr="00FB311D" w:rsidRDefault="00EA6CD3" w:rsidP="00CB6AC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EA6CD3" w:rsidRPr="00FB311D" w:rsidTr="002A0BC1">
        <w:trPr>
          <w:trHeight w:val="374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  <w:r w:rsidR="00254901"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un institucionālo struktūru. Jaunu institūciju izveide, esošu institūciju likvidācija vai reorganizācija, to ietekme uz institūcijas cilvēkresursiem.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Pr="00FB311D">
              <w:rPr>
                <w:sz w:val="26"/>
                <w:szCs w:val="26"/>
                <w:lang w:val="lv-LV"/>
              </w:rPr>
              <w:t>noteikumu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izpilde tiks nodrošināta E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konomikas ministrijas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un L</w:t>
            </w:r>
            <w:r w:rsidR="00A32A3F" w:rsidRPr="00FB311D">
              <w:rPr>
                <w:rFonts w:eastAsia="Times New Roman"/>
                <w:sz w:val="26"/>
                <w:szCs w:val="26"/>
                <w:lang w:val="lv-LV" w:eastAsia="lv-LV"/>
              </w:rPr>
              <w:t>atvijas Garantiju aģentūras</w:t>
            </w: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 xml:space="preserve"> esošo funkciju ietvaros.</w:t>
            </w:r>
          </w:p>
          <w:p w:rsidR="00EA6CD3" w:rsidRPr="00FB311D" w:rsidRDefault="00EA6CD3" w:rsidP="00CB6AC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EA6CD3" w:rsidRPr="00FB311D" w:rsidTr="002A0BC1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6CD3" w:rsidRPr="00FB311D" w:rsidRDefault="00254901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3</w:t>
            </w:r>
            <w:r w:rsidR="00EA6CD3" w:rsidRPr="00FB311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A6CD3" w:rsidP="00CB6AC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6CD3" w:rsidRPr="00FB311D" w:rsidRDefault="00EE61BD" w:rsidP="00CB6AC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B311D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:rsidR="00EA6CD3" w:rsidRPr="00FB311D" w:rsidRDefault="00EA6CD3" w:rsidP="00EA6CD3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F53217" w:rsidRPr="00FB311D" w:rsidRDefault="00F53217" w:rsidP="00EA6CD3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EA6CD3" w:rsidRPr="00FB311D" w:rsidRDefault="00EA6CD3" w:rsidP="00EA6CD3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FB311D">
        <w:rPr>
          <w:sz w:val="26"/>
          <w:szCs w:val="26"/>
          <w:lang w:val="lv-LV"/>
        </w:rPr>
        <w:t>Anotācijas III</w:t>
      </w:r>
      <w:r w:rsidRPr="00FB311D">
        <w:rPr>
          <w:rFonts w:ascii="Times" w:hAnsi="Times"/>
          <w:sz w:val="26"/>
          <w:szCs w:val="26"/>
          <w:lang w:val="lv-LV"/>
        </w:rPr>
        <w:t xml:space="preserve"> </w:t>
      </w:r>
      <w:r w:rsidRPr="00FB311D">
        <w:rPr>
          <w:sz w:val="26"/>
          <w:szCs w:val="26"/>
          <w:lang w:val="lv-LV"/>
        </w:rPr>
        <w:t>sadaļa –</w:t>
      </w:r>
      <w:r w:rsidR="00EE61BD" w:rsidRPr="00FB311D">
        <w:rPr>
          <w:sz w:val="26"/>
          <w:szCs w:val="26"/>
          <w:lang w:val="lv-LV"/>
        </w:rPr>
        <w:t xml:space="preserve"> noteikumu</w:t>
      </w:r>
      <w:r w:rsidRPr="00FB311D">
        <w:rPr>
          <w:sz w:val="26"/>
          <w:szCs w:val="26"/>
          <w:lang w:val="lv-LV"/>
        </w:rPr>
        <w:t xml:space="preserve"> </w:t>
      </w:r>
      <w:r w:rsidRPr="00FB311D">
        <w:rPr>
          <w:iCs/>
          <w:sz w:val="26"/>
          <w:szCs w:val="26"/>
          <w:lang w:val="lv-LV"/>
        </w:rPr>
        <w:t>projekts š</w:t>
      </w:r>
      <w:r w:rsidR="00254901" w:rsidRPr="00FB311D">
        <w:rPr>
          <w:iCs/>
          <w:sz w:val="26"/>
          <w:szCs w:val="26"/>
          <w:lang w:val="lv-LV"/>
        </w:rPr>
        <w:t xml:space="preserve">o </w:t>
      </w:r>
      <w:r w:rsidRPr="00FB311D">
        <w:rPr>
          <w:iCs/>
          <w:sz w:val="26"/>
          <w:szCs w:val="26"/>
          <w:lang w:val="lv-LV"/>
        </w:rPr>
        <w:t>jom</w:t>
      </w:r>
      <w:r w:rsidR="00254901" w:rsidRPr="00FB311D">
        <w:rPr>
          <w:iCs/>
          <w:sz w:val="26"/>
          <w:szCs w:val="26"/>
          <w:lang w:val="lv-LV"/>
        </w:rPr>
        <w:t>u</w:t>
      </w:r>
      <w:r w:rsidRPr="00FB311D">
        <w:rPr>
          <w:iCs/>
          <w:sz w:val="26"/>
          <w:szCs w:val="26"/>
          <w:lang w:val="lv-LV"/>
        </w:rPr>
        <w:t xml:space="preserve"> neskar</w:t>
      </w:r>
      <w:r w:rsidRPr="00FB311D">
        <w:rPr>
          <w:sz w:val="26"/>
          <w:szCs w:val="26"/>
          <w:lang w:val="lv-LV"/>
        </w:rPr>
        <w:t>.</w:t>
      </w:r>
    </w:p>
    <w:p w:rsidR="00EA6CD3" w:rsidRPr="00FB311D" w:rsidRDefault="00EA6CD3" w:rsidP="00EA6CD3">
      <w:pPr>
        <w:tabs>
          <w:tab w:val="left" w:pos="7655"/>
        </w:tabs>
        <w:rPr>
          <w:sz w:val="26"/>
          <w:szCs w:val="26"/>
          <w:lang w:val="lv-LV"/>
        </w:rPr>
      </w:pPr>
    </w:p>
    <w:p w:rsidR="00EA6CD3" w:rsidRPr="00FB311D" w:rsidRDefault="00EA6CD3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EA6CD3" w:rsidRPr="00FB311D" w:rsidRDefault="00EA6CD3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D217AC" w:rsidRPr="00FB311D" w:rsidRDefault="00D217AC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A32A3F" w:rsidRPr="00FB311D" w:rsidRDefault="00A32A3F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A32A3F" w:rsidRPr="00FB311D" w:rsidRDefault="00A32A3F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5464E6" w:rsidRPr="00FB311D" w:rsidRDefault="005464E6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EA6CD3" w:rsidRPr="00FB311D" w:rsidRDefault="00EA6CD3" w:rsidP="00EA6CD3">
      <w:pPr>
        <w:tabs>
          <w:tab w:val="right" w:pos="9072"/>
        </w:tabs>
        <w:rPr>
          <w:sz w:val="26"/>
          <w:szCs w:val="26"/>
          <w:lang w:val="lv-LV"/>
        </w:rPr>
      </w:pPr>
      <w:r w:rsidRPr="00FB311D">
        <w:rPr>
          <w:sz w:val="26"/>
          <w:szCs w:val="26"/>
          <w:lang w:val="lv-LV"/>
        </w:rPr>
        <w:t>Ekonomikas ministrs</w:t>
      </w:r>
      <w:r w:rsidRPr="00FB311D">
        <w:rPr>
          <w:sz w:val="26"/>
          <w:szCs w:val="26"/>
          <w:lang w:val="lv-LV"/>
        </w:rPr>
        <w:tab/>
      </w:r>
      <w:r w:rsidR="00F716EF" w:rsidRPr="00FB311D">
        <w:rPr>
          <w:sz w:val="26"/>
          <w:szCs w:val="26"/>
          <w:lang w:val="lv-LV"/>
        </w:rPr>
        <w:t>V</w:t>
      </w:r>
      <w:r w:rsidR="00D04299" w:rsidRPr="00FB311D">
        <w:rPr>
          <w:sz w:val="26"/>
          <w:szCs w:val="26"/>
          <w:lang w:val="lv-LV"/>
        </w:rPr>
        <w:t>.</w:t>
      </w:r>
      <w:r w:rsidR="00F716EF" w:rsidRPr="00FB311D">
        <w:rPr>
          <w:sz w:val="26"/>
          <w:szCs w:val="26"/>
          <w:lang w:val="lv-LV"/>
        </w:rPr>
        <w:t>Dombrovskis</w:t>
      </w:r>
      <w:r w:rsidRPr="00FB311D">
        <w:rPr>
          <w:sz w:val="26"/>
          <w:szCs w:val="26"/>
          <w:lang w:val="lv-LV"/>
        </w:rPr>
        <w:tab/>
      </w:r>
      <w:r w:rsidRPr="00FB311D">
        <w:rPr>
          <w:sz w:val="26"/>
          <w:szCs w:val="26"/>
          <w:lang w:val="lv-LV"/>
        </w:rPr>
        <w:tab/>
      </w:r>
      <w:r w:rsidRPr="00FB311D">
        <w:rPr>
          <w:sz w:val="26"/>
          <w:szCs w:val="26"/>
          <w:lang w:val="lv-LV"/>
        </w:rPr>
        <w:tab/>
      </w:r>
      <w:r w:rsidRPr="00FB311D">
        <w:rPr>
          <w:sz w:val="26"/>
          <w:szCs w:val="26"/>
          <w:lang w:val="lv-LV"/>
        </w:rPr>
        <w:tab/>
      </w:r>
      <w:r w:rsidRPr="00FB311D">
        <w:rPr>
          <w:sz w:val="26"/>
          <w:szCs w:val="26"/>
          <w:lang w:val="lv-LV"/>
        </w:rPr>
        <w:tab/>
      </w:r>
      <w:r w:rsidRPr="00FB311D">
        <w:rPr>
          <w:sz w:val="26"/>
          <w:szCs w:val="26"/>
          <w:lang w:val="lv-LV"/>
        </w:rPr>
        <w:tab/>
      </w:r>
    </w:p>
    <w:p w:rsidR="00EA6CD3" w:rsidRPr="00FB311D" w:rsidRDefault="00EA6CD3" w:rsidP="00EA6CD3">
      <w:pPr>
        <w:tabs>
          <w:tab w:val="left" w:pos="8222"/>
        </w:tabs>
        <w:rPr>
          <w:sz w:val="26"/>
          <w:szCs w:val="26"/>
          <w:lang w:val="lv-LV"/>
        </w:rPr>
      </w:pPr>
    </w:p>
    <w:p w:rsidR="00EA6CD3" w:rsidRPr="00FB311D" w:rsidRDefault="00EA6CD3" w:rsidP="00EA6CD3">
      <w:pPr>
        <w:tabs>
          <w:tab w:val="right" w:pos="9072"/>
        </w:tabs>
        <w:rPr>
          <w:sz w:val="26"/>
          <w:szCs w:val="26"/>
          <w:lang w:val="lv-LV"/>
        </w:rPr>
      </w:pPr>
    </w:p>
    <w:p w:rsidR="00EA6CD3" w:rsidRPr="00FB311D" w:rsidRDefault="00EA6CD3" w:rsidP="007A5C51">
      <w:pPr>
        <w:tabs>
          <w:tab w:val="right" w:pos="9072"/>
        </w:tabs>
        <w:rPr>
          <w:sz w:val="26"/>
          <w:szCs w:val="26"/>
          <w:lang w:val="lv-LV"/>
        </w:rPr>
      </w:pPr>
      <w:r w:rsidRPr="00FB311D">
        <w:rPr>
          <w:sz w:val="26"/>
          <w:szCs w:val="26"/>
          <w:lang w:val="lv-LV"/>
        </w:rPr>
        <w:t>Vīza: Valsts sekretār</w:t>
      </w:r>
      <w:r w:rsidR="007A5C51" w:rsidRPr="00FB311D">
        <w:rPr>
          <w:sz w:val="26"/>
          <w:szCs w:val="26"/>
          <w:lang w:val="lv-LV"/>
        </w:rPr>
        <w:t>s</w:t>
      </w:r>
      <w:r w:rsidRPr="00FB311D">
        <w:rPr>
          <w:sz w:val="26"/>
          <w:szCs w:val="26"/>
          <w:lang w:val="lv-LV"/>
        </w:rPr>
        <w:tab/>
      </w:r>
      <w:r w:rsidR="007A5C51" w:rsidRPr="00FB311D">
        <w:rPr>
          <w:sz w:val="26"/>
          <w:szCs w:val="26"/>
          <w:lang w:val="lv-LV"/>
        </w:rPr>
        <w:t>M.Lazdovskis</w:t>
      </w:r>
    </w:p>
    <w:p w:rsidR="00EA6CD3" w:rsidRPr="00FB311D" w:rsidRDefault="00EA6CD3" w:rsidP="00EA6CD3">
      <w:pPr>
        <w:jc w:val="both"/>
        <w:rPr>
          <w:color w:val="000000"/>
          <w:sz w:val="26"/>
          <w:szCs w:val="26"/>
          <w:lang w:val="lv-LV"/>
        </w:rPr>
      </w:pPr>
    </w:p>
    <w:p w:rsidR="00D217AC" w:rsidRPr="00FB311D" w:rsidRDefault="00D217AC" w:rsidP="00EA6CD3">
      <w:pPr>
        <w:jc w:val="both"/>
        <w:rPr>
          <w:color w:val="000000"/>
          <w:sz w:val="26"/>
          <w:szCs w:val="26"/>
          <w:lang w:val="lv-LV"/>
        </w:rPr>
      </w:pPr>
    </w:p>
    <w:p w:rsidR="00D217AC" w:rsidRPr="00FB311D" w:rsidRDefault="00D217AC" w:rsidP="00EA6CD3">
      <w:pPr>
        <w:jc w:val="both"/>
        <w:rPr>
          <w:color w:val="000000"/>
          <w:sz w:val="26"/>
          <w:szCs w:val="26"/>
          <w:lang w:val="lv-LV"/>
        </w:rPr>
      </w:pPr>
    </w:p>
    <w:p w:rsidR="00A32A3F" w:rsidRPr="00FB311D" w:rsidRDefault="00A32A3F" w:rsidP="00EA6CD3">
      <w:pPr>
        <w:jc w:val="both"/>
        <w:rPr>
          <w:color w:val="000000"/>
          <w:sz w:val="26"/>
          <w:szCs w:val="26"/>
          <w:lang w:val="lv-LV"/>
        </w:rPr>
      </w:pPr>
    </w:p>
    <w:p w:rsidR="00A32A3F" w:rsidRDefault="00A32A3F" w:rsidP="00EA6CD3">
      <w:pPr>
        <w:jc w:val="both"/>
        <w:rPr>
          <w:color w:val="000000"/>
          <w:sz w:val="22"/>
          <w:szCs w:val="22"/>
          <w:lang w:val="lv-LV"/>
        </w:rPr>
      </w:pPr>
    </w:p>
    <w:p w:rsidR="00D64FFD" w:rsidRDefault="00D64FFD" w:rsidP="00EA6CD3">
      <w:pPr>
        <w:jc w:val="both"/>
        <w:rPr>
          <w:color w:val="000000"/>
          <w:sz w:val="22"/>
          <w:szCs w:val="22"/>
          <w:lang w:val="lv-LV"/>
        </w:rPr>
      </w:pPr>
    </w:p>
    <w:p w:rsidR="00D64FFD" w:rsidRPr="00EE57C3" w:rsidRDefault="00D64FFD" w:rsidP="00EA6CD3">
      <w:pPr>
        <w:jc w:val="both"/>
        <w:rPr>
          <w:color w:val="000000"/>
          <w:sz w:val="22"/>
          <w:szCs w:val="22"/>
          <w:lang w:val="lv-LV"/>
        </w:rPr>
      </w:pPr>
    </w:p>
    <w:p w:rsidR="00EA6CD3" w:rsidRPr="005464E6" w:rsidRDefault="003F2B20" w:rsidP="00EA6CD3">
      <w:pPr>
        <w:jc w:val="both"/>
        <w:rPr>
          <w:lang w:val="lv-LV"/>
        </w:rPr>
      </w:pPr>
      <w:r>
        <w:rPr>
          <w:lang w:val="lv-LV"/>
        </w:rPr>
        <w:t>0</w:t>
      </w:r>
      <w:r w:rsidR="00431A76">
        <w:rPr>
          <w:lang w:val="lv-LV"/>
        </w:rPr>
        <w:t>6</w:t>
      </w:r>
      <w:r w:rsidR="00F53217">
        <w:rPr>
          <w:lang w:val="lv-LV"/>
        </w:rPr>
        <w:t>.0</w:t>
      </w:r>
      <w:r>
        <w:rPr>
          <w:lang w:val="lv-LV"/>
        </w:rPr>
        <w:t>8</w:t>
      </w:r>
      <w:r w:rsidR="00026F18">
        <w:rPr>
          <w:lang w:val="lv-LV"/>
        </w:rPr>
        <w:t>.2014</w:t>
      </w:r>
      <w:r w:rsidR="00431A76">
        <w:rPr>
          <w:lang w:val="lv-LV"/>
        </w:rPr>
        <w:t xml:space="preserve"> 11:26</w:t>
      </w:r>
    </w:p>
    <w:p w:rsidR="00D04299" w:rsidRDefault="00957E64" w:rsidP="00EA6CD3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18</w:t>
      </w:r>
      <w:r w:rsidR="00A32A3F">
        <w:rPr>
          <w:color w:val="000000"/>
          <w:lang w:val="lv-LV"/>
        </w:rPr>
        <w:t>58</w:t>
      </w:r>
    </w:p>
    <w:p w:rsidR="00EA6CD3" w:rsidRPr="005464E6" w:rsidRDefault="00EA6CD3" w:rsidP="00EA6CD3">
      <w:pPr>
        <w:jc w:val="both"/>
        <w:rPr>
          <w:color w:val="000000"/>
          <w:lang w:val="lv-LV"/>
        </w:rPr>
      </w:pPr>
      <w:r w:rsidRPr="005464E6">
        <w:rPr>
          <w:color w:val="000000"/>
          <w:lang w:val="lv-LV"/>
        </w:rPr>
        <w:t>A.Nicmane</w:t>
      </w:r>
    </w:p>
    <w:p w:rsidR="00EA6CD3" w:rsidRPr="005464E6" w:rsidRDefault="00EA6CD3" w:rsidP="00EA6CD3">
      <w:pPr>
        <w:jc w:val="both"/>
        <w:rPr>
          <w:color w:val="000000"/>
          <w:lang w:val="lv-LV"/>
        </w:rPr>
      </w:pPr>
      <w:r w:rsidRPr="005464E6">
        <w:rPr>
          <w:lang w:val="lv-LV"/>
        </w:rPr>
        <w:t>67013203,</w:t>
      </w:r>
      <w:r w:rsidR="00D04299">
        <w:rPr>
          <w:lang w:val="lv-LV"/>
        </w:rPr>
        <w:t xml:space="preserve"> </w:t>
      </w:r>
      <w:r w:rsidRPr="005464E6">
        <w:rPr>
          <w:lang w:val="lv-LV"/>
        </w:rPr>
        <w:t>Agita.Nicmane@em.gov.lv</w:t>
      </w:r>
    </w:p>
    <w:p w:rsidR="003061FB" w:rsidRDefault="003061FB"/>
    <w:sectPr w:rsidR="003061FB" w:rsidSect="00CB6AC4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98" w:rsidRDefault="001B3398" w:rsidP="006B2FEF">
      <w:r>
        <w:separator/>
      </w:r>
    </w:p>
  </w:endnote>
  <w:endnote w:type="continuationSeparator" w:id="0">
    <w:p w:rsidR="001B3398" w:rsidRDefault="001B3398" w:rsidP="006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20" w:rsidRPr="00E7567F" w:rsidRDefault="00E7567F" w:rsidP="00E7567F">
    <w:pPr>
      <w:pStyle w:val="Footer"/>
      <w:jc w:val="both"/>
    </w:pPr>
    <w:r>
      <w:rPr>
        <w:rFonts w:eastAsia="Times New Roman"/>
        <w:lang w:val="lv-LV" w:eastAsia="lv-LV"/>
      </w:rPr>
      <w:t>EMANOT_</w:t>
    </w:r>
    <w:r w:rsidR="003F2B20">
      <w:rPr>
        <w:rFonts w:eastAsia="Times New Roman"/>
        <w:lang w:val="lv-LV" w:eastAsia="lv-LV"/>
      </w:rPr>
      <w:t>0</w:t>
    </w:r>
    <w:r w:rsidR="00431A76">
      <w:rPr>
        <w:rFonts w:eastAsia="Times New Roman"/>
        <w:lang w:val="lv-LV" w:eastAsia="lv-LV"/>
      </w:rPr>
      <w:t>6</w:t>
    </w:r>
    <w:r w:rsidR="003F2B20">
      <w:rPr>
        <w:rFonts w:eastAsia="Times New Roman"/>
        <w:lang w:val="lv-LV" w:eastAsia="lv-LV"/>
      </w:rPr>
      <w:t>08</w:t>
    </w:r>
    <w:r w:rsidR="001C68A2">
      <w:rPr>
        <w:rFonts w:eastAsia="Times New Roman"/>
        <w:lang w:val="lv-LV" w:eastAsia="lv-LV"/>
      </w:rPr>
      <w:t>14</w:t>
    </w:r>
    <w:r w:rsidRPr="00720501">
      <w:rPr>
        <w:rFonts w:eastAsia="Times New Roman"/>
        <w:lang w:val="lv-LV" w:eastAsia="lv-LV"/>
      </w:rPr>
      <w:t>_</w:t>
    </w:r>
    <w:r>
      <w:rPr>
        <w:rFonts w:eastAsia="Times New Roman"/>
        <w:lang w:val="lv-LV" w:eastAsia="lv-LV"/>
      </w:rPr>
      <w:t>GROZ241</w:t>
    </w:r>
    <w:r w:rsidRPr="00720501">
      <w:rPr>
        <w:rFonts w:eastAsia="Times New Roman"/>
        <w:lang w:val="lv-LV" w:eastAsia="lv-LV"/>
      </w:rPr>
      <w:t>; Mini</w:t>
    </w:r>
    <w:r>
      <w:rPr>
        <w:rFonts w:eastAsia="Times New Roman"/>
        <w:lang w:val="lv-LV" w:eastAsia="lv-LV"/>
      </w:rPr>
      <w:t>stru kabineta noteikumu projekta</w:t>
    </w:r>
    <w:r w:rsidRPr="00720501">
      <w:rPr>
        <w:rFonts w:eastAsia="Times New Roman"/>
        <w:lang w:val="lv-LV" w:eastAsia="lv-LV"/>
      </w:rPr>
      <w:t xml:space="preserve"> </w:t>
    </w:r>
    <w:r w:rsidRPr="00E7567F">
      <w:rPr>
        <w:rFonts w:eastAsia="Times New Roman"/>
        <w:lang w:val="lv-LV" w:eastAsia="lv-LV"/>
      </w:rPr>
      <w:t xml:space="preserve">,,Grozījumi Ministru kabineta 2014.gada 13.maija Ministru kabineta noteikumos Nr.241 „Noteikumi par </w:t>
    </w:r>
    <w:proofErr w:type="spellStart"/>
    <w:r w:rsidRPr="00E7567F">
      <w:rPr>
        <w:rFonts w:eastAsia="Times New Roman"/>
        <w:lang w:val="lv-LV" w:eastAsia="lv-LV"/>
      </w:rPr>
      <w:t>mezanīna</w:t>
    </w:r>
    <w:proofErr w:type="spellEnd"/>
    <w:r w:rsidRPr="00E7567F">
      <w:rPr>
        <w:rFonts w:eastAsia="Times New Roman"/>
        <w:lang w:val="lv-LV" w:eastAsia="lv-LV"/>
      </w:rPr>
      <w:t xml:space="preserve"> aizdevumiem saimnieciskās darbības veicēju konkurētspējas uzlabošanai””</w:t>
    </w:r>
    <w:r>
      <w:rPr>
        <w:rFonts w:eastAsia="Times New Roman"/>
        <w:lang w:val="lv-LV" w:eastAsia="lv-LV"/>
      </w:rPr>
      <w:t xml:space="preserve"> </w:t>
    </w:r>
    <w:r w:rsidRPr="00720501">
      <w:rPr>
        <w:rFonts w:eastAsia="Times New Roman"/>
        <w:lang w:val="lv-LV"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20" w:rsidRPr="0047031A" w:rsidRDefault="00F53217" w:rsidP="0047031A">
    <w:pPr>
      <w:pStyle w:val="Footer"/>
      <w:jc w:val="both"/>
    </w:pPr>
    <w:r>
      <w:rPr>
        <w:rFonts w:eastAsia="Times New Roman"/>
        <w:lang w:val="lv-LV" w:eastAsia="lv-LV"/>
      </w:rPr>
      <w:t>EMANOT_</w:t>
    </w:r>
    <w:r w:rsidR="003F2B20">
      <w:rPr>
        <w:rFonts w:eastAsia="Times New Roman"/>
        <w:lang w:val="lv-LV" w:eastAsia="lv-LV"/>
      </w:rPr>
      <w:t>0</w:t>
    </w:r>
    <w:r w:rsidR="00431A76">
      <w:rPr>
        <w:rFonts w:eastAsia="Times New Roman"/>
        <w:lang w:val="lv-LV" w:eastAsia="lv-LV"/>
      </w:rPr>
      <w:t>6</w:t>
    </w:r>
    <w:r w:rsidR="003F2B20">
      <w:rPr>
        <w:rFonts w:eastAsia="Times New Roman"/>
        <w:lang w:val="lv-LV" w:eastAsia="lv-LV"/>
      </w:rPr>
      <w:t>08</w:t>
    </w:r>
    <w:r w:rsidR="001C68A2">
      <w:rPr>
        <w:rFonts w:eastAsia="Times New Roman"/>
        <w:lang w:val="lv-LV" w:eastAsia="lv-LV"/>
      </w:rPr>
      <w:t>14</w:t>
    </w:r>
    <w:r w:rsidR="006D1520" w:rsidRPr="00720501">
      <w:rPr>
        <w:rFonts w:eastAsia="Times New Roman"/>
        <w:lang w:val="lv-LV" w:eastAsia="lv-LV"/>
      </w:rPr>
      <w:t>_</w:t>
    </w:r>
    <w:r w:rsidR="00E7567F">
      <w:rPr>
        <w:rFonts w:eastAsia="Times New Roman"/>
        <w:lang w:val="lv-LV" w:eastAsia="lv-LV"/>
      </w:rPr>
      <w:t>GROZ241</w:t>
    </w:r>
    <w:r w:rsidR="006D1520" w:rsidRPr="00720501">
      <w:rPr>
        <w:rFonts w:eastAsia="Times New Roman"/>
        <w:lang w:val="lv-LV" w:eastAsia="lv-LV"/>
      </w:rPr>
      <w:t>; Mini</w:t>
    </w:r>
    <w:r w:rsidR="006D1520">
      <w:rPr>
        <w:rFonts w:eastAsia="Times New Roman"/>
        <w:lang w:val="lv-LV" w:eastAsia="lv-LV"/>
      </w:rPr>
      <w:t>stru kabineta noteikumu projekt</w:t>
    </w:r>
    <w:r w:rsidR="00E7567F">
      <w:rPr>
        <w:rFonts w:eastAsia="Times New Roman"/>
        <w:lang w:val="lv-LV" w:eastAsia="lv-LV"/>
      </w:rPr>
      <w:t>a</w:t>
    </w:r>
    <w:r w:rsidR="006D1520" w:rsidRPr="00720501">
      <w:rPr>
        <w:rFonts w:eastAsia="Times New Roman"/>
        <w:lang w:val="lv-LV" w:eastAsia="lv-LV"/>
      </w:rPr>
      <w:t xml:space="preserve"> </w:t>
    </w:r>
    <w:r w:rsidR="00E7567F" w:rsidRPr="00E7567F">
      <w:rPr>
        <w:rFonts w:eastAsia="Times New Roman"/>
        <w:lang w:val="lv-LV" w:eastAsia="lv-LV"/>
      </w:rPr>
      <w:t xml:space="preserve">,,Grozījumi Ministru kabineta 2014.gada 13.maija Ministru kabineta noteikumos Nr.241 „Noteikumi par </w:t>
    </w:r>
    <w:proofErr w:type="spellStart"/>
    <w:r w:rsidR="00E7567F" w:rsidRPr="00E7567F">
      <w:rPr>
        <w:rFonts w:eastAsia="Times New Roman"/>
        <w:lang w:val="lv-LV" w:eastAsia="lv-LV"/>
      </w:rPr>
      <w:t>mezanīna</w:t>
    </w:r>
    <w:proofErr w:type="spellEnd"/>
    <w:r w:rsidR="00E7567F" w:rsidRPr="00E7567F">
      <w:rPr>
        <w:rFonts w:eastAsia="Times New Roman"/>
        <w:lang w:val="lv-LV" w:eastAsia="lv-LV"/>
      </w:rPr>
      <w:t xml:space="preserve"> aizdevumiem saimnieciskās darbības veicēju konkurētspējas uzlabošanai””</w:t>
    </w:r>
    <w:r w:rsidR="00E7567F">
      <w:rPr>
        <w:rFonts w:eastAsia="Times New Roman"/>
        <w:lang w:val="lv-LV" w:eastAsia="lv-LV"/>
      </w:rPr>
      <w:t xml:space="preserve"> </w:t>
    </w:r>
    <w:r w:rsidR="006D1520" w:rsidRPr="00720501">
      <w:rPr>
        <w:rFonts w:eastAsia="Times New Roman"/>
        <w:lang w:val="lv-LV"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98" w:rsidRDefault="001B3398" w:rsidP="006B2FEF">
      <w:r>
        <w:separator/>
      </w:r>
    </w:p>
  </w:footnote>
  <w:footnote w:type="continuationSeparator" w:id="0">
    <w:p w:rsidR="001B3398" w:rsidRDefault="001B3398" w:rsidP="006B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1520" w:rsidRPr="00B014C2" w:rsidRDefault="006D1520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171E97">
          <w:rPr>
            <w:noProof/>
            <w:sz w:val="24"/>
            <w:szCs w:val="24"/>
          </w:rPr>
          <w:t>9</w:t>
        </w:r>
        <w:r w:rsidRPr="00B014C2">
          <w:rPr>
            <w:sz w:val="24"/>
            <w:szCs w:val="24"/>
          </w:rPr>
          <w:fldChar w:fldCharType="end"/>
        </w:r>
      </w:p>
    </w:sdtContent>
  </w:sdt>
  <w:p w:rsidR="006D1520" w:rsidRDefault="006D1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F4"/>
    <w:multiLevelType w:val="hybridMultilevel"/>
    <w:tmpl w:val="FFCA72A0"/>
    <w:lvl w:ilvl="0" w:tplc="0FCC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DE4F9C"/>
    <w:multiLevelType w:val="hybridMultilevel"/>
    <w:tmpl w:val="FADEB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3"/>
    <w:rsid w:val="000058AA"/>
    <w:rsid w:val="0001048C"/>
    <w:rsid w:val="00013B61"/>
    <w:rsid w:val="0002003C"/>
    <w:rsid w:val="00026F18"/>
    <w:rsid w:val="000527A4"/>
    <w:rsid w:val="000678CD"/>
    <w:rsid w:val="00071082"/>
    <w:rsid w:val="0007330D"/>
    <w:rsid w:val="00074090"/>
    <w:rsid w:val="00080352"/>
    <w:rsid w:val="00094B1E"/>
    <w:rsid w:val="00095280"/>
    <w:rsid w:val="00096060"/>
    <w:rsid w:val="000964C6"/>
    <w:rsid w:val="000B3449"/>
    <w:rsid w:val="000B492B"/>
    <w:rsid w:val="000C33C1"/>
    <w:rsid w:val="000D3D56"/>
    <w:rsid w:val="000D43D9"/>
    <w:rsid w:val="000D74B9"/>
    <w:rsid w:val="000E53C3"/>
    <w:rsid w:val="001655DD"/>
    <w:rsid w:val="00165747"/>
    <w:rsid w:val="00166A8B"/>
    <w:rsid w:val="00171E97"/>
    <w:rsid w:val="00172082"/>
    <w:rsid w:val="00177882"/>
    <w:rsid w:val="00186A4D"/>
    <w:rsid w:val="00187140"/>
    <w:rsid w:val="001935C8"/>
    <w:rsid w:val="001A3ED2"/>
    <w:rsid w:val="001A7C3A"/>
    <w:rsid w:val="001B3398"/>
    <w:rsid w:val="001C0801"/>
    <w:rsid w:val="001C68A2"/>
    <w:rsid w:val="001D0800"/>
    <w:rsid w:val="001D7DC1"/>
    <w:rsid w:val="001F7AAD"/>
    <w:rsid w:val="0020468C"/>
    <w:rsid w:val="00217F5B"/>
    <w:rsid w:val="002267E7"/>
    <w:rsid w:val="0025023B"/>
    <w:rsid w:val="00254901"/>
    <w:rsid w:val="00255BAC"/>
    <w:rsid w:val="00261B97"/>
    <w:rsid w:val="002A0435"/>
    <w:rsid w:val="002A0BC1"/>
    <w:rsid w:val="002A166A"/>
    <w:rsid w:val="002E1075"/>
    <w:rsid w:val="002E678E"/>
    <w:rsid w:val="002E708A"/>
    <w:rsid w:val="002F741D"/>
    <w:rsid w:val="00304810"/>
    <w:rsid w:val="003061FB"/>
    <w:rsid w:val="0031259B"/>
    <w:rsid w:val="003228DE"/>
    <w:rsid w:val="00326096"/>
    <w:rsid w:val="00337AC6"/>
    <w:rsid w:val="00346CE0"/>
    <w:rsid w:val="00354ABE"/>
    <w:rsid w:val="00366AFE"/>
    <w:rsid w:val="00374F73"/>
    <w:rsid w:val="00380AC5"/>
    <w:rsid w:val="003814A5"/>
    <w:rsid w:val="00387734"/>
    <w:rsid w:val="00392998"/>
    <w:rsid w:val="00395460"/>
    <w:rsid w:val="00396152"/>
    <w:rsid w:val="003B32EC"/>
    <w:rsid w:val="003B5F6A"/>
    <w:rsid w:val="003B63BE"/>
    <w:rsid w:val="003C3D3D"/>
    <w:rsid w:val="003D1A86"/>
    <w:rsid w:val="003E4132"/>
    <w:rsid w:val="003E58C7"/>
    <w:rsid w:val="003E5A6D"/>
    <w:rsid w:val="003F2B20"/>
    <w:rsid w:val="003F2C34"/>
    <w:rsid w:val="003F30FC"/>
    <w:rsid w:val="004038BC"/>
    <w:rsid w:val="00416A31"/>
    <w:rsid w:val="00417136"/>
    <w:rsid w:val="00423B46"/>
    <w:rsid w:val="00425AA9"/>
    <w:rsid w:val="00426250"/>
    <w:rsid w:val="00431019"/>
    <w:rsid w:val="00431A76"/>
    <w:rsid w:val="004352F7"/>
    <w:rsid w:val="0043554A"/>
    <w:rsid w:val="00442D1E"/>
    <w:rsid w:val="00443016"/>
    <w:rsid w:val="00445945"/>
    <w:rsid w:val="00452140"/>
    <w:rsid w:val="00467343"/>
    <w:rsid w:val="0047031A"/>
    <w:rsid w:val="00483B86"/>
    <w:rsid w:val="004A5EEF"/>
    <w:rsid w:val="004B0B1D"/>
    <w:rsid w:val="004C0738"/>
    <w:rsid w:val="00531AFF"/>
    <w:rsid w:val="00534305"/>
    <w:rsid w:val="005464E6"/>
    <w:rsid w:val="00555557"/>
    <w:rsid w:val="00567FC5"/>
    <w:rsid w:val="00571CCF"/>
    <w:rsid w:val="00572180"/>
    <w:rsid w:val="005771D5"/>
    <w:rsid w:val="00592809"/>
    <w:rsid w:val="00593343"/>
    <w:rsid w:val="005A5A80"/>
    <w:rsid w:val="005B2DA5"/>
    <w:rsid w:val="005B476F"/>
    <w:rsid w:val="005B6095"/>
    <w:rsid w:val="005B65B8"/>
    <w:rsid w:val="005C63C7"/>
    <w:rsid w:val="005C6B2C"/>
    <w:rsid w:val="005D06E8"/>
    <w:rsid w:val="005D1195"/>
    <w:rsid w:val="005D688E"/>
    <w:rsid w:val="005E4164"/>
    <w:rsid w:val="005F3FC6"/>
    <w:rsid w:val="00614ECD"/>
    <w:rsid w:val="006231D7"/>
    <w:rsid w:val="00626031"/>
    <w:rsid w:val="006373FF"/>
    <w:rsid w:val="00646A6F"/>
    <w:rsid w:val="006559F5"/>
    <w:rsid w:val="00661782"/>
    <w:rsid w:val="00672822"/>
    <w:rsid w:val="006729D2"/>
    <w:rsid w:val="00673BC6"/>
    <w:rsid w:val="006775B3"/>
    <w:rsid w:val="00684808"/>
    <w:rsid w:val="006B2FEF"/>
    <w:rsid w:val="006B6D6C"/>
    <w:rsid w:val="006C5ECD"/>
    <w:rsid w:val="006D1520"/>
    <w:rsid w:val="006D2F0C"/>
    <w:rsid w:val="006D3604"/>
    <w:rsid w:val="006E2082"/>
    <w:rsid w:val="006F2362"/>
    <w:rsid w:val="006F47EB"/>
    <w:rsid w:val="006F4DE9"/>
    <w:rsid w:val="006F71C2"/>
    <w:rsid w:val="00700AC3"/>
    <w:rsid w:val="00700E68"/>
    <w:rsid w:val="007161D3"/>
    <w:rsid w:val="00752DBC"/>
    <w:rsid w:val="0075411D"/>
    <w:rsid w:val="00756F8A"/>
    <w:rsid w:val="00762675"/>
    <w:rsid w:val="00762FC8"/>
    <w:rsid w:val="0077534E"/>
    <w:rsid w:val="0078045E"/>
    <w:rsid w:val="00780B70"/>
    <w:rsid w:val="00782847"/>
    <w:rsid w:val="00783D20"/>
    <w:rsid w:val="007954D3"/>
    <w:rsid w:val="007A2F02"/>
    <w:rsid w:val="007A5C51"/>
    <w:rsid w:val="007B41D7"/>
    <w:rsid w:val="007C1A7D"/>
    <w:rsid w:val="007E2FDE"/>
    <w:rsid w:val="007E4C1F"/>
    <w:rsid w:val="007F0204"/>
    <w:rsid w:val="00814AFC"/>
    <w:rsid w:val="0082350A"/>
    <w:rsid w:val="00831A5D"/>
    <w:rsid w:val="008764DD"/>
    <w:rsid w:val="008841EB"/>
    <w:rsid w:val="00891C00"/>
    <w:rsid w:val="00895E41"/>
    <w:rsid w:val="008B206C"/>
    <w:rsid w:val="008B56DF"/>
    <w:rsid w:val="008B5EFB"/>
    <w:rsid w:val="008D65D5"/>
    <w:rsid w:val="008D7F23"/>
    <w:rsid w:val="009165D6"/>
    <w:rsid w:val="00921504"/>
    <w:rsid w:val="00954428"/>
    <w:rsid w:val="00954C0F"/>
    <w:rsid w:val="00956C4B"/>
    <w:rsid w:val="00957E64"/>
    <w:rsid w:val="00961605"/>
    <w:rsid w:val="00963C88"/>
    <w:rsid w:val="00966814"/>
    <w:rsid w:val="009A692C"/>
    <w:rsid w:val="009B584C"/>
    <w:rsid w:val="009B75D4"/>
    <w:rsid w:val="009D0A96"/>
    <w:rsid w:val="009F0FC9"/>
    <w:rsid w:val="00A03E32"/>
    <w:rsid w:val="00A14369"/>
    <w:rsid w:val="00A229AC"/>
    <w:rsid w:val="00A23E8B"/>
    <w:rsid w:val="00A25225"/>
    <w:rsid w:val="00A26676"/>
    <w:rsid w:val="00A27A02"/>
    <w:rsid w:val="00A32A3F"/>
    <w:rsid w:val="00A337C5"/>
    <w:rsid w:val="00A33B10"/>
    <w:rsid w:val="00A56E9B"/>
    <w:rsid w:val="00A969CC"/>
    <w:rsid w:val="00A96C8D"/>
    <w:rsid w:val="00AD5C75"/>
    <w:rsid w:val="00AE0055"/>
    <w:rsid w:val="00B15DBA"/>
    <w:rsid w:val="00B2297A"/>
    <w:rsid w:val="00B300C7"/>
    <w:rsid w:val="00B32793"/>
    <w:rsid w:val="00B4164D"/>
    <w:rsid w:val="00B462F7"/>
    <w:rsid w:val="00B51427"/>
    <w:rsid w:val="00B5564B"/>
    <w:rsid w:val="00B65CF6"/>
    <w:rsid w:val="00B700CC"/>
    <w:rsid w:val="00B80371"/>
    <w:rsid w:val="00B837AE"/>
    <w:rsid w:val="00B868AD"/>
    <w:rsid w:val="00B9742D"/>
    <w:rsid w:val="00BB0BAA"/>
    <w:rsid w:val="00BC608E"/>
    <w:rsid w:val="00BC69DC"/>
    <w:rsid w:val="00BD7AE1"/>
    <w:rsid w:val="00BE15E4"/>
    <w:rsid w:val="00BF15B9"/>
    <w:rsid w:val="00C0447C"/>
    <w:rsid w:val="00C05EF2"/>
    <w:rsid w:val="00C12CF8"/>
    <w:rsid w:val="00C25016"/>
    <w:rsid w:val="00C26333"/>
    <w:rsid w:val="00C264E6"/>
    <w:rsid w:val="00C26E37"/>
    <w:rsid w:val="00C42ACD"/>
    <w:rsid w:val="00C52004"/>
    <w:rsid w:val="00C66A4D"/>
    <w:rsid w:val="00C77C68"/>
    <w:rsid w:val="00C85115"/>
    <w:rsid w:val="00CA0BCB"/>
    <w:rsid w:val="00CB6AC4"/>
    <w:rsid w:val="00CE5541"/>
    <w:rsid w:val="00CF4607"/>
    <w:rsid w:val="00D04299"/>
    <w:rsid w:val="00D05A7A"/>
    <w:rsid w:val="00D20CC5"/>
    <w:rsid w:val="00D217AC"/>
    <w:rsid w:val="00D41F46"/>
    <w:rsid w:val="00D455A4"/>
    <w:rsid w:val="00D5265D"/>
    <w:rsid w:val="00D62E09"/>
    <w:rsid w:val="00D64FFD"/>
    <w:rsid w:val="00D84DE0"/>
    <w:rsid w:val="00DA239C"/>
    <w:rsid w:val="00DB3721"/>
    <w:rsid w:val="00DB3D04"/>
    <w:rsid w:val="00DC72F1"/>
    <w:rsid w:val="00DD0953"/>
    <w:rsid w:val="00DD1F77"/>
    <w:rsid w:val="00DF6E16"/>
    <w:rsid w:val="00E00218"/>
    <w:rsid w:val="00E018E1"/>
    <w:rsid w:val="00E116BA"/>
    <w:rsid w:val="00E15447"/>
    <w:rsid w:val="00E23059"/>
    <w:rsid w:val="00E40942"/>
    <w:rsid w:val="00E50E6F"/>
    <w:rsid w:val="00E539B3"/>
    <w:rsid w:val="00E55EC8"/>
    <w:rsid w:val="00E72404"/>
    <w:rsid w:val="00E74A15"/>
    <w:rsid w:val="00E7567F"/>
    <w:rsid w:val="00E93CFE"/>
    <w:rsid w:val="00EA0EBB"/>
    <w:rsid w:val="00EA6CD3"/>
    <w:rsid w:val="00EC03E6"/>
    <w:rsid w:val="00ED053C"/>
    <w:rsid w:val="00ED18C9"/>
    <w:rsid w:val="00ED377A"/>
    <w:rsid w:val="00ED4255"/>
    <w:rsid w:val="00ED5CF7"/>
    <w:rsid w:val="00EE4A54"/>
    <w:rsid w:val="00EE61BD"/>
    <w:rsid w:val="00F066C5"/>
    <w:rsid w:val="00F30608"/>
    <w:rsid w:val="00F32822"/>
    <w:rsid w:val="00F352DD"/>
    <w:rsid w:val="00F40F20"/>
    <w:rsid w:val="00F44B3E"/>
    <w:rsid w:val="00F53217"/>
    <w:rsid w:val="00F70443"/>
    <w:rsid w:val="00F7097D"/>
    <w:rsid w:val="00F716EF"/>
    <w:rsid w:val="00F9016C"/>
    <w:rsid w:val="00F9305D"/>
    <w:rsid w:val="00F9522F"/>
    <w:rsid w:val="00FB311D"/>
    <w:rsid w:val="00FC3C7A"/>
    <w:rsid w:val="00FD061B"/>
    <w:rsid w:val="00FD5F34"/>
    <w:rsid w:val="00FF3664"/>
    <w:rsid w:val="00FF42C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1AEC-4EA5-4D70-A044-85A560AA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9933</Words>
  <Characters>5663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,,Grozījumi Ministru kabineta 2014.gada 13.maija Ministru kabineta noteikumos Nr.241 „Noteikumi par mezanīna aizdevumiem saimnieciskās darbības veicēju konkurētspējas uzlabošanai””” sākotnējās ietekmes novērtējuma ziņo</vt:lpstr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,,Grozījumi Ministru kabineta 2014.gada 13.maija Ministru kabineta noteikumos Nr.241 „Noteikumi par mezanīna aizdevumiem saimnieciskās darbības veicēju konkurētspējas uzlabošanai””” sākotnējās ietekmes novērtējuma ziņojums (anotācija)</dc:title>
  <dc:subject>Anotācija</dc:subject>
  <dc:creator>Agita Nicmane</dc:creator>
  <dc:description>Agita.Nicmane@em.gov.lv</dc:description>
  <cp:lastModifiedBy>Agita Nicmane</cp:lastModifiedBy>
  <cp:revision>4</cp:revision>
  <cp:lastPrinted>2014-07-25T11:11:00Z</cp:lastPrinted>
  <dcterms:created xsi:type="dcterms:W3CDTF">2014-08-06T08:25:00Z</dcterms:created>
  <dcterms:modified xsi:type="dcterms:W3CDTF">2014-08-06T08:27:00Z</dcterms:modified>
</cp:coreProperties>
</file>