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171604" w:rsidRDefault="003105D9" w:rsidP="00F46334">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2"/>
      <w:bookmarkStart w:id="3" w:name="OLE_LINK13"/>
      <w:bookmarkStart w:id="4" w:name="OLE_LINK14"/>
      <w:bookmarkStart w:id="5" w:name="OLE_LINK5"/>
      <w:bookmarkStart w:id="6" w:name="OLE_LINK4"/>
      <w:bookmarkStart w:id="7" w:name="OLE_LINK8"/>
      <w:bookmarkStart w:id="8" w:name="OLE_LINK3"/>
      <w:bookmarkStart w:id="9" w:name="OLE_LINK2"/>
      <w:bookmarkStart w:id="10" w:name="OLE_LINK1"/>
      <w:r w:rsidRPr="00171604">
        <w:rPr>
          <w:rFonts w:ascii="Times New Roman" w:hAnsi="Times New Roman" w:cs="Times New Roman"/>
          <w:b/>
          <w:sz w:val="24"/>
          <w:szCs w:val="24"/>
        </w:rPr>
        <w:t>Ministru kabineta noteikumu projekta „</w:t>
      </w:r>
      <w:r w:rsidR="00A01DD6" w:rsidRPr="00171604">
        <w:rPr>
          <w:rFonts w:ascii="Times New Roman" w:hAnsi="Times New Roman"/>
          <w:b/>
          <w:sz w:val="24"/>
          <w:szCs w:val="24"/>
        </w:rPr>
        <w:t>Grozījumi Ministru kabineta 2010.gada 13.aprīļa noteikumos Nr.361 „Noteikumi par darbības programmas „Uzņēmējdarbība un inovācijas” papildinājuma 2.1.2.1.1.apakšaktivitāti „Kompetences centri”””</w:t>
      </w:r>
      <w:r w:rsidRPr="00171604">
        <w:rPr>
          <w:rFonts w:ascii="Times New Roman" w:hAnsi="Times New Roman"/>
          <w:b/>
          <w:sz w:val="24"/>
          <w:szCs w:val="24"/>
        </w:rPr>
        <w:t xml:space="preserve"> sākotnējās ietekmes novērtējuma ziņojums (anotācija)</w:t>
      </w:r>
      <w:bookmarkEnd w:id="0"/>
      <w:bookmarkEnd w:id="1"/>
      <w:bookmarkEnd w:id="2"/>
      <w:bookmarkEnd w:id="3"/>
      <w:bookmarkEnd w:id="4"/>
    </w:p>
    <w:bookmarkEnd w:id="5"/>
    <w:bookmarkEnd w:id="6"/>
    <w:bookmarkEnd w:id="7"/>
    <w:bookmarkEnd w:id="8"/>
    <w:bookmarkEnd w:id="9"/>
    <w:bookmarkEnd w:id="10"/>
    <w:p w:rsidR="00956521" w:rsidRPr="00171604" w:rsidRDefault="00956521" w:rsidP="00F46334">
      <w:pPr>
        <w:spacing w:after="0" w:line="240" w:lineRule="auto"/>
        <w:rPr>
          <w:rFonts w:ascii="Times New Roman" w:eastAsia="Calibri" w:hAnsi="Times New Roman" w:cs="Times New Roman"/>
          <w:b/>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1479"/>
        <w:gridCol w:w="6885"/>
      </w:tblGrid>
      <w:tr w:rsidR="00956521" w:rsidRPr="00171604" w:rsidTr="003105D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171604" w:rsidRDefault="00956521" w:rsidP="003105D9">
            <w:pPr>
              <w:spacing w:after="0" w:line="240" w:lineRule="auto"/>
              <w:jc w:val="center"/>
              <w:rPr>
                <w:rFonts w:ascii="Times New Roman" w:eastAsia="Times New Roman" w:hAnsi="Times New Roman" w:cs="Times New Roman"/>
                <w:b/>
                <w:sz w:val="24"/>
                <w:szCs w:val="24"/>
                <w:lang w:eastAsia="lv-LV"/>
              </w:rPr>
            </w:pPr>
            <w:r w:rsidRPr="00171604">
              <w:rPr>
                <w:rFonts w:ascii="Times New Roman" w:eastAsia="Times New Roman" w:hAnsi="Times New Roman" w:cs="Times New Roman"/>
                <w:b/>
                <w:sz w:val="24"/>
                <w:szCs w:val="24"/>
                <w:lang w:eastAsia="lv-LV"/>
              </w:rPr>
              <w:t>I.Tiesību akta projekta izstrādes nepieciešamība</w:t>
            </w:r>
          </w:p>
        </w:tc>
      </w:tr>
      <w:tr w:rsidR="00956521" w:rsidRPr="00171604" w:rsidTr="00221970">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3105D9">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1. Pamatojums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37ED9" w:rsidRDefault="003105D9" w:rsidP="003105D9">
            <w:pPr>
              <w:spacing w:after="0" w:line="240" w:lineRule="auto"/>
              <w:ind w:firstLine="567"/>
              <w:jc w:val="both"/>
              <w:rPr>
                <w:rFonts w:ascii="Times New Roman" w:hAnsi="Times New Roman" w:cs="Times New Roman"/>
                <w:sz w:val="24"/>
                <w:szCs w:val="24"/>
              </w:rPr>
            </w:pPr>
            <w:r w:rsidRPr="00171604">
              <w:rPr>
                <w:rFonts w:ascii="Times New Roman" w:hAnsi="Times New Roman" w:cs="Times New Roman"/>
                <w:sz w:val="24"/>
                <w:szCs w:val="24"/>
              </w:rPr>
              <w:t>Noteikumu projekts sagatavots, pamatojoties uz</w:t>
            </w:r>
            <w:r w:rsidR="00D37ED9">
              <w:rPr>
                <w:rFonts w:ascii="Times New Roman" w:hAnsi="Times New Roman" w:cs="Times New Roman"/>
                <w:sz w:val="24"/>
                <w:szCs w:val="24"/>
              </w:rPr>
              <w:t>:</w:t>
            </w:r>
          </w:p>
          <w:p w:rsidR="00956521" w:rsidRDefault="003105D9" w:rsidP="002A276B">
            <w:pPr>
              <w:pStyle w:val="ListParagraph"/>
              <w:numPr>
                <w:ilvl w:val="0"/>
                <w:numId w:val="10"/>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Eiropas Savienības struktūrfondu un Kohēzijas fonda vadības likuma 18.panta 10.punktu</w:t>
            </w:r>
            <w:r w:rsidR="00061C6D">
              <w:rPr>
                <w:rFonts w:ascii="Times New Roman" w:hAnsi="Times New Roman" w:cs="Times New Roman"/>
                <w:sz w:val="24"/>
                <w:szCs w:val="24"/>
              </w:rPr>
              <w:t>;</w:t>
            </w:r>
          </w:p>
          <w:p w:rsidR="00D37ED9" w:rsidRPr="00061C6D" w:rsidRDefault="00D37ED9" w:rsidP="00061C6D">
            <w:pPr>
              <w:pStyle w:val="ListParagraph"/>
              <w:numPr>
                <w:ilvl w:val="0"/>
                <w:numId w:val="10"/>
              </w:numPr>
              <w:spacing w:after="0" w:line="240" w:lineRule="auto"/>
              <w:jc w:val="both"/>
              <w:rPr>
                <w:rFonts w:ascii="Times New Roman" w:hAnsi="Times New Roman" w:cs="Times New Roman"/>
                <w:sz w:val="24"/>
                <w:szCs w:val="24"/>
              </w:rPr>
            </w:pPr>
            <w:proofErr w:type="spellStart"/>
            <w:r w:rsidRPr="00D37ED9">
              <w:rPr>
                <w:rFonts w:ascii="Times New Roman" w:hAnsi="Times New Roman" w:cs="Times New Roman"/>
                <w:sz w:val="24"/>
                <w:szCs w:val="24"/>
              </w:rPr>
              <w:t>Euro</w:t>
            </w:r>
            <w:proofErr w:type="spellEnd"/>
            <w:r w:rsidRPr="00D37ED9">
              <w:rPr>
                <w:rFonts w:ascii="Times New Roman" w:hAnsi="Times New Roman" w:cs="Times New Roman"/>
                <w:sz w:val="24"/>
                <w:szCs w:val="24"/>
              </w:rPr>
              <w:t xml:space="preserve"> ieviešanas kārtības likuma 30.panta </w:t>
            </w:r>
            <w:r w:rsidR="00061C6D">
              <w:rPr>
                <w:rFonts w:ascii="Times New Roman" w:hAnsi="Times New Roman" w:cs="Times New Roman"/>
                <w:sz w:val="24"/>
                <w:szCs w:val="24"/>
              </w:rPr>
              <w:t>ceturto</w:t>
            </w:r>
            <w:r w:rsidRPr="00D37ED9">
              <w:rPr>
                <w:rFonts w:ascii="Times New Roman" w:hAnsi="Times New Roman" w:cs="Times New Roman"/>
                <w:sz w:val="24"/>
                <w:szCs w:val="24"/>
              </w:rPr>
              <w:t xml:space="preserve"> daļu</w:t>
            </w:r>
            <w:r w:rsidR="00061C6D">
              <w:rPr>
                <w:rFonts w:ascii="Times New Roman" w:hAnsi="Times New Roman" w:cs="Times New Roman"/>
                <w:sz w:val="24"/>
                <w:szCs w:val="24"/>
              </w:rPr>
              <w:t>.</w:t>
            </w:r>
          </w:p>
        </w:tc>
      </w:tr>
      <w:tr w:rsidR="00956521" w:rsidRPr="00171604" w:rsidTr="00221970">
        <w:trPr>
          <w:trHeight w:val="360"/>
        </w:trPr>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3105D9">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 xml:space="preserve">2. </w:t>
            </w:r>
            <w:r w:rsidR="00EE419A" w:rsidRPr="0017160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553B0C" w:rsidRPr="002A276B" w:rsidRDefault="00052A96" w:rsidP="00052A96">
            <w:pPr>
              <w:spacing w:after="0" w:line="240" w:lineRule="auto"/>
              <w:ind w:firstLine="567"/>
              <w:jc w:val="both"/>
              <w:rPr>
                <w:rFonts w:ascii="Times New Roman" w:hAnsi="Times New Roman" w:cs="Times New Roman"/>
                <w:sz w:val="24"/>
                <w:szCs w:val="24"/>
              </w:rPr>
            </w:pPr>
            <w:r w:rsidRPr="002A276B">
              <w:rPr>
                <w:rFonts w:ascii="Times New Roman" w:hAnsi="Times New Roman" w:cs="Times New Roman"/>
                <w:sz w:val="24"/>
                <w:szCs w:val="24"/>
              </w:rPr>
              <w:t>Grozījumi Ministru kabineta 2010.gada 13.aprīļa noteikumos Nr.361 „Noteikumi par darbības programmas „Uzņēmējdarbība un inovācijas” papildinājuma 2.1.2.1.1.apakšaktivitāti „Kompetences centri”” (turpmāk – MK noteiku</w:t>
            </w:r>
            <w:r w:rsidR="00553B0C" w:rsidRPr="002A276B">
              <w:rPr>
                <w:rFonts w:ascii="Times New Roman" w:hAnsi="Times New Roman" w:cs="Times New Roman"/>
                <w:sz w:val="24"/>
                <w:szCs w:val="24"/>
              </w:rPr>
              <w:t>mi Nr.361) ir nepieciešami, lai:</w:t>
            </w:r>
          </w:p>
          <w:p w:rsidR="00BD3798" w:rsidRPr="002A276B" w:rsidRDefault="00052A96" w:rsidP="00553B0C">
            <w:pPr>
              <w:pStyle w:val="ListParagraph"/>
              <w:numPr>
                <w:ilvl w:val="0"/>
                <w:numId w:val="9"/>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koriģētu d</w:t>
            </w:r>
            <w:r w:rsidR="00755ED6" w:rsidRPr="002A276B">
              <w:rPr>
                <w:rFonts w:ascii="Times New Roman" w:hAnsi="Times New Roman" w:cs="Times New Roman"/>
                <w:sz w:val="24"/>
                <w:szCs w:val="24"/>
              </w:rPr>
              <w:t>arbības programmas „Uzņēmējdarbība un inovācijas” papildinājuma 2.1.2.</w:t>
            </w:r>
            <w:r w:rsidR="00BD3798" w:rsidRPr="002A276B">
              <w:rPr>
                <w:rFonts w:ascii="Times New Roman" w:hAnsi="Times New Roman" w:cs="Times New Roman"/>
                <w:sz w:val="24"/>
                <w:szCs w:val="24"/>
              </w:rPr>
              <w:t>1</w:t>
            </w:r>
            <w:r w:rsidR="00755ED6" w:rsidRPr="002A276B">
              <w:rPr>
                <w:rFonts w:ascii="Times New Roman" w:hAnsi="Times New Roman" w:cs="Times New Roman"/>
                <w:sz w:val="24"/>
                <w:szCs w:val="24"/>
              </w:rPr>
              <w:t>.</w:t>
            </w:r>
            <w:r w:rsidR="00BD3798" w:rsidRPr="002A276B">
              <w:rPr>
                <w:rFonts w:ascii="Times New Roman" w:hAnsi="Times New Roman" w:cs="Times New Roman"/>
                <w:sz w:val="24"/>
                <w:szCs w:val="24"/>
              </w:rPr>
              <w:t>1</w:t>
            </w:r>
            <w:r w:rsidRPr="002A276B">
              <w:rPr>
                <w:rFonts w:ascii="Times New Roman" w:hAnsi="Times New Roman" w:cs="Times New Roman"/>
                <w:sz w:val="24"/>
                <w:szCs w:val="24"/>
              </w:rPr>
              <w:t>.apakšaktivitātē</w:t>
            </w:r>
            <w:r w:rsidR="00755ED6" w:rsidRPr="002A276B">
              <w:rPr>
                <w:rFonts w:ascii="Times New Roman" w:hAnsi="Times New Roman" w:cs="Times New Roman"/>
                <w:sz w:val="24"/>
                <w:szCs w:val="24"/>
              </w:rPr>
              <w:t xml:space="preserve"> „</w:t>
            </w:r>
            <w:r w:rsidR="00BD3798" w:rsidRPr="002A276B">
              <w:rPr>
                <w:rFonts w:ascii="Times New Roman" w:hAnsi="Times New Roman" w:cs="Times New Roman"/>
                <w:sz w:val="24"/>
                <w:szCs w:val="24"/>
              </w:rPr>
              <w:t>Kompetences centri</w:t>
            </w:r>
            <w:r w:rsidR="00755ED6" w:rsidRPr="002A276B">
              <w:rPr>
                <w:rFonts w:ascii="Times New Roman" w:hAnsi="Times New Roman" w:cs="Times New Roman"/>
                <w:sz w:val="24"/>
                <w:szCs w:val="24"/>
              </w:rPr>
              <w:t>” (turpmāk – 2.1.2.</w:t>
            </w:r>
            <w:r w:rsidR="00BD3798" w:rsidRPr="002A276B">
              <w:rPr>
                <w:rFonts w:ascii="Times New Roman" w:hAnsi="Times New Roman" w:cs="Times New Roman"/>
                <w:sz w:val="24"/>
                <w:szCs w:val="24"/>
              </w:rPr>
              <w:t>1</w:t>
            </w:r>
            <w:r w:rsidR="00755ED6" w:rsidRPr="002A276B">
              <w:rPr>
                <w:rFonts w:ascii="Times New Roman" w:hAnsi="Times New Roman" w:cs="Times New Roman"/>
                <w:sz w:val="24"/>
                <w:szCs w:val="24"/>
              </w:rPr>
              <w:t>.</w:t>
            </w:r>
            <w:r w:rsidR="00BD3798" w:rsidRPr="002A276B">
              <w:rPr>
                <w:rFonts w:ascii="Times New Roman" w:hAnsi="Times New Roman" w:cs="Times New Roman"/>
                <w:sz w:val="24"/>
                <w:szCs w:val="24"/>
              </w:rPr>
              <w:t>1</w:t>
            </w:r>
            <w:r w:rsidR="00755ED6" w:rsidRPr="002A276B">
              <w:rPr>
                <w:rFonts w:ascii="Times New Roman" w:hAnsi="Times New Roman" w:cs="Times New Roman"/>
                <w:sz w:val="24"/>
                <w:szCs w:val="24"/>
              </w:rPr>
              <w:t>.apakšaktivitāte)</w:t>
            </w:r>
            <w:r w:rsidRPr="002A276B">
              <w:rPr>
                <w:rFonts w:ascii="Times New Roman" w:hAnsi="Times New Roman" w:cs="Times New Roman"/>
                <w:sz w:val="24"/>
                <w:szCs w:val="24"/>
              </w:rPr>
              <w:t xml:space="preserve"> pieejamo </w:t>
            </w:r>
            <w:r w:rsidR="0086178A" w:rsidRPr="002A276B">
              <w:rPr>
                <w:rFonts w:ascii="Times New Roman" w:hAnsi="Times New Roman" w:cs="Times New Roman"/>
                <w:sz w:val="24"/>
                <w:szCs w:val="24"/>
              </w:rPr>
              <w:t xml:space="preserve">Eiropas Reģionālās attīstības fonda </w:t>
            </w:r>
            <w:r w:rsidRPr="002A276B">
              <w:rPr>
                <w:rFonts w:ascii="Times New Roman" w:hAnsi="Times New Roman" w:cs="Times New Roman"/>
                <w:sz w:val="24"/>
                <w:szCs w:val="24"/>
              </w:rPr>
              <w:t xml:space="preserve">finansējumu </w:t>
            </w:r>
            <w:r w:rsidR="0086178A" w:rsidRPr="002A276B">
              <w:rPr>
                <w:rFonts w:ascii="Times New Roman" w:hAnsi="Times New Roman" w:cs="Times New Roman"/>
                <w:sz w:val="24"/>
                <w:szCs w:val="24"/>
              </w:rPr>
              <w:t xml:space="preserve">un uzraudzības rādītājus </w:t>
            </w:r>
            <w:r w:rsidRPr="002A276B">
              <w:rPr>
                <w:rFonts w:ascii="Times New Roman" w:hAnsi="Times New Roman" w:cs="Times New Roman"/>
                <w:sz w:val="24"/>
                <w:szCs w:val="24"/>
              </w:rPr>
              <w:t xml:space="preserve">saskaņā ar </w:t>
            </w:r>
            <w:r w:rsidR="00155D06" w:rsidRPr="002A276B">
              <w:rPr>
                <w:rFonts w:ascii="Times New Roman" w:hAnsi="Times New Roman" w:cs="Times New Roman"/>
                <w:sz w:val="24"/>
                <w:szCs w:val="24"/>
              </w:rPr>
              <w:t xml:space="preserve">2014.gada 20.jūnija </w:t>
            </w:r>
            <w:r w:rsidRPr="002A276B">
              <w:rPr>
                <w:rFonts w:ascii="Times New Roman" w:hAnsi="Times New Roman" w:cs="Times New Roman"/>
                <w:sz w:val="24"/>
                <w:szCs w:val="24"/>
              </w:rPr>
              <w:t xml:space="preserve">grozījumiem darbības programmas „Uzņēmējdarbība un inovācijas” papildinājumā </w:t>
            </w:r>
            <w:r w:rsidR="00155D06" w:rsidRPr="002A276B">
              <w:rPr>
                <w:rFonts w:ascii="Times New Roman" w:hAnsi="Times New Roman" w:cs="Times New Roman"/>
                <w:sz w:val="24"/>
                <w:szCs w:val="24"/>
              </w:rPr>
              <w:t>(</w:t>
            </w:r>
            <w:proofErr w:type="spellStart"/>
            <w:r w:rsidR="00155D06" w:rsidRPr="002A276B">
              <w:rPr>
                <w:rFonts w:ascii="Times New Roman" w:hAnsi="Times New Roman" w:cs="Times New Roman"/>
                <w:sz w:val="24"/>
                <w:szCs w:val="24"/>
              </w:rPr>
              <w:t>prot</w:t>
            </w:r>
            <w:proofErr w:type="spellEnd"/>
            <w:r w:rsidR="00155D06" w:rsidRPr="002A276B">
              <w:rPr>
                <w:rFonts w:ascii="Times New Roman" w:hAnsi="Times New Roman" w:cs="Times New Roman"/>
                <w:sz w:val="24"/>
                <w:szCs w:val="24"/>
              </w:rPr>
              <w:t xml:space="preserve">. Nr.33 59.§) </w:t>
            </w:r>
            <w:r w:rsidRPr="002A276B">
              <w:rPr>
                <w:rFonts w:ascii="Times New Roman" w:hAnsi="Times New Roman" w:cs="Times New Roman"/>
                <w:sz w:val="24"/>
                <w:szCs w:val="24"/>
              </w:rPr>
              <w:t>(turpmāk – DPP</w:t>
            </w:r>
            <w:r w:rsidR="00155D06" w:rsidRPr="002A276B">
              <w:rPr>
                <w:rFonts w:ascii="Times New Roman" w:hAnsi="Times New Roman" w:cs="Times New Roman"/>
                <w:sz w:val="24"/>
                <w:szCs w:val="24"/>
              </w:rPr>
              <w:t xml:space="preserve"> grozījumi</w:t>
            </w:r>
            <w:r w:rsidRPr="002A276B">
              <w:rPr>
                <w:rFonts w:ascii="Times New Roman" w:hAnsi="Times New Roman" w:cs="Times New Roman"/>
                <w:sz w:val="24"/>
                <w:szCs w:val="24"/>
              </w:rPr>
              <w:t>)</w:t>
            </w:r>
            <w:r w:rsidR="00155D06" w:rsidRPr="002A276B">
              <w:rPr>
                <w:rFonts w:ascii="Times New Roman" w:hAnsi="Times New Roman" w:cs="Times New Roman"/>
                <w:sz w:val="24"/>
                <w:szCs w:val="24"/>
              </w:rPr>
              <w:t>;</w:t>
            </w:r>
          </w:p>
          <w:p w:rsidR="00553B0C" w:rsidRPr="002A276B" w:rsidRDefault="00553B0C" w:rsidP="00553B0C">
            <w:pPr>
              <w:pStyle w:val="ListParagraph"/>
              <w:numPr>
                <w:ilvl w:val="0"/>
                <w:numId w:val="9"/>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pagarinātu 2.1.2.1.1.apakšaktivitātes </w:t>
            </w:r>
            <w:r w:rsidR="00EA3EFC" w:rsidRPr="002A276B">
              <w:rPr>
                <w:rFonts w:ascii="Times New Roman" w:hAnsi="Times New Roman" w:cs="Times New Roman"/>
                <w:sz w:val="24"/>
                <w:szCs w:val="24"/>
              </w:rPr>
              <w:t>projektu noslēguma pārskatu iesniegšanas termiņu līdz 2016.gada 31.janvārim</w:t>
            </w:r>
            <w:r w:rsidR="00720F06" w:rsidRPr="002A276B">
              <w:rPr>
                <w:rFonts w:ascii="Times New Roman" w:hAnsi="Times New Roman" w:cs="Times New Roman"/>
                <w:sz w:val="24"/>
                <w:szCs w:val="24"/>
              </w:rPr>
              <w:t xml:space="preserve"> un</w:t>
            </w:r>
            <w:r w:rsidR="00EA3EFC" w:rsidRPr="002A276B">
              <w:rPr>
                <w:rFonts w:ascii="Times New Roman" w:hAnsi="Times New Roman" w:cs="Times New Roman"/>
                <w:sz w:val="24"/>
                <w:szCs w:val="24"/>
              </w:rPr>
              <w:t xml:space="preserve"> </w:t>
            </w:r>
            <w:r w:rsidR="0042731F" w:rsidRPr="002A276B">
              <w:rPr>
                <w:rFonts w:ascii="Times New Roman" w:hAnsi="Times New Roman" w:cs="Times New Roman"/>
                <w:sz w:val="24"/>
                <w:szCs w:val="24"/>
              </w:rPr>
              <w:t xml:space="preserve">atļautu pagarināt </w:t>
            </w:r>
            <w:r w:rsidR="00EA3EFC" w:rsidRPr="002A276B">
              <w:rPr>
                <w:rFonts w:ascii="Times New Roman" w:hAnsi="Times New Roman" w:cs="Times New Roman"/>
                <w:sz w:val="24"/>
                <w:szCs w:val="24"/>
              </w:rPr>
              <w:t>2.1.2.1.1.apakšaktivitātes</w:t>
            </w:r>
            <w:r w:rsidR="00720F06" w:rsidRPr="002A276B">
              <w:rPr>
                <w:rFonts w:ascii="Times New Roman" w:hAnsi="Times New Roman" w:cs="Times New Roman"/>
                <w:sz w:val="24"/>
                <w:szCs w:val="24"/>
              </w:rPr>
              <w:t xml:space="preserve"> projektu</w:t>
            </w:r>
            <w:r w:rsidR="00EA3EFC" w:rsidRPr="002A276B">
              <w:rPr>
                <w:rFonts w:ascii="Times New Roman" w:hAnsi="Times New Roman" w:cs="Times New Roman"/>
                <w:sz w:val="24"/>
                <w:szCs w:val="24"/>
              </w:rPr>
              <w:t xml:space="preserve"> </w:t>
            </w:r>
            <w:r w:rsidRPr="002A276B">
              <w:rPr>
                <w:rFonts w:ascii="Times New Roman" w:hAnsi="Times New Roman" w:cs="Times New Roman"/>
                <w:sz w:val="24"/>
                <w:szCs w:val="24"/>
              </w:rPr>
              <w:t>ieviešanas termiņu līdz 2015.gada 31.decembrim;</w:t>
            </w:r>
          </w:p>
          <w:p w:rsidR="00F21E4F" w:rsidRPr="002A276B" w:rsidRDefault="001756B6" w:rsidP="00553B0C">
            <w:pPr>
              <w:pStyle w:val="ListParagraph"/>
              <w:numPr>
                <w:ilvl w:val="0"/>
                <w:numId w:val="9"/>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paplašinātu avansu izmaksas iespējas, papildinot MK noteikumus Nr.361 ar iespēju saņemt avansu, iesniedzot bankas garantiju</w:t>
            </w:r>
            <w:r w:rsidR="00F21E4F" w:rsidRPr="002A276B">
              <w:rPr>
                <w:rFonts w:ascii="Times New Roman" w:hAnsi="Times New Roman" w:cs="Times New Roman"/>
                <w:sz w:val="24"/>
                <w:szCs w:val="24"/>
              </w:rPr>
              <w:t>;</w:t>
            </w:r>
          </w:p>
          <w:p w:rsidR="00553B0C" w:rsidRPr="002A276B" w:rsidRDefault="00F21E4F" w:rsidP="00553B0C">
            <w:pPr>
              <w:pStyle w:val="ListParagraph"/>
              <w:numPr>
                <w:ilvl w:val="0"/>
                <w:numId w:val="9"/>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konvertētu valūtu no latiem uz </w:t>
            </w:r>
            <w:proofErr w:type="spellStart"/>
            <w:r w:rsidRPr="002A276B">
              <w:rPr>
                <w:rFonts w:ascii="Times New Roman" w:hAnsi="Times New Roman" w:cs="Times New Roman"/>
                <w:i/>
                <w:sz w:val="24"/>
                <w:szCs w:val="24"/>
              </w:rPr>
              <w:t>euro</w:t>
            </w:r>
            <w:proofErr w:type="spellEnd"/>
            <w:r w:rsidRPr="002A276B">
              <w:rPr>
                <w:rFonts w:ascii="Times New Roman" w:hAnsi="Times New Roman" w:cs="Times New Roman"/>
                <w:sz w:val="24"/>
                <w:szCs w:val="24"/>
              </w:rPr>
              <w:t>;</w:t>
            </w:r>
          </w:p>
          <w:p w:rsidR="00F21E4F" w:rsidRPr="002A276B" w:rsidRDefault="00D2290D" w:rsidP="0007583D">
            <w:pPr>
              <w:pStyle w:val="ListParagraph"/>
              <w:numPr>
                <w:ilvl w:val="0"/>
                <w:numId w:val="9"/>
              </w:num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aizstātu </w:t>
            </w:r>
            <w:r w:rsidR="0007583D" w:rsidRPr="002A276B">
              <w:rPr>
                <w:rFonts w:ascii="Times New Roman" w:hAnsi="Times New Roman" w:cs="Times New Roman"/>
                <w:sz w:val="24"/>
                <w:szCs w:val="24"/>
              </w:rPr>
              <w:t xml:space="preserve">Komisijas 2006.gada 15.decembra Regulu (EK)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xml:space="preserve">. 1998/2006 par Līguma 87. un 88.panta piemērošanu </w:t>
            </w:r>
            <w:proofErr w:type="spellStart"/>
            <w:r w:rsidR="0007583D" w:rsidRPr="002A276B">
              <w:rPr>
                <w:rFonts w:ascii="Times New Roman" w:hAnsi="Times New Roman" w:cs="Times New Roman"/>
                <w:i/>
                <w:sz w:val="24"/>
                <w:szCs w:val="24"/>
              </w:rPr>
              <w:t>de</w:t>
            </w:r>
            <w:proofErr w:type="spellEnd"/>
            <w:r w:rsidR="0007583D" w:rsidRPr="002A276B">
              <w:rPr>
                <w:rFonts w:ascii="Times New Roman" w:hAnsi="Times New Roman" w:cs="Times New Roman"/>
                <w:i/>
                <w:sz w:val="24"/>
                <w:szCs w:val="24"/>
              </w:rPr>
              <w:t xml:space="preserve"> </w:t>
            </w:r>
            <w:proofErr w:type="spellStart"/>
            <w:r w:rsidR="0007583D" w:rsidRPr="002A276B">
              <w:rPr>
                <w:rFonts w:ascii="Times New Roman" w:hAnsi="Times New Roman" w:cs="Times New Roman"/>
                <w:i/>
                <w:sz w:val="24"/>
                <w:szCs w:val="24"/>
              </w:rPr>
              <w:t>minimis</w:t>
            </w:r>
            <w:proofErr w:type="spellEnd"/>
            <w:r w:rsidR="0007583D" w:rsidRPr="002A276B">
              <w:rPr>
                <w:rFonts w:ascii="Times New Roman" w:hAnsi="Times New Roman" w:cs="Times New Roman"/>
                <w:sz w:val="24"/>
                <w:szCs w:val="24"/>
              </w:rPr>
              <w:t xml:space="preserve"> atbalstam (Eiropas Savienības Oficiālais Vēstnesis, 2006.gada 28.decembris, </w:t>
            </w:r>
            <w:proofErr w:type="spellStart"/>
            <w:r w:rsidR="00262685" w:rsidRPr="002A276B">
              <w:rPr>
                <w:rFonts w:ascii="Times New Roman" w:hAnsi="Times New Roman" w:cs="Times New Roman"/>
                <w:sz w:val="24"/>
                <w:szCs w:val="24"/>
              </w:rPr>
              <w:t>Nr</w:t>
            </w:r>
            <w:proofErr w:type="spellEnd"/>
            <w:r w:rsidR="00262685" w:rsidRPr="002A276B">
              <w:rPr>
                <w:rFonts w:ascii="Times New Roman" w:hAnsi="Times New Roman" w:cs="Times New Roman"/>
                <w:sz w:val="24"/>
                <w:szCs w:val="24"/>
              </w:rPr>
              <w:t xml:space="preserve">. </w:t>
            </w:r>
            <w:r w:rsidR="0007583D" w:rsidRPr="002A276B">
              <w:rPr>
                <w:rFonts w:ascii="Times New Roman" w:hAnsi="Times New Roman" w:cs="Times New Roman"/>
                <w:sz w:val="24"/>
                <w:szCs w:val="24"/>
              </w:rPr>
              <w:t xml:space="preserve">L 379) (turpmāk – Komisijas regula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1998/2006)</w:t>
            </w:r>
            <w:r w:rsidR="00F21E4F" w:rsidRPr="002A276B">
              <w:rPr>
                <w:rFonts w:ascii="Times New Roman" w:hAnsi="Times New Roman" w:cs="Times New Roman"/>
                <w:sz w:val="24"/>
                <w:szCs w:val="24"/>
              </w:rPr>
              <w:t xml:space="preserve"> </w:t>
            </w:r>
            <w:r w:rsidR="0007583D" w:rsidRPr="002A276B">
              <w:rPr>
                <w:rFonts w:ascii="Times New Roman" w:hAnsi="Times New Roman" w:cs="Times New Roman"/>
                <w:sz w:val="24"/>
                <w:szCs w:val="24"/>
              </w:rPr>
              <w:t>ar</w:t>
            </w:r>
            <w:r w:rsidR="00F21E4F" w:rsidRPr="002A276B">
              <w:rPr>
                <w:rFonts w:ascii="Times New Roman" w:hAnsi="Times New Roman" w:cs="Times New Roman"/>
                <w:sz w:val="24"/>
                <w:szCs w:val="24"/>
              </w:rPr>
              <w:t xml:space="preserve"> Komisijas </w:t>
            </w:r>
            <w:r w:rsidRPr="002A276B">
              <w:rPr>
                <w:rFonts w:ascii="Times New Roman" w:hAnsi="Times New Roman" w:cs="Times New Roman"/>
                <w:sz w:val="24"/>
                <w:szCs w:val="24"/>
              </w:rPr>
              <w:t>2013.gada 18.decembra R</w:t>
            </w:r>
            <w:r w:rsidR="00F21E4F" w:rsidRPr="002A276B">
              <w:rPr>
                <w:rFonts w:ascii="Times New Roman" w:hAnsi="Times New Roman" w:cs="Times New Roman"/>
                <w:sz w:val="24"/>
                <w:szCs w:val="24"/>
              </w:rPr>
              <w:t xml:space="preserve">egulu </w:t>
            </w:r>
            <w:r w:rsidRPr="002A276B">
              <w:rPr>
                <w:rFonts w:ascii="Times New Roman" w:hAnsi="Times New Roman" w:cs="Times New Roman"/>
                <w:sz w:val="24"/>
                <w:szCs w:val="24"/>
              </w:rPr>
              <w:t>(E</w:t>
            </w:r>
            <w:r w:rsidR="00262685" w:rsidRPr="002A276B">
              <w:rPr>
                <w:rFonts w:ascii="Times New Roman" w:hAnsi="Times New Roman" w:cs="Times New Roman"/>
                <w:sz w:val="24"/>
                <w:szCs w:val="24"/>
              </w:rPr>
              <w:t>S</w:t>
            </w:r>
            <w:r w:rsidRPr="002A276B">
              <w:rPr>
                <w:rFonts w:ascii="Times New Roman" w:hAnsi="Times New Roman" w:cs="Times New Roman"/>
                <w:sz w:val="24"/>
                <w:szCs w:val="24"/>
              </w:rPr>
              <w:t xml:space="preserve">) Nr.1407/2013 par Līguma par Eiropas Savienības darbību 107. un 108. panta piemērošanu </w:t>
            </w:r>
            <w:proofErr w:type="spellStart"/>
            <w:r w:rsidRPr="002A276B">
              <w:rPr>
                <w:rFonts w:ascii="Times New Roman" w:hAnsi="Times New Roman" w:cs="Times New Roman"/>
                <w:i/>
                <w:sz w:val="24"/>
                <w:szCs w:val="24"/>
              </w:rPr>
              <w:t>de</w:t>
            </w:r>
            <w:proofErr w:type="spellEnd"/>
            <w:r w:rsidRPr="002A276B">
              <w:rPr>
                <w:rFonts w:ascii="Times New Roman" w:hAnsi="Times New Roman" w:cs="Times New Roman"/>
                <w:i/>
                <w:sz w:val="24"/>
                <w:szCs w:val="24"/>
              </w:rPr>
              <w:t xml:space="preserve"> </w:t>
            </w:r>
            <w:proofErr w:type="spellStart"/>
            <w:r w:rsidRPr="002A276B">
              <w:rPr>
                <w:rFonts w:ascii="Times New Roman" w:hAnsi="Times New Roman" w:cs="Times New Roman"/>
                <w:i/>
                <w:sz w:val="24"/>
                <w:szCs w:val="24"/>
              </w:rPr>
              <w:t>minimis</w:t>
            </w:r>
            <w:proofErr w:type="spellEnd"/>
            <w:r w:rsidRPr="002A276B">
              <w:rPr>
                <w:rFonts w:ascii="Times New Roman" w:hAnsi="Times New Roman" w:cs="Times New Roman"/>
                <w:i/>
                <w:sz w:val="24"/>
                <w:szCs w:val="24"/>
              </w:rPr>
              <w:t xml:space="preserve"> </w:t>
            </w:r>
            <w:r w:rsidRPr="002A276B">
              <w:rPr>
                <w:rFonts w:ascii="Times New Roman" w:hAnsi="Times New Roman" w:cs="Times New Roman"/>
                <w:sz w:val="24"/>
                <w:szCs w:val="24"/>
              </w:rPr>
              <w:t xml:space="preserve">atbalstam (Eiropas Savienības Oficiālais Vēstnesis, 2013.gada 24.decembris,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L 352) (turpmāk – Komisijas regula Nr.1407/2013)</w:t>
            </w:r>
            <w:r w:rsidR="00262685" w:rsidRPr="002A276B">
              <w:rPr>
                <w:rFonts w:ascii="Times New Roman" w:hAnsi="Times New Roman" w:cs="Times New Roman"/>
                <w:sz w:val="24"/>
                <w:szCs w:val="24"/>
              </w:rPr>
              <w:t>, kā arī aizstāt</w:t>
            </w:r>
            <w:r w:rsidR="0007583D" w:rsidRPr="002A276B">
              <w:rPr>
                <w:rFonts w:ascii="Times New Roman" w:hAnsi="Times New Roman" w:cs="Times New Roman"/>
                <w:sz w:val="24"/>
                <w:szCs w:val="24"/>
              </w:rPr>
              <w:t xml:space="preserve"> Komisijas 2008.gada 6.augusta Regulu (EK)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xml:space="preserve">. 800/2008, kas atzīst noteiktas atbalsta kategorijas par saderīgām ar kopējo tirgu, piemērojot Līguma 87. un 88.pantu (vispārējā grupu atbrīvojuma regula) (Eiropas Savienības Oficiālais Vēstnesis, 2008.gada 9.augusts, </w:t>
            </w:r>
            <w:proofErr w:type="spellStart"/>
            <w:r w:rsidR="00262685" w:rsidRPr="002A276B">
              <w:rPr>
                <w:rFonts w:ascii="Times New Roman" w:hAnsi="Times New Roman" w:cs="Times New Roman"/>
                <w:sz w:val="24"/>
                <w:szCs w:val="24"/>
              </w:rPr>
              <w:t>Nr</w:t>
            </w:r>
            <w:proofErr w:type="spellEnd"/>
            <w:r w:rsidR="00262685" w:rsidRPr="002A276B">
              <w:rPr>
                <w:rFonts w:ascii="Times New Roman" w:hAnsi="Times New Roman" w:cs="Times New Roman"/>
                <w:sz w:val="24"/>
                <w:szCs w:val="24"/>
              </w:rPr>
              <w:t xml:space="preserve">. </w:t>
            </w:r>
            <w:r w:rsidR="0007583D" w:rsidRPr="002A276B">
              <w:rPr>
                <w:rFonts w:ascii="Times New Roman" w:hAnsi="Times New Roman" w:cs="Times New Roman"/>
                <w:sz w:val="24"/>
                <w:szCs w:val="24"/>
              </w:rPr>
              <w:t xml:space="preserve">L 214) (turpmāk – Komisijas regula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800/2008)</w:t>
            </w:r>
            <w:r w:rsidRPr="002A276B">
              <w:rPr>
                <w:rFonts w:ascii="Times New Roman" w:hAnsi="Times New Roman" w:cs="Times New Roman"/>
                <w:sz w:val="24"/>
                <w:szCs w:val="24"/>
              </w:rPr>
              <w:t xml:space="preserve"> </w:t>
            </w:r>
            <w:r w:rsidR="0007583D" w:rsidRPr="002A276B">
              <w:rPr>
                <w:rFonts w:ascii="Times New Roman" w:hAnsi="Times New Roman" w:cs="Times New Roman"/>
                <w:sz w:val="24"/>
                <w:szCs w:val="24"/>
              </w:rPr>
              <w:t>ar Komisijas 2014.gada 17.jūnija Regulu (E</w:t>
            </w:r>
            <w:r w:rsidR="00262685" w:rsidRPr="002A276B">
              <w:rPr>
                <w:rFonts w:ascii="Times New Roman" w:hAnsi="Times New Roman" w:cs="Times New Roman"/>
                <w:sz w:val="24"/>
                <w:szCs w:val="24"/>
              </w:rPr>
              <w:t>S</w:t>
            </w:r>
            <w:r w:rsidR="0007583D" w:rsidRPr="002A276B">
              <w:rPr>
                <w:rFonts w:ascii="Times New Roman" w:hAnsi="Times New Roman" w:cs="Times New Roman"/>
                <w:sz w:val="24"/>
                <w:szCs w:val="24"/>
              </w:rPr>
              <w:t xml:space="preserve">)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xml:space="preserve">. 651/2014, </w:t>
            </w:r>
            <w:r w:rsidR="00262685" w:rsidRPr="002A276B">
              <w:rPr>
                <w:rFonts w:ascii="Times New Roman" w:hAnsi="Times New Roman" w:cs="Times New Roman"/>
                <w:sz w:val="24"/>
                <w:szCs w:val="24"/>
              </w:rPr>
              <w:t>ar ko noteiktas</w:t>
            </w:r>
            <w:r w:rsidR="0007583D" w:rsidRPr="002A276B">
              <w:rPr>
                <w:rFonts w:ascii="Times New Roman" w:hAnsi="Times New Roman" w:cs="Times New Roman"/>
                <w:sz w:val="24"/>
                <w:szCs w:val="24"/>
              </w:rPr>
              <w:t xml:space="preserve"> atbalsta kategorijas</w:t>
            </w:r>
            <w:r w:rsidR="00262685" w:rsidRPr="002A276B">
              <w:rPr>
                <w:rFonts w:ascii="Times New Roman" w:hAnsi="Times New Roman" w:cs="Times New Roman"/>
                <w:sz w:val="24"/>
                <w:szCs w:val="24"/>
              </w:rPr>
              <w:t xml:space="preserve"> atzīst</w:t>
            </w:r>
            <w:r w:rsidR="0007583D" w:rsidRPr="002A276B">
              <w:rPr>
                <w:rFonts w:ascii="Times New Roman" w:hAnsi="Times New Roman" w:cs="Times New Roman"/>
                <w:sz w:val="24"/>
                <w:szCs w:val="24"/>
              </w:rPr>
              <w:t xml:space="preserve"> par saderīgām ar iekšējo tirgu, piemērojot Līguma 107. un 108.pantu (Eiropas Savienības Oficiālais Vēstnesis, 2014.gada 26.jūnijs, </w:t>
            </w:r>
            <w:proofErr w:type="spellStart"/>
            <w:r w:rsidR="00262685" w:rsidRPr="002A276B">
              <w:rPr>
                <w:rFonts w:ascii="Times New Roman" w:hAnsi="Times New Roman" w:cs="Times New Roman"/>
                <w:sz w:val="24"/>
                <w:szCs w:val="24"/>
              </w:rPr>
              <w:t>Nr</w:t>
            </w:r>
            <w:proofErr w:type="spellEnd"/>
            <w:r w:rsidR="00262685" w:rsidRPr="002A276B">
              <w:rPr>
                <w:rFonts w:ascii="Times New Roman" w:hAnsi="Times New Roman" w:cs="Times New Roman"/>
                <w:sz w:val="24"/>
                <w:szCs w:val="24"/>
              </w:rPr>
              <w:t xml:space="preserve">. </w:t>
            </w:r>
            <w:r w:rsidR="0007583D" w:rsidRPr="002A276B">
              <w:rPr>
                <w:rFonts w:ascii="Times New Roman" w:hAnsi="Times New Roman" w:cs="Times New Roman"/>
                <w:sz w:val="24"/>
                <w:szCs w:val="24"/>
              </w:rPr>
              <w:t xml:space="preserve">L 187) (turpmāk </w:t>
            </w:r>
            <w:r w:rsidR="0007583D" w:rsidRPr="002A276B">
              <w:rPr>
                <w:rFonts w:ascii="Times New Roman" w:hAnsi="Times New Roman" w:cs="Times New Roman"/>
                <w:sz w:val="24"/>
                <w:szCs w:val="24"/>
              </w:rPr>
              <w:lastRenderedPageBreak/>
              <w:t xml:space="preserve">– Komisijas regula </w:t>
            </w:r>
            <w:proofErr w:type="spellStart"/>
            <w:r w:rsidR="0007583D" w:rsidRPr="002A276B">
              <w:rPr>
                <w:rFonts w:ascii="Times New Roman" w:hAnsi="Times New Roman" w:cs="Times New Roman"/>
                <w:sz w:val="24"/>
                <w:szCs w:val="24"/>
              </w:rPr>
              <w:t>Nr</w:t>
            </w:r>
            <w:proofErr w:type="spellEnd"/>
            <w:r w:rsidR="0007583D" w:rsidRPr="002A276B">
              <w:rPr>
                <w:rFonts w:ascii="Times New Roman" w:hAnsi="Times New Roman" w:cs="Times New Roman"/>
                <w:sz w:val="24"/>
                <w:szCs w:val="24"/>
              </w:rPr>
              <w:t>. 651/2014);</w:t>
            </w:r>
          </w:p>
          <w:p w:rsidR="0007583D" w:rsidRPr="002A276B" w:rsidRDefault="0007583D" w:rsidP="00786783">
            <w:pPr>
              <w:spacing w:after="0" w:line="240" w:lineRule="auto"/>
              <w:jc w:val="both"/>
              <w:rPr>
                <w:rFonts w:ascii="Times New Roman" w:hAnsi="Times New Roman" w:cs="Times New Roman"/>
                <w:sz w:val="24"/>
                <w:szCs w:val="24"/>
              </w:rPr>
            </w:pPr>
          </w:p>
          <w:p w:rsidR="00A80FCF" w:rsidRPr="002A276B" w:rsidRDefault="006C72A0"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2.1.2.1.1. aktivitātes „Kompetences centri” ietvaros projektu īstenošana ir uzsākta 2011.gada 2.-3.ceturksnī un </w:t>
            </w:r>
            <w:r w:rsidR="00670D1F" w:rsidRPr="002A276B">
              <w:rPr>
                <w:rFonts w:ascii="Times New Roman" w:hAnsi="Times New Roman" w:cs="Times New Roman"/>
                <w:sz w:val="24"/>
                <w:szCs w:val="24"/>
              </w:rPr>
              <w:t xml:space="preserve">pagaidām </w:t>
            </w:r>
            <w:r w:rsidR="00143BC7" w:rsidRPr="002A276B">
              <w:rPr>
                <w:rFonts w:ascii="Times New Roman" w:hAnsi="Times New Roman" w:cs="Times New Roman"/>
                <w:sz w:val="24"/>
                <w:szCs w:val="24"/>
              </w:rPr>
              <w:t>tiek paredzēta</w:t>
            </w:r>
            <w:r w:rsidRPr="002A276B">
              <w:rPr>
                <w:rFonts w:ascii="Times New Roman" w:hAnsi="Times New Roman" w:cs="Times New Roman"/>
                <w:sz w:val="24"/>
                <w:szCs w:val="24"/>
              </w:rPr>
              <w:t xml:space="preserve"> līdz 2015.gada 2.ceturkšņa beigām</w:t>
            </w:r>
            <w:r w:rsidR="00670D1F" w:rsidRPr="002A276B">
              <w:rPr>
                <w:rFonts w:ascii="Times New Roman" w:hAnsi="Times New Roman" w:cs="Times New Roman"/>
                <w:sz w:val="24"/>
                <w:szCs w:val="24"/>
              </w:rPr>
              <w:t>.</w:t>
            </w:r>
            <w:r w:rsidRPr="002A276B">
              <w:rPr>
                <w:rFonts w:ascii="Times New Roman" w:hAnsi="Times New Roman" w:cs="Times New Roman"/>
                <w:sz w:val="24"/>
                <w:szCs w:val="24"/>
              </w:rPr>
              <w:t xml:space="preserve"> </w:t>
            </w:r>
            <w:r w:rsidR="00143BC7" w:rsidRPr="002A276B">
              <w:rPr>
                <w:rFonts w:ascii="Times New Roman" w:hAnsi="Times New Roman" w:cs="Times New Roman"/>
                <w:sz w:val="24"/>
                <w:szCs w:val="24"/>
              </w:rPr>
              <w:t>N</w:t>
            </w:r>
            <w:r w:rsidRPr="002A276B">
              <w:rPr>
                <w:rFonts w:ascii="Times New Roman" w:hAnsi="Times New Roman" w:cs="Times New Roman"/>
                <w:sz w:val="24"/>
                <w:szCs w:val="24"/>
              </w:rPr>
              <w:t>o 2011.gada decembra līgumi ar finansējumu saņēmējiem tika apturēti, lai veiktu apjomīgus grozījumus 2.1.2.1.1.aktivitātes īstenošanas modelī, atļaujot arī individuālos pētījumus, kā arī veicot citus uzlabojumus. 2012.gada maijā līgumi tika daļēji atjaunoti. Līgumu pilnīga atjaunošana notika ar aktivitāti regulējošo Ministra kabineta noteikumu 2012.gada oktobra grozījumiem, paredzot, ka līdz 2013.gada 1.janvārim finansējuma saņēmējiem ir jāiesniedz aktualizēti projekta iesniegumi atbilstoši pēdējām normatīvā regulējuma izmaiņām. Pēc visu 6 kompetences centru precizēto projektu iesniegumu iesniegšanas 2012.gad</w:t>
            </w:r>
            <w:r w:rsidR="00655ECF" w:rsidRPr="002A276B">
              <w:rPr>
                <w:rFonts w:ascii="Times New Roman" w:hAnsi="Times New Roman" w:cs="Times New Roman"/>
                <w:sz w:val="24"/>
                <w:szCs w:val="24"/>
              </w:rPr>
              <w:t>a decembra pēdējos datumos, tika</w:t>
            </w:r>
            <w:r w:rsidRPr="002A276B">
              <w:rPr>
                <w:rFonts w:ascii="Times New Roman" w:hAnsi="Times New Roman" w:cs="Times New Roman"/>
                <w:sz w:val="24"/>
                <w:szCs w:val="24"/>
              </w:rPr>
              <w:t xml:space="preserve"> secinā</w:t>
            </w:r>
            <w:r w:rsidR="00655ECF" w:rsidRPr="002A276B">
              <w:rPr>
                <w:rFonts w:ascii="Times New Roman" w:hAnsi="Times New Roman" w:cs="Times New Roman"/>
                <w:sz w:val="24"/>
                <w:szCs w:val="24"/>
              </w:rPr>
              <w:t>ts</w:t>
            </w:r>
            <w:r w:rsidRPr="002A276B">
              <w:rPr>
                <w:rFonts w:ascii="Times New Roman" w:hAnsi="Times New Roman" w:cs="Times New Roman"/>
                <w:sz w:val="24"/>
                <w:szCs w:val="24"/>
              </w:rPr>
              <w:t>, ka, neskatoties uz aktivitātes apturēšanu, kompetences centri ir gatavi īstenot visu plānoto pētniecisko programmu un apgūt visu pieejamo finansējumu.</w:t>
            </w:r>
          </w:p>
          <w:p w:rsidR="0002774C" w:rsidRPr="002A276B" w:rsidRDefault="0002774C"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Tomēr, ņe</w:t>
            </w:r>
            <w:r w:rsidR="00A80FCF" w:rsidRPr="002A276B">
              <w:rPr>
                <w:rFonts w:ascii="Times New Roman" w:hAnsi="Times New Roman" w:cs="Times New Roman"/>
                <w:sz w:val="24"/>
                <w:szCs w:val="24"/>
              </w:rPr>
              <w:t xml:space="preserve">mot vērā, ka </w:t>
            </w:r>
            <w:r w:rsidRPr="002A276B">
              <w:rPr>
                <w:rFonts w:ascii="Times New Roman" w:hAnsi="Times New Roman" w:cs="Times New Roman"/>
                <w:sz w:val="24"/>
                <w:szCs w:val="24"/>
              </w:rPr>
              <w:t>2.1.2.1.1.apakš</w:t>
            </w:r>
            <w:r w:rsidR="00A80FCF" w:rsidRPr="002A276B">
              <w:rPr>
                <w:rFonts w:ascii="Times New Roman" w:hAnsi="Times New Roman" w:cs="Times New Roman"/>
                <w:sz w:val="24"/>
                <w:szCs w:val="24"/>
              </w:rPr>
              <w:t>aktivitātes ietvaros plānoto pētījumu īstenošana atsākās tikai 2013.gada I ceturksnī</w:t>
            </w:r>
            <w:r w:rsidR="00655ECF" w:rsidRPr="002A276B">
              <w:rPr>
                <w:rFonts w:ascii="Times New Roman" w:hAnsi="Times New Roman" w:cs="Times New Roman"/>
                <w:sz w:val="24"/>
                <w:szCs w:val="24"/>
              </w:rPr>
              <w:t>,</w:t>
            </w:r>
            <w:r w:rsidRPr="002A276B">
              <w:rPr>
                <w:rFonts w:ascii="Times New Roman" w:hAnsi="Times New Roman" w:cs="Times New Roman"/>
                <w:sz w:val="24"/>
                <w:szCs w:val="24"/>
              </w:rPr>
              <w:t xml:space="preserve"> būtiskākais risks pašlaik ir, ka finansējums netiks apgūts pilnībā</w:t>
            </w:r>
            <w:r w:rsidR="007A59CC" w:rsidRPr="002A276B">
              <w:rPr>
                <w:rFonts w:ascii="Times New Roman" w:hAnsi="Times New Roman" w:cs="Times New Roman"/>
                <w:sz w:val="24"/>
                <w:szCs w:val="24"/>
              </w:rPr>
              <w:t xml:space="preserve">, ja netiks </w:t>
            </w:r>
            <w:r w:rsidR="00C45B5E" w:rsidRPr="002A276B">
              <w:rPr>
                <w:rFonts w:ascii="Times New Roman" w:hAnsi="Times New Roman" w:cs="Times New Roman"/>
                <w:sz w:val="24"/>
                <w:szCs w:val="24"/>
              </w:rPr>
              <w:t xml:space="preserve">veikts </w:t>
            </w:r>
            <w:r w:rsidR="007A59CC" w:rsidRPr="002A276B">
              <w:rPr>
                <w:rFonts w:ascii="Times New Roman" w:hAnsi="Times New Roman" w:cs="Times New Roman"/>
                <w:sz w:val="24"/>
                <w:szCs w:val="24"/>
              </w:rPr>
              <w:t>projektu īstenošanas termiņa pagarinājums līdz 2015.gada 31.decembrim.</w:t>
            </w:r>
          </w:p>
          <w:p w:rsidR="00DE14FF" w:rsidRPr="002A276B" w:rsidRDefault="0011087F"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Lai gan kompetences centru pieprasītās summas ar katru ceturksni pieaug, ir risks, ka pieaugums </w:t>
            </w:r>
            <w:r w:rsidR="0050296E" w:rsidRPr="002A276B">
              <w:rPr>
                <w:rFonts w:ascii="Times New Roman" w:hAnsi="Times New Roman" w:cs="Times New Roman"/>
                <w:sz w:val="24"/>
                <w:szCs w:val="24"/>
              </w:rPr>
              <w:t>nav</w:t>
            </w:r>
            <w:r w:rsidRPr="002A276B">
              <w:rPr>
                <w:rFonts w:ascii="Times New Roman" w:hAnsi="Times New Roman" w:cs="Times New Roman"/>
                <w:sz w:val="24"/>
                <w:szCs w:val="24"/>
              </w:rPr>
              <w:t xml:space="preserve"> pietiekoši straujš, lai apgūtu visu aktivitātes</w:t>
            </w:r>
            <w:r w:rsidR="0050296E" w:rsidRPr="002A276B">
              <w:rPr>
                <w:rFonts w:ascii="Times New Roman" w:hAnsi="Times New Roman" w:cs="Times New Roman"/>
                <w:sz w:val="24"/>
                <w:szCs w:val="24"/>
              </w:rPr>
              <w:t xml:space="preserve"> ietvaros pieejamo</w:t>
            </w:r>
            <w:r w:rsidRPr="002A276B">
              <w:rPr>
                <w:rFonts w:ascii="Times New Roman" w:hAnsi="Times New Roman" w:cs="Times New Roman"/>
                <w:sz w:val="24"/>
                <w:szCs w:val="24"/>
              </w:rPr>
              <w:t xml:space="preserve"> finans</w:t>
            </w:r>
            <w:r w:rsidR="00D146C5" w:rsidRPr="002A276B">
              <w:rPr>
                <w:rFonts w:ascii="Times New Roman" w:hAnsi="Times New Roman" w:cs="Times New Roman"/>
                <w:sz w:val="24"/>
                <w:szCs w:val="24"/>
              </w:rPr>
              <w:t>ējumu līdz 2015.gada 31.jūlijam. Ceturkšņa maksājuma pieprasījuma apjoms uz vienu kompetences centru ir pieaudzis vidēji no 224 546 EUR 2013.gada 1.pusgadā un 452 170 EUR 2013.gada 2.pusgadā līdz 575 035 EUR 2014.gada 1.pusgadā.</w:t>
            </w:r>
          </w:p>
          <w:p w:rsidR="00271FC3" w:rsidRPr="002A276B" w:rsidRDefault="00D146C5"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Lai samazinātu finansējuma </w:t>
            </w:r>
            <w:proofErr w:type="spellStart"/>
            <w:r w:rsidRPr="002A276B">
              <w:rPr>
                <w:rFonts w:ascii="Times New Roman" w:hAnsi="Times New Roman" w:cs="Times New Roman"/>
                <w:sz w:val="24"/>
                <w:szCs w:val="24"/>
              </w:rPr>
              <w:t>neapguves</w:t>
            </w:r>
            <w:proofErr w:type="spellEnd"/>
            <w:r w:rsidRPr="002A276B">
              <w:rPr>
                <w:rFonts w:ascii="Times New Roman" w:hAnsi="Times New Roman" w:cs="Times New Roman"/>
                <w:sz w:val="24"/>
                <w:szCs w:val="24"/>
              </w:rPr>
              <w:t xml:space="preserve"> risku, nepieciešams </w:t>
            </w:r>
            <w:r w:rsidR="00C1221E" w:rsidRPr="002A276B">
              <w:rPr>
                <w:rFonts w:ascii="Times New Roman" w:hAnsi="Times New Roman" w:cs="Times New Roman"/>
                <w:sz w:val="24"/>
                <w:szCs w:val="24"/>
              </w:rPr>
              <w:t>atļaut</w:t>
            </w:r>
            <w:r w:rsidR="0042731F" w:rsidRPr="002A276B">
              <w:rPr>
                <w:rFonts w:ascii="Times New Roman" w:hAnsi="Times New Roman" w:cs="Times New Roman"/>
                <w:sz w:val="24"/>
                <w:szCs w:val="24"/>
              </w:rPr>
              <w:t xml:space="preserve"> </w:t>
            </w:r>
            <w:r w:rsidRPr="002A276B">
              <w:rPr>
                <w:rFonts w:ascii="Times New Roman" w:hAnsi="Times New Roman" w:cs="Times New Roman"/>
                <w:sz w:val="24"/>
                <w:szCs w:val="24"/>
              </w:rPr>
              <w:t>pagarināt</w:t>
            </w:r>
            <w:r w:rsidR="00373154" w:rsidRPr="002A276B">
              <w:rPr>
                <w:rFonts w:ascii="Times New Roman" w:hAnsi="Times New Roman" w:cs="Times New Roman"/>
                <w:sz w:val="24"/>
                <w:szCs w:val="24"/>
              </w:rPr>
              <w:t xml:space="preserve"> </w:t>
            </w:r>
            <w:r w:rsidRPr="002A276B">
              <w:rPr>
                <w:rFonts w:ascii="Times New Roman" w:hAnsi="Times New Roman" w:cs="Times New Roman"/>
                <w:sz w:val="24"/>
                <w:szCs w:val="24"/>
              </w:rPr>
              <w:t>2.1.2.1.1.apak</w:t>
            </w:r>
            <w:r w:rsidR="00FD5448" w:rsidRPr="002A276B">
              <w:rPr>
                <w:rFonts w:ascii="Times New Roman" w:hAnsi="Times New Roman" w:cs="Times New Roman"/>
                <w:sz w:val="24"/>
                <w:szCs w:val="24"/>
              </w:rPr>
              <w:t>ša</w:t>
            </w:r>
            <w:r w:rsidRPr="002A276B">
              <w:rPr>
                <w:rFonts w:ascii="Times New Roman" w:hAnsi="Times New Roman" w:cs="Times New Roman"/>
                <w:sz w:val="24"/>
                <w:szCs w:val="24"/>
              </w:rPr>
              <w:t>ktivitātes īstenošanas termiņu</w:t>
            </w:r>
            <w:r w:rsidR="00C1221E" w:rsidRPr="002A276B">
              <w:rPr>
                <w:rFonts w:ascii="Times New Roman" w:hAnsi="Times New Roman" w:cs="Times New Roman"/>
                <w:sz w:val="24"/>
                <w:szCs w:val="24"/>
              </w:rPr>
              <w:t>. Saskaņā ar Ministru kabineta 2007.gada 26.jūnija noteikumu Nr.419 „Kārtība kādā Eiropas Savienības struktūrfondu un Kohēzijas fonda vadībā iesaistītās institūcijas nodrošina plānošanas dokumentu sagatavošanu un šo fondu ieviešanu”</w:t>
            </w:r>
            <w:r w:rsidR="007D7017" w:rsidRPr="002A276B">
              <w:rPr>
                <w:rFonts w:ascii="Times New Roman" w:hAnsi="Times New Roman" w:cs="Times New Roman"/>
                <w:sz w:val="24"/>
                <w:szCs w:val="24"/>
              </w:rPr>
              <w:t xml:space="preserve"> (turpmāk – MK noteikumi Nr.419)</w:t>
            </w:r>
            <w:r w:rsidR="00C1221E" w:rsidRPr="002A276B">
              <w:rPr>
                <w:rFonts w:ascii="Times New Roman" w:hAnsi="Times New Roman" w:cs="Times New Roman"/>
                <w:sz w:val="24"/>
                <w:szCs w:val="24"/>
              </w:rPr>
              <w:t xml:space="preserve"> 25.</w:t>
            </w:r>
            <w:r w:rsidR="00C1221E" w:rsidRPr="002A276B">
              <w:rPr>
                <w:rFonts w:ascii="Times New Roman" w:hAnsi="Times New Roman" w:cs="Times New Roman"/>
                <w:sz w:val="24"/>
                <w:szCs w:val="24"/>
                <w:vertAlign w:val="superscript"/>
              </w:rPr>
              <w:t>2</w:t>
            </w:r>
            <w:r w:rsidR="00C1221E" w:rsidRPr="002A276B">
              <w:rPr>
                <w:rFonts w:ascii="Times New Roman" w:hAnsi="Times New Roman" w:cs="Times New Roman"/>
                <w:sz w:val="24"/>
                <w:szCs w:val="24"/>
              </w:rPr>
              <w:t xml:space="preserve"> 10.apakšpunktu atbildīgā iestāde vai sadarbības iestāde var pagarināt projekta īstenošanas termiņu, ja neatkarīgi no finansējuma saņēmēja gribas ir iestāj</w:t>
            </w:r>
            <w:r w:rsidR="007D7017" w:rsidRPr="002A276B">
              <w:rPr>
                <w:rFonts w:ascii="Times New Roman" w:hAnsi="Times New Roman" w:cs="Times New Roman"/>
                <w:sz w:val="24"/>
                <w:szCs w:val="24"/>
              </w:rPr>
              <w:t>usies nepārvaramā vara,</w:t>
            </w:r>
            <w:r w:rsidR="00C1221E" w:rsidRPr="002A276B">
              <w:rPr>
                <w:rFonts w:ascii="Times New Roman" w:hAnsi="Times New Roman" w:cs="Times New Roman"/>
                <w:sz w:val="24"/>
                <w:szCs w:val="24"/>
              </w:rPr>
              <w:t xml:space="preserve"> kura</w:t>
            </w:r>
            <w:r w:rsidR="007D7017" w:rsidRPr="002A276B">
              <w:rPr>
                <w:rFonts w:ascii="Times New Roman" w:hAnsi="Times New Roman" w:cs="Times New Roman"/>
                <w:sz w:val="24"/>
                <w:szCs w:val="24"/>
              </w:rPr>
              <w:t>s</w:t>
            </w:r>
            <w:r w:rsidR="00C1221E" w:rsidRPr="002A276B">
              <w:rPr>
                <w:rFonts w:ascii="Times New Roman" w:hAnsi="Times New Roman" w:cs="Times New Roman"/>
                <w:sz w:val="24"/>
                <w:szCs w:val="24"/>
              </w:rPr>
              <w:t xml:space="preserve"> dēļ nav iespējams pabeigt Eiropas </w:t>
            </w:r>
            <w:r w:rsidR="007D7017" w:rsidRPr="002A276B">
              <w:rPr>
                <w:rFonts w:ascii="Times New Roman" w:hAnsi="Times New Roman" w:cs="Times New Roman"/>
                <w:sz w:val="24"/>
                <w:szCs w:val="24"/>
              </w:rPr>
              <w:t>Savienības fonda projektu noteiktajā</w:t>
            </w:r>
            <w:r w:rsidR="00C1221E" w:rsidRPr="002A276B">
              <w:rPr>
                <w:rFonts w:ascii="Times New Roman" w:hAnsi="Times New Roman" w:cs="Times New Roman"/>
                <w:sz w:val="24"/>
                <w:szCs w:val="24"/>
              </w:rPr>
              <w:t xml:space="preserve"> termiņā</w:t>
            </w:r>
            <w:r w:rsidR="007D7017" w:rsidRPr="002A276B">
              <w:rPr>
                <w:rFonts w:ascii="Times New Roman" w:hAnsi="Times New Roman" w:cs="Times New Roman"/>
                <w:sz w:val="24"/>
                <w:szCs w:val="24"/>
              </w:rPr>
              <w:t>. Saskaņā ar MK noteikumu Nr.419 25.</w:t>
            </w:r>
            <w:r w:rsidR="007D7017" w:rsidRPr="002A276B">
              <w:rPr>
                <w:rFonts w:ascii="Times New Roman" w:hAnsi="Times New Roman" w:cs="Times New Roman"/>
                <w:sz w:val="24"/>
                <w:szCs w:val="24"/>
                <w:vertAlign w:val="superscript"/>
              </w:rPr>
              <w:t>4</w:t>
            </w:r>
            <w:r w:rsidR="007D7017" w:rsidRPr="002A276B">
              <w:rPr>
                <w:rFonts w:ascii="Times New Roman" w:hAnsi="Times New Roman" w:cs="Times New Roman"/>
                <w:sz w:val="24"/>
                <w:szCs w:val="24"/>
              </w:rPr>
              <w:t xml:space="preserve"> 4.apakšpunktu projekta īstenošanas termiņu iespējams pagarināt uz termiņu, kas ir proporcionāls laikam, kāds nepieciešams, lai novērstu nepārvaramas varas sekas, kuras padara neiespējamu Eiropas Savienības fondu projekta īstenošanu. Ņemot vērā, ka līgumi ar projektu īstenotājiem tika apturēta 2011.gada decembrī, bet projektu īstenošana atsākās tikai 2013.gada pirmajā ceturksnī, ir iespējams atļaut </w:t>
            </w:r>
            <w:r w:rsidR="0042731F" w:rsidRPr="002A276B">
              <w:rPr>
                <w:rFonts w:ascii="Times New Roman" w:hAnsi="Times New Roman" w:cs="Times New Roman"/>
                <w:sz w:val="24"/>
                <w:szCs w:val="24"/>
              </w:rPr>
              <w:t xml:space="preserve">kompetences centriem līguma ietvaros </w:t>
            </w:r>
            <w:r w:rsidR="007D7017" w:rsidRPr="002A276B">
              <w:rPr>
                <w:rFonts w:ascii="Times New Roman" w:hAnsi="Times New Roman" w:cs="Times New Roman"/>
                <w:sz w:val="24"/>
                <w:szCs w:val="24"/>
              </w:rPr>
              <w:t>pagarināt projektu īstenošanas termiņu</w:t>
            </w:r>
            <w:r w:rsidRPr="002A276B">
              <w:rPr>
                <w:rFonts w:ascii="Times New Roman" w:hAnsi="Times New Roman" w:cs="Times New Roman"/>
                <w:sz w:val="24"/>
                <w:szCs w:val="24"/>
              </w:rPr>
              <w:t xml:space="preserve"> par 6 mēne</w:t>
            </w:r>
            <w:r w:rsidR="00162812" w:rsidRPr="002A276B">
              <w:rPr>
                <w:rFonts w:ascii="Times New Roman" w:hAnsi="Times New Roman" w:cs="Times New Roman"/>
                <w:sz w:val="24"/>
                <w:szCs w:val="24"/>
              </w:rPr>
              <w:t>šiem no 2015.gada 30</w:t>
            </w:r>
            <w:r w:rsidRPr="002A276B">
              <w:rPr>
                <w:rFonts w:ascii="Times New Roman" w:hAnsi="Times New Roman" w:cs="Times New Roman"/>
                <w:sz w:val="24"/>
                <w:szCs w:val="24"/>
              </w:rPr>
              <w:t>.j</w:t>
            </w:r>
            <w:r w:rsidR="00162812" w:rsidRPr="002A276B">
              <w:rPr>
                <w:rFonts w:ascii="Times New Roman" w:hAnsi="Times New Roman" w:cs="Times New Roman"/>
                <w:sz w:val="24"/>
                <w:szCs w:val="24"/>
              </w:rPr>
              <w:t>ūni</w:t>
            </w:r>
            <w:r w:rsidRPr="002A276B">
              <w:rPr>
                <w:rFonts w:ascii="Times New Roman" w:hAnsi="Times New Roman" w:cs="Times New Roman"/>
                <w:sz w:val="24"/>
                <w:szCs w:val="24"/>
              </w:rPr>
              <w:t>ja līdz 2015.gada 31.decembrim.</w:t>
            </w:r>
            <w:r w:rsidR="00373154" w:rsidRPr="002A276B">
              <w:rPr>
                <w:rFonts w:ascii="Times New Roman" w:hAnsi="Times New Roman" w:cs="Times New Roman"/>
                <w:sz w:val="24"/>
                <w:szCs w:val="24"/>
              </w:rPr>
              <w:t xml:space="preserve"> </w:t>
            </w:r>
            <w:r w:rsidR="007914FF" w:rsidRPr="002A276B">
              <w:rPr>
                <w:rFonts w:ascii="Times New Roman" w:hAnsi="Times New Roman" w:cs="Times New Roman"/>
                <w:sz w:val="24"/>
                <w:szCs w:val="24"/>
              </w:rPr>
              <w:t xml:space="preserve">Projektu īstenošanas termiņa pagarināšanu līguma ietvaros veic sadarbības iestāde, ja termiņa </w:t>
            </w:r>
            <w:r w:rsidR="007914FF" w:rsidRPr="002A276B">
              <w:rPr>
                <w:rFonts w:ascii="Times New Roman" w:hAnsi="Times New Roman" w:cs="Times New Roman"/>
                <w:sz w:val="24"/>
                <w:szCs w:val="24"/>
              </w:rPr>
              <w:lastRenderedPageBreak/>
              <w:t>pagarinājums atbilst MK noteikumos Nr.419 noteiktajiem nosacījumiem, kā arī, ja termiņa pagarinājumam ir pozitīva fiskālā ietekme.</w:t>
            </w:r>
          </w:p>
          <w:p w:rsidR="005F4200" w:rsidRPr="002A276B" w:rsidRDefault="00271FC3"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Vienlaikus</w:t>
            </w:r>
            <w:r w:rsidR="006A2963" w:rsidRPr="002A276B">
              <w:rPr>
                <w:rFonts w:ascii="Times New Roman" w:hAnsi="Times New Roman" w:cs="Times New Roman"/>
                <w:sz w:val="24"/>
                <w:szCs w:val="24"/>
              </w:rPr>
              <w:t>, l</w:t>
            </w:r>
            <w:r w:rsidR="00373154" w:rsidRPr="002A276B">
              <w:rPr>
                <w:rFonts w:ascii="Times New Roman" w:hAnsi="Times New Roman" w:cs="Times New Roman"/>
                <w:sz w:val="24"/>
                <w:szCs w:val="24"/>
              </w:rPr>
              <w:t>ai vienmērīgāk apgūtu 2.1.2.1.1.apakšaktivitātes finansējumu</w:t>
            </w:r>
            <w:r w:rsidR="000C59B6" w:rsidRPr="002A276B">
              <w:rPr>
                <w:rFonts w:ascii="Times New Roman" w:hAnsi="Times New Roman" w:cs="Times New Roman"/>
                <w:sz w:val="24"/>
                <w:szCs w:val="24"/>
              </w:rPr>
              <w:t xml:space="preserve"> un samazinātu risku, ka 2014.gada beigās izmaksātais deklarēto avansu apjoms  netiek “dzēsts” noteiktajā termiņā un Sertifikācijas iestādei jāietur kāda summa no izdevumu deklarācijas</w:t>
            </w:r>
            <w:r w:rsidR="00373154" w:rsidRPr="002A276B">
              <w:rPr>
                <w:rFonts w:ascii="Times New Roman" w:hAnsi="Times New Roman" w:cs="Times New Roman"/>
                <w:sz w:val="24"/>
                <w:szCs w:val="24"/>
              </w:rPr>
              <w:t xml:space="preserve">, </w:t>
            </w:r>
            <w:r w:rsidR="00FC697F" w:rsidRPr="002A276B">
              <w:rPr>
                <w:rFonts w:ascii="Times New Roman" w:hAnsi="Times New Roman" w:cs="Times New Roman"/>
                <w:sz w:val="24"/>
                <w:szCs w:val="24"/>
              </w:rPr>
              <w:t xml:space="preserve">Ekonomikas ministrijai ir pienākums uzdot </w:t>
            </w:r>
            <w:r w:rsidR="009D6922" w:rsidRPr="002A276B">
              <w:rPr>
                <w:rFonts w:ascii="Times New Roman" w:hAnsi="Times New Roman" w:cs="Times New Roman"/>
                <w:sz w:val="24"/>
                <w:szCs w:val="24"/>
              </w:rPr>
              <w:t>Latvijas Investīciju un attīstības aģentūrai (turpmāk – LIAA)</w:t>
            </w:r>
            <w:r w:rsidR="00FC697F" w:rsidRPr="002A276B">
              <w:rPr>
                <w:rFonts w:ascii="Times New Roman" w:hAnsi="Times New Roman" w:cs="Times New Roman"/>
                <w:sz w:val="24"/>
                <w:szCs w:val="24"/>
              </w:rPr>
              <w:t xml:space="preserve"> nodrošināt līgumos par projektu īstenošanu pasākumus stingrākas finanšu disciplīnas ieviešanai.</w:t>
            </w:r>
          </w:p>
          <w:p w:rsidR="00D146C5" w:rsidRPr="002A276B" w:rsidRDefault="00D146C5"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 </w:t>
            </w:r>
          </w:p>
          <w:p w:rsidR="00162812" w:rsidRPr="002A276B" w:rsidRDefault="003F0B05"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Paralēli </w:t>
            </w:r>
            <w:r w:rsidR="005D571E" w:rsidRPr="002A276B">
              <w:rPr>
                <w:rFonts w:ascii="Times New Roman" w:hAnsi="Times New Roman" w:cs="Times New Roman"/>
                <w:sz w:val="24"/>
                <w:szCs w:val="24"/>
              </w:rPr>
              <w:t xml:space="preserve">ir </w:t>
            </w:r>
            <w:r w:rsidRPr="002A276B">
              <w:rPr>
                <w:rFonts w:ascii="Times New Roman" w:hAnsi="Times New Roman" w:cs="Times New Roman"/>
                <w:sz w:val="24"/>
                <w:szCs w:val="24"/>
              </w:rPr>
              <w:t xml:space="preserve">veikti grozījumi </w:t>
            </w:r>
            <w:r w:rsidR="00162812" w:rsidRPr="002A276B">
              <w:rPr>
                <w:rFonts w:ascii="Times New Roman" w:hAnsi="Times New Roman" w:cs="Times New Roman"/>
                <w:sz w:val="24"/>
                <w:szCs w:val="24"/>
              </w:rPr>
              <w:t>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 (turpmāk – MK noteikumi Nr.1041)</w:t>
            </w:r>
            <w:r w:rsidRPr="002A276B">
              <w:rPr>
                <w:rFonts w:ascii="Times New Roman" w:hAnsi="Times New Roman" w:cs="Times New Roman"/>
                <w:sz w:val="24"/>
                <w:szCs w:val="24"/>
              </w:rPr>
              <w:t xml:space="preserve">, kuros tiek pagarināts </w:t>
            </w:r>
            <w:r w:rsidR="00CB6995" w:rsidRPr="002A276B">
              <w:rPr>
                <w:rFonts w:ascii="Times New Roman" w:hAnsi="Times New Roman" w:cs="Times New Roman"/>
                <w:sz w:val="24"/>
                <w:szCs w:val="24"/>
              </w:rPr>
              <w:t>termiņš kādā atbildīgā iestāde un sadarbības iestāde var iesniegt maksājuma pieprasījumus maksājumu iestādē</w:t>
            </w:r>
            <w:r w:rsidR="00F37BBF" w:rsidRPr="002A276B">
              <w:rPr>
                <w:rFonts w:ascii="Times New Roman" w:hAnsi="Times New Roman" w:cs="Times New Roman"/>
                <w:sz w:val="24"/>
                <w:szCs w:val="24"/>
              </w:rPr>
              <w:t xml:space="preserve"> līdz 2016.gada 15.martam</w:t>
            </w:r>
            <w:r w:rsidR="00CB6995" w:rsidRPr="002A276B">
              <w:rPr>
                <w:rFonts w:ascii="Times New Roman" w:hAnsi="Times New Roman" w:cs="Times New Roman"/>
                <w:sz w:val="24"/>
                <w:szCs w:val="24"/>
              </w:rPr>
              <w:t xml:space="preserve">. </w:t>
            </w:r>
            <w:r w:rsidR="00162812" w:rsidRPr="002A276B">
              <w:rPr>
                <w:rFonts w:ascii="Times New Roman" w:hAnsi="Times New Roman" w:cs="Times New Roman"/>
                <w:sz w:val="24"/>
                <w:szCs w:val="24"/>
              </w:rPr>
              <w:t>Attiecīgi</w:t>
            </w:r>
            <w:r w:rsidR="00CB6995" w:rsidRPr="002A276B">
              <w:rPr>
                <w:rFonts w:ascii="Times New Roman" w:hAnsi="Times New Roman" w:cs="Times New Roman"/>
                <w:sz w:val="24"/>
                <w:szCs w:val="24"/>
              </w:rPr>
              <w:t xml:space="preserve"> ņemot vērā MK noteikumu 1041 grozījumus ir iespējams pagarināt arī </w:t>
            </w:r>
            <w:r w:rsidR="00F37BBF" w:rsidRPr="002A276B">
              <w:rPr>
                <w:rFonts w:ascii="Times New Roman" w:hAnsi="Times New Roman" w:cs="Times New Roman"/>
                <w:sz w:val="24"/>
                <w:szCs w:val="24"/>
              </w:rPr>
              <w:t xml:space="preserve">kompetences centriem </w:t>
            </w:r>
            <w:r w:rsidR="00162812" w:rsidRPr="002A276B">
              <w:rPr>
                <w:rFonts w:ascii="Times New Roman" w:hAnsi="Times New Roman" w:cs="Times New Roman"/>
                <w:sz w:val="24"/>
                <w:szCs w:val="24"/>
              </w:rPr>
              <w:t>projekta noslēguma pārskata iesniegšanas termiņu no 2015.gada 1.jūlija līdz 2016.gada 31.janvārim.</w:t>
            </w:r>
          </w:p>
          <w:p w:rsidR="00162812" w:rsidRPr="002A276B" w:rsidRDefault="003F0B05"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Grozījumi MK noteikumos Nr.1041 ir izsludināti 2014.gada 12.jūnija Valsts sekretāru sanāksmē. Lai ievēroto labas pārvaldības principus un projektu īstenotāji varētu savlaicīgi rēķināties ar projektu īstenošanas termiņa pagarinājumu par 6 mēnešiem, savlaicīgi tiek veikti arī šie grozījumi MK noteikumos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xml:space="preserve">. 361. </w:t>
            </w:r>
          </w:p>
          <w:p w:rsidR="00E56B28" w:rsidRPr="002A276B" w:rsidRDefault="00E56B28" w:rsidP="00786783">
            <w:pPr>
              <w:spacing w:after="0" w:line="240" w:lineRule="auto"/>
              <w:jc w:val="both"/>
              <w:rPr>
                <w:rFonts w:ascii="Times New Roman" w:hAnsi="Times New Roman" w:cs="Times New Roman"/>
                <w:sz w:val="24"/>
                <w:szCs w:val="24"/>
              </w:rPr>
            </w:pPr>
          </w:p>
          <w:p w:rsidR="00FA0F41" w:rsidRPr="002A276B" w:rsidRDefault="00466787"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Ar g</w:t>
            </w:r>
            <w:r w:rsidR="00FA0F41" w:rsidRPr="002A276B">
              <w:rPr>
                <w:rFonts w:ascii="Times New Roman" w:hAnsi="Times New Roman" w:cs="Times New Roman"/>
                <w:sz w:val="24"/>
                <w:szCs w:val="24"/>
              </w:rPr>
              <w:t>rozījum</w:t>
            </w:r>
            <w:r w:rsidRPr="002A276B">
              <w:rPr>
                <w:rFonts w:ascii="Times New Roman" w:hAnsi="Times New Roman" w:cs="Times New Roman"/>
                <w:sz w:val="24"/>
                <w:szCs w:val="24"/>
              </w:rPr>
              <w:t>iem</w:t>
            </w:r>
            <w:r w:rsidR="00FA0F41" w:rsidRPr="002A276B">
              <w:rPr>
                <w:rFonts w:ascii="Times New Roman" w:hAnsi="Times New Roman" w:cs="Times New Roman"/>
                <w:sz w:val="24"/>
                <w:szCs w:val="24"/>
              </w:rPr>
              <w:t xml:space="preserve"> MK noteikumos Nr.361 tiek paredzēts arī paplašināt avansa saņemšanas iespējas, papildinot ar iespēju saņemt avansu, iesniedzot bankas garantiju par avansa summu. Tādējādi dodot ie</w:t>
            </w:r>
            <w:r w:rsidR="006F1C1A" w:rsidRPr="002A276B">
              <w:rPr>
                <w:rFonts w:ascii="Times New Roman" w:hAnsi="Times New Roman" w:cs="Times New Roman"/>
                <w:sz w:val="24"/>
                <w:szCs w:val="24"/>
              </w:rPr>
              <w:t>spēju katram kompetences centra</w:t>
            </w:r>
            <w:r w:rsidR="00FA0F41" w:rsidRPr="002A276B">
              <w:rPr>
                <w:rFonts w:ascii="Times New Roman" w:hAnsi="Times New Roman" w:cs="Times New Roman"/>
                <w:sz w:val="24"/>
                <w:szCs w:val="24"/>
              </w:rPr>
              <w:t>m izvēlēties ērtāko</w:t>
            </w:r>
            <w:r w:rsidR="006F1C1A" w:rsidRPr="002A276B">
              <w:rPr>
                <w:rFonts w:ascii="Times New Roman" w:hAnsi="Times New Roman" w:cs="Times New Roman"/>
                <w:sz w:val="24"/>
                <w:szCs w:val="24"/>
              </w:rPr>
              <w:t>, ātrāko</w:t>
            </w:r>
            <w:r w:rsidR="00FA0F41" w:rsidRPr="002A276B">
              <w:rPr>
                <w:rFonts w:ascii="Times New Roman" w:hAnsi="Times New Roman" w:cs="Times New Roman"/>
                <w:sz w:val="24"/>
                <w:szCs w:val="24"/>
              </w:rPr>
              <w:t xml:space="preserve"> un lētāko veidu avansa saņemšanai.</w:t>
            </w:r>
          </w:p>
          <w:p w:rsidR="00D86389" w:rsidRPr="002A276B" w:rsidRDefault="002E1568"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Uz 2014.gada 30.septmebri kompetences centriem izņemti avansi un iesniegti maksājuma pieprasījumi par šādām summām:</w:t>
            </w:r>
          </w:p>
          <w:tbl>
            <w:tblPr>
              <w:tblStyle w:val="TableGrid"/>
              <w:tblW w:w="0" w:type="auto"/>
              <w:tblLook w:val="04A0" w:firstRow="1" w:lastRow="0" w:firstColumn="1" w:lastColumn="0" w:noHBand="0" w:noVBand="1"/>
            </w:tblPr>
            <w:tblGrid>
              <w:gridCol w:w="4045"/>
              <w:gridCol w:w="1275"/>
              <w:gridCol w:w="1490"/>
            </w:tblGrid>
            <w:tr w:rsidR="00364E98" w:rsidRPr="002A276B" w:rsidTr="002A276B">
              <w:tc>
                <w:tcPr>
                  <w:tcW w:w="404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Kompetences centrs</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Izņemtā avansa apmērs</w:t>
                  </w:r>
                  <w:r w:rsidR="00975BA0" w:rsidRPr="002A276B">
                    <w:rPr>
                      <w:rFonts w:ascii="Times New Roman" w:hAnsi="Times New Roman" w:cs="Times New Roman"/>
                      <w:sz w:val="24"/>
                      <w:szCs w:val="24"/>
                    </w:rPr>
                    <w:t>, EUR</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Iesniegtie maks</w:t>
                  </w:r>
                  <w:r w:rsidR="002E1568" w:rsidRPr="002A276B">
                    <w:rPr>
                      <w:rFonts w:ascii="Times New Roman" w:hAnsi="Times New Roman" w:cs="Times New Roman"/>
                      <w:sz w:val="24"/>
                      <w:szCs w:val="24"/>
                    </w:rPr>
                    <w:t>ājuma</w:t>
                  </w:r>
                  <w:r w:rsidRPr="002A276B">
                    <w:rPr>
                      <w:rFonts w:ascii="Times New Roman" w:hAnsi="Times New Roman" w:cs="Times New Roman"/>
                      <w:sz w:val="24"/>
                      <w:szCs w:val="24"/>
                    </w:rPr>
                    <w:t xml:space="preserve"> pieprasījumi</w:t>
                  </w:r>
                  <w:r w:rsidR="00975BA0" w:rsidRPr="002A276B">
                    <w:rPr>
                      <w:rFonts w:ascii="Times New Roman" w:hAnsi="Times New Roman" w:cs="Times New Roman"/>
                      <w:sz w:val="24"/>
                      <w:szCs w:val="24"/>
                    </w:rPr>
                    <w:t>, EUR</w:t>
                  </w:r>
                </w:p>
              </w:tc>
            </w:tr>
            <w:tr w:rsidR="00364E98" w:rsidRPr="002A276B" w:rsidTr="002A276B">
              <w:tc>
                <w:tcPr>
                  <w:tcW w:w="4045" w:type="dxa"/>
                </w:tcPr>
                <w:p w:rsidR="00364E98" w:rsidRPr="002A276B" w:rsidRDefault="002E1568" w:rsidP="00786783">
                  <w:pPr>
                    <w:jc w:val="both"/>
                    <w:rPr>
                      <w:rFonts w:ascii="Times New Roman" w:hAnsi="Times New Roman" w:cs="Times New Roman"/>
                      <w:sz w:val="24"/>
                      <w:szCs w:val="24"/>
                    </w:rPr>
                  </w:pPr>
                  <w:r w:rsidRPr="002A276B">
                    <w:rPr>
                      <w:rFonts w:ascii="Times New Roman" w:hAnsi="Times New Roman" w:cs="Times New Roman"/>
                      <w:sz w:val="24"/>
                      <w:szCs w:val="24"/>
                    </w:rPr>
                    <w:t xml:space="preserve">Vides, bioenerģētikas un biotehnoloģijas kompetences centrs (turpmāk – </w:t>
                  </w:r>
                  <w:r w:rsidR="00364E98" w:rsidRPr="002A276B">
                    <w:rPr>
                      <w:rFonts w:ascii="Times New Roman" w:hAnsi="Times New Roman" w:cs="Times New Roman"/>
                      <w:sz w:val="24"/>
                      <w:szCs w:val="24"/>
                    </w:rPr>
                    <w:t>VBBKC</w:t>
                  </w:r>
                  <w:r w:rsidRPr="002A276B">
                    <w:rPr>
                      <w:rFonts w:ascii="Times New Roman" w:hAnsi="Times New Roman" w:cs="Times New Roman"/>
                      <w:sz w:val="24"/>
                      <w:szCs w:val="24"/>
                    </w:rPr>
                    <w:t>)</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3 112 386</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4 702 665</w:t>
                  </w:r>
                </w:p>
              </w:tc>
            </w:tr>
            <w:tr w:rsidR="00364E98" w:rsidRPr="002A276B" w:rsidTr="002A276B">
              <w:tc>
                <w:tcPr>
                  <w:tcW w:w="4045" w:type="dxa"/>
                </w:tcPr>
                <w:p w:rsidR="00364E98" w:rsidRPr="002A276B" w:rsidRDefault="002E1568" w:rsidP="00786783">
                  <w:pPr>
                    <w:jc w:val="both"/>
                    <w:rPr>
                      <w:rFonts w:ascii="Times New Roman" w:hAnsi="Times New Roman" w:cs="Times New Roman"/>
                      <w:sz w:val="24"/>
                      <w:szCs w:val="24"/>
                    </w:rPr>
                  </w:pPr>
                  <w:r w:rsidRPr="002A276B">
                    <w:rPr>
                      <w:rFonts w:ascii="Times New Roman" w:hAnsi="Times New Roman" w:cs="Times New Roman"/>
                      <w:sz w:val="24"/>
                      <w:szCs w:val="24"/>
                    </w:rPr>
                    <w:t xml:space="preserve">Informācijas un komunikāciju tehnoloģiju kompetences centrs (turpmāk – </w:t>
                  </w:r>
                  <w:r w:rsidR="00364E98" w:rsidRPr="002A276B">
                    <w:rPr>
                      <w:rFonts w:ascii="Times New Roman" w:hAnsi="Times New Roman" w:cs="Times New Roman"/>
                      <w:sz w:val="24"/>
                      <w:szCs w:val="24"/>
                    </w:rPr>
                    <w:t>ITKC</w:t>
                  </w:r>
                  <w:r w:rsidRPr="002A276B">
                    <w:rPr>
                      <w:rFonts w:ascii="Times New Roman" w:hAnsi="Times New Roman" w:cs="Times New Roman"/>
                      <w:sz w:val="24"/>
                      <w:szCs w:val="24"/>
                    </w:rPr>
                    <w:t>)</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3 080 041</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4 604 864</w:t>
                  </w:r>
                </w:p>
              </w:tc>
            </w:tr>
            <w:tr w:rsidR="00364E98" w:rsidRPr="002A276B" w:rsidTr="002A276B">
              <w:tc>
                <w:tcPr>
                  <w:tcW w:w="4045" w:type="dxa"/>
                </w:tcPr>
                <w:p w:rsidR="00364E98" w:rsidRPr="002A276B" w:rsidRDefault="002E1568" w:rsidP="00786783">
                  <w:pPr>
                    <w:jc w:val="both"/>
                    <w:rPr>
                      <w:rFonts w:ascii="Times New Roman" w:hAnsi="Times New Roman" w:cs="Times New Roman"/>
                      <w:sz w:val="24"/>
                      <w:szCs w:val="24"/>
                    </w:rPr>
                  </w:pPr>
                  <w:r w:rsidRPr="002A276B">
                    <w:rPr>
                      <w:rFonts w:ascii="Times New Roman" w:hAnsi="Times New Roman" w:cs="Times New Roman"/>
                      <w:sz w:val="24"/>
                      <w:szCs w:val="24"/>
                    </w:rPr>
                    <w:t xml:space="preserve">Transporta mašīnbūves kompetences centrs (turpmāk – </w:t>
                  </w:r>
                  <w:r w:rsidR="00364E98" w:rsidRPr="002A276B">
                    <w:rPr>
                      <w:rFonts w:ascii="Times New Roman" w:hAnsi="Times New Roman" w:cs="Times New Roman"/>
                      <w:sz w:val="24"/>
                      <w:szCs w:val="24"/>
                    </w:rPr>
                    <w:t>TMKC</w:t>
                  </w:r>
                  <w:r w:rsidRPr="002A276B">
                    <w:rPr>
                      <w:rFonts w:ascii="Times New Roman" w:hAnsi="Times New Roman" w:cs="Times New Roman"/>
                      <w:sz w:val="24"/>
                      <w:szCs w:val="24"/>
                    </w:rPr>
                    <w:t>)</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3 082 275</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2 319 877</w:t>
                  </w:r>
                </w:p>
              </w:tc>
            </w:tr>
            <w:tr w:rsidR="00364E98" w:rsidRPr="002A276B" w:rsidTr="002A276B">
              <w:tc>
                <w:tcPr>
                  <w:tcW w:w="4045" w:type="dxa"/>
                </w:tcPr>
                <w:p w:rsidR="00364E98" w:rsidRPr="002A276B" w:rsidRDefault="002E1568" w:rsidP="00786783">
                  <w:pPr>
                    <w:jc w:val="both"/>
                    <w:rPr>
                      <w:rFonts w:ascii="Times New Roman" w:hAnsi="Times New Roman" w:cs="Times New Roman"/>
                      <w:sz w:val="24"/>
                      <w:szCs w:val="24"/>
                    </w:rPr>
                  </w:pPr>
                  <w:r w:rsidRPr="002A276B">
                    <w:rPr>
                      <w:rFonts w:ascii="Times New Roman" w:hAnsi="Times New Roman" w:cs="Times New Roman"/>
                      <w:sz w:val="24"/>
                      <w:szCs w:val="24"/>
                    </w:rPr>
                    <w:t xml:space="preserve">Latvijas elektrisko un optisko iekārtu ražošanas nozares kompetences centrs </w:t>
                  </w:r>
                  <w:r w:rsidRPr="002A276B">
                    <w:rPr>
                      <w:rFonts w:ascii="Times New Roman" w:hAnsi="Times New Roman" w:cs="Times New Roman"/>
                      <w:sz w:val="24"/>
                      <w:szCs w:val="24"/>
                    </w:rPr>
                    <w:lastRenderedPageBreak/>
                    <w:t xml:space="preserve">(turpmāk – </w:t>
                  </w:r>
                  <w:r w:rsidR="00364E98" w:rsidRPr="002A276B">
                    <w:rPr>
                      <w:rFonts w:ascii="Times New Roman" w:hAnsi="Times New Roman" w:cs="Times New Roman"/>
                      <w:sz w:val="24"/>
                      <w:szCs w:val="24"/>
                    </w:rPr>
                    <w:t>LEO PC</w:t>
                  </w:r>
                  <w:r w:rsidRPr="002A276B">
                    <w:rPr>
                      <w:rFonts w:ascii="Times New Roman" w:hAnsi="Times New Roman" w:cs="Times New Roman"/>
                      <w:sz w:val="24"/>
                      <w:szCs w:val="24"/>
                    </w:rPr>
                    <w:t>)</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lastRenderedPageBreak/>
                    <w:t>3 112 532</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3 113 384</w:t>
                  </w:r>
                </w:p>
              </w:tc>
            </w:tr>
            <w:tr w:rsidR="00364E98" w:rsidRPr="002A276B" w:rsidTr="002A276B">
              <w:tc>
                <w:tcPr>
                  <w:tcW w:w="4045" w:type="dxa"/>
                </w:tcPr>
                <w:p w:rsidR="00364E98" w:rsidRPr="002A276B" w:rsidRDefault="002E1568" w:rsidP="00786783">
                  <w:pPr>
                    <w:jc w:val="both"/>
                    <w:rPr>
                      <w:rFonts w:ascii="Times New Roman" w:hAnsi="Times New Roman" w:cs="Times New Roman"/>
                      <w:sz w:val="24"/>
                      <w:szCs w:val="24"/>
                    </w:rPr>
                  </w:pPr>
                  <w:proofErr w:type="spellStart"/>
                  <w:r w:rsidRPr="002A276B">
                    <w:rPr>
                      <w:rFonts w:ascii="Times New Roman" w:hAnsi="Times New Roman" w:cs="Times New Roman"/>
                      <w:sz w:val="24"/>
                      <w:szCs w:val="24"/>
                    </w:rPr>
                    <w:lastRenderedPageBreak/>
                    <w:t>Pharma</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and</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Chemestry</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Competence</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Centre</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of</w:t>
                  </w:r>
                  <w:proofErr w:type="spellEnd"/>
                  <w:r w:rsidRPr="002A276B">
                    <w:rPr>
                      <w:rFonts w:ascii="Times New Roman" w:hAnsi="Times New Roman" w:cs="Times New Roman"/>
                      <w:sz w:val="24"/>
                      <w:szCs w:val="24"/>
                    </w:rPr>
                    <w:t xml:space="preserve"> </w:t>
                  </w:r>
                  <w:proofErr w:type="spellStart"/>
                  <w:r w:rsidRPr="002A276B">
                    <w:rPr>
                      <w:rFonts w:ascii="Times New Roman" w:hAnsi="Times New Roman" w:cs="Times New Roman"/>
                      <w:sz w:val="24"/>
                      <w:szCs w:val="24"/>
                    </w:rPr>
                    <w:t>Latvia</w:t>
                  </w:r>
                  <w:proofErr w:type="spellEnd"/>
                  <w:r w:rsidRPr="002A276B">
                    <w:rPr>
                      <w:rFonts w:ascii="Times New Roman" w:hAnsi="Times New Roman" w:cs="Times New Roman"/>
                      <w:sz w:val="24"/>
                      <w:szCs w:val="24"/>
                    </w:rPr>
                    <w:t xml:space="preserve"> (turpmāk – </w:t>
                  </w:r>
                  <w:r w:rsidR="00364E98" w:rsidRPr="002A276B">
                    <w:rPr>
                      <w:rFonts w:ascii="Times New Roman" w:hAnsi="Times New Roman" w:cs="Times New Roman"/>
                      <w:sz w:val="24"/>
                      <w:szCs w:val="24"/>
                    </w:rPr>
                    <w:t>PCCCL</w:t>
                  </w:r>
                  <w:r w:rsidRPr="002A276B">
                    <w:rPr>
                      <w:rFonts w:ascii="Times New Roman" w:hAnsi="Times New Roman" w:cs="Times New Roman"/>
                      <w:sz w:val="24"/>
                      <w:szCs w:val="24"/>
                    </w:rPr>
                    <w:t>)</w:t>
                  </w:r>
                </w:p>
              </w:tc>
              <w:tc>
                <w:tcPr>
                  <w:tcW w:w="1275"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3 112 490</w:t>
                  </w:r>
                </w:p>
              </w:tc>
              <w:tc>
                <w:tcPr>
                  <w:tcW w:w="1490" w:type="dxa"/>
                </w:tcPr>
                <w:p w:rsidR="00364E98" w:rsidRPr="002A276B" w:rsidRDefault="00364E98" w:rsidP="00786783">
                  <w:pPr>
                    <w:jc w:val="both"/>
                    <w:rPr>
                      <w:rFonts w:ascii="Times New Roman" w:hAnsi="Times New Roman" w:cs="Times New Roman"/>
                      <w:sz w:val="24"/>
                      <w:szCs w:val="24"/>
                    </w:rPr>
                  </w:pPr>
                  <w:r w:rsidRPr="002A276B">
                    <w:rPr>
                      <w:rFonts w:ascii="Times New Roman" w:hAnsi="Times New Roman" w:cs="Times New Roman"/>
                      <w:sz w:val="24"/>
                      <w:szCs w:val="24"/>
                    </w:rPr>
                    <w:t>3 157 909</w:t>
                  </w:r>
                </w:p>
              </w:tc>
            </w:tr>
          </w:tbl>
          <w:p w:rsidR="00975BA0" w:rsidRPr="002A276B" w:rsidRDefault="002E1568"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Pašlaik </w:t>
            </w:r>
            <w:r w:rsidR="00975BA0" w:rsidRPr="002A276B">
              <w:rPr>
                <w:rFonts w:ascii="Times New Roman" w:hAnsi="Times New Roman" w:cs="Times New Roman"/>
                <w:sz w:val="24"/>
                <w:szCs w:val="24"/>
              </w:rPr>
              <w:t>tikai TMKC nav iesniedzis maksājuma pieprasījumus vismaz par izsniegtā avansa summu. Starpība starp izsniegtā avansa apjomu un iesniegto maksājumu pieprasījumu kopējo apjomu ir 762 398 EUR. Par apmēram šādu summu TMKC plāno iesniegt maksājuma pieprasījumu 2014.gada novembrī.</w:t>
            </w:r>
          </w:p>
          <w:p w:rsidR="00510734" w:rsidRPr="002A276B" w:rsidRDefault="00510734"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Lai gūtu pārliecību, ka 2014.gada beigās izsniegtie avansi tiks izlietoti līdz 2015.gada beigām, taču tajā pašā laikā ievērojot samērīguma principu būtu nepieciešams MK noteikumu Nr.361 76.punktā noteikt, ka avanss tiek izsniegts, ja kompetences centrs ir iesniedzis sadarbības iestādē maksājuma pieprasījumus </w:t>
            </w:r>
            <w:r w:rsidR="00B033F7" w:rsidRPr="002A276B">
              <w:rPr>
                <w:rFonts w:ascii="Times New Roman" w:hAnsi="Times New Roman" w:cs="Times New Roman"/>
                <w:sz w:val="24"/>
                <w:szCs w:val="24"/>
              </w:rPr>
              <w:t>ar 5% pieļaujamo novirzi no iepriekš izsniegtā avansa apmēra</w:t>
            </w:r>
            <w:r w:rsidRPr="002A276B">
              <w:rPr>
                <w:rFonts w:ascii="Times New Roman" w:hAnsi="Times New Roman" w:cs="Times New Roman"/>
                <w:sz w:val="24"/>
                <w:szCs w:val="24"/>
              </w:rPr>
              <w:t xml:space="preserve">. Tātad pašlaik atkārtotus avansus varētu izņemt visi kompetences centri izņemot TMKC. 2014.gada </w:t>
            </w:r>
            <w:r w:rsidR="005D571E" w:rsidRPr="002A276B">
              <w:rPr>
                <w:rFonts w:ascii="Times New Roman" w:hAnsi="Times New Roman" w:cs="Times New Roman"/>
                <w:sz w:val="24"/>
                <w:szCs w:val="24"/>
              </w:rPr>
              <w:t>novembrī</w:t>
            </w:r>
            <w:r w:rsidRPr="002A276B">
              <w:rPr>
                <w:rFonts w:ascii="Times New Roman" w:hAnsi="Times New Roman" w:cs="Times New Roman"/>
                <w:sz w:val="24"/>
                <w:szCs w:val="24"/>
              </w:rPr>
              <w:t xml:space="preserve"> pēc nākošā maksājuma pieprasījuma iesniegšanas plānots, ka avansu izņems arī TMKC.</w:t>
            </w:r>
          </w:p>
          <w:p w:rsidR="00BE2E46" w:rsidRPr="002A276B" w:rsidRDefault="00BE2E46"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Aprēķinot iespējamo kopējo avansa summu, ko kompetences centri varētu izņemt 2014.gada beigās un dzēst līdz 2015.gada beigām, jāņem vērā gan vēsturiskās starpposmu pārskatu summas gan nākotnes prognozes.</w:t>
            </w:r>
          </w:p>
          <w:p w:rsidR="00F064F8" w:rsidRPr="002A276B" w:rsidRDefault="00CA2DEE"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Pēc datiem, kas pieejami uz</w:t>
            </w:r>
            <w:r w:rsidR="00F064F8" w:rsidRPr="002A276B">
              <w:rPr>
                <w:rFonts w:ascii="Times New Roman" w:hAnsi="Times New Roman" w:cs="Times New Roman"/>
                <w:sz w:val="24"/>
                <w:szCs w:val="24"/>
              </w:rPr>
              <w:t xml:space="preserve"> 2014.gada </w:t>
            </w:r>
            <w:r w:rsidR="00465340" w:rsidRPr="002A276B">
              <w:rPr>
                <w:rFonts w:ascii="Times New Roman" w:hAnsi="Times New Roman" w:cs="Times New Roman"/>
                <w:sz w:val="24"/>
                <w:szCs w:val="24"/>
              </w:rPr>
              <w:t>2</w:t>
            </w:r>
            <w:r w:rsidR="00F064F8" w:rsidRPr="002A276B">
              <w:rPr>
                <w:rFonts w:ascii="Times New Roman" w:hAnsi="Times New Roman" w:cs="Times New Roman"/>
                <w:sz w:val="24"/>
                <w:szCs w:val="24"/>
              </w:rPr>
              <w:t>6.augustu,</w:t>
            </w:r>
            <w:r w:rsidRPr="002A276B">
              <w:rPr>
                <w:rFonts w:ascii="Times New Roman" w:hAnsi="Times New Roman" w:cs="Times New Roman"/>
                <w:sz w:val="24"/>
                <w:szCs w:val="24"/>
              </w:rPr>
              <w:t xml:space="preserve"> pēdējo četru starpposmu pārskatu kopsumma visiem kompetences centriem ir 13</w:t>
            </w:r>
            <w:r w:rsidR="00465340" w:rsidRPr="002A276B">
              <w:rPr>
                <w:rFonts w:ascii="Times New Roman" w:hAnsi="Times New Roman" w:cs="Times New Roman"/>
                <w:sz w:val="24"/>
                <w:szCs w:val="24"/>
              </w:rPr>
              <w:t> 507 132</w:t>
            </w:r>
            <w:r w:rsidRPr="002A276B">
              <w:rPr>
                <w:rFonts w:ascii="Times New Roman" w:hAnsi="Times New Roman" w:cs="Times New Roman"/>
                <w:sz w:val="24"/>
                <w:szCs w:val="24"/>
              </w:rPr>
              <w:t xml:space="preserve"> EUR. Taču jāņem vērā, ka starpposmu pārskatu summas pieaug ar katru nākošo ceturksni. Ja pieņem, ka nākotnē kompetenču centru iesniegto maksājumu pieprasījumu summas saglabāsies pēdējo divu iesni</w:t>
            </w:r>
            <w:r w:rsidR="00D86389" w:rsidRPr="002A276B">
              <w:rPr>
                <w:rFonts w:ascii="Times New Roman" w:hAnsi="Times New Roman" w:cs="Times New Roman"/>
                <w:sz w:val="24"/>
                <w:szCs w:val="24"/>
              </w:rPr>
              <w:t>e</w:t>
            </w:r>
            <w:r w:rsidRPr="002A276B">
              <w:rPr>
                <w:rFonts w:ascii="Times New Roman" w:hAnsi="Times New Roman" w:cs="Times New Roman"/>
                <w:sz w:val="24"/>
                <w:szCs w:val="24"/>
              </w:rPr>
              <w:t>gto starpposmu pārskatu apmērā</w:t>
            </w:r>
            <w:r w:rsidR="00EB485A" w:rsidRPr="002A276B">
              <w:rPr>
                <w:rFonts w:ascii="Times New Roman" w:hAnsi="Times New Roman" w:cs="Times New Roman"/>
                <w:sz w:val="24"/>
                <w:szCs w:val="24"/>
              </w:rPr>
              <w:t xml:space="preserve">, tad, ja </w:t>
            </w:r>
            <w:r w:rsidRPr="002A276B">
              <w:rPr>
                <w:rFonts w:ascii="Times New Roman" w:hAnsi="Times New Roman" w:cs="Times New Roman"/>
                <w:sz w:val="24"/>
                <w:szCs w:val="24"/>
              </w:rPr>
              <w:t xml:space="preserve">sareizina šo </w:t>
            </w:r>
            <w:r w:rsidR="00EB485A" w:rsidRPr="002A276B">
              <w:rPr>
                <w:rFonts w:ascii="Times New Roman" w:hAnsi="Times New Roman" w:cs="Times New Roman"/>
                <w:sz w:val="24"/>
                <w:szCs w:val="24"/>
              </w:rPr>
              <w:t xml:space="preserve">pēdējo divu ceturkšņu summas </w:t>
            </w:r>
            <w:r w:rsidRPr="002A276B">
              <w:rPr>
                <w:rFonts w:ascii="Times New Roman" w:hAnsi="Times New Roman" w:cs="Times New Roman"/>
                <w:sz w:val="24"/>
                <w:szCs w:val="24"/>
              </w:rPr>
              <w:t xml:space="preserve">ar divi, lai iegūtu datus par četriem ceturkšņiem, </w:t>
            </w:r>
            <w:r w:rsidR="00EB485A" w:rsidRPr="002A276B">
              <w:rPr>
                <w:rFonts w:ascii="Times New Roman" w:hAnsi="Times New Roman" w:cs="Times New Roman"/>
                <w:sz w:val="24"/>
                <w:szCs w:val="24"/>
              </w:rPr>
              <w:t>iegūtā</w:t>
            </w:r>
            <w:r w:rsidRPr="002A276B">
              <w:rPr>
                <w:rFonts w:ascii="Times New Roman" w:hAnsi="Times New Roman" w:cs="Times New Roman"/>
                <w:sz w:val="24"/>
                <w:szCs w:val="24"/>
              </w:rPr>
              <w:t xml:space="preserve"> starpposmu p</w:t>
            </w:r>
            <w:r w:rsidR="00EB485A" w:rsidRPr="002A276B">
              <w:rPr>
                <w:rFonts w:ascii="Times New Roman" w:hAnsi="Times New Roman" w:cs="Times New Roman"/>
                <w:sz w:val="24"/>
                <w:szCs w:val="24"/>
              </w:rPr>
              <w:t>ār</w:t>
            </w:r>
            <w:r w:rsidRPr="002A276B">
              <w:rPr>
                <w:rFonts w:ascii="Times New Roman" w:hAnsi="Times New Roman" w:cs="Times New Roman"/>
                <w:sz w:val="24"/>
                <w:szCs w:val="24"/>
              </w:rPr>
              <w:t>s</w:t>
            </w:r>
            <w:r w:rsidR="00EB485A" w:rsidRPr="002A276B">
              <w:rPr>
                <w:rFonts w:ascii="Times New Roman" w:hAnsi="Times New Roman" w:cs="Times New Roman"/>
                <w:sz w:val="24"/>
                <w:szCs w:val="24"/>
              </w:rPr>
              <w:t>k</w:t>
            </w:r>
            <w:r w:rsidRPr="002A276B">
              <w:rPr>
                <w:rFonts w:ascii="Times New Roman" w:hAnsi="Times New Roman" w:cs="Times New Roman"/>
                <w:sz w:val="24"/>
                <w:szCs w:val="24"/>
              </w:rPr>
              <w:t>atu kopsumma veido 14 7</w:t>
            </w:r>
            <w:r w:rsidR="00465340" w:rsidRPr="002A276B">
              <w:rPr>
                <w:rFonts w:ascii="Times New Roman" w:hAnsi="Times New Roman" w:cs="Times New Roman"/>
                <w:sz w:val="24"/>
                <w:szCs w:val="24"/>
              </w:rPr>
              <w:t>96</w:t>
            </w:r>
            <w:r w:rsidRPr="002A276B">
              <w:rPr>
                <w:rFonts w:ascii="Times New Roman" w:hAnsi="Times New Roman" w:cs="Times New Roman"/>
                <w:sz w:val="24"/>
                <w:szCs w:val="24"/>
              </w:rPr>
              <w:t> </w:t>
            </w:r>
            <w:r w:rsidR="00465340" w:rsidRPr="002A276B">
              <w:rPr>
                <w:rFonts w:ascii="Times New Roman" w:hAnsi="Times New Roman" w:cs="Times New Roman"/>
                <w:sz w:val="24"/>
                <w:szCs w:val="24"/>
              </w:rPr>
              <w:t>827</w:t>
            </w:r>
            <w:r w:rsidRPr="002A276B">
              <w:rPr>
                <w:rFonts w:ascii="Times New Roman" w:hAnsi="Times New Roman" w:cs="Times New Roman"/>
                <w:sz w:val="24"/>
                <w:szCs w:val="24"/>
              </w:rPr>
              <w:t xml:space="preserve"> EUR. </w:t>
            </w:r>
            <w:r w:rsidR="00EB485A" w:rsidRPr="002A276B">
              <w:rPr>
                <w:rFonts w:ascii="Times New Roman" w:hAnsi="Times New Roman" w:cs="Times New Roman"/>
                <w:sz w:val="24"/>
                <w:szCs w:val="24"/>
              </w:rPr>
              <w:t>Ja pieņem, ka nākotnē kompetenču centru iesniegto maksājumu pieprasījumu summas saglabāsies pēdējā iesni</w:t>
            </w:r>
            <w:r w:rsidR="006F1C1A" w:rsidRPr="002A276B">
              <w:rPr>
                <w:rFonts w:ascii="Times New Roman" w:hAnsi="Times New Roman" w:cs="Times New Roman"/>
                <w:sz w:val="24"/>
                <w:szCs w:val="24"/>
              </w:rPr>
              <w:t>e</w:t>
            </w:r>
            <w:r w:rsidR="00EB485A" w:rsidRPr="002A276B">
              <w:rPr>
                <w:rFonts w:ascii="Times New Roman" w:hAnsi="Times New Roman" w:cs="Times New Roman"/>
                <w:sz w:val="24"/>
                <w:szCs w:val="24"/>
              </w:rPr>
              <w:t>gtā starpposmu pārskata apmērā, tad aprēķinot datus uz 4 ceturkšņiem, iegūtā starpposmu pārskatu kopsumma veido 15</w:t>
            </w:r>
            <w:r w:rsidR="00465340" w:rsidRPr="002A276B">
              <w:rPr>
                <w:rFonts w:ascii="Times New Roman" w:hAnsi="Times New Roman" w:cs="Times New Roman"/>
                <w:sz w:val="24"/>
                <w:szCs w:val="24"/>
              </w:rPr>
              <w:t> 608 399</w:t>
            </w:r>
            <w:r w:rsidR="00EB485A" w:rsidRPr="002A276B">
              <w:rPr>
                <w:rFonts w:ascii="Times New Roman" w:hAnsi="Times New Roman" w:cs="Times New Roman"/>
                <w:sz w:val="24"/>
                <w:szCs w:val="24"/>
              </w:rPr>
              <w:t xml:space="preserve"> EUR.</w:t>
            </w:r>
          </w:p>
          <w:p w:rsidR="00EB485A" w:rsidRPr="002A276B" w:rsidRDefault="00EB485A"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Taču, ja pieņem, ka kompetences centri vēlās, apgūt visu tiem pieejamo finansējumu, tad starpposmu pārskatu summām nākotnē vajadzētu vēl pieaugt. Ja apskata katram kompetences centram piešķirto, bet vēl neapgūto finansējumu un dala ar atlikušo ceturkšņu skaitu līdz 2015.gada 31.decembrim, iegūstot vienādas summas katrā no nākošajiem ceturkšņiem, tad nākošo četru ceturkšņu </w:t>
            </w:r>
            <w:r w:rsidR="000A31E4" w:rsidRPr="002A276B">
              <w:rPr>
                <w:rFonts w:ascii="Times New Roman" w:hAnsi="Times New Roman" w:cs="Times New Roman"/>
                <w:sz w:val="24"/>
                <w:szCs w:val="24"/>
              </w:rPr>
              <w:t>starpposmu pārskatu kopsummai vajadzētu veidot 20 </w:t>
            </w:r>
            <w:r w:rsidR="0028145B" w:rsidRPr="002A276B">
              <w:rPr>
                <w:rFonts w:ascii="Times New Roman" w:hAnsi="Times New Roman" w:cs="Times New Roman"/>
                <w:sz w:val="24"/>
                <w:szCs w:val="24"/>
              </w:rPr>
              <w:t>597</w:t>
            </w:r>
            <w:r w:rsidR="000A31E4" w:rsidRPr="002A276B">
              <w:rPr>
                <w:rFonts w:ascii="Times New Roman" w:hAnsi="Times New Roman" w:cs="Times New Roman"/>
                <w:sz w:val="24"/>
                <w:szCs w:val="24"/>
              </w:rPr>
              <w:t> 4</w:t>
            </w:r>
            <w:r w:rsidR="0028145B" w:rsidRPr="002A276B">
              <w:rPr>
                <w:rFonts w:ascii="Times New Roman" w:hAnsi="Times New Roman" w:cs="Times New Roman"/>
                <w:sz w:val="24"/>
                <w:szCs w:val="24"/>
              </w:rPr>
              <w:t>12</w:t>
            </w:r>
            <w:r w:rsidR="000A31E4" w:rsidRPr="002A276B">
              <w:rPr>
                <w:rFonts w:ascii="Times New Roman" w:hAnsi="Times New Roman" w:cs="Times New Roman"/>
                <w:sz w:val="24"/>
                <w:szCs w:val="24"/>
              </w:rPr>
              <w:t xml:space="preserve"> EUR.</w:t>
            </w:r>
          </w:p>
          <w:p w:rsidR="00CA2DEE" w:rsidRPr="002A276B" w:rsidRDefault="00F52DAD"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Starpposmu pārskatu summas katram kompetences centram četriem ceturkšņiem ņemot vērā pēdējos četrus, pēdējos divus vai pēdējo starpposmu pārskatu vai nākotnes prognozes var apskatīt tabulā zemāk.</w:t>
            </w:r>
          </w:p>
          <w:p w:rsidR="00CA2DEE" w:rsidRPr="002A276B" w:rsidRDefault="00CA2DEE" w:rsidP="0078678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3"/>
              <w:gridCol w:w="1323"/>
              <w:gridCol w:w="1323"/>
              <w:gridCol w:w="1323"/>
              <w:gridCol w:w="1323"/>
            </w:tblGrid>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Kompetences centrs</w:t>
                  </w:r>
                </w:p>
              </w:tc>
              <w:tc>
                <w:tcPr>
                  <w:tcW w:w="1261" w:type="dxa"/>
                </w:tcPr>
                <w:p w:rsidR="00BE2E46" w:rsidRPr="002A276B" w:rsidRDefault="00164A33" w:rsidP="00164A33">
                  <w:pPr>
                    <w:jc w:val="both"/>
                    <w:rPr>
                      <w:rFonts w:ascii="Times New Roman" w:hAnsi="Times New Roman" w:cs="Times New Roman"/>
                      <w:sz w:val="24"/>
                      <w:szCs w:val="24"/>
                    </w:rPr>
                  </w:pPr>
                  <w:r w:rsidRPr="002A276B">
                    <w:rPr>
                      <w:rFonts w:ascii="Times New Roman" w:hAnsi="Times New Roman" w:cs="Times New Roman"/>
                      <w:sz w:val="24"/>
                      <w:szCs w:val="24"/>
                    </w:rPr>
                    <w:t>Ņemot vērā p</w:t>
                  </w:r>
                  <w:r w:rsidR="00BE2E46" w:rsidRPr="002A276B">
                    <w:rPr>
                      <w:rFonts w:ascii="Times New Roman" w:hAnsi="Times New Roman" w:cs="Times New Roman"/>
                      <w:sz w:val="24"/>
                      <w:szCs w:val="24"/>
                    </w:rPr>
                    <w:t>ēd</w:t>
                  </w:r>
                  <w:r w:rsidRPr="002A276B">
                    <w:rPr>
                      <w:rFonts w:ascii="Times New Roman" w:hAnsi="Times New Roman" w:cs="Times New Roman"/>
                      <w:sz w:val="24"/>
                      <w:szCs w:val="24"/>
                    </w:rPr>
                    <w:t>ējos</w:t>
                  </w:r>
                  <w:r w:rsidR="00BE2E46" w:rsidRPr="002A276B">
                    <w:rPr>
                      <w:rFonts w:ascii="Times New Roman" w:hAnsi="Times New Roman" w:cs="Times New Roman"/>
                      <w:sz w:val="24"/>
                      <w:szCs w:val="24"/>
                    </w:rPr>
                    <w:t xml:space="preserve"> </w:t>
                  </w:r>
                  <w:r w:rsidRPr="002A276B">
                    <w:rPr>
                      <w:rFonts w:ascii="Times New Roman" w:hAnsi="Times New Roman" w:cs="Times New Roman"/>
                      <w:sz w:val="24"/>
                      <w:szCs w:val="24"/>
                    </w:rPr>
                    <w:t xml:space="preserve">četrus </w:t>
                  </w:r>
                  <w:r w:rsidRPr="002A276B">
                    <w:rPr>
                      <w:rFonts w:ascii="Times New Roman" w:hAnsi="Times New Roman" w:cs="Times New Roman"/>
                      <w:sz w:val="24"/>
                      <w:szCs w:val="24"/>
                    </w:rPr>
                    <w:lastRenderedPageBreak/>
                    <w:t>starpposmu pārskatus</w:t>
                  </w:r>
                </w:p>
              </w:tc>
              <w:tc>
                <w:tcPr>
                  <w:tcW w:w="1261" w:type="dxa"/>
                </w:tcPr>
                <w:p w:rsidR="00BE2E46" w:rsidRPr="002A276B" w:rsidRDefault="00164A33" w:rsidP="00164A33">
                  <w:pPr>
                    <w:jc w:val="both"/>
                    <w:rPr>
                      <w:rFonts w:ascii="Times New Roman" w:hAnsi="Times New Roman" w:cs="Times New Roman"/>
                      <w:sz w:val="24"/>
                      <w:szCs w:val="24"/>
                    </w:rPr>
                  </w:pPr>
                  <w:r w:rsidRPr="002A276B">
                    <w:rPr>
                      <w:rFonts w:ascii="Times New Roman" w:hAnsi="Times New Roman" w:cs="Times New Roman"/>
                      <w:sz w:val="24"/>
                      <w:szCs w:val="24"/>
                    </w:rPr>
                    <w:lastRenderedPageBreak/>
                    <w:t xml:space="preserve">Ņemot vērā pēdējos divus </w:t>
                  </w:r>
                  <w:r w:rsidRPr="002A276B">
                    <w:rPr>
                      <w:rFonts w:ascii="Times New Roman" w:hAnsi="Times New Roman" w:cs="Times New Roman"/>
                      <w:sz w:val="24"/>
                      <w:szCs w:val="24"/>
                    </w:rPr>
                    <w:lastRenderedPageBreak/>
                    <w:t>starpposmu pārskatus</w:t>
                  </w:r>
                </w:p>
              </w:tc>
              <w:tc>
                <w:tcPr>
                  <w:tcW w:w="1261" w:type="dxa"/>
                </w:tcPr>
                <w:p w:rsidR="00BE2E46" w:rsidRPr="002A276B" w:rsidRDefault="00164A33" w:rsidP="00164A33">
                  <w:pPr>
                    <w:jc w:val="both"/>
                    <w:rPr>
                      <w:rFonts w:ascii="Times New Roman" w:hAnsi="Times New Roman" w:cs="Times New Roman"/>
                      <w:sz w:val="24"/>
                      <w:szCs w:val="24"/>
                    </w:rPr>
                  </w:pPr>
                  <w:r w:rsidRPr="002A276B">
                    <w:rPr>
                      <w:rFonts w:ascii="Times New Roman" w:hAnsi="Times New Roman" w:cs="Times New Roman"/>
                      <w:sz w:val="24"/>
                      <w:szCs w:val="24"/>
                    </w:rPr>
                    <w:lastRenderedPageBreak/>
                    <w:t xml:space="preserve">Ņemot vērā pēdējo starpposmu </w:t>
                  </w:r>
                  <w:r w:rsidRPr="002A276B">
                    <w:rPr>
                      <w:rFonts w:ascii="Times New Roman" w:hAnsi="Times New Roman" w:cs="Times New Roman"/>
                      <w:sz w:val="24"/>
                      <w:szCs w:val="24"/>
                    </w:rPr>
                    <w:lastRenderedPageBreak/>
                    <w:t>pārskatu</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lastRenderedPageBreak/>
                    <w:t xml:space="preserve">Prognoze nākošajiem četriem starpposmu </w:t>
                  </w:r>
                  <w:r w:rsidRPr="002A276B">
                    <w:rPr>
                      <w:rFonts w:ascii="Times New Roman" w:hAnsi="Times New Roman" w:cs="Times New Roman"/>
                      <w:sz w:val="24"/>
                      <w:szCs w:val="24"/>
                    </w:rPr>
                    <w:lastRenderedPageBreak/>
                    <w:t>pārskatiem</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lastRenderedPageBreak/>
                    <w:t>VBBKC</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2 542 368</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2 819 614</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3 077 960</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2 793 244</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ITKC</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3 186 334</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2 866 265</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3 075 361</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2 796 835</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TMKC</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1 989 497</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2 808 008</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2 814 892</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4 324 416</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LEO PC</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2 403 636</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2 732 321</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2 886 612</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3 853 026</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MNKC</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1 882 148</w:t>
                  </w:r>
                </w:p>
              </w:tc>
              <w:tc>
                <w:tcPr>
                  <w:tcW w:w="1261" w:type="dxa"/>
                </w:tcPr>
                <w:p w:rsidR="00BE2E46" w:rsidRPr="002A276B" w:rsidRDefault="00164A33" w:rsidP="00786783">
                  <w:pPr>
                    <w:jc w:val="both"/>
                    <w:rPr>
                      <w:rFonts w:ascii="Times New Roman" w:hAnsi="Times New Roman" w:cs="Times New Roman"/>
                      <w:sz w:val="24"/>
                      <w:szCs w:val="24"/>
                    </w:rPr>
                  </w:pPr>
                  <w:r w:rsidRPr="002A276B">
                    <w:rPr>
                      <w:rFonts w:ascii="Times New Roman" w:hAnsi="Times New Roman" w:cs="Times New Roman"/>
                      <w:sz w:val="24"/>
                      <w:szCs w:val="24"/>
                    </w:rPr>
                    <w:t>1 958 680</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1 890 318</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3 006 616</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PCCCL</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1 503 150</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1 611 939</w:t>
                  </w:r>
                </w:p>
              </w:tc>
              <w:tc>
                <w:tcPr>
                  <w:tcW w:w="1261" w:type="dxa"/>
                </w:tcPr>
                <w:p w:rsidR="00BE2E46" w:rsidRPr="002A276B" w:rsidRDefault="00F064F8" w:rsidP="00786783">
                  <w:pPr>
                    <w:jc w:val="both"/>
                    <w:rPr>
                      <w:rFonts w:ascii="Times New Roman" w:hAnsi="Times New Roman" w:cs="Times New Roman"/>
                      <w:sz w:val="24"/>
                      <w:szCs w:val="24"/>
                    </w:rPr>
                  </w:pPr>
                  <w:r w:rsidRPr="002A276B">
                    <w:rPr>
                      <w:rFonts w:ascii="Times New Roman" w:hAnsi="Times New Roman" w:cs="Times New Roman"/>
                      <w:sz w:val="24"/>
                      <w:szCs w:val="24"/>
                    </w:rPr>
                    <w:t>1</w:t>
                  </w:r>
                  <w:r w:rsidR="0028145B" w:rsidRPr="002A276B">
                    <w:rPr>
                      <w:rFonts w:ascii="Times New Roman" w:hAnsi="Times New Roman" w:cs="Times New Roman"/>
                      <w:sz w:val="24"/>
                      <w:szCs w:val="24"/>
                    </w:rPr>
                    <w:t> 863 257</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3 823 275</w:t>
                  </w:r>
                </w:p>
              </w:tc>
            </w:tr>
            <w:tr w:rsidR="00164A33" w:rsidRPr="002A276B" w:rsidTr="00BE2E46">
              <w:tc>
                <w:tcPr>
                  <w:tcW w:w="1260" w:type="dxa"/>
                </w:tcPr>
                <w:p w:rsidR="00BE2E46" w:rsidRPr="002A276B" w:rsidRDefault="00BE2E46" w:rsidP="00786783">
                  <w:pPr>
                    <w:jc w:val="both"/>
                    <w:rPr>
                      <w:rFonts w:ascii="Times New Roman" w:hAnsi="Times New Roman" w:cs="Times New Roman"/>
                      <w:sz w:val="24"/>
                      <w:szCs w:val="24"/>
                    </w:rPr>
                  </w:pPr>
                  <w:r w:rsidRPr="002A276B">
                    <w:rPr>
                      <w:rFonts w:ascii="Times New Roman" w:hAnsi="Times New Roman" w:cs="Times New Roman"/>
                      <w:sz w:val="24"/>
                      <w:szCs w:val="24"/>
                    </w:rPr>
                    <w:t>Kopā</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13 507 132</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14 796 827</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15 608 399</w:t>
                  </w:r>
                </w:p>
              </w:tc>
              <w:tc>
                <w:tcPr>
                  <w:tcW w:w="1261" w:type="dxa"/>
                </w:tcPr>
                <w:p w:rsidR="00BE2E46" w:rsidRPr="002A276B" w:rsidRDefault="0028145B" w:rsidP="00786783">
                  <w:pPr>
                    <w:jc w:val="both"/>
                    <w:rPr>
                      <w:rFonts w:ascii="Times New Roman" w:hAnsi="Times New Roman" w:cs="Times New Roman"/>
                      <w:sz w:val="24"/>
                      <w:szCs w:val="24"/>
                    </w:rPr>
                  </w:pPr>
                  <w:r w:rsidRPr="002A276B">
                    <w:rPr>
                      <w:rFonts w:ascii="Times New Roman" w:hAnsi="Times New Roman" w:cs="Times New Roman"/>
                      <w:sz w:val="24"/>
                      <w:szCs w:val="24"/>
                    </w:rPr>
                    <w:t>20 597 412</w:t>
                  </w:r>
                </w:p>
              </w:tc>
            </w:tr>
          </w:tbl>
          <w:p w:rsidR="00BE2E46" w:rsidRPr="002A276B" w:rsidRDefault="00BE2E46" w:rsidP="00786783">
            <w:pPr>
              <w:spacing w:after="0" w:line="240" w:lineRule="auto"/>
              <w:jc w:val="both"/>
              <w:rPr>
                <w:rFonts w:ascii="Times New Roman" w:hAnsi="Times New Roman" w:cs="Times New Roman"/>
                <w:sz w:val="24"/>
                <w:szCs w:val="24"/>
              </w:rPr>
            </w:pPr>
          </w:p>
          <w:p w:rsidR="00F52DAD" w:rsidRPr="002A276B" w:rsidRDefault="00F52DAD" w:rsidP="00F52DAD">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Taču nākošo četru ceturkšņu maksājumu pieprasījumu kopsumma visiem kompetences centriem varētu būt vēl lielāka, jo kompetences centri plāno strauju maksājumu pieprasījumu summu palielinājumu tuvākajos ceturkšņ</w:t>
            </w:r>
            <w:r w:rsidR="006F1C1A" w:rsidRPr="002A276B">
              <w:rPr>
                <w:rFonts w:ascii="Times New Roman" w:hAnsi="Times New Roman" w:cs="Times New Roman"/>
                <w:sz w:val="24"/>
                <w:szCs w:val="24"/>
              </w:rPr>
              <w:t>os, noslēdzot līgumus par liel</w:t>
            </w:r>
            <w:r w:rsidRPr="002A276B">
              <w:rPr>
                <w:rFonts w:ascii="Times New Roman" w:hAnsi="Times New Roman" w:cs="Times New Roman"/>
                <w:sz w:val="24"/>
                <w:szCs w:val="24"/>
              </w:rPr>
              <w:t xml:space="preserve">iem iepirkumiem. Un tuvojoties 2015.gada beigām starpposmu pārskatu summas varētu atkal samazināties. Līdz šim šāds pieaugums ir bijis tikai ITKC ar 2013.gada 2.ceturksnī iesniegto starpposmu pārskatu. Pēc šī ceturkšņa maksājumu pieprasījumu summas ir lēnām samazinājušās, paliekot nepieciešamajā līmenī, lai līdz 2015.gada beigām apgūtu visu </w:t>
            </w:r>
            <w:r w:rsidR="00A11A1E" w:rsidRPr="002A276B">
              <w:rPr>
                <w:rFonts w:ascii="Times New Roman" w:hAnsi="Times New Roman" w:cs="Times New Roman"/>
                <w:sz w:val="24"/>
                <w:szCs w:val="24"/>
              </w:rPr>
              <w:t xml:space="preserve">ITKC piešķirto </w:t>
            </w:r>
            <w:r w:rsidRPr="002A276B">
              <w:rPr>
                <w:rFonts w:ascii="Times New Roman" w:hAnsi="Times New Roman" w:cs="Times New Roman"/>
                <w:sz w:val="24"/>
                <w:szCs w:val="24"/>
              </w:rPr>
              <w:t>finansējumu.</w:t>
            </w:r>
          </w:p>
          <w:p w:rsidR="00F257A7" w:rsidRPr="002A276B" w:rsidRDefault="00F52DAD"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Ņemot vērā visu iepriekš minēto, var secināt, ka, ja visi</w:t>
            </w:r>
            <w:r w:rsidR="00A11A1E" w:rsidRPr="002A276B">
              <w:rPr>
                <w:rFonts w:ascii="Times New Roman" w:hAnsi="Times New Roman" w:cs="Times New Roman"/>
                <w:sz w:val="24"/>
                <w:szCs w:val="24"/>
              </w:rPr>
              <w:t>em</w:t>
            </w:r>
            <w:r w:rsidRPr="002A276B">
              <w:rPr>
                <w:rFonts w:ascii="Times New Roman" w:hAnsi="Times New Roman" w:cs="Times New Roman"/>
                <w:sz w:val="24"/>
                <w:szCs w:val="24"/>
              </w:rPr>
              <w:t xml:space="preserve"> kompetences </w:t>
            </w:r>
            <w:r w:rsidR="00A11A1E" w:rsidRPr="002A276B">
              <w:rPr>
                <w:rFonts w:ascii="Times New Roman" w:hAnsi="Times New Roman" w:cs="Times New Roman"/>
                <w:sz w:val="24"/>
                <w:szCs w:val="24"/>
              </w:rPr>
              <w:t xml:space="preserve">centriem 2014.gada beigās izmaksā avansus, avansu kopsumma varētu būt apmēram </w:t>
            </w:r>
            <w:r w:rsidR="00CE61F7" w:rsidRPr="002A276B">
              <w:rPr>
                <w:rFonts w:ascii="Times New Roman" w:hAnsi="Times New Roman" w:cs="Times New Roman"/>
                <w:sz w:val="24"/>
                <w:szCs w:val="24"/>
              </w:rPr>
              <w:t xml:space="preserve">20 </w:t>
            </w:r>
            <w:proofErr w:type="spellStart"/>
            <w:r w:rsidR="00A11A1E" w:rsidRPr="002A276B">
              <w:rPr>
                <w:rFonts w:ascii="Times New Roman" w:hAnsi="Times New Roman" w:cs="Times New Roman"/>
                <w:sz w:val="24"/>
                <w:szCs w:val="24"/>
              </w:rPr>
              <w:t>milj</w:t>
            </w:r>
            <w:proofErr w:type="spellEnd"/>
            <w:r w:rsidR="00A11A1E" w:rsidRPr="002A276B">
              <w:rPr>
                <w:rFonts w:ascii="Times New Roman" w:hAnsi="Times New Roman" w:cs="Times New Roman"/>
                <w:sz w:val="24"/>
                <w:szCs w:val="24"/>
              </w:rPr>
              <w:t xml:space="preserve">. </w:t>
            </w:r>
            <w:proofErr w:type="spellStart"/>
            <w:r w:rsidR="00A11A1E" w:rsidRPr="002A276B">
              <w:rPr>
                <w:rFonts w:ascii="Times New Roman" w:hAnsi="Times New Roman" w:cs="Times New Roman"/>
                <w:i/>
                <w:sz w:val="24"/>
                <w:szCs w:val="24"/>
              </w:rPr>
              <w:t>euro</w:t>
            </w:r>
            <w:proofErr w:type="spellEnd"/>
            <w:r w:rsidR="00A11A1E" w:rsidRPr="002A276B">
              <w:rPr>
                <w:rFonts w:ascii="Times New Roman" w:hAnsi="Times New Roman" w:cs="Times New Roman"/>
                <w:sz w:val="24"/>
                <w:szCs w:val="24"/>
              </w:rPr>
              <w:t xml:space="preserve"> apmērā jeb vidēji </w:t>
            </w:r>
            <w:r w:rsidR="00656E0D" w:rsidRPr="002A276B">
              <w:rPr>
                <w:rFonts w:ascii="Times New Roman" w:hAnsi="Times New Roman" w:cs="Times New Roman"/>
                <w:sz w:val="24"/>
                <w:szCs w:val="24"/>
              </w:rPr>
              <w:t>38</w:t>
            </w:r>
            <w:r w:rsidR="00CE61F7" w:rsidRPr="002A276B">
              <w:rPr>
                <w:rFonts w:ascii="Times New Roman" w:hAnsi="Times New Roman" w:cs="Times New Roman"/>
                <w:sz w:val="24"/>
                <w:szCs w:val="24"/>
              </w:rPr>
              <w:t>%</w:t>
            </w:r>
            <w:r w:rsidR="00A11A1E" w:rsidRPr="002A276B">
              <w:rPr>
                <w:rFonts w:ascii="Times New Roman" w:hAnsi="Times New Roman" w:cs="Times New Roman"/>
                <w:sz w:val="24"/>
                <w:szCs w:val="24"/>
              </w:rPr>
              <w:t xml:space="preserve"> apmērā vienam kompetences centram. </w:t>
            </w:r>
            <w:r w:rsidR="00E737C3" w:rsidRPr="002A276B">
              <w:rPr>
                <w:rFonts w:ascii="Times New Roman" w:hAnsi="Times New Roman" w:cs="Times New Roman"/>
                <w:sz w:val="24"/>
                <w:szCs w:val="24"/>
              </w:rPr>
              <w:t xml:space="preserve">Pat, ja maksājumu pieprasījumu summas nepieaug turpmāko ceturkšņu laikā, bet paliek pēdējā ceturkšņa līmenī, kompetences centri ir spējīgi līdz 2015.gada beigām apgūt </w:t>
            </w:r>
            <w:r w:rsidR="00CE61F7" w:rsidRPr="002A276B">
              <w:rPr>
                <w:rFonts w:ascii="Times New Roman" w:hAnsi="Times New Roman" w:cs="Times New Roman"/>
                <w:sz w:val="24"/>
                <w:szCs w:val="24"/>
              </w:rPr>
              <w:t xml:space="preserve">avansus vismaz 15 </w:t>
            </w:r>
            <w:proofErr w:type="spellStart"/>
            <w:r w:rsidR="00CE61F7" w:rsidRPr="002A276B">
              <w:rPr>
                <w:rFonts w:ascii="Times New Roman" w:hAnsi="Times New Roman" w:cs="Times New Roman"/>
                <w:sz w:val="24"/>
                <w:szCs w:val="24"/>
              </w:rPr>
              <w:t>milj</w:t>
            </w:r>
            <w:proofErr w:type="spellEnd"/>
            <w:r w:rsidR="00CE61F7" w:rsidRPr="002A276B">
              <w:rPr>
                <w:rFonts w:ascii="Times New Roman" w:hAnsi="Times New Roman" w:cs="Times New Roman"/>
                <w:sz w:val="24"/>
                <w:szCs w:val="24"/>
              </w:rPr>
              <w:t xml:space="preserve">. </w:t>
            </w:r>
            <w:proofErr w:type="spellStart"/>
            <w:r w:rsidR="00CE61F7" w:rsidRPr="002A276B">
              <w:rPr>
                <w:rFonts w:ascii="Times New Roman" w:hAnsi="Times New Roman" w:cs="Times New Roman"/>
                <w:i/>
                <w:sz w:val="24"/>
                <w:szCs w:val="24"/>
              </w:rPr>
              <w:t>euro</w:t>
            </w:r>
            <w:proofErr w:type="spellEnd"/>
            <w:r w:rsidR="00CE61F7" w:rsidRPr="002A276B">
              <w:rPr>
                <w:rFonts w:ascii="Times New Roman" w:hAnsi="Times New Roman" w:cs="Times New Roman"/>
                <w:sz w:val="24"/>
                <w:szCs w:val="24"/>
              </w:rPr>
              <w:t xml:space="preserve"> apmērā jeb vidēji </w:t>
            </w:r>
            <w:r w:rsidR="00656E0D" w:rsidRPr="002A276B">
              <w:rPr>
                <w:rFonts w:ascii="Times New Roman" w:hAnsi="Times New Roman" w:cs="Times New Roman"/>
                <w:sz w:val="24"/>
                <w:szCs w:val="24"/>
              </w:rPr>
              <w:t>28</w:t>
            </w:r>
            <w:r w:rsidR="00CE61F7" w:rsidRPr="002A276B">
              <w:rPr>
                <w:rFonts w:ascii="Times New Roman" w:hAnsi="Times New Roman" w:cs="Times New Roman"/>
                <w:sz w:val="24"/>
                <w:szCs w:val="24"/>
              </w:rPr>
              <w:t>% apmērā vienam kompetences centram</w:t>
            </w:r>
            <w:r w:rsidR="00E737C3" w:rsidRPr="002A276B">
              <w:rPr>
                <w:rFonts w:ascii="Times New Roman" w:hAnsi="Times New Roman" w:cs="Times New Roman"/>
                <w:sz w:val="24"/>
                <w:szCs w:val="24"/>
              </w:rPr>
              <w:t>.</w:t>
            </w:r>
            <w:r w:rsidR="00726372" w:rsidRPr="002A276B">
              <w:rPr>
                <w:rFonts w:ascii="Times New Roman" w:hAnsi="Times New Roman" w:cs="Times New Roman"/>
                <w:sz w:val="24"/>
                <w:szCs w:val="24"/>
              </w:rPr>
              <w:t xml:space="preserve"> Taču, lai kompetences centri varētu atkārtoti izņemt avansus, būtu jāpalielina maksimālā avansa summa</w:t>
            </w:r>
            <w:r w:rsidR="004257F5" w:rsidRPr="002A276B">
              <w:rPr>
                <w:rFonts w:ascii="Times New Roman" w:hAnsi="Times New Roman" w:cs="Times New Roman"/>
                <w:sz w:val="24"/>
                <w:szCs w:val="24"/>
              </w:rPr>
              <w:t>, dzēšot 35% ierobežojumu un atstājot 77.</w:t>
            </w:r>
            <w:r w:rsidR="004257F5" w:rsidRPr="002A276B">
              <w:rPr>
                <w:rFonts w:ascii="Times New Roman" w:hAnsi="Times New Roman" w:cs="Times New Roman"/>
                <w:sz w:val="24"/>
                <w:szCs w:val="24"/>
                <w:vertAlign w:val="superscript"/>
              </w:rPr>
              <w:t>1</w:t>
            </w:r>
            <w:r w:rsidR="004257F5" w:rsidRPr="002A276B">
              <w:rPr>
                <w:rFonts w:ascii="Times New Roman" w:hAnsi="Times New Roman" w:cs="Times New Roman"/>
                <w:sz w:val="24"/>
                <w:szCs w:val="24"/>
              </w:rPr>
              <w:t xml:space="preserve"> punkta nosacījumu, ka avansu</w:t>
            </w:r>
            <w:r w:rsidR="00726372" w:rsidRPr="002A276B">
              <w:rPr>
                <w:rFonts w:ascii="Times New Roman" w:hAnsi="Times New Roman" w:cs="Times New Roman"/>
                <w:sz w:val="24"/>
                <w:szCs w:val="24"/>
              </w:rPr>
              <w:t xml:space="preserve"> un starpposma maksājumu kopsumma nedrīkst pārsniegt 90 % no kompetences centram piešķirtā publiskā finansējuma.</w:t>
            </w:r>
            <w:r w:rsidR="001C6375" w:rsidRPr="002A276B">
              <w:rPr>
                <w:rFonts w:ascii="Times New Roman" w:hAnsi="Times New Roman" w:cs="Times New Roman"/>
                <w:sz w:val="24"/>
                <w:szCs w:val="24"/>
              </w:rPr>
              <w:t xml:space="preserve"> Tā kā finansējuma apguves progress kompetences centriem atšķiras, nebūtu saprātīgi uzlikt citus ierobežojumus maksimālā avansa apjomam.</w:t>
            </w:r>
            <w:r w:rsidR="007656AF" w:rsidRPr="002A276B">
              <w:rPr>
                <w:rFonts w:ascii="Times New Roman" w:hAnsi="Times New Roman" w:cs="Times New Roman"/>
                <w:sz w:val="24"/>
                <w:szCs w:val="24"/>
              </w:rPr>
              <w:t xml:space="preserve"> Ar Padomes </w:t>
            </w:r>
            <w:r w:rsidR="00A23227" w:rsidRPr="002A276B">
              <w:rPr>
                <w:rFonts w:ascii="Times New Roman" w:hAnsi="Times New Roman" w:cs="Times New Roman"/>
                <w:sz w:val="24"/>
                <w:szCs w:val="24"/>
              </w:rPr>
              <w:t>2009.gada 7.aprīļa R</w:t>
            </w:r>
            <w:r w:rsidR="007656AF" w:rsidRPr="002A276B">
              <w:rPr>
                <w:rFonts w:ascii="Times New Roman" w:hAnsi="Times New Roman" w:cs="Times New Roman"/>
                <w:sz w:val="24"/>
                <w:szCs w:val="24"/>
              </w:rPr>
              <w:t xml:space="preserve">egulu (EK) </w:t>
            </w:r>
            <w:proofErr w:type="spellStart"/>
            <w:r w:rsidR="007656AF" w:rsidRPr="002A276B">
              <w:rPr>
                <w:rFonts w:ascii="Times New Roman" w:hAnsi="Times New Roman" w:cs="Times New Roman"/>
                <w:sz w:val="24"/>
                <w:szCs w:val="24"/>
              </w:rPr>
              <w:t>Nr</w:t>
            </w:r>
            <w:proofErr w:type="spellEnd"/>
            <w:r w:rsidR="007656AF" w:rsidRPr="002A276B">
              <w:rPr>
                <w:rFonts w:ascii="Times New Roman" w:hAnsi="Times New Roman" w:cs="Times New Roman"/>
                <w:sz w:val="24"/>
                <w:szCs w:val="24"/>
              </w:rPr>
              <w:t xml:space="preserve">. 284/2009 ar kuru Regulu (EK) </w:t>
            </w:r>
            <w:proofErr w:type="spellStart"/>
            <w:r w:rsidR="007656AF" w:rsidRPr="002A276B">
              <w:rPr>
                <w:rFonts w:ascii="Times New Roman" w:hAnsi="Times New Roman" w:cs="Times New Roman"/>
                <w:sz w:val="24"/>
                <w:szCs w:val="24"/>
              </w:rPr>
              <w:t>Nr</w:t>
            </w:r>
            <w:proofErr w:type="spellEnd"/>
            <w:r w:rsidR="007656AF" w:rsidRPr="002A276B">
              <w:rPr>
                <w:rFonts w:ascii="Times New Roman" w:hAnsi="Times New Roman" w:cs="Times New Roman"/>
                <w:sz w:val="24"/>
                <w:szCs w:val="24"/>
              </w:rPr>
              <w:t xml:space="preserve">. 1083/2006, ar ko paredz vispārīgus noteikumus par Eiropas Reģionālās attīstības fondu, Eiropas Sociālo fondu un Kohēzijas fondu, groza attiecībā uz dažiem noteikumiem par finansiālo pārvaldību </w:t>
            </w:r>
            <w:r w:rsidR="00A23227" w:rsidRPr="002A276B">
              <w:rPr>
                <w:rFonts w:ascii="Times New Roman" w:hAnsi="Times New Roman" w:cs="Times New Roman"/>
                <w:sz w:val="24"/>
                <w:szCs w:val="24"/>
              </w:rPr>
              <w:t xml:space="preserve">(Eiropas Savienības Oficiālais Vēstnesis, 2009.gada 8.aprīlis, </w:t>
            </w:r>
            <w:proofErr w:type="spellStart"/>
            <w:r w:rsidR="00A23227" w:rsidRPr="002A276B">
              <w:rPr>
                <w:rFonts w:ascii="Times New Roman" w:hAnsi="Times New Roman" w:cs="Times New Roman"/>
                <w:sz w:val="24"/>
                <w:szCs w:val="24"/>
              </w:rPr>
              <w:t>Nr</w:t>
            </w:r>
            <w:proofErr w:type="spellEnd"/>
            <w:r w:rsidR="00A23227" w:rsidRPr="002A276B">
              <w:rPr>
                <w:rFonts w:ascii="Times New Roman" w:hAnsi="Times New Roman" w:cs="Times New Roman"/>
                <w:sz w:val="24"/>
                <w:szCs w:val="24"/>
              </w:rPr>
              <w:t xml:space="preserve">. L 94) </w:t>
            </w:r>
            <w:r w:rsidR="007656AF" w:rsidRPr="002A276B">
              <w:rPr>
                <w:rFonts w:ascii="Times New Roman" w:hAnsi="Times New Roman" w:cs="Times New Roman"/>
                <w:sz w:val="24"/>
                <w:szCs w:val="24"/>
              </w:rPr>
              <w:t xml:space="preserve">(turpmāk – Padomes regula Nr.284/2009) no Padomes </w:t>
            </w:r>
            <w:r w:rsidR="00A23227" w:rsidRPr="002A276B">
              <w:rPr>
                <w:rFonts w:ascii="Times New Roman" w:hAnsi="Times New Roman" w:cs="Times New Roman"/>
                <w:sz w:val="24"/>
                <w:szCs w:val="24"/>
              </w:rPr>
              <w:t xml:space="preserve">2006.gada 11.jūlija </w:t>
            </w:r>
            <w:r w:rsidR="007656AF" w:rsidRPr="002A276B">
              <w:rPr>
                <w:rFonts w:ascii="Times New Roman" w:hAnsi="Times New Roman" w:cs="Times New Roman"/>
                <w:sz w:val="24"/>
                <w:szCs w:val="24"/>
              </w:rPr>
              <w:t xml:space="preserve">regulas (EK) Nr.1083/2006 ar ko paredz vispārīgus noteikumus par Eiropas Reģionālās attīstības fondu, Eiropas Sociālo fondu un Kohēzijas fondu un atceļ Regulu (EK) </w:t>
            </w:r>
            <w:proofErr w:type="spellStart"/>
            <w:r w:rsidR="007656AF" w:rsidRPr="002A276B">
              <w:rPr>
                <w:rFonts w:ascii="Times New Roman" w:hAnsi="Times New Roman" w:cs="Times New Roman"/>
                <w:sz w:val="24"/>
                <w:szCs w:val="24"/>
              </w:rPr>
              <w:t>Nr</w:t>
            </w:r>
            <w:proofErr w:type="spellEnd"/>
            <w:r w:rsidR="007656AF" w:rsidRPr="002A276B">
              <w:rPr>
                <w:rFonts w:ascii="Times New Roman" w:hAnsi="Times New Roman" w:cs="Times New Roman"/>
                <w:sz w:val="24"/>
                <w:szCs w:val="24"/>
              </w:rPr>
              <w:t xml:space="preserve">. 1260/1999 </w:t>
            </w:r>
            <w:r w:rsidR="00A23227" w:rsidRPr="002A276B">
              <w:rPr>
                <w:rFonts w:ascii="Times New Roman" w:hAnsi="Times New Roman" w:cs="Times New Roman"/>
                <w:sz w:val="24"/>
                <w:szCs w:val="24"/>
              </w:rPr>
              <w:t xml:space="preserve">(Eiropas Savienības Oficiālais Vēstnesis 2006.gada 31.jūlijs, </w:t>
            </w:r>
            <w:proofErr w:type="spellStart"/>
            <w:r w:rsidR="00A23227" w:rsidRPr="002A276B">
              <w:rPr>
                <w:rFonts w:ascii="Times New Roman" w:hAnsi="Times New Roman" w:cs="Times New Roman"/>
                <w:sz w:val="24"/>
                <w:szCs w:val="24"/>
              </w:rPr>
              <w:t>Nr</w:t>
            </w:r>
            <w:proofErr w:type="spellEnd"/>
            <w:r w:rsidR="00A23227" w:rsidRPr="002A276B">
              <w:rPr>
                <w:rFonts w:ascii="Times New Roman" w:hAnsi="Times New Roman" w:cs="Times New Roman"/>
                <w:sz w:val="24"/>
                <w:szCs w:val="24"/>
              </w:rPr>
              <w:t xml:space="preserve">. L 210) </w:t>
            </w:r>
            <w:r w:rsidR="007656AF" w:rsidRPr="002A276B">
              <w:rPr>
                <w:rFonts w:ascii="Times New Roman" w:hAnsi="Times New Roman" w:cs="Times New Roman"/>
                <w:sz w:val="24"/>
                <w:szCs w:val="24"/>
              </w:rPr>
              <w:t>(turpmāk – Padomes regula Nr.1083/2006) tiek dzēsts 78.panta 1.punkta b) apakšpunkts, kurš paredzēja, ka avansa apjoms nepārsniedz 35 % no atbalsta kopapjoma, ko atbalsta saņēmējam piešķirs konkrētam projektam.</w:t>
            </w:r>
            <w:r w:rsidR="00A23227" w:rsidRPr="002A276B">
              <w:rPr>
                <w:rFonts w:ascii="Times New Roman" w:hAnsi="Times New Roman" w:cs="Times New Roman"/>
                <w:sz w:val="24"/>
                <w:szCs w:val="24"/>
              </w:rPr>
              <w:t xml:space="preserve"> </w:t>
            </w:r>
            <w:r w:rsidR="00CD289E" w:rsidRPr="002A276B">
              <w:rPr>
                <w:rFonts w:ascii="Times New Roman" w:hAnsi="Times New Roman" w:cs="Times New Roman"/>
                <w:sz w:val="24"/>
                <w:szCs w:val="24"/>
              </w:rPr>
              <w:t xml:space="preserve">Savukārt Padomes regulas Nr.1083/2006 79.panta 1.punkts paredz, ka veikto </w:t>
            </w:r>
            <w:r w:rsidR="00CD289E" w:rsidRPr="002A276B">
              <w:rPr>
                <w:rFonts w:ascii="Times New Roman" w:hAnsi="Times New Roman" w:cs="Times New Roman"/>
                <w:sz w:val="24"/>
                <w:szCs w:val="24"/>
              </w:rPr>
              <w:lastRenderedPageBreak/>
              <w:t>avansa maksājumu un starpposma maksājumu kumulat</w:t>
            </w:r>
            <w:r w:rsidR="005D571E" w:rsidRPr="002A276B">
              <w:rPr>
                <w:rFonts w:ascii="Times New Roman" w:hAnsi="Times New Roman" w:cs="Times New Roman"/>
                <w:sz w:val="24"/>
                <w:szCs w:val="24"/>
              </w:rPr>
              <w:t>īvais kopapjoms nepārsniedz 90</w:t>
            </w:r>
            <w:r w:rsidR="00CD289E" w:rsidRPr="002A276B">
              <w:rPr>
                <w:rFonts w:ascii="Times New Roman" w:hAnsi="Times New Roman" w:cs="Times New Roman"/>
                <w:sz w:val="24"/>
                <w:szCs w:val="24"/>
              </w:rPr>
              <w:t>% no fondu ieguldījuma darbības programmā. Tātad EK regulējums atļauj izmaksāt avansus, kuri kopā ar starpposmu maksājumu kopapjomu nepārsniedz 90%</w:t>
            </w:r>
            <w:r w:rsidR="001F5CBE" w:rsidRPr="002A276B">
              <w:rPr>
                <w:rFonts w:ascii="Times New Roman" w:hAnsi="Times New Roman" w:cs="Times New Roman"/>
                <w:sz w:val="24"/>
                <w:szCs w:val="24"/>
              </w:rPr>
              <w:t xml:space="preserve"> no kompetences centram piešķirtā publiskā finansējuma.</w:t>
            </w:r>
            <w:r w:rsidR="001C6375" w:rsidRPr="002A276B">
              <w:rPr>
                <w:rFonts w:ascii="Times New Roman" w:hAnsi="Times New Roman" w:cs="Times New Roman"/>
                <w:sz w:val="24"/>
                <w:szCs w:val="24"/>
              </w:rPr>
              <w:t xml:space="preserve"> Lai  izsniedzamo avansu apjomi būtu saprātīgi, 2.1.2.1.1.apakšaktivitātes izvērtējuma ietvaros tiks rīkotas individuālās tikšanās ar kompetences centru vadītājiem un komersantiem vienojoties par avansu apjomiem, kas būtu izlietojami līdz 2015.gada beigām. </w:t>
            </w:r>
          </w:p>
          <w:p w:rsidR="00E56B28" w:rsidRPr="002A276B" w:rsidRDefault="00F257A7" w:rsidP="00786783">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Pašlaik avansi tiek pārskaitīti uz kompetences centra darījumu kontu, kurš atvērts kredītiestādē, kas reģistrējusies kredītiestādes darbības veikšanai Latvijas Republikā. Papildinot ar iespēju avansus saņemt arī iesniedzot </w:t>
            </w:r>
            <w:r w:rsidR="00F530B3" w:rsidRPr="002A276B">
              <w:rPr>
                <w:rFonts w:ascii="Times New Roman" w:hAnsi="Times New Roman" w:cs="Times New Roman"/>
                <w:sz w:val="24"/>
                <w:szCs w:val="24"/>
              </w:rPr>
              <w:t>sadarbības iestādē</w:t>
            </w:r>
            <w:r w:rsidRPr="002A276B">
              <w:rPr>
                <w:rFonts w:ascii="Times New Roman" w:hAnsi="Times New Roman" w:cs="Times New Roman"/>
                <w:sz w:val="24"/>
                <w:szCs w:val="24"/>
              </w:rPr>
              <w:t xml:space="preserve"> bankas garantiju avansa apmērā, dod iespēju izsniegt kompetences centriem Eiropas Komisijā deklarējamus avansus, kas var palīdzēt arī nodrošināt Padomes 2006.gada 11.jūlija Regulas (EK)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xml:space="preserve">. 1083/2006, ar ko paredz vispārīgus noteikumus par Eiropas Reģionālās attīstības fondu, Eiropas Sociālo fondu un Kohēzijas fondu un atceļ Regulu (EK)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xml:space="preserve">. 1260/1999 (turpmāk – Padomes regula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1083/2006), 93.panta 1. un 2.punktā minēto „n+2” un „n+3” principu izpildi</w:t>
            </w:r>
            <w:r w:rsidR="00B34868" w:rsidRPr="002A276B">
              <w:rPr>
                <w:rFonts w:ascii="Times New Roman" w:hAnsi="Times New Roman" w:cs="Times New Roman"/>
                <w:sz w:val="24"/>
                <w:szCs w:val="24"/>
              </w:rPr>
              <w:t xml:space="preserve">. Kompetences centriem uz 2015.gadu pārceļot pētījumu izmaksas, kuras bija plānotas 2014.gada beigās, palielinās risks darbības programmā „Uzņēmējdarbība un inovācijas” </w:t>
            </w:r>
            <w:r w:rsidR="000C59B6" w:rsidRPr="002A276B">
              <w:rPr>
                <w:rFonts w:ascii="Times New Roman" w:hAnsi="Times New Roman" w:cs="Times New Roman"/>
                <w:sz w:val="24"/>
                <w:szCs w:val="24"/>
              </w:rPr>
              <w:t>ne</w:t>
            </w:r>
            <w:r w:rsidR="00B34868" w:rsidRPr="002A276B">
              <w:rPr>
                <w:rFonts w:ascii="Times New Roman" w:hAnsi="Times New Roman" w:cs="Times New Roman"/>
                <w:sz w:val="24"/>
                <w:szCs w:val="24"/>
              </w:rPr>
              <w:t xml:space="preserve">izpildīt „n+2” principu. Iespēja kompetences centriem 2014.gada beigās izsniegt avansus pret bankas garantiju ļauj </w:t>
            </w:r>
            <w:r w:rsidR="00F530B3" w:rsidRPr="002A276B">
              <w:rPr>
                <w:rFonts w:ascii="Times New Roman" w:hAnsi="Times New Roman" w:cs="Times New Roman"/>
                <w:sz w:val="24"/>
                <w:szCs w:val="24"/>
              </w:rPr>
              <w:t>izsniegtos avansus nodeklarēt Eiropas Komisijā, tādējādi samazinot „n+2” principa neizpildi darbības programmā „Uzņēmējdarbība un inovācijas”.</w:t>
            </w:r>
          </w:p>
          <w:p w:rsidR="00622553" w:rsidRPr="002A276B" w:rsidRDefault="00622553" w:rsidP="00BB316C">
            <w:pPr>
              <w:spacing w:after="0" w:line="240" w:lineRule="auto"/>
              <w:jc w:val="both"/>
              <w:rPr>
                <w:rFonts w:ascii="Times New Roman" w:hAnsi="Times New Roman" w:cs="Times New Roman"/>
                <w:sz w:val="24"/>
                <w:szCs w:val="24"/>
              </w:rPr>
            </w:pPr>
          </w:p>
          <w:p w:rsidR="00662F6B" w:rsidRPr="002A276B" w:rsidRDefault="00332B02" w:rsidP="00BB316C">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Vienlaikus</w:t>
            </w:r>
            <w:r w:rsidR="00662F6B" w:rsidRPr="002A276B">
              <w:rPr>
                <w:rFonts w:ascii="Times New Roman" w:hAnsi="Times New Roman" w:cs="Times New Roman"/>
                <w:sz w:val="24"/>
                <w:szCs w:val="24"/>
              </w:rPr>
              <w:t xml:space="preserve"> ar šiem MK noteikumu Nr.361 grozījumiem </w:t>
            </w:r>
            <w:r w:rsidR="008C206F" w:rsidRPr="002A276B">
              <w:rPr>
                <w:rFonts w:ascii="Times New Roman" w:hAnsi="Times New Roman" w:cs="Times New Roman"/>
                <w:sz w:val="24"/>
                <w:szCs w:val="24"/>
              </w:rPr>
              <w:t>tiek paredzēts, ka bankas garantijas izmaksas 100% apjomā tiek segtas no publiskā līdzfinansējuma</w:t>
            </w:r>
            <w:r w:rsidR="00F530B3" w:rsidRPr="002A276B">
              <w:rPr>
                <w:rFonts w:ascii="Times New Roman" w:hAnsi="Times New Roman" w:cs="Times New Roman"/>
                <w:sz w:val="24"/>
                <w:szCs w:val="24"/>
              </w:rPr>
              <w:t>, iekļaujot tās vadības izmaksu kopsummā</w:t>
            </w:r>
            <w:r w:rsidR="008C206F" w:rsidRPr="002A276B">
              <w:rPr>
                <w:rFonts w:ascii="Times New Roman" w:hAnsi="Times New Roman" w:cs="Times New Roman"/>
                <w:sz w:val="24"/>
                <w:szCs w:val="24"/>
              </w:rPr>
              <w:t xml:space="preserve">. </w:t>
            </w:r>
            <w:r w:rsidR="00B808EB" w:rsidRPr="002A276B">
              <w:rPr>
                <w:rFonts w:ascii="Times New Roman" w:hAnsi="Times New Roman" w:cs="Times New Roman"/>
                <w:sz w:val="24"/>
                <w:szCs w:val="24"/>
              </w:rPr>
              <w:t>Tomēr</w:t>
            </w:r>
            <w:r w:rsidR="008C206F" w:rsidRPr="002A276B">
              <w:rPr>
                <w:rFonts w:ascii="Times New Roman" w:hAnsi="Times New Roman" w:cs="Times New Roman"/>
                <w:sz w:val="24"/>
                <w:szCs w:val="24"/>
              </w:rPr>
              <w:t xml:space="preserve"> bankas garantijas izmaksu segšana nepalielina kopējo kompetences centram pieejamo </w:t>
            </w:r>
            <w:r w:rsidR="00F530B3" w:rsidRPr="002A276B">
              <w:rPr>
                <w:rFonts w:ascii="Times New Roman" w:hAnsi="Times New Roman" w:cs="Times New Roman"/>
                <w:sz w:val="24"/>
                <w:szCs w:val="24"/>
              </w:rPr>
              <w:t xml:space="preserve">attiecināmā un </w:t>
            </w:r>
            <w:r w:rsidR="008C206F" w:rsidRPr="002A276B">
              <w:rPr>
                <w:rFonts w:ascii="Times New Roman" w:hAnsi="Times New Roman" w:cs="Times New Roman"/>
                <w:sz w:val="24"/>
                <w:szCs w:val="24"/>
              </w:rPr>
              <w:t>publiskā finans</w:t>
            </w:r>
            <w:r w:rsidR="004B2128" w:rsidRPr="002A276B">
              <w:rPr>
                <w:rFonts w:ascii="Times New Roman" w:hAnsi="Times New Roman" w:cs="Times New Roman"/>
                <w:sz w:val="24"/>
                <w:szCs w:val="24"/>
              </w:rPr>
              <w:t>ējuma apjomu</w:t>
            </w:r>
            <w:r w:rsidR="00B57495" w:rsidRPr="002A276B">
              <w:rPr>
                <w:rFonts w:ascii="Times New Roman" w:hAnsi="Times New Roman" w:cs="Times New Roman"/>
                <w:sz w:val="24"/>
                <w:szCs w:val="24"/>
              </w:rPr>
              <w:t xml:space="preserve">, kā arī nepalielina kompetences centram pieejamās </w:t>
            </w:r>
            <w:r w:rsidR="00B42953" w:rsidRPr="002A276B">
              <w:rPr>
                <w:rFonts w:ascii="Times New Roman" w:hAnsi="Times New Roman" w:cs="Times New Roman"/>
                <w:sz w:val="24"/>
                <w:szCs w:val="24"/>
              </w:rPr>
              <w:t>projekta vadības izmaksas</w:t>
            </w:r>
            <w:r w:rsidR="004B2128" w:rsidRPr="002A276B">
              <w:rPr>
                <w:rFonts w:ascii="Times New Roman" w:hAnsi="Times New Roman" w:cs="Times New Roman"/>
                <w:sz w:val="24"/>
                <w:szCs w:val="24"/>
              </w:rPr>
              <w:t xml:space="preserve">. Tas nozīmē, ka bankas garantijas izmaksu segšanai kompetences centri var </w:t>
            </w:r>
            <w:r w:rsidR="00C0025B" w:rsidRPr="002A276B">
              <w:rPr>
                <w:rFonts w:ascii="Times New Roman" w:hAnsi="Times New Roman" w:cs="Times New Roman"/>
                <w:sz w:val="24"/>
                <w:szCs w:val="24"/>
              </w:rPr>
              <w:t xml:space="preserve">novirzīt </w:t>
            </w:r>
            <w:r w:rsidR="005C43CA" w:rsidRPr="002A276B">
              <w:rPr>
                <w:rFonts w:ascii="Times New Roman" w:hAnsi="Times New Roman" w:cs="Times New Roman"/>
                <w:sz w:val="24"/>
                <w:szCs w:val="24"/>
              </w:rPr>
              <w:t>daļu no tie</w:t>
            </w:r>
            <w:r w:rsidR="00F530B3" w:rsidRPr="002A276B">
              <w:rPr>
                <w:rFonts w:ascii="Times New Roman" w:hAnsi="Times New Roman" w:cs="Times New Roman"/>
                <w:sz w:val="24"/>
                <w:szCs w:val="24"/>
              </w:rPr>
              <w:t>m</w:t>
            </w:r>
            <w:r w:rsidR="005C43CA" w:rsidRPr="002A276B">
              <w:rPr>
                <w:rFonts w:ascii="Times New Roman" w:hAnsi="Times New Roman" w:cs="Times New Roman"/>
                <w:sz w:val="24"/>
                <w:szCs w:val="24"/>
              </w:rPr>
              <w:t xml:space="preserve"> līdzekļiem, kuri savādāk tiktu pārcelti uz 2015.gada beigām.  </w:t>
            </w:r>
          </w:p>
          <w:p w:rsidR="005245A9" w:rsidRPr="002A276B" w:rsidRDefault="005245A9" w:rsidP="00BB316C">
            <w:pPr>
              <w:spacing w:after="0" w:line="240" w:lineRule="auto"/>
              <w:jc w:val="both"/>
              <w:rPr>
                <w:rFonts w:ascii="Times New Roman" w:hAnsi="Times New Roman" w:cs="Times New Roman"/>
                <w:sz w:val="24"/>
                <w:szCs w:val="24"/>
              </w:rPr>
            </w:pPr>
          </w:p>
          <w:p w:rsidR="00321B0E" w:rsidRPr="002A276B" w:rsidRDefault="007549D9" w:rsidP="00321B0E">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Grozījumi izstrādāti arī, lai tiesību aktā aizstātu summas </w:t>
            </w:r>
            <w:r w:rsidR="00155D06" w:rsidRPr="002A276B">
              <w:rPr>
                <w:rFonts w:ascii="Times New Roman" w:hAnsi="Times New Roman" w:cs="Times New Roman"/>
                <w:sz w:val="24"/>
                <w:szCs w:val="24"/>
              </w:rPr>
              <w:t>lato</w:t>
            </w:r>
            <w:r w:rsidRPr="002A276B">
              <w:rPr>
                <w:rFonts w:ascii="Times New Roman" w:hAnsi="Times New Roman" w:cs="Times New Roman"/>
                <w:sz w:val="24"/>
                <w:szCs w:val="24"/>
              </w:rPr>
              <w:t xml:space="preserve">s ar </w:t>
            </w:r>
            <w:r w:rsidR="00155D06" w:rsidRPr="002A276B">
              <w:rPr>
                <w:rFonts w:ascii="Times New Roman" w:hAnsi="Times New Roman" w:cs="Times New Roman"/>
                <w:sz w:val="24"/>
                <w:szCs w:val="24"/>
              </w:rPr>
              <w:t>ekvivalentām summām</w:t>
            </w:r>
            <w:r w:rsidRPr="002A276B">
              <w:rPr>
                <w:rFonts w:ascii="Times New Roman" w:hAnsi="Times New Roman" w:cs="Times New Roman"/>
                <w:sz w:val="24"/>
                <w:szCs w:val="24"/>
              </w:rPr>
              <w:t xml:space="preserve"> </w:t>
            </w:r>
            <w:proofErr w:type="spellStart"/>
            <w:r w:rsidRPr="002A276B">
              <w:rPr>
                <w:rFonts w:ascii="Times New Roman" w:hAnsi="Times New Roman" w:cs="Times New Roman"/>
                <w:i/>
                <w:sz w:val="24"/>
                <w:szCs w:val="24"/>
              </w:rPr>
              <w:t>euro</w:t>
            </w:r>
            <w:proofErr w:type="spellEnd"/>
            <w:r w:rsidR="009053C5" w:rsidRPr="002A276B">
              <w:rPr>
                <w:rFonts w:ascii="Times New Roman" w:hAnsi="Times New Roman" w:cs="Times New Roman"/>
                <w:i/>
                <w:sz w:val="24"/>
                <w:szCs w:val="24"/>
              </w:rPr>
              <w:t>,</w:t>
            </w:r>
            <w:r w:rsidRPr="002A276B">
              <w:rPr>
                <w:rFonts w:ascii="Times New Roman" w:hAnsi="Times New Roman" w:cs="Times New Roman"/>
                <w:sz w:val="24"/>
                <w:szCs w:val="24"/>
              </w:rPr>
              <w:t xml:space="preserve"> konvertējot valūtu pēc oficiālā </w:t>
            </w:r>
            <w:proofErr w:type="spellStart"/>
            <w:r w:rsidRPr="002A276B">
              <w:rPr>
                <w:rFonts w:ascii="Times New Roman" w:hAnsi="Times New Roman" w:cs="Times New Roman"/>
                <w:i/>
                <w:sz w:val="24"/>
                <w:szCs w:val="24"/>
              </w:rPr>
              <w:t>euro</w:t>
            </w:r>
            <w:proofErr w:type="spellEnd"/>
            <w:r w:rsidRPr="002A276B">
              <w:rPr>
                <w:rFonts w:ascii="Times New Roman" w:hAnsi="Times New Roman" w:cs="Times New Roman"/>
                <w:i/>
                <w:sz w:val="24"/>
                <w:szCs w:val="24"/>
              </w:rPr>
              <w:t xml:space="preserve"> </w:t>
            </w:r>
            <w:r w:rsidRPr="002A276B">
              <w:rPr>
                <w:rFonts w:ascii="Times New Roman" w:hAnsi="Times New Roman" w:cs="Times New Roman"/>
                <w:sz w:val="24"/>
                <w:szCs w:val="24"/>
              </w:rPr>
              <w:t>kursa</w:t>
            </w:r>
            <w:r w:rsidR="00AB03BB" w:rsidRPr="002A276B">
              <w:t xml:space="preserve"> </w:t>
            </w:r>
            <w:r w:rsidR="00AB03BB" w:rsidRPr="002A276B">
              <w:rPr>
                <w:rFonts w:ascii="Times New Roman" w:hAnsi="Times New Roman" w:cs="Times New Roman"/>
                <w:sz w:val="24"/>
                <w:szCs w:val="24"/>
              </w:rPr>
              <w:t xml:space="preserve">atbilstoši noteiktajam </w:t>
            </w:r>
            <w:proofErr w:type="spellStart"/>
            <w:r w:rsidR="00AB03BB" w:rsidRPr="002A276B">
              <w:rPr>
                <w:rFonts w:ascii="Times New Roman" w:hAnsi="Times New Roman" w:cs="Times New Roman"/>
                <w:sz w:val="24"/>
                <w:szCs w:val="24"/>
              </w:rPr>
              <w:t>Euro</w:t>
            </w:r>
            <w:proofErr w:type="spellEnd"/>
            <w:r w:rsidR="00AB03BB" w:rsidRPr="002A276B">
              <w:rPr>
                <w:rFonts w:ascii="Times New Roman" w:hAnsi="Times New Roman" w:cs="Times New Roman"/>
                <w:sz w:val="24"/>
                <w:szCs w:val="24"/>
              </w:rPr>
              <w:t xml:space="preserve"> ieviešanas kārtības likuma</w:t>
            </w:r>
            <w:r w:rsidR="00F532B8" w:rsidRPr="002A276B">
              <w:rPr>
                <w:rFonts w:ascii="Times New Roman" w:hAnsi="Times New Roman" w:cs="Times New Roman"/>
                <w:sz w:val="24"/>
                <w:szCs w:val="24"/>
              </w:rPr>
              <w:t xml:space="preserve"> (turpmāk – EIKL)</w:t>
            </w:r>
            <w:r w:rsidR="00AB03BB" w:rsidRPr="002A276B">
              <w:rPr>
                <w:rFonts w:ascii="Times New Roman" w:hAnsi="Times New Roman" w:cs="Times New Roman"/>
                <w:sz w:val="24"/>
                <w:szCs w:val="24"/>
              </w:rPr>
              <w:t xml:space="preserve"> 6.pantā</w:t>
            </w:r>
            <w:r w:rsidR="009053C5" w:rsidRPr="002A276B">
              <w:rPr>
                <w:rFonts w:ascii="Times New Roman" w:hAnsi="Times New Roman" w:cs="Times New Roman"/>
                <w:sz w:val="24"/>
                <w:szCs w:val="24"/>
              </w:rPr>
              <w:t>.</w:t>
            </w:r>
            <w:r w:rsidR="00AB03BB" w:rsidRPr="002A276B">
              <w:t xml:space="preserve"> </w:t>
            </w:r>
            <w:r w:rsidR="00AB03BB" w:rsidRPr="002A276B">
              <w:rPr>
                <w:rFonts w:ascii="Times New Roman" w:hAnsi="Times New Roman" w:cs="Times New Roman"/>
                <w:sz w:val="24"/>
                <w:szCs w:val="24"/>
              </w:rPr>
              <w:t xml:space="preserve">Pēc </w:t>
            </w:r>
            <w:proofErr w:type="spellStart"/>
            <w:r w:rsidR="00AB03BB" w:rsidRPr="002A276B">
              <w:rPr>
                <w:rFonts w:ascii="Times New Roman" w:hAnsi="Times New Roman" w:cs="Times New Roman"/>
                <w:i/>
                <w:sz w:val="24"/>
                <w:szCs w:val="24"/>
              </w:rPr>
              <w:t>euro</w:t>
            </w:r>
            <w:proofErr w:type="spellEnd"/>
            <w:r w:rsidR="00AB03BB" w:rsidRPr="002A276B">
              <w:rPr>
                <w:rFonts w:ascii="Times New Roman" w:hAnsi="Times New Roman" w:cs="Times New Roman"/>
                <w:sz w:val="24"/>
                <w:szCs w:val="24"/>
              </w:rPr>
              <w:t xml:space="preserve"> kursa nav konvertēts tikai</w:t>
            </w:r>
            <w:r w:rsidRPr="002A276B">
              <w:rPr>
                <w:rFonts w:ascii="Times New Roman" w:hAnsi="Times New Roman" w:cs="Times New Roman"/>
                <w:sz w:val="24"/>
                <w:szCs w:val="24"/>
              </w:rPr>
              <w:t xml:space="preserve"> MK noteikumu Nr.361 9.punktā minētais kopējais aktivitātes ietvaros pieejamais publiskais finansējums, kurš </w:t>
            </w:r>
            <w:r w:rsidR="00AB03BB" w:rsidRPr="002A276B">
              <w:rPr>
                <w:rFonts w:ascii="Times New Roman" w:hAnsi="Times New Roman" w:cs="Times New Roman"/>
                <w:sz w:val="24"/>
                <w:szCs w:val="24"/>
              </w:rPr>
              <w:t xml:space="preserve">grozīts </w:t>
            </w:r>
            <w:r w:rsidRPr="002A276B">
              <w:rPr>
                <w:rFonts w:ascii="Times New Roman" w:hAnsi="Times New Roman" w:cs="Times New Roman"/>
                <w:sz w:val="24"/>
                <w:szCs w:val="24"/>
              </w:rPr>
              <w:t xml:space="preserve">saskaņā ar DPP grozījumiem </w:t>
            </w:r>
            <w:r w:rsidR="00AB03BB" w:rsidRPr="002A276B">
              <w:rPr>
                <w:rFonts w:ascii="Times New Roman" w:hAnsi="Times New Roman" w:cs="Times New Roman"/>
                <w:sz w:val="24"/>
                <w:szCs w:val="24"/>
              </w:rPr>
              <w:t xml:space="preserve">un </w:t>
            </w:r>
            <w:r w:rsidRPr="002A276B">
              <w:rPr>
                <w:rFonts w:ascii="Times New Roman" w:hAnsi="Times New Roman" w:cs="Times New Roman"/>
                <w:sz w:val="24"/>
                <w:szCs w:val="24"/>
              </w:rPr>
              <w:t xml:space="preserve">ir samazināts no </w:t>
            </w:r>
            <w:r w:rsidR="00155D06" w:rsidRPr="002A276B">
              <w:rPr>
                <w:rFonts w:ascii="Times New Roman" w:hAnsi="Times New Roman" w:cs="Times New Roman"/>
                <w:sz w:val="24"/>
                <w:szCs w:val="24"/>
              </w:rPr>
              <w:t xml:space="preserve">53 178 191 </w:t>
            </w:r>
            <w:r w:rsidR="005577FF" w:rsidRPr="002A276B">
              <w:rPr>
                <w:rFonts w:ascii="Times New Roman" w:hAnsi="Times New Roman" w:cs="Times New Roman"/>
                <w:sz w:val="24"/>
                <w:szCs w:val="24"/>
              </w:rPr>
              <w:t xml:space="preserve">EUR jeb </w:t>
            </w:r>
            <w:r w:rsidR="00155D06" w:rsidRPr="002A276B">
              <w:rPr>
                <w:rFonts w:ascii="Times New Roman" w:hAnsi="Times New Roman" w:cs="Times New Roman"/>
                <w:sz w:val="24"/>
                <w:szCs w:val="24"/>
              </w:rPr>
              <w:t xml:space="preserve">37 373 845 </w:t>
            </w:r>
            <w:r w:rsidR="005577FF" w:rsidRPr="002A276B">
              <w:rPr>
                <w:rFonts w:ascii="Times New Roman" w:hAnsi="Times New Roman" w:cs="Times New Roman"/>
                <w:sz w:val="24"/>
                <w:szCs w:val="24"/>
              </w:rPr>
              <w:t>LVL</w:t>
            </w:r>
            <w:r w:rsidR="00155D06" w:rsidRPr="002A276B">
              <w:rPr>
                <w:rFonts w:ascii="Times New Roman" w:hAnsi="Times New Roman" w:cs="Times New Roman"/>
                <w:sz w:val="24"/>
                <w:szCs w:val="24"/>
              </w:rPr>
              <w:t xml:space="preserve"> uz 53 178 020 EUR. </w:t>
            </w:r>
            <w:r w:rsidR="00F532B8" w:rsidRPr="002A276B">
              <w:rPr>
                <w:rFonts w:ascii="Times New Roman" w:hAnsi="Times New Roman" w:cs="Times New Roman"/>
                <w:sz w:val="24"/>
                <w:szCs w:val="24"/>
              </w:rPr>
              <w:t xml:space="preserve">Konvertācija no latiem uz </w:t>
            </w:r>
            <w:proofErr w:type="spellStart"/>
            <w:r w:rsidR="00F532B8" w:rsidRPr="002A276B">
              <w:rPr>
                <w:rFonts w:ascii="Times New Roman" w:hAnsi="Times New Roman" w:cs="Times New Roman"/>
                <w:sz w:val="24"/>
                <w:szCs w:val="24"/>
              </w:rPr>
              <w:t>euro</w:t>
            </w:r>
            <w:proofErr w:type="spellEnd"/>
            <w:r w:rsidR="00F532B8" w:rsidRPr="002A276B">
              <w:rPr>
                <w:rFonts w:ascii="Times New Roman" w:hAnsi="Times New Roman" w:cs="Times New Roman"/>
                <w:sz w:val="24"/>
                <w:szCs w:val="24"/>
              </w:rPr>
              <w:t xml:space="preserve"> veikta ievērojot EIKL 32.panta otrā daļā noteikto, un grozītā tiesību norma </w:t>
            </w:r>
            <w:proofErr w:type="spellStart"/>
            <w:r w:rsidR="00F532B8" w:rsidRPr="002A276B">
              <w:rPr>
                <w:rFonts w:ascii="Times New Roman" w:hAnsi="Times New Roman" w:cs="Times New Roman"/>
                <w:i/>
                <w:sz w:val="24"/>
                <w:szCs w:val="24"/>
              </w:rPr>
              <w:t>euro</w:t>
            </w:r>
            <w:proofErr w:type="spellEnd"/>
            <w:r w:rsidR="00F532B8" w:rsidRPr="002A276B">
              <w:rPr>
                <w:rFonts w:ascii="Times New Roman" w:hAnsi="Times New Roman" w:cs="Times New Roman"/>
                <w:sz w:val="24"/>
                <w:szCs w:val="24"/>
              </w:rPr>
              <w:t xml:space="preserve"> valūtā nav personai nelabvēlīgāka par sākotnējo tiesību normu latos un skaitliskās vērtības aizstāšana nerada vērā ņemamu negatīvu ietekmi uz valsts budžetu. </w:t>
            </w:r>
            <w:r w:rsidR="00321B0E" w:rsidRPr="002A276B">
              <w:rPr>
                <w:rFonts w:ascii="Times New Roman" w:hAnsi="Times New Roman" w:cs="Times New Roman"/>
                <w:sz w:val="24"/>
                <w:szCs w:val="24"/>
              </w:rPr>
              <w:t xml:space="preserve">Tā kā 2.1.2.1.1.apakšaktivitātē nav plānots rīkot jaunas projektu </w:t>
            </w:r>
            <w:r w:rsidR="00321B0E" w:rsidRPr="002A276B">
              <w:rPr>
                <w:rFonts w:ascii="Times New Roman" w:hAnsi="Times New Roman" w:cs="Times New Roman"/>
                <w:sz w:val="24"/>
                <w:szCs w:val="24"/>
              </w:rPr>
              <w:lastRenderedPageBreak/>
              <w:t xml:space="preserve">iesniegumu atlases kārtas, 1., 3. un 7.pielikumā nav nepieciešams konvertēt valūtu no latiem uz </w:t>
            </w:r>
            <w:proofErr w:type="spellStart"/>
            <w:r w:rsidR="00321B0E" w:rsidRPr="002A276B">
              <w:rPr>
                <w:rFonts w:ascii="Times New Roman" w:hAnsi="Times New Roman" w:cs="Times New Roman"/>
                <w:i/>
                <w:sz w:val="24"/>
                <w:szCs w:val="24"/>
              </w:rPr>
              <w:t>euro</w:t>
            </w:r>
            <w:proofErr w:type="spellEnd"/>
            <w:r w:rsidR="00321B0E" w:rsidRPr="002A276B">
              <w:rPr>
                <w:rFonts w:ascii="Times New Roman" w:hAnsi="Times New Roman" w:cs="Times New Roman"/>
                <w:sz w:val="24"/>
                <w:szCs w:val="24"/>
              </w:rPr>
              <w:t>.</w:t>
            </w:r>
          </w:p>
          <w:p w:rsidR="007549D9" w:rsidRPr="002A276B" w:rsidRDefault="00155D06" w:rsidP="00DE45D1">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Tāpat saskaņā ar DPP grozījumiem tiek grozīts uzraudzības rādītājs „līdz 2013.gadam ir finansēti septiņi kompetences centri” uz „līdz 2013.gadam ir finansēti seši kompetences centri”</w:t>
            </w:r>
            <w:r w:rsidR="00545F37" w:rsidRPr="002A276B">
              <w:rPr>
                <w:rFonts w:ascii="Times New Roman" w:hAnsi="Times New Roman" w:cs="Times New Roman"/>
                <w:sz w:val="24"/>
                <w:szCs w:val="24"/>
              </w:rPr>
              <w:t>.</w:t>
            </w:r>
          </w:p>
          <w:p w:rsidR="00586345" w:rsidRPr="002A276B" w:rsidRDefault="00586345" w:rsidP="00DE45D1">
            <w:pPr>
              <w:spacing w:after="0" w:line="240" w:lineRule="auto"/>
              <w:jc w:val="both"/>
              <w:rPr>
                <w:rFonts w:ascii="Times New Roman" w:hAnsi="Times New Roman" w:cs="Times New Roman"/>
                <w:sz w:val="24"/>
                <w:szCs w:val="24"/>
              </w:rPr>
            </w:pPr>
          </w:p>
          <w:p w:rsidR="005C43CA" w:rsidRPr="002A276B" w:rsidRDefault="000054C9" w:rsidP="00DE45D1">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Tā</w:t>
            </w:r>
            <w:r w:rsidR="00586345" w:rsidRPr="002A276B">
              <w:rPr>
                <w:rFonts w:ascii="Times New Roman" w:hAnsi="Times New Roman" w:cs="Times New Roman"/>
                <w:sz w:val="24"/>
                <w:szCs w:val="24"/>
              </w:rPr>
              <w:t xml:space="preserve"> kā 2013.gada 18.decembrī ir apstiprināta Komisijas regula Nr.1407/2013, kas aizstāj Komisijas regulu </w:t>
            </w:r>
            <w:proofErr w:type="spellStart"/>
            <w:r w:rsidR="00586345" w:rsidRPr="002A276B">
              <w:rPr>
                <w:rFonts w:ascii="Times New Roman" w:hAnsi="Times New Roman" w:cs="Times New Roman"/>
                <w:sz w:val="24"/>
                <w:szCs w:val="24"/>
              </w:rPr>
              <w:t>Nr</w:t>
            </w:r>
            <w:proofErr w:type="spellEnd"/>
            <w:r w:rsidR="00586345" w:rsidRPr="002A276B">
              <w:rPr>
                <w:rFonts w:ascii="Times New Roman" w:hAnsi="Times New Roman" w:cs="Times New Roman"/>
                <w:sz w:val="24"/>
                <w:szCs w:val="24"/>
              </w:rPr>
              <w:t xml:space="preserve">. 1998/2006 un 2014.gada 17.jūnijā ir apstiprināta Komisijas regula </w:t>
            </w:r>
            <w:proofErr w:type="spellStart"/>
            <w:r w:rsidR="00586345" w:rsidRPr="002A276B">
              <w:rPr>
                <w:rFonts w:ascii="Times New Roman" w:hAnsi="Times New Roman" w:cs="Times New Roman"/>
                <w:sz w:val="24"/>
                <w:szCs w:val="24"/>
              </w:rPr>
              <w:t>Nr</w:t>
            </w:r>
            <w:proofErr w:type="spellEnd"/>
            <w:r w:rsidR="00586345" w:rsidRPr="002A276B">
              <w:rPr>
                <w:rFonts w:ascii="Times New Roman" w:hAnsi="Times New Roman" w:cs="Times New Roman"/>
                <w:sz w:val="24"/>
                <w:szCs w:val="24"/>
              </w:rPr>
              <w:t xml:space="preserve">. 651/2014, kas aizstāj Komisijas regulu </w:t>
            </w:r>
            <w:proofErr w:type="spellStart"/>
            <w:r w:rsidR="00586345" w:rsidRPr="002A276B">
              <w:rPr>
                <w:rFonts w:ascii="Times New Roman" w:hAnsi="Times New Roman" w:cs="Times New Roman"/>
                <w:sz w:val="24"/>
                <w:szCs w:val="24"/>
              </w:rPr>
              <w:t>Nr</w:t>
            </w:r>
            <w:proofErr w:type="spellEnd"/>
            <w:r w:rsidR="00586345" w:rsidRPr="002A276B">
              <w:rPr>
                <w:rFonts w:ascii="Times New Roman" w:hAnsi="Times New Roman" w:cs="Times New Roman"/>
                <w:sz w:val="24"/>
                <w:szCs w:val="24"/>
              </w:rPr>
              <w:t>. 800/2008, nepieciešams veikt arī atbilstošus grozījumus MK noteikumos Nr.361.</w:t>
            </w:r>
          </w:p>
          <w:p w:rsidR="00947D8C" w:rsidRPr="002A276B" w:rsidRDefault="00947D8C" w:rsidP="00DE45D1">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Tā kā Komisijas regula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xml:space="preserve">. 651/2014 atšķirībā no komisijas regulas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800/2008 nenosaka ierobežojumus finansējuma saņēmējiem, kuri sa</w:t>
            </w:r>
            <w:r w:rsidR="0024108E" w:rsidRPr="002A276B">
              <w:rPr>
                <w:rFonts w:ascii="Times New Roman" w:hAnsi="Times New Roman" w:cs="Times New Roman"/>
                <w:sz w:val="24"/>
                <w:szCs w:val="24"/>
              </w:rPr>
              <w:t>ņem arī</w:t>
            </w:r>
            <w:r w:rsidRPr="002A276B">
              <w:rPr>
                <w:rFonts w:ascii="Times New Roman" w:hAnsi="Times New Roman" w:cs="Times New Roman"/>
                <w:sz w:val="24"/>
                <w:szCs w:val="24"/>
              </w:rPr>
              <w:t xml:space="preserve"> riska kapitālu, tiek svītrots 38.</w:t>
            </w:r>
            <w:r w:rsidRPr="002A276B">
              <w:rPr>
                <w:rFonts w:ascii="Times New Roman" w:hAnsi="Times New Roman" w:cs="Times New Roman"/>
                <w:sz w:val="24"/>
                <w:szCs w:val="24"/>
                <w:vertAlign w:val="superscript"/>
              </w:rPr>
              <w:t>1</w:t>
            </w:r>
            <w:r w:rsidRPr="002A276B">
              <w:rPr>
                <w:rFonts w:ascii="Times New Roman" w:hAnsi="Times New Roman" w:cs="Times New Roman"/>
                <w:sz w:val="24"/>
                <w:szCs w:val="24"/>
              </w:rPr>
              <w:t>punkts,  kurš noteica, ka kompetences centri un individuālo pētījumu īstenotāji, kuri saņēmuši finansējumu riska kapitāla ieguldījumu veidā, MK noteikumu Nr.361 ietvaros tiem pieļaujamo kopējo publiskā finansējuma summu samazināja</w:t>
            </w:r>
            <w:r w:rsidR="009114D8" w:rsidRPr="002A276B">
              <w:rPr>
                <w:rFonts w:ascii="Times New Roman" w:hAnsi="Times New Roman" w:cs="Times New Roman"/>
                <w:sz w:val="24"/>
                <w:szCs w:val="24"/>
              </w:rPr>
              <w:t xml:space="preserve"> par 20</w:t>
            </w:r>
            <w:r w:rsidRPr="002A276B">
              <w:rPr>
                <w:rFonts w:ascii="Times New Roman" w:hAnsi="Times New Roman" w:cs="Times New Roman"/>
                <w:sz w:val="24"/>
                <w:szCs w:val="24"/>
              </w:rPr>
              <w:t>%, nepārsniedzot summu, kas saņemta riska kapitāla ieguldījumu veidā.</w:t>
            </w:r>
          </w:p>
          <w:p w:rsidR="007C75B7" w:rsidRPr="002A276B" w:rsidRDefault="005C43CA" w:rsidP="007C75B7">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Jāņem vērā, ka jaunās r</w:t>
            </w:r>
            <w:r w:rsidR="007C75B7" w:rsidRPr="002A276B">
              <w:rPr>
                <w:rFonts w:ascii="Times New Roman" w:hAnsi="Times New Roman" w:cs="Times New Roman"/>
                <w:sz w:val="24"/>
                <w:szCs w:val="24"/>
              </w:rPr>
              <w:t xml:space="preserve">egulas attieksies </w:t>
            </w:r>
            <w:r w:rsidR="009429CA" w:rsidRPr="002A276B">
              <w:rPr>
                <w:rFonts w:ascii="Times New Roman" w:hAnsi="Times New Roman" w:cs="Times New Roman"/>
                <w:sz w:val="24"/>
                <w:szCs w:val="24"/>
              </w:rPr>
              <w:t xml:space="preserve">tikai uz </w:t>
            </w:r>
            <w:r w:rsidR="007C75B7" w:rsidRPr="002A276B">
              <w:rPr>
                <w:rFonts w:ascii="Times New Roman" w:hAnsi="Times New Roman" w:cs="Times New Roman"/>
                <w:sz w:val="24"/>
                <w:szCs w:val="24"/>
              </w:rPr>
              <w:t xml:space="preserve">tiem līguma grozījumiem starp kompetences centru un </w:t>
            </w:r>
            <w:r w:rsidR="00695B8D" w:rsidRPr="002A276B">
              <w:rPr>
                <w:rFonts w:ascii="Times New Roman" w:hAnsi="Times New Roman" w:cs="Times New Roman"/>
                <w:sz w:val="24"/>
                <w:szCs w:val="24"/>
              </w:rPr>
              <w:t>LIAA</w:t>
            </w:r>
            <w:r w:rsidR="007C75B7" w:rsidRPr="002A276B">
              <w:rPr>
                <w:rFonts w:ascii="Times New Roman" w:hAnsi="Times New Roman" w:cs="Times New Roman"/>
                <w:sz w:val="24"/>
                <w:szCs w:val="24"/>
              </w:rPr>
              <w:t xml:space="preserve">, kuri tiks parakstīti pēc šo MK noteikumu Nr.361 grozījumu spēkā stāšanās. </w:t>
            </w:r>
          </w:p>
          <w:p w:rsidR="003B799B" w:rsidRPr="002A276B" w:rsidRDefault="009429CA" w:rsidP="007C75B7">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Tātad, visi pētījumi, kuri jau ir </w:t>
            </w:r>
            <w:r w:rsidR="007C75B7" w:rsidRPr="002A276B">
              <w:rPr>
                <w:rFonts w:ascii="Times New Roman" w:hAnsi="Times New Roman" w:cs="Times New Roman"/>
                <w:sz w:val="24"/>
                <w:szCs w:val="24"/>
              </w:rPr>
              <w:t xml:space="preserve">iekļauti spēkā esošajā līgumā starp kompetences centru un </w:t>
            </w:r>
            <w:r w:rsidR="00695B8D" w:rsidRPr="002A276B">
              <w:rPr>
                <w:rFonts w:ascii="Times New Roman" w:hAnsi="Times New Roman" w:cs="Times New Roman"/>
                <w:sz w:val="24"/>
                <w:szCs w:val="24"/>
              </w:rPr>
              <w:t>LIAA</w:t>
            </w:r>
            <w:r w:rsidR="007C75B7" w:rsidRPr="002A276B">
              <w:rPr>
                <w:rFonts w:ascii="Times New Roman" w:hAnsi="Times New Roman" w:cs="Times New Roman"/>
                <w:sz w:val="24"/>
                <w:szCs w:val="24"/>
              </w:rPr>
              <w:t>,</w:t>
            </w:r>
            <w:r w:rsidR="003B799B" w:rsidRPr="002A276B">
              <w:rPr>
                <w:rFonts w:ascii="Times New Roman" w:hAnsi="Times New Roman" w:cs="Times New Roman"/>
                <w:sz w:val="24"/>
                <w:szCs w:val="24"/>
              </w:rPr>
              <w:t xml:space="preserve"> tiks pabeigti saskaņ</w:t>
            </w:r>
            <w:r w:rsidR="00CC2CC6" w:rsidRPr="002A276B">
              <w:rPr>
                <w:rFonts w:ascii="Times New Roman" w:hAnsi="Times New Roman" w:cs="Times New Roman"/>
                <w:sz w:val="24"/>
                <w:szCs w:val="24"/>
              </w:rPr>
              <w:t xml:space="preserve">ā ar tiem MK noteikumu Nr.361 nosacījumiem, kuri bija spēkā </w:t>
            </w:r>
            <w:r w:rsidR="006140AB" w:rsidRPr="002A276B">
              <w:rPr>
                <w:rFonts w:ascii="Times New Roman" w:hAnsi="Times New Roman" w:cs="Times New Roman"/>
                <w:sz w:val="24"/>
                <w:szCs w:val="24"/>
              </w:rPr>
              <w:t xml:space="preserve">līguma un tā grozījumu parakstīšanas brīdī. </w:t>
            </w:r>
          </w:p>
          <w:p w:rsidR="00D12CAA" w:rsidRPr="002A276B" w:rsidRDefault="007C75B7" w:rsidP="007C75B7">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Savukārt pēc šo noteikumu grozījumu spēkā stāšanās līguma grozījumi starp kompetences centru un </w:t>
            </w:r>
            <w:r w:rsidR="00695B8D" w:rsidRPr="002A276B">
              <w:rPr>
                <w:rFonts w:ascii="Times New Roman" w:hAnsi="Times New Roman" w:cs="Times New Roman"/>
                <w:sz w:val="24"/>
                <w:szCs w:val="24"/>
              </w:rPr>
              <w:t>LIAA</w:t>
            </w:r>
            <w:r w:rsidRPr="002A276B">
              <w:rPr>
                <w:rFonts w:ascii="Times New Roman" w:hAnsi="Times New Roman" w:cs="Times New Roman"/>
                <w:sz w:val="24"/>
                <w:szCs w:val="24"/>
              </w:rPr>
              <w:t xml:space="preserve"> tiks izvērtēti saskaņā ar jaunajām regulām.</w:t>
            </w:r>
          </w:p>
          <w:p w:rsidR="00321B0E" w:rsidRPr="002A276B" w:rsidRDefault="00321B0E" w:rsidP="007C75B7">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Tā kā 2.1.2.1.1.apakšaktivitātē nav plānots rīkot jaunas projektu iesniegumu atlases kārtas, 1. un 3.pielikumā nav nepieciešams iestrādāt jaunās Eiropas Komisijas regulas.</w:t>
            </w:r>
          </w:p>
          <w:p w:rsidR="005C43CA" w:rsidRPr="002A276B" w:rsidRDefault="00D12CAA" w:rsidP="007C75B7">
            <w:pPr>
              <w:spacing w:after="0"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Papildus nepieciešams veikt arī tehniskus grozījumus MK noteikumu </w:t>
            </w:r>
            <w:proofErr w:type="spellStart"/>
            <w:r w:rsidRPr="002A276B">
              <w:rPr>
                <w:rFonts w:ascii="Times New Roman" w:hAnsi="Times New Roman" w:cs="Times New Roman"/>
                <w:sz w:val="24"/>
                <w:szCs w:val="24"/>
              </w:rPr>
              <w:t>Nr</w:t>
            </w:r>
            <w:proofErr w:type="spellEnd"/>
            <w:r w:rsidRPr="002A276B">
              <w:rPr>
                <w:rFonts w:ascii="Times New Roman" w:hAnsi="Times New Roman" w:cs="Times New Roman"/>
                <w:sz w:val="24"/>
                <w:szCs w:val="24"/>
              </w:rPr>
              <w:t>. 361 34.3.apakšpunktā, pievienojot indeksētajām datu bāzēm ar</w:t>
            </w:r>
            <w:r w:rsidR="00A43FCF" w:rsidRPr="002A276B">
              <w:rPr>
                <w:rFonts w:ascii="Times New Roman" w:hAnsi="Times New Roman" w:cs="Times New Roman"/>
                <w:sz w:val="24"/>
                <w:szCs w:val="24"/>
              </w:rPr>
              <w:t>ī ERIH (A</w:t>
            </w:r>
            <w:r w:rsidRPr="002A276B">
              <w:rPr>
                <w:rFonts w:ascii="Times New Roman" w:hAnsi="Times New Roman" w:cs="Times New Roman"/>
                <w:sz w:val="24"/>
                <w:szCs w:val="24"/>
              </w:rPr>
              <w:t xml:space="preserve"> vai B) datubāzi</w:t>
            </w:r>
            <w:r w:rsidR="00A43FCF" w:rsidRPr="002A276B">
              <w:rPr>
                <w:rFonts w:ascii="Times New Roman" w:hAnsi="Times New Roman" w:cs="Times New Roman"/>
                <w:sz w:val="24"/>
                <w:szCs w:val="24"/>
              </w:rPr>
              <w:t xml:space="preserve"> konferenču rakstu krājumiem</w:t>
            </w:r>
            <w:r w:rsidRPr="002A276B">
              <w:rPr>
                <w:rFonts w:ascii="Times New Roman" w:hAnsi="Times New Roman" w:cs="Times New Roman"/>
                <w:sz w:val="24"/>
                <w:szCs w:val="24"/>
              </w:rPr>
              <w:t xml:space="preserve">. Ar 2013.gada 12.novembra MK noteikumu Nr.361 grozījumiem, 34.3.apakšpunktā tika paplašināts zinātnisko rakstu klāsts, kuros pētījumu īstenotāji var publicēt pētījumu rezultātus, lai saņemtu papildu intensitāti. </w:t>
            </w:r>
            <w:r w:rsidR="00A43FCF" w:rsidRPr="002A276B">
              <w:rPr>
                <w:rFonts w:ascii="Times New Roman" w:hAnsi="Times New Roman" w:cs="Times New Roman"/>
                <w:sz w:val="24"/>
                <w:szCs w:val="24"/>
              </w:rPr>
              <w:t>Zinātnisko rakstu klāsts tika papildināts ar zinātniskajiem rakstiem, kas indeksēti ERIH (A vai B) datubāzē, taču netika papildināts zinātnisko konferenču klāsts ar konferencēm, kuru rakstu krājumus indeksē ERIH (A vai B) datubāzē. Šie grozījum</w:t>
            </w:r>
            <w:r w:rsidR="000C59B6" w:rsidRPr="002A276B">
              <w:rPr>
                <w:rFonts w:ascii="Times New Roman" w:hAnsi="Times New Roman" w:cs="Times New Roman"/>
                <w:sz w:val="24"/>
                <w:szCs w:val="24"/>
              </w:rPr>
              <w:t>i</w:t>
            </w:r>
            <w:r w:rsidR="00A43FCF" w:rsidRPr="002A276B">
              <w:rPr>
                <w:rFonts w:ascii="Times New Roman" w:hAnsi="Times New Roman" w:cs="Times New Roman"/>
                <w:sz w:val="24"/>
                <w:szCs w:val="24"/>
              </w:rPr>
              <w:t xml:space="preserve"> ļautu papildu intensitātes saņemt arī pētījumu īstenotājiem, kuriem</w:t>
            </w:r>
            <w:r w:rsidR="006E6247" w:rsidRPr="002A276B">
              <w:rPr>
                <w:rFonts w:ascii="Times New Roman" w:hAnsi="Times New Roman" w:cs="Times New Roman"/>
                <w:sz w:val="24"/>
                <w:szCs w:val="24"/>
              </w:rPr>
              <w:t xml:space="preserve"> sakarā ar pētījumu</w:t>
            </w:r>
            <w:r w:rsidR="000C59B6" w:rsidRPr="002A276B">
              <w:rPr>
                <w:rFonts w:ascii="Times New Roman" w:hAnsi="Times New Roman" w:cs="Times New Roman"/>
                <w:sz w:val="24"/>
                <w:szCs w:val="24"/>
              </w:rPr>
              <w:t xml:space="preserve"> specifisko</w:t>
            </w:r>
            <w:r w:rsidR="006E6247" w:rsidRPr="002A276B">
              <w:rPr>
                <w:rFonts w:ascii="Times New Roman" w:hAnsi="Times New Roman" w:cs="Times New Roman"/>
                <w:sz w:val="24"/>
                <w:szCs w:val="24"/>
              </w:rPr>
              <w:t xml:space="preserve"> zinātnisko virzienu</w:t>
            </w:r>
            <w:r w:rsidR="00A43FCF" w:rsidRPr="002A276B">
              <w:rPr>
                <w:rFonts w:ascii="Times New Roman" w:hAnsi="Times New Roman" w:cs="Times New Roman"/>
                <w:sz w:val="24"/>
                <w:szCs w:val="24"/>
              </w:rPr>
              <w:t xml:space="preserve"> pētījumu rezultātus nav iespējams izplatīt tādās tehniskās vai zinātniskās konferencēs,</w:t>
            </w:r>
            <w:r w:rsidR="006E6247" w:rsidRPr="002A276B">
              <w:rPr>
                <w:rFonts w:ascii="Times New Roman" w:hAnsi="Times New Roman" w:cs="Times New Roman"/>
                <w:sz w:val="24"/>
                <w:szCs w:val="24"/>
              </w:rPr>
              <w:t xml:space="preserve"> kuras konferenču rakstu krājumi</w:t>
            </w:r>
            <w:r w:rsidR="00A43FCF" w:rsidRPr="002A276B">
              <w:rPr>
                <w:rFonts w:ascii="Times New Roman" w:hAnsi="Times New Roman" w:cs="Times New Roman"/>
                <w:sz w:val="24"/>
                <w:szCs w:val="24"/>
              </w:rPr>
              <w:t xml:space="preserve"> </w:t>
            </w:r>
            <w:r w:rsidR="006E6247" w:rsidRPr="002A276B">
              <w:rPr>
                <w:rFonts w:ascii="Times New Roman" w:hAnsi="Times New Roman" w:cs="Times New Roman"/>
                <w:sz w:val="24"/>
                <w:szCs w:val="24"/>
              </w:rPr>
              <w:t>indeksēti</w:t>
            </w:r>
            <w:r w:rsidR="00A43FCF" w:rsidRPr="002A276B">
              <w:rPr>
                <w:rFonts w:ascii="Times New Roman" w:hAnsi="Times New Roman" w:cs="Times New Roman"/>
                <w:sz w:val="24"/>
                <w:szCs w:val="24"/>
              </w:rPr>
              <w:t xml:space="preserve"> Web </w:t>
            </w:r>
            <w:proofErr w:type="spellStart"/>
            <w:r w:rsidR="00A43FCF" w:rsidRPr="002A276B">
              <w:rPr>
                <w:rFonts w:ascii="Times New Roman" w:hAnsi="Times New Roman" w:cs="Times New Roman"/>
                <w:sz w:val="24"/>
                <w:szCs w:val="24"/>
              </w:rPr>
              <w:t>of</w:t>
            </w:r>
            <w:proofErr w:type="spellEnd"/>
            <w:r w:rsidR="00A43FCF" w:rsidRPr="002A276B">
              <w:rPr>
                <w:rFonts w:ascii="Times New Roman" w:hAnsi="Times New Roman" w:cs="Times New Roman"/>
                <w:sz w:val="24"/>
                <w:szCs w:val="24"/>
              </w:rPr>
              <w:t xml:space="preserve"> </w:t>
            </w:r>
            <w:proofErr w:type="spellStart"/>
            <w:r w:rsidR="00A43FCF" w:rsidRPr="002A276B">
              <w:rPr>
                <w:rFonts w:ascii="Times New Roman" w:hAnsi="Times New Roman" w:cs="Times New Roman"/>
                <w:sz w:val="24"/>
                <w:szCs w:val="24"/>
              </w:rPr>
              <w:t>Science</w:t>
            </w:r>
            <w:proofErr w:type="spellEnd"/>
            <w:r w:rsidR="00A43FCF" w:rsidRPr="002A276B">
              <w:rPr>
                <w:rFonts w:ascii="Times New Roman" w:hAnsi="Times New Roman" w:cs="Times New Roman"/>
                <w:sz w:val="24"/>
                <w:szCs w:val="24"/>
              </w:rPr>
              <w:t xml:space="preserve"> vai SCOPUS</w:t>
            </w:r>
            <w:r w:rsidR="006E6247" w:rsidRPr="002A276B">
              <w:rPr>
                <w:rFonts w:ascii="Times New Roman" w:hAnsi="Times New Roman" w:cs="Times New Roman"/>
                <w:sz w:val="24"/>
                <w:szCs w:val="24"/>
              </w:rPr>
              <w:t xml:space="preserve"> datubāzēs.</w:t>
            </w:r>
          </w:p>
          <w:p w:rsidR="00786783" w:rsidRPr="002A276B" w:rsidRDefault="00786783" w:rsidP="00DE45D1">
            <w:pPr>
              <w:spacing w:after="0" w:line="240" w:lineRule="auto"/>
              <w:jc w:val="both"/>
              <w:rPr>
                <w:rFonts w:ascii="Times New Roman" w:hAnsi="Times New Roman" w:cs="Times New Roman"/>
                <w:sz w:val="24"/>
                <w:szCs w:val="24"/>
              </w:rPr>
            </w:pPr>
          </w:p>
          <w:p w:rsidR="003105D9" w:rsidRPr="002A276B" w:rsidRDefault="003105D9" w:rsidP="00DE45D1">
            <w:pPr>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Līdz ar to tiesību akta projekts paredz veikt</w:t>
            </w:r>
            <w:r w:rsidR="00DE45D1" w:rsidRPr="002A276B">
              <w:rPr>
                <w:rFonts w:ascii="Times New Roman" w:hAnsi="Times New Roman" w:cs="Times New Roman"/>
                <w:bCs/>
                <w:sz w:val="24"/>
                <w:szCs w:val="24"/>
              </w:rPr>
              <w:t xml:space="preserve"> </w:t>
            </w:r>
            <w:r w:rsidR="005577FF" w:rsidRPr="002A276B">
              <w:rPr>
                <w:rFonts w:ascii="Times New Roman" w:hAnsi="Times New Roman" w:cs="Times New Roman"/>
                <w:bCs/>
                <w:sz w:val="24"/>
                <w:szCs w:val="24"/>
              </w:rPr>
              <w:t xml:space="preserve">šādus </w:t>
            </w:r>
            <w:r w:rsidR="00DE45D1" w:rsidRPr="002A276B">
              <w:rPr>
                <w:rFonts w:ascii="Times New Roman" w:hAnsi="Times New Roman" w:cs="Times New Roman"/>
                <w:bCs/>
                <w:sz w:val="24"/>
                <w:szCs w:val="24"/>
              </w:rPr>
              <w:t xml:space="preserve">grozījumus MK </w:t>
            </w:r>
            <w:r w:rsidR="00DE45D1" w:rsidRPr="002A276B">
              <w:rPr>
                <w:rFonts w:ascii="Times New Roman" w:hAnsi="Times New Roman" w:cs="Times New Roman"/>
                <w:bCs/>
                <w:sz w:val="24"/>
                <w:szCs w:val="24"/>
              </w:rPr>
              <w:lastRenderedPageBreak/>
              <w:t>noteikumos Nr.</w:t>
            </w:r>
            <w:r w:rsidR="008C12F9" w:rsidRPr="002A276B">
              <w:rPr>
                <w:rFonts w:ascii="Times New Roman" w:hAnsi="Times New Roman" w:cs="Times New Roman"/>
                <w:bCs/>
                <w:sz w:val="24"/>
                <w:szCs w:val="24"/>
              </w:rPr>
              <w:t>361</w:t>
            </w:r>
            <w:r w:rsidRPr="002A276B">
              <w:rPr>
                <w:rFonts w:ascii="Times New Roman" w:hAnsi="Times New Roman" w:cs="Times New Roman"/>
                <w:bCs/>
                <w:sz w:val="24"/>
                <w:szCs w:val="24"/>
              </w:rPr>
              <w:t>:</w:t>
            </w:r>
          </w:p>
          <w:p w:rsidR="00191892" w:rsidRPr="002A276B" w:rsidRDefault="00720F06" w:rsidP="00DE45D1">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 xml:space="preserve">atļaut </w:t>
            </w:r>
            <w:r w:rsidR="00191892" w:rsidRPr="002A276B">
              <w:rPr>
                <w:rFonts w:ascii="Times New Roman" w:hAnsi="Times New Roman" w:cs="Times New Roman"/>
                <w:bCs/>
                <w:sz w:val="24"/>
                <w:szCs w:val="24"/>
              </w:rPr>
              <w:t>pagarināt projektu īstenošanas termiņu līdz 2015.gada 31.decembrim un noslēguma pārskata iesniegšanas termiņu līdz 2016.gada 31.janvārim;</w:t>
            </w:r>
          </w:p>
          <w:p w:rsidR="00191892" w:rsidRPr="002A276B" w:rsidRDefault="00191892" w:rsidP="00191892">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 xml:space="preserve">mainīt avansu izmaksas kārtību </w:t>
            </w:r>
            <w:r w:rsidR="00F530B3" w:rsidRPr="002A276B">
              <w:rPr>
                <w:rFonts w:ascii="Times New Roman" w:hAnsi="Times New Roman" w:cs="Times New Roman"/>
                <w:bCs/>
                <w:sz w:val="24"/>
                <w:szCs w:val="24"/>
              </w:rPr>
              <w:t>papildinot ar iespēju sadarbības iestādei izmaksāt avansu saņemot bankas garantijas vēstuli par avansa summu.</w:t>
            </w:r>
            <w:r w:rsidRPr="002A276B">
              <w:rPr>
                <w:rFonts w:ascii="Times New Roman" w:hAnsi="Times New Roman" w:cs="Times New Roman"/>
                <w:bCs/>
                <w:sz w:val="24"/>
                <w:szCs w:val="24"/>
              </w:rPr>
              <w:t>;</w:t>
            </w:r>
          </w:p>
          <w:p w:rsidR="003105D9" w:rsidRPr="002A276B" w:rsidRDefault="00573FE6" w:rsidP="00DE45D1">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konvertē</w:t>
            </w:r>
            <w:r w:rsidR="003105D9" w:rsidRPr="002A276B">
              <w:rPr>
                <w:rFonts w:ascii="Times New Roman" w:hAnsi="Times New Roman" w:cs="Times New Roman"/>
                <w:bCs/>
                <w:sz w:val="24"/>
                <w:szCs w:val="24"/>
              </w:rPr>
              <w:t xml:space="preserve">t valūtu no latiem uz </w:t>
            </w:r>
            <w:proofErr w:type="spellStart"/>
            <w:r w:rsidR="003105D9" w:rsidRPr="002A276B">
              <w:rPr>
                <w:rFonts w:ascii="Times New Roman" w:hAnsi="Times New Roman" w:cs="Times New Roman"/>
                <w:bCs/>
                <w:i/>
                <w:sz w:val="24"/>
                <w:szCs w:val="24"/>
              </w:rPr>
              <w:t>euro</w:t>
            </w:r>
            <w:proofErr w:type="spellEnd"/>
            <w:r w:rsidR="00DE45D1" w:rsidRPr="002A276B">
              <w:rPr>
                <w:rFonts w:ascii="Times New Roman" w:hAnsi="Times New Roman" w:cs="Times New Roman"/>
                <w:bCs/>
                <w:sz w:val="24"/>
                <w:szCs w:val="24"/>
              </w:rPr>
              <w:t>;</w:t>
            </w:r>
          </w:p>
          <w:p w:rsidR="00191892" w:rsidRPr="002A276B" w:rsidRDefault="00191892" w:rsidP="00191892">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 xml:space="preserve">atbilstoši DPP grozījumiem, koriģēt uzraudzības rādītājus un kopējo 2.1.2.1.1.apakšaktivitātes ietvaros pieejamo publisko finansējumu no </w:t>
            </w:r>
            <w:r w:rsidRPr="002A276B">
              <w:rPr>
                <w:rFonts w:ascii="Times New Roman" w:hAnsi="Times New Roman" w:cs="Times New Roman"/>
                <w:sz w:val="24"/>
                <w:szCs w:val="24"/>
              </w:rPr>
              <w:t>53 178 191 EUR uz 53 178 020 EUR;</w:t>
            </w:r>
          </w:p>
          <w:p w:rsidR="007D1B0F" w:rsidRPr="002A276B" w:rsidRDefault="0034348D" w:rsidP="007D1B0F">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iestrādāt</w:t>
            </w:r>
            <w:r w:rsidR="003105D9" w:rsidRPr="002A276B">
              <w:rPr>
                <w:rFonts w:ascii="Times New Roman" w:hAnsi="Times New Roman" w:cs="Times New Roman"/>
                <w:bCs/>
                <w:sz w:val="24"/>
                <w:szCs w:val="24"/>
              </w:rPr>
              <w:t xml:space="preserve"> </w:t>
            </w:r>
            <w:r w:rsidR="005577FF" w:rsidRPr="002A276B">
              <w:rPr>
                <w:rFonts w:ascii="Times New Roman" w:hAnsi="Times New Roman" w:cs="Times New Roman"/>
                <w:bCs/>
                <w:sz w:val="24"/>
                <w:szCs w:val="24"/>
              </w:rPr>
              <w:t>Komisijas r</w:t>
            </w:r>
            <w:r w:rsidR="003105D9" w:rsidRPr="002A276B">
              <w:rPr>
                <w:rFonts w:ascii="Times New Roman" w:hAnsi="Times New Roman" w:cs="Times New Roman"/>
                <w:bCs/>
                <w:sz w:val="24"/>
                <w:szCs w:val="24"/>
              </w:rPr>
              <w:t>egulu Nr.1407/2013</w:t>
            </w:r>
            <w:r w:rsidRPr="002A276B">
              <w:rPr>
                <w:rFonts w:ascii="Times New Roman" w:hAnsi="Times New Roman" w:cs="Times New Roman"/>
                <w:bCs/>
                <w:sz w:val="24"/>
                <w:szCs w:val="24"/>
              </w:rPr>
              <w:t xml:space="preserve"> un</w:t>
            </w:r>
            <w:r w:rsidR="005577FF" w:rsidRPr="002A276B">
              <w:rPr>
                <w:rFonts w:ascii="Times New Roman" w:hAnsi="Times New Roman" w:cs="Times New Roman"/>
                <w:sz w:val="24"/>
                <w:szCs w:val="24"/>
              </w:rPr>
              <w:t xml:space="preserve"> Komisijas regulu </w:t>
            </w:r>
            <w:proofErr w:type="spellStart"/>
            <w:r w:rsidR="005577FF" w:rsidRPr="002A276B">
              <w:rPr>
                <w:rFonts w:ascii="Times New Roman" w:hAnsi="Times New Roman" w:cs="Times New Roman"/>
                <w:sz w:val="24"/>
                <w:szCs w:val="24"/>
              </w:rPr>
              <w:t>Nr</w:t>
            </w:r>
            <w:proofErr w:type="spellEnd"/>
            <w:r w:rsidR="005577FF" w:rsidRPr="002A276B">
              <w:rPr>
                <w:rFonts w:ascii="Times New Roman" w:hAnsi="Times New Roman" w:cs="Times New Roman"/>
                <w:sz w:val="24"/>
                <w:szCs w:val="24"/>
              </w:rPr>
              <w:t>. 651/2014</w:t>
            </w:r>
            <w:r w:rsidR="007D1B0F" w:rsidRPr="002A276B">
              <w:rPr>
                <w:rFonts w:ascii="Times New Roman" w:hAnsi="Times New Roman" w:cs="Times New Roman"/>
                <w:sz w:val="24"/>
                <w:szCs w:val="24"/>
              </w:rPr>
              <w:t>;</w:t>
            </w:r>
          </w:p>
          <w:p w:rsidR="005A74E2" w:rsidRPr="00171604" w:rsidRDefault="00CA3083" w:rsidP="007D1B0F">
            <w:pPr>
              <w:pStyle w:val="ListParagraph"/>
              <w:numPr>
                <w:ilvl w:val="0"/>
                <w:numId w:val="5"/>
              </w:numPr>
              <w:tabs>
                <w:tab w:val="left" w:pos="199"/>
              </w:tabs>
              <w:spacing w:after="0" w:line="240" w:lineRule="auto"/>
              <w:jc w:val="both"/>
              <w:rPr>
                <w:rFonts w:ascii="Times New Roman" w:hAnsi="Times New Roman" w:cs="Times New Roman"/>
                <w:bCs/>
                <w:sz w:val="24"/>
                <w:szCs w:val="24"/>
              </w:rPr>
            </w:pPr>
            <w:r w:rsidRPr="002A276B">
              <w:rPr>
                <w:rFonts w:ascii="Times New Roman" w:hAnsi="Times New Roman" w:cs="Times New Roman"/>
                <w:bCs/>
                <w:sz w:val="24"/>
                <w:szCs w:val="24"/>
              </w:rPr>
              <w:t xml:space="preserve">veikt tehniskus grozījumus MK noteikumu Nr.361 34.3.apakšpunktā, pievienojot indeksētajām </w:t>
            </w:r>
            <w:r w:rsidR="00342C9E" w:rsidRPr="002A276B">
              <w:rPr>
                <w:rFonts w:ascii="Times New Roman" w:hAnsi="Times New Roman" w:cs="Times New Roman"/>
                <w:bCs/>
                <w:sz w:val="24"/>
                <w:szCs w:val="24"/>
              </w:rPr>
              <w:t xml:space="preserve">datu bāzēm </w:t>
            </w:r>
            <w:r w:rsidRPr="002A276B">
              <w:rPr>
                <w:rFonts w:ascii="Times New Roman" w:hAnsi="Times New Roman" w:cs="Times New Roman"/>
                <w:bCs/>
                <w:sz w:val="24"/>
                <w:szCs w:val="24"/>
              </w:rPr>
              <w:t>konferenču rakstu krājum</w:t>
            </w:r>
            <w:r w:rsidR="00342C9E" w:rsidRPr="002A276B">
              <w:rPr>
                <w:rFonts w:ascii="Times New Roman" w:hAnsi="Times New Roman" w:cs="Times New Roman"/>
                <w:bCs/>
                <w:sz w:val="24"/>
                <w:szCs w:val="24"/>
              </w:rPr>
              <w:t>iem arī</w:t>
            </w:r>
            <w:r w:rsidRPr="002A276B">
              <w:rPr>
                <w:rFonts w:ascii="Times New Roman" w:hAnsi="Times New Roman" w:cs="Times New Roman"/>
                <w:bCs/>
                <w:sz w:val="24"/>
                <w:szCs w:val="24"/>
              </w:rPr>
              <w:t xml:space="preserve"> </w:t>
            </w:r>
            <w:r w:rsidRPr="002A276B">
              <w:rPr>
                <w:rFonts w:ascii="Times New Roman" w:hAnsi="Times New Roman" w:cs="Times New Roman"/>
                <w:bCs/>
                <w:i/>
                <w:sz w:val="24"/>
                <w:szCs w:val="24"/>
              </w:rPr>
              <w:t>ERIH</w:t>
            </w:r>
            <w:r w:rsidRPr="002A276B">
              <w:rPr>
                <w:rFonts w:ascii="Times New Roman" w:hAnsi="Times New Roman" w:cs="Times New Roman"/>
                <w:bCs/>
                <w:sz w:val="24"/>
                <w:szCs w:val="24"/>
              </w:rPr>
              <w:t xml:space="preserve"> (A vai B) datubāz</w:t>
            </w:r>
            <w:r w:rsidR="00342C9E" w:rsidRPr="002A276B">
              <w:rPr>
                <w:rFonts w:ascii="Times New Roman" w:hAnsi="Times New Roman" w:cs="Times New Roman"/>
                <w:bCs/>
                <w:sz w:val="24"/>
                <w:szCs w:val="24"/>
              </w:rPr>
              <w:t>i, kā tas jau ir pie zinātnisko rakstu indeksētajām datu bāzēm</w:t>
            </w:r>
            <w:r w:rsidR="007D1B0F" w:rsidRPr="002A276B">
              <w:rPr>
                <w:rFonts w:ascii="Times New Roman" w:hAnsi="Times New Roman" w:cs="Times New Roman"/>
                <w:bCs/>
                <w:sz w:val="24"/>
                <w:szCs w:val="24"/>
              </w:rPr>
              <w:t>.</w:t>
            </w:r>
          </w:p>
        </w:tc>
      </w:tr>
      <w:tr w:rsidR="00956521" w:rsidRPr="00171604" w:rsidTr="00221970">
        <w:trPr>
          <w:trHeight w:val="360"/>
        </w:trPr>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3105D9">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lastRenderedPageBreak/>
              <w:t xml:space="preserve">3. </w:t>
            </w:r>
            <w:r w:rsidR="00EE419A" w:rsidRPr="00171604">
              <w:rPr>
                <w:rFonts w:ascii="Times New Roman" w:eastAsia="Times New Roman" w:hAnsi="Times New Roman" w:cs="Times New Roman"/>
                <w:sz w:val="24"/>
                <w:szCs w:val="24"/>
                <w:lang w:eastAsia="lv-LV"/>
              </w:rPr>
              <w:t>Projekta izstrādē iesaistītās institūcijas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415FB0" w:rsidP="003105D9">
            <w:pPr>
              <w:spacing w:after="0" w:line="240" w:lineRule="auto"/>
              <w:ind w:firstLine="567"/>
              <w:jc w:val="both"/>
              <w:rPr>
                <w:rFonts w:ascii="Times New Roman" w:eastAsia="Calibri" w:hAnsi="Times New Roman" w:cs="Times New Roman"/>
                <w:color w:val="000000"/>
                <w:sz w:val="24"/>
                <w:szCs w:val="24"/>
              </w:rPr>
            </w:pPr>
            <w:r w:rsidRPr="00171604">
              <w:rPr>
                <w:rFonts w:ascii="Times New Roman" w:eastAsia="Calibri" w:hAnsi="Times New Roman" w:cs="Times New Roman"/>
                <w:color w:val="000000"/>
                <w:sz w:val="24"/>
                <w:szCs w:val="24"/>
              </w:rPr>
              <w:t>Ekonomikas ministrija</w:t>
            </w:r>
          </w:p>
        </w:tc>
      </w:tr>
      <w:tr w:rsidR="00956521" w:rsidRPr="00171604" w:rsidTr="00221970">
        <w:tc>
          <w:tcPr>
            <w:tcW w:w="19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3105D9">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 4</w:t>
            </w:r>
            <w:r w:rsidR="00956521" w:rsidRPr="00171604">
              <w:rPr>
                <w:rFonts w:ascii="Times New Roman" w:eastAsia="Times New Roman" w:hAnsi="Times New Roman" w:cs="Times New Roman"/>
                <w:sz w:val="24"/>
                <w:szCs w:val="24"/>
                <w:lang w:eastAsia="lv-LV"/>
              </w:rPr>
              <w:t>. Cita informācija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8A1411" w:rsidRPr="00171604" w:rsidRDefault="003105D9" w:rsidP="003105D9">
            <w:pPr>
              <w:pStyle w:val="ListParagraph"/>
              <w:tabs>
                <w:tab w:val="left" w:pos="199"/>
              </w:tabs>
              <w:spacing w:after="0" w:line="240" w:lineRule="auto"/>
              <w:ind w:left="0"/>
              <w:jc w:val="both"/>
              <w:rPr>
                <w:rFonts w:ascii="Times New Roman" w:hAnsi="Times New Roman" w:cs="Times New Roman"/>
                <w:sz w:val="24"/>
                <w:szCs w:val="24"/>
              </w:rPr>
            </w:pPr>
            <w:r w:rsidRPr="00171604">
              <w:rPr>
                <w:rFonts w:ascii="Times New Roman" w:hAnsi="Times New Roman" w:cs="Times New Roman"/>
                <w:sz w:val="24"/>
                <w:szCs w:val="24"/>
              </w:rPr>
              <w:t>Nav</w:t>
            </w:r>
          </w:p>
        </w:tc>
      </w:tr>
    </w:tbl>
    <w:p w:rsidR="00956521" w:rsidRPr="00171604" w:rsidRDefault="00956521" w:rsidP="003105D9">
      <w:pPr>
        <w:spacing w:after="0" w:line="240" w:lineRule="auto"/>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847"/>
        <w:gridCol w:w="4111"/>
      </w:tblGrid>
      <w:tr w:rsidR="00956521" w:rsidRPr="00171604" w:rsidTr="00221970">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171604" w:rsidRDefault="00EE419A" w:rsidP="00F46334">
            <w:pPr>
              <w:spacing w:after="0" w:line="240" w:lineRule="auto"/>
              <w:jc w:val="center"/>
              <w:rPr>
                <w:rFonts w:ascii="Times New Roman" w:eastAsia="Times New Roman" w:hAnsi="Times New Roman" w:cs="Times New Roman"/>
                <w:b/>
                <w:bCs/>
                <w:sz w:val="24"/>
                <w:szCs w:val="24"/>
                <w:lang w:eastAsia="lv-LV"/>
              </w:rPr>
            </w:pPr>
            <w:r w:rsidRPr="0017160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56521" w:rsidRPr="00171604" w:rsidTr="00221970">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1.</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 xml:space="preserve">Sabiedrības </w:t>
            </w:r>
            <w:proofErr w:type="spellStart"/>
            <w:r w:rsidRPr="00171604">
              <w:rPr>
                <w:rFonts w:ascii="Times New Roman" w:eastAsia="Times New Roman" w:hAnsi="Times New Roman" w:cs="Times New Roman"/>
                <w:sz w:val="24"/>
                <w:szCs w:val="24"/>
                <w:lang w:eastAsia="lv-LV"/>
              </w:rPr>
              <w:t>mērķgrupas</w:t>
            </w:r>
            <w:proofErr w:type="spellEnd"/>
            <w:r w:rsidRPr="00171604">
              <w:rPr>
                <w:rFonts w:ascii="Times New Roman" w:eastAsia="Times New Roman" w:hAnsi="Times New Roman" w:cs="Times New Roman"/>
                <w:sz w:val="24"/>
                <w:szCs w:val="24"/>
                <w:lang w:eastAsia="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220D69" w:rsidP="00F46334">
            <w:pPr>
              <w:spacing w:before="75" w:after="75" w:line="240" w:lineRule="auto"/>
              <w:ind w:firstLine="450"/>
              <w:jc w:val="both"/>
              <w:rPr>
                <w:rFonts w:ascii="Times New Roman" w:eastAsia="Times New Roman" w:hAnsi="Times New Roman" w:cs="Times New Roman"/>
                <w:iCs/>
                <w:sz w:val="24"/>
                <w:szCs w:val="24"/>
                <w:lang w:eastAsia="lv-LV"/>
              </w:rPr>
            </w:pPr>
            <w:r w:rsidRPr="00171604">
              <w:rPr>
                <w:rFonts w:ascii="Times New Roman" w:eastAsia="Times New Roman" w:hAnsi="Times New Roman" w:cs="Times New Roman"/>
                <w:iCs/>
                <w:sz w:val="24"/>
                <w:szCs w:val="24"/>
                <w:lang w:eastAsia="lv-LV"/>
              </w:rPr>
              <w:t>Komersanti, to apvienības (biedrības, nodibinājumi), zinātniskās institūcijas, kuras ir reģistrētas zinātnisko institūciju reģistrā.</w:t>
            </w:r>
          </w:p>
        </w:tc>
      </w:tr>
      <w:tr w:rsidR="00956521" w:rsidRPr="00171604" w:rsidTr="00221970">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2.</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F46334">
            <w:pPr>
              <w:spacing w:after="0" w:line="240" w:lineRule="auto"/>
              <w:ind w:firstLine="450"/>
              <w:jc w:val="both"/>
              <w:rPr>
                <w:rFonts w:ascii="Times New Roman" w:eastAsia="Times New Roman" w:hAnsi="Times New Roman" w:cs="Times New Roman"/>
                <w:sz w:val="24"/>
                <w:szCs w:val="24"/>
                <w:lang w:eastAsia="lv-LV"/>
              </w:rPr>
            </w:pPr>
            <w:r w:rsidRPr="00171604">
              <w:rPr>
                <w:rFonts w:ascii="Times New Roman" w:eastAsia="Times New Roman" w:hAnsi="Times New Roman" w:cs="Times New Roman"/>
                <w:iCs/>
                <w:sz w:val="24"/>
                <w:szCs w:val="24"/>
                <w:lang w:eastAsia="lv-LV"/>
              </w:rPr>
              <w:t>Projekts šo jomu neskar.</w:t>
            </w:r>
          </w:p>
        </w:tc>
      </w:tr>
      <w:tr w:rsidR="00956521" w:rsidRPr="00171604" w:rsidTr="00221970">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3.</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415FB0" w:rsidP="00F46334">
            <w:pPr>
              <w:spacing w:after="0" w:line="240" w:lineRule="auto"/>
              <w:ind w:firstLine="450"/>
              <w:jc w:val="both"/>
              <w:rPr>
                <w:rFonts w:ascii="Times New Roman" w:eastAsia="Times New Roman" w:hAnsi="Times New Roman" w:cs="Times New Roman"/>
                <w:sz w:val="24"/>
                <w:szCs w:val="24"/>
                <w:lang w:eastAsia="lv-LV"/>
              </w:rPr>
            </w:pPr>
            <w:r w:rsidRPr="00171604">
              <w:rPr>
                <w:rFonts w:ascii="Times New Roman" w:eastAsia="Times New Roman" w:hAnsi="Times New Roman" w:cs="Times New Roman"/>
                <w:color w:val="000000"/>
                <w:sz w:val="24"/>
                <w:szCs w:val="24"/>
                <w:lang w:eastAsia="lv-LV"/>
              </w:rPr>
              <w:t>Projekts šo jomu neskar.</w:t>
            </w:r>
          </w:p>
        </w:tc>
      </w:tr>
      <w:tr w:rsidR="00956521" w:rsidRPr="00171604" w:rsidTr="00221970">
        <w:trPr>
          <w:trHeight w:val="381"/>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4.</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F46334">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E419A" w:rsidP="00F46334">
            <w:pPr>
              <w:spacing w:after="0" w:line="240" w:lineRule="auto"/>
              <w:ind w:firstLine="450"/>
              <w:jc w:val="both"/>
              <w:rPr>
                <w:rFonts w:ascii="Times New Roman" w:eastAsia="Times New Roman" w:hAnsi="Times New Roman" w:cs="Times New Roman"/>
                <w:iCs/>
                <w:sz w:val="24"/>
                <w:szCs w:val="24"/>
                <w:lang w:eastAsia="lv-LV"/>
              </w:rPr>
            </w:pPr>
            <w:r w:rsidRPr="00171604">
              <w:rPr>
                <w:rFonts w:ascii="Times New Roman" w:eastAsia="Times New Roman" w:hAnsi="Times New Roman" w:cs="Times New Roman"/>
                <w:color w:val="000000"/>
                <w:sz w:val="24"/>
                <w:szCs w:val="24"/>
                <w:lang w:eastAsia="lv-LV"/>
              </w:rPr>
              <w:t>Nav</w:t>
            </w:r>
          </w:p>
        </w:tc>
      </w:tr>
    </w:tbl>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1841"/>
        <w:gridCol w:w="6097"/>
      </w:tblGrid>
      <w:tr w:rsidR="00956521" w:rsidRPr="00171604" w:rsidTr="003105D9">
        <w:tc>
          <w:tcPr>
            <w:tcW w:w="426" w:type="dxa"/>
            <w:tcBorders>
              <w:top w:val="thickThinLargeGap" w:sz="6" w:space="0" w:color="C0C0C0"/>
              <w:left w:val="thickThinLargeGap" w:sz="6" w:space="0" w:color="C0C0C0"/>
              <w:bottom w:val="thickThinLargeGap" w:sz="6" w:space="0" w:color="C0C0C0"/>
              <w:right w:val="nil"/>
            </w:tcBorders>
          </w:tcPr>
          <w:p w:rsidR="00956521" w:rsidRPr="00171604" w:rsidRDefault="00956521" w:rsidP="00F46334">
            <w:pPr>
              <w:spacing w:after="0" w:line="240" w:lineRule="auto"/>
              <w:ind w:firstLine="720"/>
              <w:jc w:val="center"/>
              <w:rPr>
                <w:rFonts w:ascii="Times New Roman" w:eastAsia="Calibri" w:hAnsi="Times New Roman" w:cs="Times New Roman"/>
                <w:b/>
                <w:sz w:val="24"/>
                <w:szCs w:val="24"/>
                <w:lang w:eastAsia="lv-LV"/>
              </w:rPr>
            </w:pPr>
          </w:p>
        </w:tc>
        <w:tc>
          <w:tcPr>
            <w:tcW w:w="7938" w:type="dxa"/>
            <w:gridSpan w:val="2"/>
            <w:tcBorders>
              <w:top w:val="thickThinLargeGap" w:sz="6" w:space="0" w:color="C0C0C0"/>
              <w:left w:val="nil"/>
              <w:bottom w:val="thickThinLargeGap" w:sz="6" w:space="0" w:color="C0C0C0"/>
              <w:right w:val="thickThinLargeGap" w:sz="6" w:space="0" w:color="C0C0C0"/>
            </w:tcBorders>
            <w:hideMark/>
          </w:tcPr>
          <w:p w:rsidR="00956521" w:rsidRPr="00171604" w:rsidRDefault="00956521" w:rsidP="00F46334">
            <w:pPr>
              <w:spacing w:after="0" w:line="240" w:lineRule="auto"/>
              <w:rPr>
                <w:rFonts w:ascii="Times New Roman" w:eastAsia="Calibri" w:hAnsi="Times New Roman" w:cs="Times New Roman"/>
                <w:b/>
                <w:sz w:val="24"/>
                <w:szCs w:val="24"/>
                <w:lang w:eastAsia="lv-LV"/>
              </w:rPr>
            </w:pPr>
            <w:r w:rsidRPr="00171604">
              <w:rPr>
                <w:rFonts w:ascii="Times New Roman" w:eastAsia="Calibri" w:hAnsi="Times New Roman" w:cs="Times New Roman"/>
                <w:b/>
                <w:sz w:val="24"/>
                <w:szCs w:val="24"/>
                <w:lang w:eastAsia="lv-LV"/>
              </w:rPr>
              <w:t>IV. Tiesību akta projekta ietekme uz spēkā esošo tiesību normu sistēmu</w:t>
            </w:r>
          </w:p>
        </w:tc>
      </w:tr>
      <w:tr w:rsidR="00136F34" w:rsidRPr="00171604"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136F34" w:rsidRPr="00171604" w:rsidRDefault="00136F34"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136F34" w:rsidRPr="00171604" w:rsidRDefault="00136F34"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Nepieciešamie saistītie tiesību aktu projekti</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136F34" w:rsidRPr="00171604" w:rsidRDefault="00136F34" w:rsidP="00293D2F">
            <w:pPr>
              <w:spacing w:after="0" w:line="240" w:lineRule="auto"/>
              <w:ind w:firstLine="426"/>
              <w:jc w:val="both"/>
              <w:rPr>
                <w:rFonts w:ascii="Times New Roman" w:eastAsia="Calibri" w:hAnsi="Times New Roman" w:cs="Times New Roman"/>
                <w:bCs/>
                <w:sz w:val="24"/>
                <w:szCs w:val="24"/>
              </w:rPr>
            </w:pPr>
            <w:r w:rsidRPr="005D571E">
              <w:rPr>
                <w:rFonts w:ascii="Times New Roman" w:eastAsia="Times New Roman" w:hAnsi="Times New Roman" w:cs="Times New Roman"/>
                <w:iCs/>
                <w:sz w:val="24"/>
                <w:szCs w:val="24"/>
                <w:lang w:eastAsia="lv-LV"/>
              </w:rPr>
              <w:t>Projekts šo jomu neskar.</w:t>
            </w:r>
          </w:p>
        </w:tc>
      </w:tr>
      <w:tr w:rsidR="00E70ADF" w:rsidRPr="00171604"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171604" w:rsidRDefault="00E70ADF"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171604" w:rsidRDefault="00E70ADF"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Atbildīgā institūcija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171604" w:rsidRDefault="0050657E" w:rsidP="00F46334">
            <w:pPr>
              <w:spacing w:after="0" w:line="240" w:lineRule="auto"/>
              <w:ind w:firstLine="426"/>
              <w:jc w:val="both"/>
              <w:rPr>
                <w:rFonts w:ascii="Times New Roman" w:eastAsia="Calibri" w:hAnsi="Times New Roman" w:cs="Times New Roman"/>
                <w:bCs/>
                <w:sz w:val="24"/>
                <w:szCs w:val="24"/>
              </w:rPr>
            </w:pPr>
            <w:r w:rsidRPr="005D571E">
              <w:rPr>
                <w:rFonts w:ascii="Times New Roman" w:eastAsia="Times New Roman" w:hAnsi="Times New Roman" w:cs="Times New Roman"/>
                <w:iCs/>
                <w:sz w:val="24"/>
                <w:szCs w:val="24"/>
                <w:lang w:eastAsia="lv-LV"/>
              </w:rPr>
              <w:t>Projekts šo jomu neskar.</w:t>
            </w:r>
          </w:p>
        </w:tc>
      </w:tr>
      <w:tr w:rsidR="00956521" w:rsidRPr="00171604" w:rsidTr="003105D9">
        <w:tc>
          <w:tcPr>
            <w:tcW w:w="42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3</w:t>
            </w:r>
            <w:r w:rsidR="00956521" w:rsidRPr="00171604">
              <w:rPr>
                <w:rFonts w:ascii="Times New Roman" w:eastAsia="Calibri" w:hAnsi="Times New Roman" w:cs="Times New Roman"/>
                <w:sz w:val="24"/>
                <w:szCs w:val="24"/>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171604" w:rsidRDefault="00956521" w:rsidP="00F46334">
            <w:pPr>
              <w:spacing w:after="0" w:line="240" w:lineRule="auto"/>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lang w:eastAsia="lv-LV"/>
              </w:rPr>
              <w:t>Cita informācija</w:t>
            </w:r>
          </w:p>
        </w:tc>
        <w:tc>
          <w:tcPr>
            <w:tcW w:w="609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136F34" w:rsidP="00D5213A">
            <w:pPr>
              <w:spacing w:after="0" w:line="240" w:lineRule="auto"/>
              <w:ind w:firstLine="425"/>
              <w:jc w:val="both"/>
              <w:rPr>
                <w:rFonts w:ascii="Times New Roman" w:eastAsia="Calibri" w:hAnsi="Times New Roman" w:cs="Times New Roman"/>
                <w:sz w:val="24"/>
                <w:szCs w:val="24"/>
                <w:lang w:eastAsia="lv-LV"/>
              </w:rPr>
            </w:pPr>
            <w:r w:rsidRPr="00171604">
              <w:rPr>
                <w:rFonts w:ascii="Times New Roman" w:eastAsia="Calibri" w:hAnsi="Times New Roman" w:cs="Times New Roman"/>
                <w:sz w:val="24"/>
                <w:szCs w:val="24"/>
              </w:rPr>
              <w:t>Nav.</w:t>
            </w:r>
          </w:p>
        </w:tc>
      </w:tr>
    </w:tbl>
    <w:p w:rsidR="00956521" w:rsidRPr="00171604" w:rsidRDefault="00956521" w:rsidP="00F46334">
      <w:pPr>
        <w:tabs>
          <w:tab w:val="left" w:pos="6710"/>
        </w:tabs>
        <w:spacing w:after="0" w:line="240" w:lineRule="auto"/>
        <w:rPr>
          <w:rFonts w:ascii="Times New Roman" w:eastAsia="Times New Roman" w:hAnsi="Times New Roman" w:cs="Times New Roman"/>
          <w:sz w:val="26"/>
          <w:szCs w:val="26"/>
          <w:lang w:eastAsia="lv-LV"/>
        </w:rPr>
      </w:pPr>
    </w:p>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31"/>
        <w:gridCol w:w="1109"/>
        <w:gridCol w:w="469"/>
        <w:gridCol w:w="1545"/>
        <w:gridCol w:w="1525"/>
        <w:gridCol w:w="30"/>
        <w:gridCol w:w="3305"/>
      </w:tblGrid>
      <w:tr w:rsidR="00956521" w:rsidRPr="002A276B" w:rsidTr="00B313AD">
        <w:trPr>
          <w:trHeight w:val="445"/>
          <w:tblCellSpacing w:w="15" w:type="dxa"/>
        </w:trPr>
        <w:tc>
          <w:tcPr>
            <w:tcW w:w="4964" w:type="pct"/>
            <w:gridSpan w:val="7"/>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jc w:val="center"/>
              <w:rPr>
                <w:rFonts w:ascii="Times New Roman" w:eastAsia="Times New Roman" w:hAnsi="Times New Roman" w:cs="Times New Roman"/>
                <w:b/>
                <w:bCs/>
                <w:sz w:val="24"/>
                <w:szCs w:val="24"/>
                <w:lang w:eastAsia="lv-LV"/>
              </w:rPr>
            </w:pPr>
            <w:r w:rsidRPr="002A276B">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BB7E48" w:rsidRPr="002A276B" w:rsidTr="002A276B">
        <w:trPr>
          <w:tblCellSpacing w:w="15" w:type="dxa"/>
        </w:trPr>
        <w:tc>
          <w:tcPr>
            <w:tcW w:w="177" w:type="pct"/>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1.</w:t>
            </w:r>
          </w:p>
        </w:tc>
        <w:tc>
          <w:tcPr>
            <w:tcW w:w="933"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Saistības pret Eiropas Savienību</w:t>
            </w:r>
          </w:p>
        </w:tc>
        <w:tc>
          <w:tcPr>
            <w:tcW w:w="3817" w:type="pct"/>
            <w:gridSpan w:val="4"/>
            <w:tcBorders>
              <w:top w:val="outset" w:sz="6" w:space="0" w:color="auto"/>
              <w:left w:val="outset" w:sz="6" w:space="0" w:color="auto"/>
              <w:bottom w:val="outset" w:sz="6" w:space="0" w:color="auto"/>
              <w:right w:val="outset" w:sz="6" w:space="0" w:color="auto"/>
            </w:tcBorders>
            <w:hideMark/>
          </w:tcPr>
          <w:p w:rsidR="0086083A" w:rsidRPr="002A276B" w:rsidRDefault="00500681" w:rsidP="000F43DC">
            <w:pPr>
              <w:pStyle w:val="naiskr"/>
              <w:spacing w:before="0" w:after="0"/>
              <w:jc w:val="both"/>
            </w:pPr>
            <w:r w:rsidRPr="002A276B">
              <w:t>Komisijas 2013.gada 18.decembra Regula (E</w:t>
            </w:r>
            <w:r w:rsidR="000054C9" w:rsidRPr="002A276B">
              <w:t>S</w:t>
            </w:r>
            <w:r w:rsidRPr="002A276B">
              <w:t xml:space="preserve">) Nr.1407/2013 par Līguma par Eiropas Savienības darbību 107. un 108. panta piemērošanu </w:t>
            </w:r>
            <w:proofErr w:type="spellStart"/>
            <w:r w:rsidRPr="002A276B">
              <w:rPr>
                <w:i/>
              </w:rPr>
              <w:t>de</w:t>
            </w:r>
            <w:proofErr w:type="spellEnd"/>
            <w:r w:rsidRPr="002A276B">
              <w:rPr>
                <w:i/>
              </w:rPr>
              <w:t xml:space="preserve"> </w:t>
            </w:r>
            <w:proofErr w:type="spellStart"/>
            <w:r w:rsidRPr="002A276B">
              <w:rPr>
                <w:i/>
              </w:rPr>
              <w:t>minimis</w:t>
            </w:r>
            <w:proofErr w:type="spellEnd"/>
            <w:r w:rsidRPr="002A276B">
              <w:t xml:space="preserve"> atbalstam (Eiropas Savienības Oficiālais Vēstnesis, 2013.gada 24.decembris, </w:t>
            </w:r>
            <w:proofErr w:type="spellStart"/>
            <w:r w:rsidRPr="002A276B">
              <w:t>Nr</w:t>
            </w:r>
            <w:proofErr w:type="spellEnd"/>
            <w:r w:rsidRPr="002A276B">
              <w:t>. L 352);</w:t>
            </w:r>
          </w:p>
          <w:p w:rsidR="00500681" w:rsidRPr="002A276B" w:rsidRDefault="00500681" w:rsidP="000054C9">
            <w:pPr>
              <w:pStyle w:val="naiskr"/>
              <w:spacing w:before="0" w:after="0"/>
              <w:jc w:val="both"/>
              <w:rPr>
                <w:lang w:eastAsia="en-US"/>
              </w:rPr>
            </w:pPr>
            <w:r w:rsidRPr="002A276B">
              <w:t>Komisijas 2014.gada 17.jūnija Regula (E</w:t>
            </w:r>
            <w:r w:rsidR="000054C9" w:rsidRPr="002A276B">
              <w:t>S</w:t>
            </w:r>
            <w:r w:rsidRPr="002A276B">
              <w:t xml:space="preserve">) </w:t>
            </w:r>
            <w:proofErr w:type="spellStart"/>
            <w:r w:rsidRPr="002A276B">
              <w:t>Nr</w:t>
            </w:r>
            <w:proofErr w:type="spellEnd"/>
            <w:r w:rsidRPr="002A276B">
              <w:t xml:space="preserve">. 651/2014, </w:t>
            </w:r>
            <w:r w:rsidR="000054C9" w:rsidRPr="002A276B">
              <w:t>ar ko</w:t>
            </w:r>
            <w:r w:rsidRPr="002A276B">
              <w:t xml:space="preserve"> noteiktas atbalsta kategorijas</w:t>
            </w:r>
            <w:r w:rsidR="000054C9" w:rsidRPr="002A276B">
              <w:t xml:space="preserve"> atzīst</w:t>
            </w:r>
            <w:r w:rsidRPr="002A276B">
              <w:t xml:space="preserve"> par saderīgām ar iekšējo tirgu, piemērojot Līguma 107. un 108.pantu (vispārējā grupu atbrīvojuma regula) (Eiropas Savienības Oficiālais Vēstnesis, 2014.gada 26.jūnijs, </w:t>
            </w:r>
            <w:proofErr w:type="spellStart"/>
            <w:r w:rsidR="000054C9" w:rsidRPr="002A276B">
              <w:t>Nr</w:t>
            </w:r>
            <w:proofErr w:type="spellEnd"/>
            <w:r w:rsidR="000054C9" w:rsidRPr="002A276B">
              <w:t xml:space="preserve">. </w:t>
            </w:r>
            <w:r w:rsidRPr="002A276B">
              <w:t>L 187).</w:t>
            </w:r>
          </w:p>
        </w:tc>
      </w:tr>
      <w:tr w:rsidR="00BB7E48" w:rsidRPr="002A276B" w:rsidTr="002A276B">
        <w:trPr>
          <w:tblCellSpacing w:w="15" w:type="dxa"/>
        </w:trPr>
        <w:tc>
          <w:tcPr>
            <w:tcW w:w="177" w:type="pct"/>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2.</w:t>
            </w:r>
          </w:p>
        </w:tc>
        <w:tc>
          <w:tcPr>
            <w:tcW w:w="933"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Citas starptautiskās saistības</w:t>
            </w:r>
          </w:p>
        </w:tc>
        <w:tc>
          <w:tcPr>
            <w:tcW w:w="3817" w:type="pct"/>
            <w:gridSpan w:val="4"/>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Noteikumu projekts šo jomu neskar.</w:t>
            </w:r>
          </w:p>
        </w:tc>
      </w:tr>
      <w:tr w:rsidR="00BB7E48" w:rsidRPr="002A276B" w:rsidTr="002A276B">
        <w:trPr>
          <w:tblCellSpacing w:w="15" w:type="dxa"/>
        </w:trPr>
        <w:tc>
          <w:tcPr>
            <w:tcW w:w="177" w:type="pct"/>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3.</w:t>
            </w:r>
          </w:p>
        </w:tc>
        <w:tc>
          <w:tcPr>
            <w:tcW w:w="933"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Cita informācija</w:t>
            </w:r>
          </w:p>
        </w:tc>
        <w:tc>
          <w:tcPr>
            <w:tcW w:w="3817" w:type="pct"/>
            <w:gridSpan w:val="4"/>
            <w:tcBorders>
              <w:top w:val="outset" w:sz="6" w:space="0" w:color="auto"/>
              <w:left w:val="outset" w:sz="6" w:space="0" w:color="auto"/>
              <w:bottom w:val="outset" w:sz="6" w:space="0" w:color="auto"/>
              <w:right w:val="outset" w:sz="6" w:space="0" w:color="auto"/>
            </w:tcBorders>
            <w:hideMark/>
          </w:tcPr>
          <w:p w:rsidR="00956521" w:rsidRPr="002A276B" w:rsidRDefault="00E70ADF" w:rsidP="00F46334">
            <w:pPr>
              <w:spacing w:after="0" w:line="240" w:lineRule="auto"/>
              <w:rPr>
                <w:rFonts w:ascii="Times New Roman" w:hAnsi="Times New Roman" w:cs="Times New Roman"/>
                <w:sz w:val="24"/>
                <w:szCs w:val="24"/>
              </w:rPr>
            </w:pPr>
            <w:r w:rsidRPr="002A276B">
              <w:rPr>
                <w:rFonts w:ascii="Times New Roman" w:hAnsi="Times New Roman" w:cs="Times New Roman"/>
                <w:sz w:val="24"/>
                <w:szCs w:val="24"/>
              </w:rPr>
              <w:t>N</w:t>
            </w:r>
            <w:r w:rsidR="0055170F" w:rsidRPr="002A276B">
              <w:rPr>
                <w:rFonts w:ascii="Times New Roman" w:hAnsi="Times New Roman" w:cs="Times New Roman"/>
                <w:sz w:val="24"/>
                <w:szCs w:val="24"/>
              </w:rPr>
              <w:t>av</w:t>
            </w:r>
          </w:p>
        </w:tc>
      </w:tr>
      <w:tr w:rsidR="00956521" w:rsidRPr="002A276B" w:rsidTr="00B313AD">
        <w:tblPrEx>
          <w:tblBorders>
            <w:insideH w:val="none" w:sz="0" w:space="0" w:color="auto"/>
            <w:insideV w:val="none" w:sz="0" w:space="0" w:color="auto"/>
          </w:tblBorders>
        </w:tblPrEx>
        <w:trPr>
          <w:tblCellSpacing w:w="15" w:type="dxa"/>
        </w:trPr>
        <w:tc>
          <w:tcPr>
            <w:tcW w:w="4964" w:type="pct"/>
            <w:gridSpan w:val="7"/>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center"/>
              <w:rPr>
                <w:rFonts w:ascii="Times New Roman" w:eastAsia="Times New Roman" w:hAnsi="Times New Roman" w:cs="Times New Roman"/>
                <w:b/>
                <w:bCs/>
                <w:sz w:val="24"/>
                <w:szCs w:val="24"/>
                <w:lang w:eastAsia="lv-LV"/>
              </w:rPr>
            </w:pPr>
            <w:r w:rsidRPr="002A276B">
              <w:rPr>
                <w:rFonts w:ascii="Times New Roman" w:eastAsia="Times New Roman" w:hAnsi="Times New Roman" w:cs="Times New Roman"/>
                <w:sz w:val="24"/>
                <w:szCs w:val="24"/>
                <w:lang w:eastAsia="lv-LV"/>
              </w:rPr>
              <w:t> </w:t>
            </w:r>
            <w:r w:rsidRPr="002A276B">
              <w:rPr>
                <w:rFonts w:ascii="Times New Roman" w:eastAsia="Times New Roman" w:hAnsi="Times New Roman" w:cs="Times New Roman"/>
                <w:b/>
                <w:bCs/>
                <w:sz w:val="24"/>
                <w:szCs w:val="24"/>
                <w:lang w:eastAsia="lv-LV"/>
              </w:rPr>
              <w:t>1.tabula</w:t>
            </w:r>
            <w:r w:rsidRPr="002A276B">
              <w:rPr>
                <w:rFonts w:ascii="Times New Roman" w:eastAsia="Times New Roman" w:hAnsi="Times New Roman" w:cs="Times New Roman"/>
                <w:b/>
                <w:bCs/>
                <w:sz w:val="24"/>
                <w:szCs w:val="24"/>
                <w:lang w:eastAsia="lv-LV"/>
              </w:rPr>
              <w:br/>
              <w:t>Tiesību akta projekta atbilstība ES tiesību aktiem</w:t>
            </w:r>
          </w:p>
        </w:tc>
      </w:tr>
      <w:tr w:rsidR="00E13BB2"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Attiecīgā ES tiesību akta datums, numurs un nosaukums</w:t>
            </w:r>
          </w:p>
        </w:tc>
        <w:tc>
          <w:tcPr>
            <w:tcW w:w="4106" w:type="pct"/>
            <w:gridSpan w:val="5"/>
            <w:tcBorders>
              <w:top w:val="outset" w:sz="6" w:space="0" w:color="auto"/>
              <w:left w:val="outset" w:sz="6" w:space="0" w:color="auto"/>
              <w:bottom w:val="outset" w:sz="6" w:space="0" w:color="auto"/>
              <w:right w:val="outset" w:sz="6" w:space="0" w:color="auto"/>
            </w:tcBorders>
            <w:vAlign w:val="center"/>
            <w:hideMark/>
          </w:tcPr>
          <w:p w:rsidR="00956521" w:rsidRPr="002A276B" w:rsidRDefault="00500681" w:rsidP="00F81648">
            <w:pPr>
              <w:pStyle w:val="naiskr"/>
              <w:spacing w:before="0" w:after="0"/>
              <w:jc w:val="both"/>
            </w:pPr>
            <w:r w:rsidRPr="002A276B">
              <w:t>Komisijas 2013.gada 18.decembra Regula (E</w:t>
            </w:r>
            <w:r w:rsidR="00DB30C8" w:rsidRPr="002A276B">
              <w:t>S</w:t>
            </w:r>
            <w:r w:rsidRPr="002A276B">
              <w:t xml:space="preserve">) Nr.1407/2013 par Līguma par Eiropas Savienības darbību 107. un 108. panta piemērošanu </w:t>
            </w:r>
            <w:proofErr w:type="spellStart"/>
            <w:r w:rsidRPr="002A276B">
              <w:rPr>
                <w:i/>
              </w:rPr>
              <w:t>de</w:t>
            </w:r>
            <w:proofErr w:type="spellEnd"/>
            <w:r w:rsidRPr="002A276B">
              <w:rPr>
                <w:i/>
              </w:rPr>
              <w:t xml:space="preserve"> </w:t>
            </w:r>
            <w:proofErr w:type="spellStart"/>
            <w:r w:rsidRPr="002A276B">
              <w:rPr>
                <w:i/>
              </w:rPr>
              <w:t>minimis</w:t>
            </w:r>
            <w:proofErr w:type="spellEnd"/>
            <w:r w:rsidRPr="002A276B">
              <w:t xml:space="preserve"> atbalstam (Eiropas Savienības Oficiālais Vēstnesis, 2013.gada 24.decembris, </w:t>
            </w:r>
            <w:proofErr w:type="spellStart"/>
            <w:r w:rsidRPr="002A276B">
              <w:t>Nr</w:t>
            </w:r>
            <w:proofErr w:type="spellEnd"/>
            <w:r w:rsidRPr="002A276B">
              <w:t>. L 352);</w:t>
            </w:r>
          </w:p>
          <w:p w:rsidR="00500681" w:rsidRPr="002A276B" w:rsidRDefault="00500681" w:rsidP="00DB30C8">
            <w:pPr>
              <w:pStyle w:val="naiskr"/>
              <w:spacing w:before="0" w:after="0"/>
              <w:jc w:val="both"/>
              <w:rPr>
                <w:lang w:eastAsia="en-US"/>
              </w:rPr>
            </w:pPr>
            <w:r w:rsidRPr="002A276B">
              <w:t>Komisijas 2014.gada 17.jūnija Regula (E</w:t>
            </w:r>
            <w:r w:rsidR="00DB30C8" w:rsidRPr="002A276B">
              <w:t>S</w:t>
            </w:r>
            <w:r w:rsidRPr="002A276B">
              <w:t xml:space="preserve">) </w:t>
            </w:r>
            <w:proofErr w:type="spellStart"/>
            <w:r w:rsidRPr="002A276B">
              <w:t>Nr</w:t>
            </w:r>
            <w:proofErr w:type="spellEnd"/>
            <w:r w:rsidRPr="002A276B">
              <w:t xml:space="preserve">. 651/2014, kas atzīst noteiktas atbalsta kategorijas par saderīgām ar iekšējo tirgu, piemērojot Līguma 107. un 108. (Eiropas Savienības Oficiālais Vēstnesis, 2014.gada 26.jūnijs, </w:t>
            </w:r>
            <w:proofErr w:type="spellStart"/>
            <w:r w:rsidR="00DB30C8" w:rsidRPr="002A276B">
              <w:t>Nr</w:t>
            </w:r>
            <w:proofErr w:type="spellEnd"/>
            <w:r w:rsidR="00DB30C8" w:rsidRPr="002A276B">
              <w:t xml:space="preserve">. </w:t>
            </w:r>
            <w:r w:rsidRPr="002A276B">
              <w:t>L 187).</w:t>
            </w:r>
          </w:p>
        </w:tc>
      </w:tr>
      <w:tr w:rsidR="00E13BB2"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center"/>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A</w:t>
            </w:r>
          </w:p>
        </w:tc>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center"/>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B</w:t>
            </w:r>
          </w:p>
        </w:tc>
        <w:tc>
          <w:tcPr>
            <w:tcW w:w="901" w:type="pct"/>
            <w:gridSpan w:val="2"/>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center"/>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C</w:t>
            </w:r>
          </w:p>
        </w:tc>
        <w:tc>
          <w:tcPr>
            <w:tcW w:w="1968" w:type="pct"/>
            <w:tcBorders>
              <w:top w:val="outset" w:sz="6" w:space="0" w:color="auto"/>
              <w:left w:val="outset" w:sz="6" w:space="0" w:color="auto"/>
              <w:bottom w:val="outset" w:sz="6" w:space="0" w:color="auto"/>
              <w:right w:val="outset" w:sz="6" w:space="0" w:color="auto"/>
            </w:tcBorders>
            <w:vAlign w:val="center"/>
            <w:hideMark/>
          </w:tcPr>
          <w:p w:rsidR="00956521" w:rsidRPr="002A276B" w:rsidRDefault="00956521" w:rsidP="00F46334">
            <w:pPr>
              <w:spacing w:line="240" w:lineRule="auto"/>
              <w:jc w:val="center"/>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D</w:t>
            </w:r>
          </w:p>
        </w:tc>
      </w:tr>
      <w:tr w:rsidR="00E13BB2"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pStyle w:val="naiskr"/>
              <w:spacing w:before="0" w:after="0"/>
              <w:jc w:val="both"/>
              <w:rPr>
                <w:lang w:eastAsia="en-US"/>
              </w:rPr>
            </w:pPr>
            <w:r w:rsidRPr="002A276B">
              <w:rPr>
                <w:lang w:eastAsia="en-US"/>
              </w:rPr>
              <w:t xml:space="preserve">Attiecīgā ES tiesību akta panta numurs (uzskaitot katru tiesību akta </w:t>
            </w:r>
            <w:r w:rsidRPr="002A276B">
              <w:rPr>
                <w:lang w:eastAsia="en-US"/>
              </w:rPr>
              <w:br/>
              <w:t>vienību – pantu, daļu, punktu, apakšpunktu)</w:t>
            </w:r>
          </w:p>
        </w:tc>
        <w:tc>
          <w:tcPr>
            <w:tcW w:w="1201"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pStyle w:val="naiskr"/>
              <w:spacing w:before="0" w:after="0"/>
              <w:jc w:val="both"/>
              <w:rPr>
                <w:lang w:eastAsia="en-US"/>
              </w:rPr>
            </w:pPr>
            <w:r w:rsidRPr="002A276B">
              <w:rPr>
                <w:lang w:eastAsia="en-US"/>
              </w:rPr>
              <w:t>Projekta vienība, kas pārņem vai ievieš katru šīs tabulas A ailē minēto ES tiesību akta vienību</w:t>
            </w:r>
          </w:p>
        </w:tc>
        <w:tc>
          <w:tcPr>
            <w:tcW w:w="901" w:type="pct"/>
            <w:gridSpan w:val="2"/>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pStyle w:val="naiskr"/>
              <w:spacing w:before="0" w:after="0"/>
              <w:jc w:val="both"/>
              <w:rPr>
                <w:lang w:eastAsia="en-US"/>
              </w:rPr>
            </w:pPr>
            <w:r w:rsidRPr="002A276B">
              <w:rPr>
                <w:lang w:eastAsia="en-US"/>
              </w:rPr>
              <w:t>Informācija par to, vai šīs tabulas A ailē minētās ES tiesību akta vienības tiek pārņemtas vai ieviestas pilnībā vai daļēji.</w:t>
            </w:r>
          </w:p>
          <w:p w:rsidR="00956521" w:rsidRPr="002A276B" w:rsidRDefault="00956521" w:rsidP="00F46334">
            <w:pPr>
              <w:pStyle w:val="naiskr"/>
              <w:spacing w:before="0" w:after="0"/>
              <w:jc w:val="both"/>
              <w:rPr>
                <w:lang w:eastAsia="en-US"/>
              </w:rPr>
            </w:pPr>
            <w:r w:rsidRPr="002A276B">
              <w:rPr>
                <w:lang w:eastAsia="en-US"/>
              </w:rPr>
              <w:t xml:space="preserve">Ja attiecīgā ES tiesību akta vienība tiek pārņemta vai ieviesta daļēji, </w:t>
            </w:r>
            <w:r w:rsidRPr="002A276B">
              <w:rPr>
                <w:lang w:eastAsia="en-US"/>
              </w:rPr>
              <w:lastRenderedPageBreak/>
              <w:t>– sniedz attiecīgu skaidrojumu, kā arī precīzi norāda, kad un kādā veidā ES tiesību akta vienība tiks pārņemta vai ieviesta pilnībā.</w:t>
            </w:r>
          </w:p>
          <w:p w:rsidR="00956521" w:rsidRPr="002A276B" w:rsidRDefault="00956521" w:rsidP="00F46334">
            <w:pPr>
              <w:pStyle w:val="naiskr"/>
              <w:spacing w:before="0" w:after="0"/>
              <w:jc w:val="both"/>
              <w:rPr>
                <w:lang w:eastAsia="en-US"/>
              </w:rPr>
            </w:pPr>
            <w:r w:rsidRPr="002A276B">
              <w:rPr>
                <w:lang w:eastAsia="en-US"/>
              </w:rPr>
              <w:t>Norāda institūciju, kas ir atbildīga par šo saistību izpildi pilnībā</w:t>
            </w:r>
          </w:p>
        </w:tc>
        <w:tc>
          <w:tcPr>
            <w:tcW w:w="1968" w:type="pct"/>
            <w:tcBorders>
              <w:top w:val="outset" w:sz="6" w:space="0" w:color="auto"/>
              <w:left w:val="outset" w:sz="6" w:space="0" w:color="auto"/>
              <w:bottom w:val="outset" w:sz="6" w:space="0" w:color="auto"/>
              <w:right w:val="outset" w:sz="6" w:space="0" w:color="auto"/>
            </w:tcBorders>
            <w:hideMark/>
          </w:tcPr>
          <w:p w:rsidR="00956521" w:rsidRPr="002A276B" w:rsidRDefault="00956521" w:rsidP="00F46334">
            <w:pPr>
              <w:pStyle w:val="naiskr"/>
              <w:spacing w:before="0" w:after="0"/>
              <w:jc w:val="both"/>
              <w:rPr>
                <w:lang w:eastAsia="en-US"/>
              </w:rPr>
            </w:pPr>
            <w:r w:rsidRPr="002A276B">
              <w:rPr>
                <w:lang w:eastAsia="en-US"/>
              </w:rPr>
              <w:lastRenderedPageBreak/>
              <w:t>Informācija par to, vai šīs tabulas B ailē minētās projekta vienības paredz stingrākas prasības nekā šīs tabulas A ailē minētās ES tiesību akta vienības.</w:t>
            </w:r>
          </w:p>
          <w:p w:rsidR="00956521" w:rsidRPr="002A276B" w:rsidRDefault="00956521" w:rsidP="00F46334">
            <w:pPr>
              <w:pStyle w:val="naiskr"/>
              <w:spacing w:before="0" w:after="0"/>
              <w:jc w:val="both"/>
              <w:rPr>
                <w:lang w:eastAsia="en-US"/>
              </w:rPr>
            </w:pPr>
            <w:r w:rsidRPr="002A276B">
              <w:rPr>
                <w:lang w:eastAsia="en-US"/>
              </w:rPr>
              <w:t>Ja projekts satur stingrākas prasības nekā attiecīgais ES tiesību akts, – norāda pamatojumu un samērīgumu.</w:t>
            </w:r>
          </w:p>
          <w:p w:rsidR="00956521" w:rsidRPr="002A276B" w:rsidRDefault="00956521" w:rsidP="00F46334">
            <w:pPr>
              <w:pStyle w:val="naiskr"/>
              <w:spacing w:before="0" w:after="0"/>
              <w:jc w:val="both"/>
              <w:rPr>
                <w:lang w:eastAsia="en-US"/>
              </w:rPr>
            </w:pPr>
            <w:r w:rsidRPr="002A276B">
              <w:rPr>
                <w:lang w:eastAsia="en-US"/>
              </w:rPr>
              <w:t>Norāda iespējamās alternatīvas (</w:t>
            </w:r>
            <w:proofErr w:type="spellStart"/>
            <w:r w:rsidRPr="002A276B">
              <w:rPr>
                <w:lang w:eastAsia="en-US"/>
              </w:rPr>
              <w:t>t.sk</w:t>
            </w:r>
            <w:proofErr w:type="spellEnd"/>
            <w:r w:rsidRPr="002A276B">
              <w:rPr>
                <w:lang w:eastAsia="en-US"/>
              </w:rPr>
              <w:t xml:space="preserve">. alternatīvas, kas neparedz tiesiskā regulējuma izstrādi) – kādos gadījumos būtu iespējams izvairīties no stingrāku prasību noteikšanas, nekā paredzēts </w:t>
            </w:r>
            <w:r w:rsidRPr="002A276B">
              <w:rPr>
                <w:lang w:eastAsia="en-US"/>
              </w:rPr>
              <w:lastRenderedPageBreak/>
              <w:t>attiecīgajos ES tiesību aktos.</w:t>
            </w:r>
          </w:p>
        </w:tc>
      </w:tr>
      <w:tr w:rsidR="00E13BB2"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DB30C8" w:rsidRPr="002A276B" w:rsidRDefault="00DB30C8" w:rsidP="00D5213A">
            <w:pPr>
              <w:pStyle w:val="naiskr"/>
              <w:spacing w:before="0" w:after="0"/>
              <w:jc w:val="both"/>
              <w:rPr>
                <w:i/>
                <w:lang w:eastAsia="en-US"/>
              </w:rPr>
            </w:pPr>
            <w:r w:rsidRPr="002A276B">
              <w:rPr>
                <w:i/>
                <w:lang w:eastAsia="en-US"/>
              </w:rPr>
              <w:lastRenderedPageBreak/>
              <w:t xml:space="preserve">Komisijas Regulas Nr.651/2014 </w:t>
            </w:r>
          </w:p>
          <w:p w:rsidR="0025538A" w:rsidRPr="002A276B" w:rsidRDefault="0047382D" w:rsidP="00D5213A">
            <w:pPr>
              <w:pStyle w:val="naiskr"/>
              <w:spacing w:before="0" w:after="0"/>
              <w:jc w:val="both"/>
              <w:rPr>
                <w:i/>
                <w:lang w:eastAsia="en-US"/>
              </w:rPr>
            </w:pPr>
            <w:r w:rsidRPr="002A276B">
              <w:rPr>
                <w:i/>
                <w:lang w:eastAsia="en-US"/>
              </w:rPr>
              <w:t>25.pants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DB30C8" w:rsidRPr="002A276B" w:rsidRDefault="00DB30C8" w:rsidP="00F46334">
            <w:pPr>
              <w:pStyle w:val="naiskr"/>
              <w:spacing w:before="0" w:after="0"/>
              <w:jc w:val="both"/>
              <w:rPr>
                <w:b/>
                <w:i/>
                <w:lang w:eastAsia="en-US"/>
              </w:rPr>
            </w:pPr>
            <w:r w:rsidRPr="002A276B">
              <w:rPr>
                <w:b/>
                <w:i/>
                <w:lang w:eastAsia="en-US"/>
              </w:rPr>
              <w:t>Notei</w:t>
            </w:r>
            <w:r w:rsidR="0025538A" w:rsidRPr="002A276B">
              <w:rPr>
                <w:b/>
                <w:i/>
                <w:lang w:eastAsia="en-US"/>
              </w:rPr>
              <w:t xml:space="preserve">kumu </w:t>
            </w:r>
            <w:r w:rsidRPr="002A276B">
              <w:rPr>
                <w:b/>
                <w:i/>
                <w:lang w:eastAsia="en-US"/>
              </w:rPr>
              <w:t>projekta 1.punkts</w:t>
            </w:r>
            <w:r w:rsidR="00CA43CC" w:rsidRPr="002A276B">
              <w:rPr>
                <w:b/>
                <w:i/>
                <w:lang w:eastAsia="en-US"/>
              </w:rPr>
              <w:t xml:space="preserve"> (2.)</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DB30C8" w:rsidRPr="002A276B" w:rsidRDefault="00DB30C8" w:rsidP="00F46334">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DB30C8" w:rsidRPr="002A276B" w:rsidRDefault="00DB30C8" w:rsidP="00F46334">
            <w:pPr>
              <w:pStyle w:val="naiskr"/>
              <w:spacing w:before="0" w:after="0"/>
              <w:jc w:val="both"/>
              <w:rPr>
                <w:i/>
                <w:lang w:eastAsia="en-US"/>
              </w:rPr>
            </w:pPr>
            <w:r w:rsidRPr="002A276B">
              <w:rPr>
                <w:i/>
                <w:lang w:eastAsia="en-US"/>
              </w:rPr>
              <w:t>neparedz stingrākas prasības</w:t>
            </w:r>
          </w:p>
        </w:tc>
      </w:tr>
      <w:tr w:rsidR="00E13BB2"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25538A" w:rsidRPr="002A276B" w:rsidRDefault="007D3BA3" w:rsidP="007D3BA3">
            <w:pPr>
              <w:pStyle w:val="naiskr"/>
              <w:spacing w:before="0" w:after="0"/>
              <w:jc w:val="both"/>
              <w:rPr>
                <w:i/>
                <w:lang w:eastAsia="en-US"/>
              </w:rPr>
            </w:pPr>
            <w:r w:rsidRPr="002A276B">
              <w:rPr>
                <w:i/>
                <w:lang w:eastAsia="en-US"/>
              </w:rPr>
              <w:t>Komisijas Regula</w:t>
            </w:r>
            <w:r w:rsidR="0025538A" w:rsidRPr="002A276B">
              <w:rPr>
                <w:i/>
                <w:lang w:eastAsia="en-US"/>
              </w:rPr>
              <w:t xml:space="preserve"> 1407/2014 </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25538A" w:rsidRPr="002A276B" w:rsidRDefault="00CA43CC" w:rsidP="00F46334">
            <w:pPr>
              <w:pStyle w:val="naiskr"/>
              <w:spacing w:before="0" w:after="0"/>
              <w:jc w:val="both"/>
              <w:rPr>
                <w:b/>
                <w:i/>
                <w:lang w:eastAsia="en-US"/>
              </w:rPr>
            </w:pPr>
            <w:r w:rsidRPr="002A276B">
              <w:rPr>
                <w:b/>
                <w:i/>
                <w:lang w:eastAsia="en-US"/>
              </w:rPr>
              <w:t>Noteikumu projekta 1</w:t>
            </w:r>
            <w:r w:rsidR="0025538A" w:rsidRPr="002A276B">
              <w:rPr>
                <w:b/>
                <w:i/>
                <w:lang w:eastAsia="en-US"/>
              </w:rPr>
              <w:t>.punkts</w:t>
            </w:r>
            <w:r w:rsidRPr="002A276B">
              <w:rPr>
                <w:b/>
                <w:i/>
                <w:lang w:eastAsia="en-US"/>
              </w:rPr>
              <w:t xml:space="preserve"> (3.)</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25538A" w:rsidRPr="002A276B" w:rsidRDefault="0025538A" w:rsidP="00F46334">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25538A" w:rsidRPr="002A276B" w:rsidRDefault="0025538A" w:rsidP="00F46334">
            <w:pPr>
              <w:pStyle w:val="naiskr"/>
              <w:spacing w:before="0" w:after="0"/>
              <w:jc w:val="both"/>
              <w:rPr>
                <w:i/>
                <w:lang w:eastAsia="en-US"/>
              </w:rPr>
            </w:pPr>
            <w:r w:rsidRPr="002A276B">
              <w:rPr>
                <w:i/>
                <w:lang w:eastAsia="en-US"/>
              </w:rPr>
              <w:t>neparedz stingrākas prasības</w:t>
            </w:r>
          </w:p>
        </w:tc>
      </w:tr>
      <w:tr w:rsidR="00BB7E48"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7D3BA3">
            <w:pPr>
              <w:pStyle w:val="naiskr"/>
              <w:spacing w:before="0" w:after="0"/>
              <w:jc w:val="both"/>
              <w:rPr>
                <w:i/>
                <w:lang w:eastAsia="en-US"/>
              </w:rPr>
            </w:pPr>
            <w:r w:rsidRPr="002A276B">
              <w:rPr>
                <w:i/>
                <w:lang w:eastAsia="en-US"/>
              </w:rPr>
              <w:t xml:space="preserve">Komisijas Regulas Nr.651/2014 </w:t>
            </w:r>
          </w:p>
          <w:p w:rsidR="007D3BA3" w:rsidRPr="002A276B" w:rsidRDefault="007D3BA3" w:rsidP="007D3BA3">
            <w:pPr>
              <w:pStyle w:val="naiskr"/>
              <w:spacing w:before="0" w:after="0"/>
              <w:jc w:val="both"/>
              <w:rPr>
                <w:i/>
                <w:lang w:eastAsia="en-US"/>
              </w:rPr>
            </w:pPr>
            <w:r w:rsidRPr="002A276B">
              <w:rPr>
                <w:i/>
                <w:lang w:eastAsia="en-US"/>
              </w:rPr>
              <w:t>9. panta 1. un 4. 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CD2C14">
            <w:pPr>
              <w:pStyle w:val="naiskr"/>
              <w:spacing w:before="0" w:after="0"/>
              <w:jc w:val="both"/>
              <w:rPr>
                <w:i/>
                <w:lang w:eastAsia="en-US"/>
              </w:rPr>
            </w:pPr>
            <w:r w:rsidRPr="002A276B">
              <w:rPr>
                <w:b/>
                <w:i/>
                <w:lang w:eastAsia="en-US"/>
              </w:rPr>
              <w:t xml:space="preserve">Noteikumu projekta </w:t>
            </w:r>
            <w:r w:rsidR="00CD2C14" w:rsidRPr="002A276B">
              <w:rPr>
                <w:b/>
                <w:i/>
                <w:lang w:eastAsia="en-US"/>
              </w:rPr>
              <w:t>3</w:t>
            </w:r>
            <w:r w:rsidRPr="002A276B">
              <w:rPr>
                <w:b/>
                <w:i/>
                <w:lang w:eastAsia="en-US"/>
              </w:rPr>
              <w:t>.punkts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neparedz stingrākas prasības</w:t>
            </w:r>
          </w:p>
        </w:tc>
      </w:tr>
      <w:tr w:rsidR="00BB7E48"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1407/2013 3.panta 2.punkts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b/>
                <w:i/>
                <w:lang w:eastAsia="en-US"/>
              </w:rPr>
              <w:t xml:space="preserve">Noteikumu projekta </w:t>
            </w:r>
            <w:r w:rsidR="00CD2C14" w:rsidRPr="002A276B">
              <w:rPr>
                <w:b/>
                <w:i/>
                <w:lang w:eastAsia="en-US"/>
              </w:rPr>
              <w:t>4</w:t>
            </w:r>
            <w:r w:rsidRPr="002A276B">
              <w:rPr>
                <w:b/>
                <w:i/>
                <w:lang w:eastAsia="en-US"/>
              </w:rPr>
              <w:t>.punkts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neparedz stingrākas prasības</w:t>
            </w:r>
          </w:p>
        </w:tc>
      </w:tr>
      <w:tr w:rsidR="00BB7E48"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 651/2014 1.pielikums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213F5C">
            <w:pPr>
              <w:pStyle w:val="naiskr"/>
              <w:spacing w:before="0" w:after="0"/>
              <w:jc w:val="both"/>
              <w:rPr>
                <w:b/>
                <w:i/>
                <w:lang w:eastAsia="en-US"/>
              </w:rPr>
            </w:pPr>
            <w:r w:rsidRPr="002A276B">
              <w:rPr>
                <w:b/>
                <w:i/>
                <w:lang w:eastAsia="en-US"/>
              </w:rPr>
              <w:t xml:space="preserve">Noteikumu projekta </w:t>
            </w:r>
            <w:r w:rsidR="00213F5C" w:rsidRPr="002A276B">
              <w:rPr>
                <w:b/>
                <w:i/>
                <w:lang w:eastAsia="en-US"/>
              </w:rPr>
              <w:t>7</w:t>
            </w:r>
            <w:r w:rsidRPr="002A276B">
              <w:rPr>
                <w:b/>
                <w:i/>
                <w:lang w:eastAsia="en-US"/>
              </w:rPr>
              <w:t>.punkts</w:t>
            </w:r>
            <w:r w:rsidR="00213F5C" w:rsidRPr="002A276B">
              <w:rPr>
                <w:b/>
                <w:i/>
                <w:lang w:eastAsia="en-US"/>
              </w:rPr>
              <w:t xml:space="preserve"> (10.)</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i/>
                <w:lang w:eastAsia="en-US"/>
              </w:rPr>
            </w:pPr>
            <w:r w:rsidRPr="002A276B">
              <w:rPr>
                <w:i/>
                <w:lang w:eastAsia="en-US"/>
              </w:rPr>
              <w:t>neparedz stingrākas prasības</w:t>
            </w:r>
          </w:p>
        </w:tc>
      </w:tr>
      <w:tr w:rsidR="00BB7E48"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2.panta 24.punkts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b/>
                <w:lang w:eastAsia="en-US"/>
              </w:rPr>
            </w:pPr>
            <w:r w:rsidRPr="002A276B">
              <w:rPr>
                <w:b/>
                <w:i/>
                <w:lang w:eastAsia="en-US"/>
              </w:rPr>
              <w:t xml:space="preserve">Noteikumu projekta </w:t>
            </w:r>
            <w:r w:rsidR="00213F5C" w:rsidRPr="002A276B">
              <w:rPr>
                <w:b/>
                <w:i/>
                <w:lang w:eastAsia="en-US"/>
              </w:rPr>
              <w:t>7</w:t>
            </w:r>
            <w:r w:rsidRPr="002A276B">
              <w:rPr>
                <w:b/>
                <w:i/>
                <w:lang w:eastAsia="en-US"/>
              </w:rPr>
              <w:t>.punkts</w:t>
            </w:r>
            <w:r w:rsidR="00213F5C" w:rsidRPr="002A276B">
              <w:rPr>
                <w:b/>
                <w:i/>
                <w:lang w:eastAsia="en-US"/>
              </w:rPr>
              <w:t xml:space="preserve"> (11.)</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7D3BA3" w:rsidRPr="002A276B" w:rsidRDefault="007D3BA3"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 651/2014 1.pielikums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10AC8">
            <w:pPr>
              <w:pStyle w:val="naiskr"/>
              <w:spacing w:before="0" w:after="0"/>
              <w:jc w:val="both"/>
              <w:rPr>
                <w:b/>
                <w:i/>
                <w:lang w:eastAsia="en-US"/>
              </w:rPr>
            </w:pPr>
            <w:r w:rsidRPr="002A276B">
              <w:rPr>
                <w:b/>
                <w:i/>
                <w:lang w:eastAsia="en-US"/>
              </w:rPr>
              <w:t>Noteikumu projekta 7.punkts (12.)</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lastRenderedPageBreak/>
              <w:t xml:space="preserve">Komisijas Regulas </w:t>
            </w:r>
            <w:proofErr w:type="spellStart"/>
            <w:r w:rsidRPr="002A276B">
              <w:rPr>
                <w:i/>
                <w:lang w:eastAsia="en-US"/>
              </w:rPr>
              <w:t>Nr</w:t>
            </w:r>
            <w:proofErr w:type="spellEnd"/>
            <w:r w:rsidRPr="002A276B">
              <w:rPr>
                <w:i/>
                <w:lang w:eastAsia="en-US"/>
              </w:rPr>
              <w:t>.</w:t>
            </w:r>
            <w:r w:rsidRPr="002A276B">
              <w:t xml:space="preserve"> 1407/2013 2.panta 2.punkts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10AC8">
            <w:pPr>
              <w:pStyle w:val="naiskr"/>
              <w:spacing w:before="0" w:after="0"/>
              <w:jc w:val="both"/>
              <w:rPr>
                <w:b/>
                <w:i/>
                <w:lang w:eastAsia="en-US"/>
              </w:rPr>
            </w:pPr>
            <w:r w:rsidRPr="002A276B">
              <w:rPr>
                <w:b/>
                <w:i/>
                <w:lang w:eastAsia="en-US"/>
              </w:rPr>
              <w:t>Noteikumu projekta 8.punkts (12.</w:t>
            </w:r>
            <w:r w:rsidRPr="002A276B">
              <w:rPr>
                <w:b/>
                <w:i/>
                <w:vertAlign w:val="superscript"/>
                <w:lang w:eastAsia="en-US"/>
              </w:rPr>
              <w:t>1</w:t>
            </w:r>
            <w:r w:rsidRPr="002A276B">
              <w:rPr>
                <w:b/>
                <w:i/>
                <w:lang w:eastAsia="en-US"/>
              </w:rPr>
              <w:t>)</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neparedz stingrākas prasības</w:t>
            </w:r>
          </w:p>
        </w:tc>
      </w:tr>
      <w:tr w:rsidR="00C2229E"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B6995">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14.panta 13.punkts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B6995">
            <w:pPr>
              <w:pStyle w:val="naiskr"/>
              <w:spacing w:before="0" w:after="0"/>
              <w:jc w:val="both"/>
              <w:rPr>
                <w:b/>
                <w:i/>
                <w:lang w:eastAsia="en-US"/>
              </w:rPr>
            </w:pPr>
            <w:r w:rsidRPr="002A276B">
              <w:rPr>
                <w:b/>
                <w:i/>
                <w:lang w:eastAsia="en-US"/>
              </w:rPr>
              <w:t>Noteikumu projekta 8.punkts (12.</w:t>
            </w:r>
            <w:r w:rsidRPr="002A276B">
              <w:rPr>
                <w:b/>
                <w:i/>
                <w:vertAlign w:val="superscript"/>
                <w:lang w:eastAsia="en-US"/>
              </w:rPr>
              <w:t>2</w:t>
            </w:r>
            <w:r w:rsidRPr="002A276B">
              <w:rPr>
                <w:b/>
                <w:i/>
                <w:lang w:eastAsia="en-US"/>
              </w:rPr>
              <w:t>)</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B6995">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B6995">
            <w:pPr>
              <w:pStyle w:val="naiskr"/>
              <w:spacing w:before="0" w:after="0"/>
              <w:jc w:val="both"/>
              <w:rPr>
                <w:i/>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2.panta 18.punkts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10AC8">
            <w:pPr>
              <w:pStyle w:val="naiskr"/>
              <w:spacing w:before="0" w:after="0"/>
              <w:jc w:val="both"/>
              <w:rPr>
                <w:b/>
                <w:i/>
                <w:lang w:eastAsia="en-US"/>
              </w:rPr>
            </w:pPr>
            <w:r w:rsidRPr="002A276B">
              <w:rPr>
                <w:b/>
                <w:i/>
                <w:lang w:eastAsia="en-US"/>
              </w:rPr>
              <w:t>Noteikumu projekta 9.punkts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1.panta 4.punkta „a” apakšpunkts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C10AC8">
            <w:pPr>
              <w:pStyle w:val="naiskr"/>
              <w:spacing w:before="0" w:after="0"/>
              <w:jc w:val="both"/>
              <w:rPr>
                <w:b/>
                <w:i/>
                <w:lang w:eastAsia="en-US"/>
              </w:rPr>
            </w:pPr>
            <w:r w:rsidRPr="002A276B">
              <w:rPr>
                <w:b/>
                <w:i/>
                <w:lang w:eastAsia="en-US"/>
              </w:rPr>
              <w:t>Noteikumu projekta 10.punkts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2.panta 85.punkts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b/>
                <w:i/>
                <w:lang w:eastAsia="en-US"/>
              </w:rPr>
            </w:pPr>
            <w:r w:rsidRPr="002A276B">
              <w:rPr>
                <w:b/>
                <w:i/>
                <w:lang w:eastAsia="en-US"/>
              </w:rPr>
              <w:t>Noteikumu projekta 12.punkts (19.1.1., 19.2.1.)</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2.panta 86.punkts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b/>
                <w:i/>
                <w:lang w:eastAsia="en-US"/>
              </w:rPr>
            </w:pPr>
            <w:r w:rsidRPr="002A276B">
              <w:rPr>
                <w:b/>
                <w:i/>
                <w:lang w:eastAsia="en-US"/>
              </w:rPr>
              <w:t>Noteikumu projekta 12.punkts (19.1.2., 19.2.2.)</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5F4EA6">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1.panta 2.punkts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5F4EA6">
            <w:pPr>
              <w:pStyle w:val="naiskr"/>
              <w:spacing w:before="0" w:after="0"/>
              <w:jc w:val="both"/>
              <w:rPr>
                <w:b/>
                <w:i/>
                <w:lang w:eastAsia="en-US"/>
              </w:rPr>
            </w:pPr>
            <w:r w:rsidRPr="002A276B">
              <w:rPr>
                <w:b/>
                <w:i/>
                <w:lang w:eastAsia="en-US"/>
              </w:rPr>
              <w:t>Noteikumu projekta 13.punkts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7A88">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651/2014 25.panta 6.punkta (b) (</w:t>
            </w:r>
            <w:proofErr w:type="spellStart"/>
            <w:r w:rsidRPr="002A276B">
              <w:t>ii</w:t>
            </w:r>
            <w:proofErr w:type="spellEnd"/>
            <w:r w:rsidRPr="002A276B">
              <w:t>) apakšpunkts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EE3995">
            <w:pPr>
              <w:pStyle w:val="naiskr"/>
              <w:spacing w:before="0" w:after="0"/>
              <w:jc w:val="both"/>
              <w:rPr>
                <w:b/>
                <w:i/>
                <w:lang w:eastAsia="en-US"/>
              </w:rPr>
            </w:pPr>
            <w:r w:rsidRPr="002A276B">
              <w:rPr>
                <w:b/>
                <w:i/>
                <w:lang w:eastAsia="en-US"/>
              </w:rPr>
              <w:t>Noteikumu projekta 19.punkts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3D79DC"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950AFC">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w:t>
            </w:r>
            <w:r w:rsidRPr="002A276B">
              <w:lastRenderedPageBreak/>
              <w:t xml:space="preserve">651/2014 </w:t>
            </w:r>
            <w:r w:rsidR="00950AFC" w:rsidRPr="002A276B">
              <w:t>2</w:t>
            </w:r>
            <w:r w:rsidRPr="002A276B">
              <w:t xml:space="preserve">.panta </w:t>
            </w:r>
            <w:r w:rsidR="00950AFC" w:rsidRPr="002A276B">
              <w:t>24</w:t>
            </w:r>
            <w:r w:rsidRPr="002A276B">
              <w:t>.punkt</w:t>
            </w:r>
            <w:r w:rsidR="00950AFC" w:rsidRPr="002A276B">
              <w: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b/>
                <w:i/>
                <w:lang w:eastAsia="en-US"/>
              </w:rPr>
            </w:pPr>
            <w:r w:rsidRPr="002A276B">
              <w:rPr>
                <w:b/>
                <w:i/>
                <w:lang w:eastAsia="en-US"/>
              </w:rPr>
              <w:lastRenderedPageBreak/>
              <w:t>Noteikumu projekta 21.punkts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3D79DC" w:rsidRPr="002A276B" w:rsidRDefault="003D79DC" w:rsidP="00164A33">
            <w:pPr>
              <w:pStyle w:val="naiskr"/>
              <w:spacing w:before="0" w:after="0"/>
              <w:jc w:val="both"/>
              <w:rPr>
                <w:lang w:eastAsia="en-US"/>
              </w:rPr>
            </w:pPr>
            <w:r w:rsidRPr="002A276B">
              <w:rPr>
                <w:i/>
                <w:lang w:eastAsia="en-US"/>
              </w:rPr>
              <w:t>neparedz stingrākas prasības</w:t>
            </w:r>
          </w:p>
        </w:tc>
      </w:tr>
      <w:tr w:rsidR="00237D73"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237D73" w:rsidRPr="002A276B" w:rsidRDefault="00237D73" w:rsidP="00237D73">
            <w:pPr>
              <w:pStyle w:val="naiskr"/>
              <w:spacing w:before="0" w:after="0"/>
              <w:jc w:val="both"/>
              <w:rPr>
                <w:i/>
                <w:lang w:eastAsia="en-US"/>
              </w:rPr>
            </w:pPr>
            <w:r w:rsidRPr="002A276B">
              <w:rPr>
                <w:i/>
                <w:lang w:eastAsia="en-US"/>
              </w:rPr>
              <w:lastRenderedPageBreak/>
              <w:t xml:space="preserve">Komisijas Regulas </w:t>
            </w:r>
            <w:proofErr w:type="spellStart"/>
            <w:r w:rsidRPr="002A276B">
              <w:rPr>
                <w:i/>
                <w:lang w:eastAsia="en-US"/>
              </w:rPr>
              <w:t>Nr</w:t>
            </w:r>
            <w:proofErr w:type="spellEnd"/>
            <w:r w:rsidRPr="002A276B">
              <w:rPr>
                <w:i/>
                <w:lang w:eastAsia="en-US"/>
              </w:rPr>
              <w:t>.</w:t>
            </w:r>
            <w:r w:rsidRPr="002A276B">
              <w:t xml:space="preserve"> 651/2014 8.panta 4.punkts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237D73" w:rsidRPr="002A276B" w:rsidRDefault="00237D73" w:rsidP="00164A33">
            <w:pPr>
              <w:pStyle w:val="naiskr"/>
              <w:spacing w:before="0" w:after="0"/>
              <w:jc w:val="both"/>
              <w:rPr>
                <w:b/>
                <w:i/>
                <w:lang w:eastAsia="en-US"/>
              </w:rPr>
            </w:pPr>
            <w:r w:rsidRPr="002A276B">
              <w:rPr>
                <w:b/>
                <w:i/>
                <w:lang w:eastAsia="en-US"/>
              </w:rPr>
              <w:t>Noteikumu projekta 23.punkts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237D73" w:rsidRPr="002A276B" w:rsidRDefault="00237D73" w:rsidP="00164A33">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237D73" w:rsidRPr="002A276B" w:rsidRDefault="00237D73" w:rsidP="00164A33">
            <w:pPr>
              <w:pStyle w:val="naiskr"/>
              <w:spacing w:before="0" w:after="0"/>
              <w:jc w:val="both"/>
              <w:rPr>
                <w:i/>
                <w:lang w:eastAsia="en-US"/>
              </w:rPr>
            </w:pPr>
            <w:r w:rsidRPr="002A276B">
              <w:rPr>
                <w:i/>
                <w:lang w:eastAsia="en-US"/>
              </w:rPr>
              <w:t>neparedz stingrākas prasības</w:t>
            </w:r>
          </w:p>
        </w:tc>
      </w:tr>
      <w:tr w:rsidR="00EA2B56" w:rsidRPr="002A276B" w:rsidTr="002A276B">
        <w:trPr>
          <w:tblCellSpacing w:w="15" w:type="dxa"/>
        </w:trPr>
        <w:tc>
          <w:tcPr>
            <w:tcW w:w="840" w:type="pct"/>
            <w:gridSpan w:val="2"/>
            <w:tcBorders>
              <w:top w:val="outset" w:sz="6" w:space="0" w:color="auto"/>
              <w:left w:val="outset" w:sz="6" w:space="0" w:color="auto"/>
              <w:bottom w:val="outset" w:sz="6" w:space="0" w:color="auto"/>
              <w:right w:val="outset" w:sz="6" w:space="0" w:color="auto"/>
            </w:tcBorders>
            <w:vAlign w:val="center"/>
          </w:tcPr>
          <w:p w:rsidR="00EA2B56" w:rsidRPr="002A276B" w:rsidRDefault="00EA2B56" w:rsidP="00CB6995">
            <w:pPr>
              <w:pStyle w:val="naiskr"/>
              <w:spacing w:before="0" w:after="0"/>
              <w:jc w:val="both"/>
              <w:rPr>
                <w:i/>
                <w:lang w:eastAsia="en-US"/>
              </w:rPr>
            </w:pPr>
            <w:r w:rsidRPr="002A276B">
              <w:rPr>
                <w:i/>
                <w:lang w:eastAsia="en-US"/>
              </w:rPr>
              <w:t xml:space="preserve">Komisijas Regulas </w:t>
            </w:r>
            <w:proofErr w:type="spellStart"/>
            <w:r w:rsidRPr="002A276B">
              <w:rPr>
                <w:i/>
                <w:lang w:eastAsia="en-US"/>
              </w:rPr>
              <w:t>Nr</w:t>
            </w:r>
            <w:proofErr w:type="spellEnd"/>
            <w:r w:rsidRPr="002A276B">
              <w:rPr>
                <w:i/>
                <w:lang w:eastAsia="en-US"/>
              </w:rPr>
              <w:t>.</w:t>
            </w:r>
            <w:r w:rsidRPr="002A276B">
              <w:t xml:space="preserve"> 1407/2013 1.panta 1.punkts</w:t>
            </w:r>
          </w:p>
        </w:tc>
        <w:tc>
          <w:tcPr>
            <w:tcW w:w="1201" w:type="pct"/>
            <w:gridSpan w:val="2"/>
            <w:tcBorders>
              <w:top w:val="outset" w:sz="6" w:space="0" w:color="auto"/>
              <w:left w:val="outset" w:sz="6" w:space="0" w:color="auto"/>
              <w:bottom w:val="outset" w:sz="6" w:space="0" w:color="auto"/>
              <w:right w:val="outset" w:sz="6" w:space="0" w:color="auto"/>
            </w:tcBorders>
            <w:vAlign w:val="center"/>
          </w:tcPr>
          <w:p w:rsidR="00EA2B56" w:rsidRPr="002A276B" w:rsidRDefault="00EA2B56" w:rsidP="004835A4">
            <w:pPr>
              <w:pStyle w:val="naiskr"/>
              <w:spacing w:before="0" w:after="0"/>
              <w:jc w:val="both"/>
              <w:rPr>
                <w:b/>
                <w:i/>
                <w:lang w:eastAsia="en-US"/>
              </w:rPr>
            </w:pPr>
            <w:r w:rsidRPr="002A276B">
              <w:rPr>
                <w:b/>
                <w:i/>
                <w:lang w:eastAsia="en-US"/>
              </w:rPr>
              <w:t xml:space="preserve">Noteikumu projekta </w:t>
            </w:r>
            <w:r w:rsidR="00275787" w:rsidRPr="002A276B">
              <w:rPr>
                <w:b/>
                <w:i/>
                <w:lang w:eastAsia="en-US"/>
              </w:rPr>
              <w:t>3</w:t>
            </w:r>
            <w:r w:rsidR="004835A4" w:rsidRPr="002A276B">
              <w:rPr>
                <w:b/>
                <w:i/>
                <w:lang w:eastAsia="en-US"/>
              </w:rPr>
              <w:t>0</w:t>
            </w:r>
            <w:r w:rsidRPr="002A276B">
              <w:rPr>
                <w:b/>
                <w:i/>
                <w:lang w:eastAsia="en-US"/>
              </w:rPr>
              <w:t>.punkts</w:t>
            </w:r>
          </w:p>
        </w:tc>
        <w:tc>
          <w:tcPr>
            <w:tcW w:w="901" w:type="pct"/>
            <w:gridSpan w:val="2"/>
            <w:tcBorders>
              <w:top w:val="outset" w:sz="6" w:space="0" w:color="auto"/>
              <w:left w:val="outset" w:sz="6" w:space="0" w:color="auto"/>
              <w:bottom w:val="outset" w:sz="6" w:space="0" w:color="auto"/>
              <w:right w:val="outset" w:sz="6" w:space="0" w:color="auto"/>
            </w:tcBorders>
            <w:vAlign w:val="center"/>
          </w:tcPr>
          <w:p w:rsidR="00EA2B56" w:rsidRPr="002A276B" w:rsidRDefault="00EA2B56" w:rsidP="00CB6995">
            <w:pPr>
              <w:pStyle w:val="naiskr"/>
              <w:spacing w:before="0" w:after="0"/>
              <w:jc w:val="both"/>
              <w:rPr>
                <w:i/>
                <w:lang w:eastAsia="en-US"/>
              </w:rPr>
            </w:pPr>
            <w:r w:rsidRPr="002A276B">
              <w:rPr>
                <w:i/>
                <w:lang w:eastAsia="en-US"/>
              </w:rPr>
              <w:t>ieviesta pilnībā</w:t>
            </w:r>
          </w:p>
        </w:tc>
        <w:tc>
          <w:tcPr>
            <w:tcW w:w="1968" w:type="pct"/>
            <w:tcBorders>
              <w:top w:val="outset" w:sz="6" w:space="0" w:color="auto"/>
              <w:left w:val="outset" w:sz="6" w:space="0" w:color="auto"/>
              <w:bottom w:val="outset" w:sz="6" w:space="0" w:color="auto"/>
              <w:right w:val="outset" w:sz="6" w:space="0" w:color="auto"/>
            </w:tcBorders>
            <w:vAlign w:val="center"/>
          </w:tcPr>
          <w:p w:rsidR="00EA2B56" w:rsidRPr="002A276B" w:rsidRDefault="00EA2B56" w:rsidP="00CB6995">
            <w:pPr>
              <w:pStyle w:val="naiskr"/>
              <w:spacing w:before="0" w:after="0"/>
              <w:jc w:val="both"/>
              <w:rPr>
                <w:i/>
                <w:lang w:eastAsia="en-US"/>
              </w:rPr>
            </w:pPr>
            <w:r w:rsidRPr="002A276B">
              <w:rPr>
                <w:i/>
                <w:lang w:eastAsia="en-US"/>
              </w:rPr>
              <w:t>neparedz stingrākas prasības</w:t>
            </w:r>
          </w:p>
        </w:tc>
      </w:tr>
      <w:tr w:rsidR="00C2229E" w:rsidRPr="002A276B" w:rsidTr="002A276B">
        <w:trPr>
          <w:tblCellSpacing w:w="15" w:type="dxa"/>
        </w:trPr>
        <w:tc>
          <w:tcPr>
            <w:tcW w:w="2960" w:type="pct"/>
            <w:gridSpan w:val="5"/>
            <w:tcBorders>
              <w:top w:val="outset" w:sz="6" w:space="0" w:color="auto"/>
              <w:left w:val="outset" w:sz="6" w:space="0" w:color="auto"/>
              <w:bottom w:val="outset" w:sz="6" w:space="0" w:color="auto"/>
              <w:right w:val="outset" w:sz="6" w:space="0" w:color="auto"/>
            </w:tcBorders>
            <w:vAlign w:val="center"/>
            <w:hideMark/>
          </w:tcPr>
          <w:p w:rsidR="00C2229E" w:rsidRPr="002A276B" w:rsidRDefault="00C2229E"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1986" w:type="pct"/>
            <w:gridSpan w:val="2"/>
            <w:tcBorders>
              <w:top w:val="outset" w:sz="6" w:space="0" w:color="auto"/>
              <w:left w:val="outset" w:sz="6" w:space="0" w:color="auto"/>
              <w:bottom w:val="outset" w:sz="6" w:space="0" w:color="auto"/>
              <w:right w:val="outset" w:sz="6" w:space="0" w:color="auto"/>
            </w:tcBorders>
            <w:hideMark/>
          </w:tcPr>
          <w:p w:rsidR="00C2229E" w:rsidRPr="002A276B" w:rsidRDefault="00C2229E"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Nav attiecināms.</w:t>
            </w:r>
          </w:p>
        </w:tc>
      </w:tr>
      <w:tr w:rsidR="00C2229E" w:rsidRPr="002A276B" w:rsidTr="002A276B">
        <w:trPr>
          <w:tblCellSpacing w:w="15" w:type="dxa"/>
        </w:trPr>
        <w:tc>
          <w:tcPr>
            <w:tcW w:w="2960" w:type="pct"/>
            <w:gridSpan w:val="5"/>
            <w:tcBorders>
              <w:top w:val="outset" w:sz="6" w:space="0" w:color="auto"/>
              <w:left w:val="outset" w:sz="6" w:space="0" w:color="auto"/>
              <w:bottom w:val="outset" w:sz="6" w:space="0" w:color="auto"/>
              <w:right w:val="outset" w:sz="6" w:space="0" w:color="auto"/>
            </w:tcBorders>
            <w:vAlign w:val="center"/>
            <w:hideMark/>
          </w:tcPr>
          <w:p w:rsidR="00C2229E" w:rsidRPr="002A276B" w:rsidRDefault="00C2229E"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986" w:type="pct"/>
            <w:gridSpan w:val="2"/>
            <w:tcBorders>
              <w:top w:val="outset" w:sz="6" w:space="0" w:color="auto"/>
              <w:left w:val="outset" w:sz="6" w:space="0" w:color="auto"/>
              <w:bottom w:val="outset" w:sz="6" w:space="0" w:color="auto"/>
              <w:right w:val="outset" w:sz="6" w:space="0" w:color="auto"/>
            </w:tcBorders>
            <w:hideMark/>
          </w:tcPr>
          <w:p w:rsidR="00CA7D53" w:rsidRPr="002A276B" w:rsidRDefault="00CA7D53" w:rsidP="00954FB9">
            <w:pPr>
              <w:spacing w:line="240" w:lineRule="auto"/>
              <w:jc w:val="both"/>
              <w:rPr>
                <w:rFonts w:ascii="Times New Roman" w:hAnsi="Times New Roman" w:cs="Times New Roman"/>
                <w:sz w:val="24"/>
                <w:szCs w:val="24"/>
              </w:rPr>
            </w:pPr>
            <w:r w:rsidRPr="002A276B">
              <w:rPr>
                <w:rFonts w:ascii="Times New Roman" w:hAnsi="Times New Roman" w:cs="Times New Roman"/>
                <w:sz w:val="24"/>
                <w:szCs w:val="24"/>
              </w:rPr>
              <w:t xml:space="preserve">Informācija tiks publicēta Ekonomikas ministrijas </w:t>
            </w:r>
            <w:proofErr w:type="spellStart"/>
            <w:r w:rsidRPr="002A276B">
              <w:rPr>
                <w:rFonts w:ascii="Times New Roman" w:hAnsi="Times New Roman" w:cs="Times New Roman"/>
                <w:sz w:val="24"/>
                <w:szCs w:val="24"/>
              </w:rPr>
              <w:t>mājaslapā</w:t>
            </w:r>
            <w:proofErr w:type="spellEnd"/>
            <w:r w:rsidRPr="002A276B">
              <w:rPr>
                <w:rFonts w:ascii="Times New Roman" w:hAnsi="Times New Roman" w:cs="Times New Roman"/>
                <w:sz w:val="24"/>
                <w:szCs w:val="24"/>
              </w:rPr>
              <w:t xml:space="preserve"> saskaņā ar Komisijas regulas Nr.651/2014 9.panta 1., 2. un 4.punktu no Ministru kabineta noteikumu Nr.361 grozījumu spēkā stāšanās dienas, ievērojot Komisijas regulas Nr.651/2014 II un III pielikumā noteiktās prasības.</w:t>
            </w:r>
          </w:p>
          <w:p w:rsidR="00C2229E" w:rsidRPr="002A276B" w:rsidRDefault="00C2229E" w:rsidP="00954FB9">
            <w:pPr>
              <w:spacing w:line="240" w:lineRule="auto"/>
              <w:jc w:val="both"/>
              <w:rPr>
                <w:rFonts w:ascii="Times New Roman" w:eastAsia="Times New Roman" w:hAnsi="Times New Roman" w:cs="Times New Roman"/>
                <w:sz w:val="24"/>
                <w:szCs w:val="24"/>
                <w:lang w:eastAsia="lv-LV"/>
              </w:rPr>
            </w:pPr>
            <w:r w:rsidRPr="002A276B">
              <w:rPr>
                <w:rFonts w:ascii="Times New Roman" w:hAnsi="Times New Roman" w:cs="Times New Roman"/>
                <w:sz w:val="24"/>
                <w:szCs w:val="24"/>
              </w:rPr>
              <w:t>Saskaņā ar Komisijas Regulas Nr.651/2014 11.pantu Eiropas Komisijai 20 darba dienu laikā ir jānosūta kopsavilkuma informācija par šo atbalsta pasākumu.</w:t>
            </w:r>
          </w:p>
        </w:tc>
      </w:tr>
      <w:tr w:rsidR="00C2229E" w:rsidRPr="00171604" w:rsidTr="002A276B">
        <w:trPr>
          <w:tblCellSpacing w:w="15" w:type="dxa"/>
        </w:trPr>
        <w:tc>
          <w:tcPr>
            <w:tcW w:w="2960" w:type="pct"/>
            <w:gridSpan w:val="5"/>
            <w:tcBorders>
              <w:top w:val="outset" w:sz="6" w:space="0" w:color="auto"/>
              <w:left w:val="outset" w:sz="6" w:space="0" w:color="auto"/>
              <w:bottom w:val="outset" w:sz="6" w:space="0" w:color="auto"/>
              <w:right w:val="outset" w:sz="6" w:space="0" w:color="auto"/>
            </w:tcBorders>
            <w:hideMark/>
          </w:tcPr>
          <w:p w:rsidR="00C2229E" w:rsidRPr="002A276B" w:rsidRDefault="00C2229E"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Cita informācija</w:t>
            </w:r>
          </w:p>
        </w:tc>
        <w:tc>
          <w:tcPr>
            <w:tcW w:w="1986" w:type="pct"/>
            <w:gridSpan w:val="2"/>
            <w:tcBorders>
              <w:top w:val="outset" w:sz="6" w:space="0" w:color="auto"/>
              <w:left w:val="outset" w:sz="6" w:space="0" w:color="auto"/>
              <w:bottom w:val="outset" w:sz="6" w:space="0" w:color="auto"/>
              <w:right w:val="outset" w:sz="6" w:space="0" w:color="auto"/>
            </w:tcBorders>
            <w:hideMark/>
          </w:tcPr>
          <w:p w:rsidR="00C2229E" w:rsidRPr="00171604" w:rsidRDefault="00C2229E" w:rsidP="00F46334">
            <w:pPr>
              <w:spacing w:line="240" w:lineRule="auto"/>
              <w:jc w:val="both"/>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Nav</w:t>
            </w:r>
          </w:p>
        </w:tc>
      </w:tr>
    </w:tbl>
    <w:p w:rsidR="00956521" w:rsidRPr="00171604" w:rsidRDefault="00956521" w:rsidP="00F46334">
      <w:pPr>
        <w:tabs>
          <w:tab w:val="left" w:pos="7655"/>
        </w:tabs>
        <w:spacing w:line="240" w:lineRule="auto"/>
        <w:jc w:val="both"/>
        <w:rPr>
          <w:rFonts w:ascii="Times New Roman" w:hAnsi="Times New Roman" w:cs="Times New Roman"/>
          <w:bCs/>
          <w:sz w:val="26"/>
          <w:szCs w:val="26"/>
        </w:rPr>
      </w:pPr>
      <w:r w:rsidRPr="00171604">
        <w:rPr>
          <w:rFonts w:ascii="Times New Roman" w:hAnsi="Times New Roman" w:cs="Times New Roman"/>
          <w:bCs/>
          <w:sz w:val="26"/>
          <w:szCs w:val="26"/>
        </w:rPr>
        <w:t xml:space="preserve"> </w:t>
      </w: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2268"/>
        <w:gridCol w:w="5387"/>
      </w:tblGrid>
      <w:tr w:rsidR="00956521" w:rsidRPr="00171604" w:rsidTr="003105D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221970">
            <w:pPr>
              <w:spacing w:after="0" w:line="240" w:lineRule="auto"/>
              <w:jc w:val="center"/>
              <w:rPr>
                <w:rFonts w:ascii="Times New Roman" w:eastAsia="Times New Roman" w:hAnsi="Times New Roman" w:cs="Times New Roman"/>
                <w:b/>
                <w:sz w:val="24"/>
                <w:szCs w:val="24"/>
                <w:lang w:eastAsia="lv-LV"/>
              </w:rPr>
            </w:pPr>
            <w:r w:rsidRPr="00171604">
              <w:rPr>
                <w:rFonts w:ascii="Times New Roman" w:hAnsi="Times New Roman" w:cs="Times New Roman"/>
                <w:b/>
                <w:bCs/>
                <w:sz w:val="24"/>
                <w:szCs w:val="24"/>
              </w:rPr>
              <w:t>VI. Sabiedrības līdzdalība un komunikācijas aktivitātes</w:t>
            </w:r>
          </w:p>
        </w:tc>
      </w:tr>
      <w:tr w:rsidR="00956521" w:rsidRPr="00171604"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221970">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221970">
            <w:pPr>
              <w:spacing w:after="0" w:line="240" w:lineRule="auto"/>
              <w:rPr>
                <w:rFonts w:ascii="Times New Roman" w:eastAsia="Times New Roman" w:hAnsi="Times New Roman" w:cs="Times New Roman"/>
                <w:sz w:val="24"/>
                <w:szCs w:val="24"/>
                <w:lang w:eastAsia="lv-LV"/>
              </w:rPr>
            </w:pPr>
            <w:r w:rsidRPr="00171604">
              <w:rPr>
                <w:rFonts w:ascii="Times New Roman" w:hAnsi="Times New Roman" w:cs="Times New Roman"/>
                <w:sz w:val="24"/>
                <w:szCs w:val="24"/>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D677E3" w:rsidP="00221970">
            <w:pPr>
              <w:spacing w:after="0" w:line="240" w:lineRule="auto"/>
              <w:ind w:left="124"/>
              <w:jc w:val="both"/>
              <w:rPr>
                <w:rFonts w:ascii="Times New Roman" w:eastAsia="Times New Roman" w:hAnsi="Times New Roman" w:cs="Times New Roman"/>
                <w:sz w:val="24"/>
                <w:szCs w:val="24"/>
                <w:lang w:eastAsia="lv-LV"/>
              </w:rPr>
            </w:pPr>
            <w:r w:rsidRPr="00171604">
              <w:rPr>
                <w:rFonts w:ascii="Times New Roman" w:eastAsia="Times New Roman" w:hAnsi="Times New Roman" w:cs="Times New Roman"/>
                <w:iCs/>
                <w:sz w:val="24"/>
                <w:szCs w:val="24"/>
                <w:lang w:eastAsia="lv-LV"/>
              </w:rPr>
              <w:t>Grozījumi ir labvēlīgāki potenciālajiem projektu iesniedzējiem salīdzinājumā ar spēkā esošajiem noteikumiem, tāpēc konsultācijas nebija nepieciešams rīkot.</w:t>
            </w:r>
          </w:p>
        </w:tc>
      </w:tr>
      <w:tr w:rsidR="00956521" w:rsidRPr="00171604"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221970">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221970">
            <w:pPr>
              <w:spacing w:after="0" w:line="240" w:lineRule="auto"/>
              <w:rPr>
                <w:rFonts w:ascii="Times New Roman" w:eastAsia="Times New Roman" w:hAnsi="Times New Roman" w:cs="Times New Roman"/>
                <w:sz w:val="24"/>
                <w:szCs w:val="24"/>
                <w:lang w:eastAsia="lv-LV"/>
              </w:rPr>
            </w:pPr>
            <w:r w:rsidRPr="00171604">
              <w:rPr>
                <w:rFonts w:ascii="Times New Roman" w:hAnsi="Times New Roman" w:cs="Times New Roman"/>
                <w:sz w:val="24"/>
                <w:szCs w:val="24"/>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D677E3" w:rsidP="00221970">
            <w:pPr>
              <w:spacing w:after="0" w:line="240" w:lineRule="auto"/>
              <w:ind w:left="124"/>
              <w:jc w:val="both"/>
              <w:rPr>
                <w:rFonts w:ascii="Times New Roman" w:eastAsia="Times New Roman" w:hAnsi="Times New Roman" w:cs="Times New Roman"/>
                <w:iCs/>
                <w:sz w:val="24"/>
                <w:szCs w:val="24"/>
                <w:lang w:eastAsia="lv-LV"/>
              </w:rPr>
            </w:pPr>
            <w:r w:rsidRPr="00171604">
              <w:rPr>
                <w:rFonts w:ascii="Times New Roman" w:eastAsia="Times New Roman" w:hAnsi="Times New Roman" w:cs="Times New Roman"/>
                <w:iCs/>
                <w:sz w:val="24"/>
                <w:szCs w:val="24"/>
                <w:lang w:eastAsia="lv-LV"/>
              </w:rPr>
              <w:t xml:space="preserve">Grozījumi ir labvēlīgāki potenciālajiem projektu iesniedzējiem salīdzinājumā ar spēkā esošajiem </w:t>
            </w:r>
            <w:r w:rsidRPr="00171604">
              <w:rPr>
                <w:rFonts w:ascii="Times New Roman" w:eastAsia="Times New Roman" w:hAnsi="Times New Roman" w:cs="Times New Roman"/>
                <w:iCs/>
                <w:sz w:val="24"/>
                <w:szCs w:val="24"/>
                <w:lang w:eastAsia="lv-LV"/>
              </w:rPr>
              <w:lastRenderedPageBreak/>
              <w:t>noteikumiem, tāpēc konsultācijas nebija nepieciešams rīkot.</w:t>
            </w:r>
          </w:p>
        </w:tc>
      </w:tr>
      <w:tr w:rsidR="00956521" w:rsidRPr="00171604" w:rsidTr="00D5213A">
        <w:trPr>
          <w:trHeight w:val="930"/>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221970">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lastRenderedPageBreak/>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221970">
            <w:pPr>
              <w:spacing w:after="0" w:line="240" w:lineRule="auto"/>
              <w:rPr>
                <w:rFonts w:ascii="Times New Roman" w:eastAsia="Times New Roman" w:hAnsi="Times New Roman" w:cs="Times New Roman"/>
                <w:sz w:val="24"/>
                <w:szCs w:val="24"/>
                <w:lang w:eastAsia="lv-LV"/>
              </w:rPr>
            </w:pPr>
            <w:r w:rsidRPr="00171604">
              <w:rPr>
                <w:rFonts w:ascii="Times New Roman" w:hAnsi="Times New Roman" w:cs="Times New Roman"/>
                <w:sz w:val="24"/>
                <w:szCs w:val="24"/>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D677E3" w:rsidP="00221970">
            <w:pPr>
              <w:spacing w:after="0" w:line="240" w:lineRule="auto"/>
              <w:ind w:left="124"/>
              <w:jc w:val="both"/>
              <w:rPr>
                <w:rFonts w:ascii="Times New Roman" w:eastAsia="Times New Roman" w:hAnsi="Times New Roman" w:cs="Times New Roman"/>
                <w:b/>
                <w:sz w:val="24"/>
                <w:szCs w:val="24"/>
                <w:lang w:eastAsia="lv-LV"/>
              </w:rPr>
            </w:pPr>
            <w:r w:rsidRPr="00171604">
              <w:rPr>
                <w:rFonts w:ascii="Times New Roman" w:eastAsia="Times New Roman" w:hAnsi="Times New Roman" w:cs="Times New Roman"/>
                <w:iCs/>
                <w:sz w:val="24"/>
                <w:szCs w:val="24"/>
                <w:lang w:eastAsia="lv-LV"/>
              </w:rPr>
              <w:t>Grozījumi ir labvēlīgāki potenciālajiem projektu iesniedzējiem salīdzinājumā ar spēkā esošajiem noteikumiem, tāpēc konsultācijas nebija nepieciešams rīkot.</w:t>
            </w:r>
          </w:p>
        </w:tc>
      </w:tr>
      <w:tr w:rsidR="00956521" w:rsidRPr="00171604" w:rsidTr="00D5213A">
        <w:trPr>
          <w:trHeight w:val="912"/>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221970">
            <w:pPr>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4</w:t>
            </w:r>
            <w:r w:rsidR="00956521" w:rsidRPr="00171604">
              <w:rPr>
                <w:rFonts w:ascii="Times New Roman" w:eastAsia="Times New Roman" w:hAnsi="Times New Roman" w:cs="Times New Roman"/>
                <w:sz w:val="24"/>
                <w:szCs w:val="24"/>
                <w:lang w:eastAsia="lv-LV"/>
              </w:rPr>
              <w:t>.</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56521" w:rsidP="00221970">
            <w:pPr>
              <w:spacing w:after="0" w:line="240" w:lineRule="auto"/>
              <w:rPr>
                <w:rFonts w:ascii="Times New Roman" w:eastAsia="Times New Roman" w:hAnsi="Times New Roman" w:cs="Times New Roman"/>
                <w:sz w:val="24"/>
                <w:szCs w:val="24"/>
                <w:lang w:eastAsia="lv-LV"/>
              </w:rPr>
            </w:pPr>
            <w:r w:rsidRPr="00171604">
              <w:rPr>
                <w:rFonts w:ascii="Times New Roman" w:hAnsi="Times New Roman" w:cs="Times New Roman"/>
                <w:sz w:val="24"/>
                <w:szCs w:val="24"/>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E70ADF" w:rsidP="00221970">
            <w:pPr>
              <w:spacing w:after="0" w:line="240" w:lineRule="auto"/>
              <w:ind w:firstLine="284"/>
              <w:jc w:val="both"/>
              <w:rPr>
                <w:rFonts w:ascii="Times New Roman" w:eastAsia="Times New Roman" w:hAnsi="Times New Roman" w:cs="Times New Roman"/>
                <w:sz w:val="24"/>
                <w:szCs w:val="24"/>
                <w:lang w:eastAsia="lv-LV"/>
              </w:rPr>
            </w:pPr>
            <w:r w:rsidRPr="00171604">
              <w:rPr>
                <w:rFonts w:ascii="Times New Roman" w:eastAsia="Times New Roman" w:hAnsi="Times New Roman" w:cs="Times New Roman"/>
                <w:iCs/>
                <w:sz w:val="24"/>
                <w:szCs w:val="24"/>
                <w:lang w:eastAsia="lv-LV"/>
              </w:rPr>
              <w:t>Nav</w:t>
            </w:r>
          </w:p>
        </w:tc>
      </w:tr>
    </w:tbl>
    <w:p w:rsidR="00956521" w:rsidRPr="00171604" w:rsidRDefault="00956521" w:rsidP="00F46334">
      <w:pPr>
        <w:tabs>
          <w:tab w:val="left" w:pos="7655"/>
        </w:tabs>
        <w:spacing w:line="240" w:lineRule="auto"/>
        <w:jc w:val="both"/>
        <w:rPr>
          <w:rFonts w:ascii="Times New Roman" w:hAnsi="Times New Roman" w:cs="Times New Roman"/>
          <w:bCs/>
          <w:sz w:val="24"/>
          <w:szCs w:val="24"/>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111"/>
        <w:gridCol w:w="3544"/>
      </w:tblGrid>
      <w:tr w:rsidR="00956521" w:rsidRPr="002A276B" w:rsidTr="00D5213A">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F46334">
            <w:pPr>
              <w:spacing w:line="240" w:lineRule="auto"/>
              <w:jc w:val="center"/>
              <w:rPr>
                <w:rFonts w:ascii="Times New Roman" w:eastAsia="Times New Roman" w:hAnsi="Times New Roman" w:cs="Times New Roman"/>
                <w:b/>
                <w:sz w:val="24"/>
                <w:szCs w:val="24"/>
                <w:lang w:eastAsia="lv-LV"/>
              </w:rPr>
            </w:pPr>
            <w:r w:rsidRPr="002A276B">
              <w:rPr>
                <w:rFonts w:ascii="Times New Roman" w:eastAsia="Times New Roman" w:hAnsi="Times New Roman" w:cs="Times New Roman"/>
                <w:b/>
                <w:sz w:val="24"/>
                <w:szCs w:val="24"/>
                <w:lang w:eastAsia="lv-LV"/>
              </w:rPr>
              <w:t>VII. Tiesību akta projekta izpildes nodrošināšana un tās ietekme uz institūcijām</w:t>
            </w:r>
          </w:p>
        </w:tc>
      </w:tr>
      <w:tr w:rsidR="00956521" w:rsidRPr="002A276B"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1.</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695B8D">
            <w:pPr>
              <w:spacing w:line="240" w:lineRule="auto"/>
              <w:ind w:left="142"/>
              <w:jc w:val="both"/>
              <w:rPr>
                <w:rFonts w:ascii="Times New Roman" w:hAnsi="Times New Roman" w:cs="Times New Roman"/>
                <w:sz w:val="24"/>
                <w:szCs w:val="24"/>
                <w:lang w:eastAsia="lv-LV"/>
              </w:rPr>
            </w:pPr>
            <w:r w:rsidRPr="002A276B">
              <w:rPr>
                <w:rFonts w:ascii="Times New Roman" w:hAnsi="Times New Roman" w:cs="Times New Roman"/>
                <w:sz w:val="24"/>
                <w:szCs w:val="24"/>
              </w:rPr>
              <w:t xml:space="preserve">Noteikumu projekta izpildē ir iesaistīta </w:t>
            </w:r>
            <w:r w:rsidR="00695B8D" w:rsidRPr="002A276B">
              <w:rPr>
                <w:rFonts w:ascii="Times New Roman" w:hAnsi="Times New Roman" w:cs="Times New Roman"/>
                <w:sz w:val="24"/>
                <w:szCs w:val="24"/>
              </w:rPr>
              <w:t>LIAA</w:t>
            </w:r>
          </w:p>
        </w:tc>
      </w:tr>
      <w:tr w:rsidR="00956521" w:rsidRPr="002A276B"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2.</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2A276B" w:rsidRDefault="009C2393" w:rsidP="00F46334">
            <w:pPr>
              <w:spacing w:after="0"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Projekta izpildes ietekme uz pārvaldes funkcijām un institucionālo struktūru.</w:t>
            </w:r>
          </w:p>
          <w:p w:rsidR="00956521" w:rsidRPr="002A276B" w:rsidRDefault="009C2393" w:rsidP="00F46334">
            <w:pPr>
              <w:spacing w:after="0"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695B8D">
            <w:pPr>
              <w:spacing w:line="240" w:lineRule="auto"/>
              <w:ind w:left="142"/>
              <w:jc w:val="both"/>
              <w:rPr>
                <w:rFonts w:ascii="Times New Roman" w:hAnsi="Times New Roman" w:cs="Times New Roman"/>
                <w:sz w:val="24"/>
                <w:szCs w:val="24"/>
              </w:rPr>
            </w:pPr>
            <w:r w:rsidRPr="002A276B">
              <w:rPr>
                <w:rFonts w:ascii="Times New Roman" w:hAnsi="Times New Roman" w:cs="Times New Roman"/>
                <w:sz w:val="24"/>
                <w:szCs w:val="24"/>
              </w:rPr>
              <w:t xml:space="preserve">Noteikumu projekta izpildi nodrošinās </w:t>
            </w:r>
            <w:r w:rsidR="00695B8D" w:rsidRPr="002A276B">
              <w:rPr>
                <w:rFonts w:ascii="Times New Roman" w:hAnsi="Times New Roman" w:cs="Times New Roman"/>
                <w:sz w:val="24"/>
                <w:szCs w:val="24"/>
              </w:rPr>
              <w:t>LIAA</w:t>
            </w:r>
            <w:r w:rsidR="00173EE6" w:rsidRPr="002A276B">
              <w:rPr>
                <w:rFonts w:ascii="Times New Roman" w:hAnsi="Times New Roman" w:cs="Times New Roman"/>
                <w:sz w:val="24"/>
                <w:szCs w:val="24"/>
              </w:rPr>
              <w:t xml:space="preserve"> </w:t>
            </w:r>
            <w:r w:rsidRPr="002A276B">
              <w:rPr>
                <w:rFonts w:ascii="Times New Roman" w:hAnsi="Times New Roman" w:cs="Times New Roman"/>
                <w:sz w:val="24"/>
                <w:szCs w:val="24"/>
              </w:rPr>
              <w:t>darbības ietvaros.</w:t>
            </w:r>
          </w:p>
        </w:tc>
      </w:tr>
      <w:tr w:rsidR="00956521" w:rsidRPr="00171604"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C2393"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3</w:t>
            </w:r>
            <w:r w:rsidR="00956521" w:rsidRPr="002A276B">
              <w:rPr>
                <w:rFonts w:ascii="Times New Roman" w:eastAsia="Times New Roman" w:hAnsi="Times New Roman" w:cs="Times New Roman"/>
                <w:sz w:val="24"/>
                <w:szCs w:val="24"/>
                <w:lang w:eastAsia="lv-LV"/>
              </w:rPr>
              <w: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2A276B" w:rsidRDefault="00956521" w:rsidP="00F46334">
            <w:pPr>
              <w:spacing w:line="240" w:lineRule="auto"/>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171604" w:rsidRDefault="009C2393" w:rsidP="00F46334">
            <w:pPr>
              <w:spacing w:line="240" w:lineRule="auto"/>
              <w:ind w:firstLine="284"/>
              <w:rPr>
                <w:rFonts w:ascii="Times New Roman" w:eastAsia="Times New Roman" w:hAnsi="Times New Roman" w:cs="Times New Roman"/>
                <w:sz w:val="24"/>
                <w:szCs w:val="24"/>
                <w:lang w:eastAsia="lv-LV"/>
              </w:rPr>
            </w:pPr>
            <w:r w:rsidRPr="002A276B">
              <w:rPr>
                <w:rFonts w:ascii="Times New Roman" w:eastAsia="Times New Roman" w:hAnsi="Times New Roman" w:cs="Times New Roman"/>
                <w:sz w:val="24"/>
                <w:szCs w:val="24"/>
                <w:lang w:eastAsia="lv-LV"/>
              </w:rPr>
              <w:t>Nav</w:t>
            </w:r>
          </w:p>
        </w:tc>
      </w:tr>
    </w:tbl>
    <w:p w:rsidR="004A5A6A" w:rsidRPr="00171604" w:rsidRDefault="004A5A6A"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171604" w:rsidRDefault="00136F34" w:rsidP="00F46334">
      <w:pPr>
        <w:tabs>
          <w:tab w:val="left" w:pos="6710"/>
        </w:tabs>
        <w:spacing w:after="0" w:line="240" w:lineRule="auto"/>
        <w:rPr>
          <w:rFonts w:ascii="Times New Roman" w:eastAsia="Times New Roman" w:hAnsi="Times New Roman" w:cs="Times New Roman"/>
          <w:b/>
          <w:sz w:val="24"/>
          <w:szCs w:val="24"/>
          <w:lang w:eastAsia="lv-LV"/>
        </w:rPr>
      </w:pPr>
      <w:r w:rsidRPr="00171604">
        <w:rPr>
          <w:rFonts w:ascii="Times New Roman" w:eastAsia="Times New Roman" w:hAnsi="Times New Roman" w:cs="Times New Roman"/>
          <w:b/>
          <w:sz w:val="24"/>
          <w:szCs w:val="24"/>
          <w:lang w:eastAsia="lv-LV"/>
        </w:rPr>
        <w:t xml:space="preserve">Anotācijas III. </w:t>
      </w:r>
      <w:r w:rsidR="006E5DAC" w:rsidRPr="00171604">
        <w:rPr>
          <w:rFonts w:ascii="Times New Roman" w:eastAsia="Times New Roman" w:hAnsi="Times New Roman" w:cs="Times New Roman"/>
          <w:b/>
          <w:sz w:val="24"/>
          <w:szCs w:val="24"/>
          <w:lang w:eastAsia="lv-LV"/>
        </w:rPr>
        <w:t>sadaļa - projekts šīs jomas neskar.</w:t>
      </w:r>
    </w:p>
    <w:p w:rsidR="00956521" w:rsidRPr="00171604"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171604"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171604" w:rsidRDefault="00B37073" w:rsidP="00F46334">
      <w:pPr>
        <w:tabs>
          <w:tab w:val="right" w:pos="9071"/>
        </w:tabs>
        <w:spacing w:after="0" w:line="240" w:lineRule="auto"/>
        <w:jc w:val="both"/>
        <w:rPr>
          <w:rFonts w:ascii="Times New Roman" w:hAnsi="Times New Roman" w:cs="Times New Roman"/>
          <w:color w:val="000000" w:themeColor="text1"/>
          <w:sz w:val="24"/>
          <w:szCs w:val="24"/>
        </w:rPr>
      </w:pPr>
      <w:r w:rsidRPr="00171604">
        <w:rPr>
          <w:rFonts w:ascii="Times New Roman" w:hAnsi="Times New Roman" w:cs="Times New Roman"/>
          <w:color w:val="000000" w:themeColor="text1"/>
          <w:sz w:val="24"/>
          <w:szCs w:val="24"/>
        </w:rPr>
        <w:t xml:space="preserve">Ekonomikas ministrs </w:t>
      </w:r>
      <w:r w:rsidRPr="00171604">
        <w:rPr>
          <w:rFonts w:ascii="Times New Roman" w:hAnsi="Times New Roman" w:cs="Times New Roman"/>
          <w:color w:val="000000" w:themeColor="text1"/>
          <w:sz w:val="24"/>
          <w:szCs w:val="24"/>
        </w:rPr>
        <w:tab/>
      </w:r>
      <w:proofErr w:type="spellStart"/>
      <w:r w:rsidR="00E73C53" w:rsidRPr="00171604">
        <w:rPr>
          <w:rFonts w:ascii="Times New Roman" w:hAnsi="Times New Roman" w:cs="Times New Roman"/>
          <w:color w:val="000000" w:themeColor="text1"/>
          <w:sz w:val="24"/>
          <w:szCs w:val="24"/>
        </w:rPr>
        <w:t>V.Dombrovskis</w:t>
      </w:r>
      <w:proofErr w:type="spellEnd"/>
    </w:p>
    <w:p w:rsidR="00956521" w:rsidRPr="00171604"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956521" w:rsidRPr="00171604"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B37073" w:rsidRPr="00171604" w:rsidRDefault="00325BD8" w:rsidP="00325BD8">
      <w:pPr>
        <w:tabs>
          <w:tab w:val="right" w:pos="9071"/>
        </w:tabs>
        <w:spacing w:after="0" w:line="240" w:lineRule="auto"/>
        <w:jc w:val="both"/>
        <w:rPr>
          <w:rFonts w:ascii="Times New Roman" w:hAnsi="Times New Roman" w:cs="Times New Roman"/>
          <w:color w:val="000000" w:themeColor="text1"/>
          <w:sz w:val="24"/>
          <w:szCs w:val="24"/>
        </w:rPr>
      </w:pPr>
      <w:r w:rsidRPr="00171604">
        <w:rPr>
          <w:rFonts w:ascii="Times New Roman" w:hAnsi="Times New Roman" w:cs="Times New Roman"/>
          <w:color w:val="000000" w:themeColor="text1"/>
          <w:sz w:val="24"/>
          <w:szCs w:val="24"/>
        </w:rPr>
        <w:t>Vīza: Valsts sekretārs</w:t>
      </w:r>
      <w:r w:rsidR="002D7BE6" w:rsidRPr="00171604">
        <w:rPr>
          <w:rFonts w:ascii="Times New Roman" w:hAnsi="Times New Roman" w:cs="Times New Roman"/>
          <w:color w:val="000000" w:themeColor="text1"/>
          <w:sz w:val="24"/>
          <w:szCs w:val="24"/>
        </w:rPr>
        <w:tab/>
      </w:r>
      <w:proofErr w:type="spellStart"/>
      <w:r w:rsidRPr="00171604">
        <w:rPr>
          <w:rFonts w:ascii="Times New Roman" w:hAnsi="Times New Roman" w:cs="Times New Roman"/>
          <w:color w:val="000000" w:themeColor="text1"/>
          <w:sz w:val="24"/>
          <w:szCs w:val="24"/>
        </w:rPr>
        <w:t>M.Lazdovskis</w:t>
      </w:r>
      <w:proofErr w:type="spellEnd"/>
    </w:p>
    <w:p w:rsidR="008C2C38" w:rsidRPr="008E2544" w:rsidRDefault="00956521" w:rsidP="008E254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171604">
        <w:rPr>
          <w:rFonts w:ascii="Times New Roman" w:eastAsia="Times New Roman" w:hAnsi="Times New Roman" w:cs="Times New Roman"/>
          <w:sz w:val="24"/>
          <w:szCs w:val="24"/>
          <w:lang w:eastAsia="lv-LV"/>
        </w:rPr>
        <w:tab/>
      </w:r>
    </w:p>
    <w:p w:rsidR="008C2C38" w:rsidRPr="00171604" w:rsidRDefault="008C2C38" w:rsidP="00F46334">
      <w:pPr>
        <w:widowControl w:val="0"/>
        <w:spacing w:after="0" w:line="240" w:lineRule="auto"/>
        <w:jc w:val="both"/>
        <w:rPr>
          <w:rFonts w:ascii="Times New Roman" w:eastAsia="Times New Roman" w:hAnsi="Times New Roman" w:cs="Times New Roman"/>
          <w:sz w:val="20"/>
          <w:szCs w:val="20"/>
        </w:rPr>
      </w:pPr>
    </w:p>
    <w:p w:rsidR="008C2C38" w:rsidRPr="00171604" w:rsidRDefault="008C2C38" w:rsidP="00F46334">
      <w:pPr>
        <w:widowControl w:val="0"/>
        <w:spacing w:after="0" w:line="240" w:lineRule="auto"/>
        <w:jc w:val="both"/>
        <w:rPr>
          <w:rFonts w:ascii="Times New Roman" w:eastAsia="Times New Roman" w:hAnsi="Times New Roman" w:cs="Times New Roman"/>
          <w:sz w:val="20"/>
          <w:szCs w:val="20"/>
        </w:rPr>
      </w:pPr>
    </w:p>
    <w:p w:rsidR="006C0BE8" w:rsidRPr="00171604" w:rsidRDefault="008F07BC"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09.10.2014 15:09</w:t>
      </w:r>
      <w:bookmarkStart w:id="11" w:name="_GoBack"/>
      <w:bookmarkEnd w:id="11"/>
    </w:p>
    <w:p w:rsidR="00956521" w:rsidRPr="00171604" w:rsidRDefault="008F07BC"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Pr="008F07BC">
        <w:rPr>
          <w:rFonts w:ascii="Times New Roman" w:eastAsia="Times New Roman" w:hAnsi="Times New Roman" w:cs="Times New Roman"/>
          <w:noProof/>
          <w:sz w:val="20"/>
          <w:szCs w:val="20"/>
        </w:rPr>
        <w:t>3595</w:t>
      </w:r>
      <w:r>
        <w:rPr>
          <w:rFonts w:ascii="Times New Roman" w:eastAsia="Times New Roman" w:hAnsi="Times New Roman" w:cs="Times New Roman"/>
          <w:noProof/>
          <w:sz w:val="20"/>
          <w:szCs w:val="20"/>
        </w:rPr>
        <w:fldChar w:fldCharType="end"/>
      </w:r>
    </w:p>
    <w:p w:rsidR="00C54394" w:rsidRPr="00171604" w:rsidRDefault="005846F0" w:rsidP="003D557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Purmalietis</w:t>
      </w:r>
      <w:r w:rsidR="00C54394" w:rsidRPr="00171604">
        <w:rPr>
          <w:rFonts w:ascii="Times New Roman" w:eastAsia="Times New Roman" w:hAnsi="Times New Roman" w:cs="Times New Roman"/>
          <w:sz w:val="20"/>
          <w:szCs w:val="20"/>
        </w:rPr>
        <w:t xml:space="preserve">, </w:t>
      </w:r>
      <w:r w:rsidR="00956521" w:rsidRPr="00171604">
        <w:rPr>
          <w:rFonts w:ascii="Times New Roman" w:eastAsia="Times New Roman" w:hAnsi="Times New Roman" w:cs="Times New Roman"/>
          <w:sz w:val="20"/>
          <w:szCs w:val="20"/>
        </w:rPr>
        <w:t>67013</w:t>
      </w:r>
      <w:r>
        <w:rPr>
          <w:rFonts w:ascii="Times New Roman" w:eastAsia="Times New Roman" w:hAnsi="Times New Roman" w:cs="Times New Roman"/>
          <w:sz w:val="20"/>
          <w:szCs w:val="20"/>
        </w:rPr>
        <w:t>108</w:t>
      </w:r>
    </w:p>
    <w:p w:rsidR="004F0FF7" w:rsidRDefault="005846F0" w:rsidP="003D5573">
      <w:pPr>
        <w:widowControl w:val="0"/>
        <w:spacing w:after="0" w:line="240" w:lineRule="auto"/>
        <w:jc w:val="both"/>
      </w:pPr>
      <w:r>
        <w:rPr>
          <w:rFonts w:ascii="Times New Roman" w:eastAsia="Times New Roman" w:hAnsi="Times New Roman" w:cs="Times New Roman"/>
          <w:sz w:val="20"/>
          <w:szCs w:val="20"/>
        </w:rPr>
        <w:t>Kaspars.Purmalietis</w:t>
      </w:r>
      <w:r w:rsidR="00956521" w:rsidRPr="00171604">
        <w:rPr>
          <w:rFonts w:ascii="Times New Roman" w:eastAsia="Times New Roman" w:hAnsi="Times New Roman" w:cs="Times New Roman"/>
          <w:sz w:val="20"/>
          <w:szCs w:val="20"/>
        </w:rPr>
        <w:t>@em.gov.lv</w:t>
      </w:r>
    </w:p>
    <w:sectPr w:rsidR="004F0FF7" w:rsidSect="00761BA7">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95" w:rsidRDefault="00CB6995" w:rsidP="00F06DFF">
      <w:pPr>
        <w:spacing w:after="0" w:line="240" w:lineRule="auto"/>
      </w:pPr>
      <w:r>
        <w:separator/>
      </w:r>
    </w:p>
  </w:endnote>
  <w:endnote w:type="continuationSeparator" w:id="0">
    <w:p w:rsidR="00CB6995" w:rsidRDefault="00CB6995"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95" w:rsidRPr="00221970" w:rsidRDefault="008F07BC" w:rsidP="00221970">
    <w:pPr>
      <w:pStyle w:val="Footer"/>
      <w:jc w:val="both"/>
      <w:rPr>
        <w:rFonts w:ascii="Times New Roman" w:hAnsi="Times New Roman" w:cs="Times New Roman"/>
      </w:rPr>
    </w:pPr>
    <w:r>
      <w:fldChar w:fldCharType="begin"/>
    </w:r>
    <w:r>
      <w:instrText xml:space="preserve"> FILENAME   \* MERGEFORMAT </w:instrText>
    </w:r>
    <w:r>
      <w:fldChar w:fldCharType="separate"/>
    </w:r>
    <w:r w:rsidR="002A276B" w:rsidRPr="002A276B">
      <w:rPr>
        <w:rFonts w:ascii="Times New Roman" w:hAnsi="Times New Roman"/>
        <w:noProof/>
        <w:sz w:val="20"/>
        <w:szCs w:val="20"/>
      </w:rPr>
      <w:t>EMANOT_091014_GROZ361</w:t>
    </w:r>
    <w:r>
      <w:rPr>
        <w:rFonts w:ascii="Times New Roman" w:hAnsi="Times New Roman"/>
        <w:noProof/>
        <w:sz w:val="20"/>
        <w:szCs w:val="20"/>
      </w:rPr>
      <w:fldChar w:fldCharType="end"/>
    </w:r>
    <w:r w:rsidR="00CB6995" w:rsidRPr="00221970">
      <w:rPr>
        <w:rFonts w:ascii="Times New Roman" w:hAnsi="Times New Roman" w:cs="Times New Roman"/>
        <w:sz w:val="20"/>
        <w:szCs w:val="20"/>
      </w:rPr>
      <w:t xml:space="preserve">; </w:t>
    </w:r>
    <w:r w:rsidR="00CB6995" w:rsidRPr="001B6672">
      <w:rPr>
        <w:rFonts w:ascii="Times New Roman" w:hAnsi="Times New Roman" w:cs="Times New Roman"/>
        <w:sz w:val="20"/>
        <w:szCs w:val="20"/>
      </w:rPr>
      <w:t>Ministru kabineta noteikumu projekta „</w:t>
    </w:r>
    <w:r w:rsidR="00CB6995" w:rsidRPr="006954B9">
      <w:rPr>
        <w:rFonts w:ascii="Times New Roman" w:hAnsi="Times New Roman" w:cs="Times New Roman"/>
        <w:sz w:val="20"/>
        <w:szCs w:val="20"/>
      </w:rPr>
      <w:t>Grozījumi Ministru kabineta 2010.gada 13.aprīļa noteikumos Nr.361 „Noteikumi par darbības programmas „Uzņēmējdarbība un inovācijas” papildinājuma 2.1.2.1.1.apakšaktivitāti „Kompetences centri”</w:t>
    </w:r>
    <w:r w:rsidR="00CB6995" w:rsidRPr="001B6672">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95" w:rsidRPr="00434CB4" w:rsidRDefault="008F07BC" w:rsidP="00434CB4">
    <w:pPr>
      <w:pStyle w:val="Footer"/>
      <w:jc w:val="both"/>
      <w:rPr>
        <w:rFonts w:ascii="Times New Roman" w:hAnsi="Times New Roman" w:cs="Times New Roman"/>
      </w:rPr>
    </w:pPr>
    <w:r>
      <w:fldChar w:fldCharType="begin"/>
    </w:r>
    <w:r>
      <w:instrText xml:space="preserve"> FILENAME   \* MERGEFORMAT </w:instrText>
    </w:r>
    <w:r>
      <w:fldChar w:fldCharType="separate"/>
    </w:r>
    <w:r w:rsidR="002A276B" w:rsidRPr="002A276B">
      <w:rPr>
        <w:rFonts w:ascii="Times New Roman" w:hAnsi="Times New Roman"/>
        <w:noProof/>
        <w:sz w:val="20"/>
        <w:szCs w:val="20"/>
      </w:rPr>
      <w:t>EMANOT_091014_GROZ361</w:t>
    </w:r>
    <w:r>
      <w:rPr>
        <w:rFonts w:ascii="Times New Roman" w:hAnsi="Times New Roman"/>
        <w:noProof/>
        <w:sz w:val="20"/>
        <w:szCs w:val="20"/>
      </w:rPr>
      <w:fldChar w:fldCharType="end"/>
    </w:r>
    <w:r w:rsidR="00CB6995" w:rsidRPr="00221970">
      <w:rPr>
        <w:rFonts w:ascii="Times New Roman" w:hAnsi="Times New Roman" w:cs="Times New Roman"/>
        <w:sz w:val="20"/>
        <w:szCs w:val="20"/>
      </w:rPr>
      <w:t xml:space="preserve">; </w:t>
    </w:r>
    <w:r w:rsidR="00CB6995" w:rsidRPr="001B6672">
      <w:rPr>
        <w:rFonts w:ascii="Times New Roman" w:hAnsi="Times New Roman" w:cs="Times New Roman"/>
        <w:sz w:val="20"/>
        <w:szCs w:val="20"/>
      </w:rPr>
      <w:t>Ministru kabineta noteikumu projekta „</w:t>
    </w:r>
    <w:r w:rsidR="00CB6995" w:rsidRPr="006954B9">
      <w:rPr>
        <w:rFonts w:ascii="Times New Roman" w:hAnsi="Times New Roman" w:cs="Times New Roman"/>
        <w:sz w:val="20"/>
        <w:szCs w:val="20"/>
      </w:rPr>
      <w:t>Grozījumi Ministru kabineta 2010.gada 13.aprīļa noteikumos Nr.361 „Noteikumi par darbības programmas „Uzņēmējdarbība un inovācijas” papildinājuma 2.1.2.1.1.apakšaktivitāti „Kompetences centri”</w:t>
    </w:r>
    <w:r w:rsidR="00CB6995">
      <w:rPr>
        <w:rFonts w:ascii="Times New Roman" w:hAnsi="Times New Roman" w:cs="Times New Roman"/>
        <w:sz w:val="20"/>
        <w:szCs w:val="20"/>
      </w:rPr>
      <w:t>”</w:t>
    </w:r>
    <w:r w:rsidR="00CB6995" w:rsidRPr="001B6672">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95" w:rsidRDefault="00CB6995" w:rsidP="00F06DFF">
      <w:pPr>
        <w:spacing w:after="0" w:line="240" w:lineRule="auto"/>
      </w:pPr>
      <w:r>
        <w:separator/>
      </w:r>
    </w:p>
  </w:footnote>
  <w:footnote w:type="continuationSeparator" w:id="0">
    <w:p w:rsidR="00CB6995" w:rsidRDefault="00CB6995"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CB6995" w:rsidRDefault="00CB6995">
        <w:pPr>
          <w:pStyle w:val="Header"/>
          <w:jc w:val="center"/>
        </w:pPr>
        <w:r>
          <w:fldChar w:fldCharType="begin"/>
        </w:r>
        <w:r>
          <w:instrText xml:space="preserve"> PAGE   \* MERGEFORMAT </w:instrText>
        </w:r>
        <w:r>
          <w:fldChar w:fldCharType="separate"/>
        </w:r>
        <w:r w:rsidR="008F07BC">
          <w:rPr>
            <w:noProof/>
          </w:rPr>
          <w:t>13</w:t>
        </w:r>
        <w:r>
          <w:rPr>
            <w:noProof/>
          </w:rPr>
          <w:fldChar w:fldCharType="end"/>
        </w:r>
      </w:p>
    </w:sdtContent>
  </w:sdt>
  <w:p w:rsidR="00CB6995" w:rsidRDefault="00CB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026"/>
    <w:multiLevelType w:val="hybridMultilevel"/>
    <w:tmpl w:val="4E9C3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5D4945"/>
    <w:multiLevelType w:val="hybridMultilevel"/>
    <w:tmpl w:val="922AEC3E"/>
    <w:lvl w:ilvl="0" w:tplc="04260005">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nsid w:val="17042B2E"/>
    <w:multiLevelType w:val="hybridMultilevel"/>
    <w:tmpl w:val="881E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851886"/>
    <w:multiLevelType w:val="hybridMultilevel"/>
    <w:tmpl w:val="3A9273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0A11004"/>
    <w:multiLevelType w:val="hybridMultilevel"/>
    <w:tmpl w:val="5F46706E"/>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nsid w:val="50E10A10"/>
    <w:multiLevelType w:val="hybridMultilevel"/>
    <w:tmpl w:val="38080A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29C7259"/>
    <w:multiLevelType w:val="hybridMultilevel"/>
    <w:tmpl w:val="27741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61E54C6"/>
    <w:multiLevelType w:val="hybridMultilevel"/>
    <w:tmpl w:val="4B02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EE221CC"/>
    <w:multiLevelType w:val="hybridMultilevel"/>
    <w:tmpl w:val="8D8E2D5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nsid w:val="70C46724"/>
    <w:multiLevelType w:val="hybridMultilevel"/>
    <w:tmpl w:val="55AC2CCC"/>
    <w:lvl w:ilvl="0" w:tplc="B0543B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1"/>
  </w:num>
  <w:num w:numId="3">
    <w:abstractNumId w:val="2"/>
  </w:num>
  <w:num w:numId="4">
    <w:abstractNumId w:val="5"/>
  </w:num>
  <w:num w:numId="5">
    <w:abstractNumId w:val="10"/>
  </w:num>
  <w:num w:numId="6">
    <w:abstractNumId w:val="3"/>
  </w:num>
  <w:num w:numId="7">
    <w:abstractNumId w:val="1"/>
  </w:num>
  <w:num w:numId="8">
    <w:abstractNumId w:val="9"/>
  </w:num>
  <w:num w:numId="9">
    <w:abstractNumId w:val="7"/>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020FB"/>
    <w:rsid w:val="000054C9"/>
    <w:rsid w:val="000175C5"/>
    <w:rsid w:val="00022856"/>
    <w:rsid w:val="0002774C"/>
    <w:rsid w:val="00027B9F"/>
    <w:rsid w:val="0003241D"/>
    <w:rsid w:val="00033362"/>
    <w:rsid w:val="000434E1"/>
    <w:rsid w:val="000445BA"/>
    <w:rsid w:val="00045E63"/>
    <w:rsid w:val="00052A96"/>
    <w:rsid w:val="00061C6D"/>
    <w:rsid w:val="000623B6"/>
    <w:rsid w:val="00063A17"/>
    <w:rsid w:val="00070FB2"/>
    <w:rsid w:val="0007583D"/>
    <w:rsid w:val="00084109"/>
    <w:rsid w:val="00084905"/>
    <w:rsid w:val="00086073"/>
    <w:rsid w:val="00090F37"/>
    <w:rsid w:val="00095AD1"/>
    <w:rsid w:val="000A0BB3"/>
    <w:rsid w:val="000A31E4"/>
    <w:rsid w:val="000B0C64"/>
    <w:rsid w:val="000B7EF7"/>
    <w:rsid w:val="000C356C"/>
    <w:rsid w:val="000C59B6"/>
    <w:rsid w:val="000D79AB"/>
    <w:rsid w:val="000D7B8E"/>
    <w:rsid w:val="000E4428"/>
    <w:rsid w:val="000E6C07"/>
    <w:rsid w:val="000F43DC"/>
    <w:rsid w:val="00110577"/>
    <w:rsid w:val="0011087F"/>
    <w:rsid w:val="00125585"/>
    <w:rsid w:val="00126F59"/>
    <w:rsid w:val="001302CD"/>
    <w:rsid w:val="00136F34"/>
    <w:rsid w:val="00142AFD"/>
    <w:rsid w:val="00143BC7"/>
    <w:rsid w:val="00144724"/>
    <w:rsid w:val="001453FF"/>
    <w:rsid w:val="00145869"/>
    <w:rsid w:val="00155D06"/>
    <w:rsid w:val="00161F61"/>
    <w:rsid w:val="0016272F"/>
    <w:rsid w:val="00162812"/>
    <w:rsid w:val="00164000"/>
    <w:rsid w:val="00164A33"/>
    <w:rsid w:val="00167A88"/>
    <w:rsid w:val="00171604"/>
    <w:rsid w:val="00173EE6"/>
    <w:rsid w:val="001756B6"/>
    <w:rsid w:val="00180103"/>
    <w:rsid w:val="00183287"/>
    <w:rsid w:val="001856E3"/>
    <w:rsid w:val="00185915"/>
    <w:rsid w:val="00185C5D"/>
    <w:rsid w:val="00191892"/>
    <w:rsid w:val="0019293D"/>
    <w:rsid w:val="00193210"/>
    <w:rsid w:val="001B5798"/>
    <w:rsid w:val="001B6672"/>
    <w:rsid w:val="001B674B"/>
    <w:rsid w:val="001C24F2"/>
    <w:rsid w:val="001C2F5E"/>
    <w:rsid w:val="001C6375"/>
    <w:rsid w:val="001C7116"/>
    <w:rsid w:val="001D0E99"/>
    <w:rsid w:val="001D1765"/>
    <w:rsid w:val="001E23D0"/>
    <w:rsid w:val="001F34E0"/>
    <w:rsid w:val="001F3E3C"/>
    <w:rsid w:val="001F5AB7"/>
    <w:rsid w:val="001F5CBE"/>
    <w:rsid w:val="001F6FB8"/>
    <w:rsid w:val="001F75FE"/>
    <w:rsid w:val="00200BEE"/>
    <w:rsid w:val="002072B5"/>
    <w:rsid w:val="00212A9E"/>
    <w:rsid w:val="00213F5C"/>
    <w:rsid w:val="00214E8F"/>
    <w:rsid w:val="00220D69"/>
    <w:rsid w:val="00221970"/>
    <w:rsid w:val="00222C2B"/>
    <w:rsid w:val="00223353"/>
    <w:rsid w:val="002264BF"/>
    <w:rsid w:val="0023148C"/>
    <w:rsid w:val="002330B6"/>
    <w:rsid w:val="0023500A"/>
    <w:rsid w:val="00237BB9"/>
    <w:rsid w:val="00237D73"/>
    <w:rsid w:val="0024108E"/>
    <w:rsid w:val="002502FC"/>
    <w:rsid w:val="00250694"/>
    <w:rsid w:val="00252AAE"/>
    <w:rsid w:val="0025538A"/>
    <w:rsid w:val="002559E0"/>
    <w:rsid w:val="00256C46"/>
    <w:rsid w:val="00257B31"/>
    <w:rsid w:val="00262685"/>
    <w:rsid w:val="00271FC3"/>
    <w:rsid w:val="0027318D"/>
    <w:rsid w:val="0027473F"/>
    <w:rsid w:val="00274A3B"/>
    <w:rsid w:val="00274DD7"/>
    <w:rsid w:val="00275787"/>
    <w:rsid w:val="002762E1"/>
    <w:rsid w:val="0028145B"/>
    <w:rsid w:val="00282649"/>
    <w:rsid w:val="002850CE"/>
    <w:rsid w:val="00285E59"/>
    <w:rsid w:val="00290960"/>
    <w:rsid w:val="00291089"/>
    <w:rsid w:val="00293CD1"/>
    <w:rsid w:val="00293D2F"/>
    <w:rsid w:val="00296012"/>
    <w:rsid w:val="00296D4A"/>
    <w:rsid w:val="00297F3D"/>
    <w:rsid w:val="002A276B"/>
    <w:rsid w:val="002A33E2"/>
    <w:rsid w:val="002A3CAA"/>
    <w:rsid w:val="002A5FD6"/>
    <w:rsid w:val="002A7578"/>
    <w:rsid w:val="002B0853"/>
    <w:rsid w:val="002C0402"/>
    <w:rsid w:val="002C33A9"/>
    <w:rsid w:val="002C6A8C"/>
    <w:rsid w:val="002C7A8B"/>
    <w:rsid w:val="002D08E4"/>
    <w:rsid w:val="002D32A0"/>
    <w:rsid w:val="002D6F72"/>
    <w:rsid w:val="002D7BE6"/>
    <w:rsid w:val="002E0A25"/>
    <w:rsid w:val="002E1568"/>
    <w:rsid w:val="002F0410"/>
    <w:rsid w:val="002F3710"/>
    <w:rsid w:val="002F3E86"/>
    <w:rsid w:val="002F60CB"/>
    <w:rsid w:val="00301499"/>
    <w:rsid w:val="00301E76"/>
    <w:rsid w:val="0030223C"/>
    <w:rsid w:val="00302AED"/>
    <w:rsid w:val="00304113"/>
    <w:rsid w:val="003105D9"/>
    <w:rsid w:val="003148C8"/>
    <w:rsid w:val="00315BE2"/>
    <w:rsid w:val="00316DE3"/>
    <w:rsid w:val="00321B0E"/>
    <w:rsid w:val="00325BD8"/>
    <w:rsid w:val="00327E4F"/>
    <w:rsid w:val="00332A03"/>
    <w:rsid w:val="00332B02"/>
    <w:rsid w:val="00342C9E"/>
    <w:rsid w:val="0034348D"/>
    <w:rsid w:val="00344C9F"/>
    <w:rsid w:val="00346784"/>
    <w:rsid w:val="00353329"/>
    <w:rsid w:val="00357766"/>
    <w:rsid w:val="00357A5B"/>
    <w:rsid w:val="003628F4"/>
    <w:rsid w:val="00362C01"/>
    <w:rsid w:val="00364D19"/>
    <w:rsid w:val="00364E98"/>
    <w:rsid w:val="0036508F"/>
    <w:rsid w:val="0036603C"/>
    <w:rsid w:val="00372559"/>
    <w:rsid w:val="00373154"/>
    <w:rsid w:val="00375DE8"/>
    <w:rsid w:val="00381402"/>
    <w:rsid w:val="00382E2E"/>
    <w:rsid w:val="003862D1"/>
    <w:rsid w:val="00387417"/>
    <w:rsid w:val="00387F2D"/>
    <w:rsid w:val="00395653"/>
    <w:rsid w:val="00395716"/>
    <w:rsid w:val="003B4D59"/>
    <w:rsid w:val="003B799B"/>
    <w:rsid w:val="003C2804"/>
    <w:rsid w:val="003C3B56"/>
    <w:rsid w:val="003D1E09"/>
    <w:rsid w:val="003D5573"/>
    <w:rsid w:val="003D79DC"/>
    <w:rsid w:val="003D7CB6"/>
    <w:rsid w:val="003E0121"/>
    <w:rsid w:val="003E0E54"/>
    <w:rsid w:val="003E7629"/>
    <w:rsid w:val="003F0B05"/>
    <w:rsid w:val="003F2794"/>
    <w:rsid w:val="003F2A4E"/>
    <w:rsid w:val="003F5419"/>
    <w:rsid w:val="003F551E"/>
    <w:rsid w:val="00403B3B"/>
    <w:rsid w:val="00405A42"/>
    <w:rsid w:val="00410655"/>
    <w:rsid w:val="00415FB0"/>
    <w:rsid w:val="0042526D"/>
    <w:rsid w:val="004257F5"/>
    <w:rsid w:val="0042642C"/>
    <w:rsid w:val="0042731F"/>
    <w:rsid w:val="00432CC5"/>
    <w:rsid w:val="00434CB4"/>
    <w:rsid w:val="00434CCA"/>
    <w:rsid w:val="004352DB"/>
    <w:rsid w:val="00440117"/>
    <w:rsid w:val="00441805"/>
    <w:rsid w:val="00443EBE"/>
    <w:rsid w:val="004620BE"/>
    <w:rsid w:val="004642C2"/>
    <w:rsid w:val="00465340"/>
    <w:rsid w:val="00466787"/>
    <w:rsid w:val="00472B13"/>
    <w:rsid w:val="00472F17"/>
    <w:rsid w:val="0047382D"/>
    <w:rsid w:val="00475650"/>
    <w:rsid w:val="004835A4"/>
    <w:rsid w:val="004901C4"/>
    <w:rsid w:val="00491FDB"/>
    <w:rsid w:val="004973F4"/>
    <w:rsid w:val="004A0EEB"/>
    <w:rsid w:val="004A3EF2"/>
    <w:rsid w:val="004A5A6A"/>
    <w:rsid w:val="004A7562"/>
    <w:rsid w:val="004B2128"/>
    <w:rsid w:val="004B2896"/>
    <w:rsid w:val="004B2E80"/>
    <w:rsid w:val="004B50C9"/>
    <w:rsid w:val="004C1EE7"/>
    <w:rsid w:val="004C3B91"/>
    <w:rsid w:val="004C405D"/>
    <w:rsid w:val="004C5A10"/>
    <w:rsid w:val="004D1B0D"/>
    <w:rsid w:val="004D4DC6"/>
    <w:rsid w:val="004D6518"/>
    <w:rsid w:val="004E16CF"/>
    <w:rsid w:val="004E47EE"/>
    <w:rsid w:val="004E5E1E"/>
    <w:rsid w:val="004F08AC"/>
    <w:rsid w:val="004F0D87"/>
    <w:rsid w:val="004F0E2B"/>
    <w:rsid w:val="004F0FF7"/>
    <w:rsid w:val="004F1699"/>
    <w:rsid w:val="004F16DB"/>
    <w:rsid w:val="004F429C"/>
    <w:rsid w:val="004F5172"/>
    <w:rsid w:val="004F7686"/>
    <w:rsid w:val="00500681"/>
    <w:rsid w:val="0050296E"/>
    <w:rsid w:val="0050657E"/>
    <w:rsid w:val="00506AE9"/>
    <w:rsid w:val="00507B8A"/>
    <w:rsid w:val="00507F17"/>
    <w:rsid w:val="00510734"/>
    <w:rsid w:val="00510E8A"/>
    <w:rsid w:val="005172FE"/>
    <w:rsid w:val="005173F5"/>
    <w:rsid w:val="005174D6"/>
    <w:rsid w:val="00517FAC"/>
    <w:rsid w:val="005204C4"/>
    <w:rsid w:val="005208CF"/>
    <w:rsid w:val="00523062"/>
    <w:rsid w:val="005245A9"/>
    <w:rsid w:val="0053237C"/>
    <w:rsid w:val="00532A80"/>
    <w:rsid w:val="0053375D"/>
    <w:rsid w:val="0053478B"/>
    <w:rsid w:val="00534C99"/>
    <w:rsid w:val="00542985"/>
    <w:rsid w:val="005436FF"/>
    <w:rsid w:val="00545F37"/>
    <w:rsid w:val="0055170F"/>
    <w:rsid w:val="00553B0C"/>
    <w:rsid w:val="00554480"/>
    <w:rsid w:val="005559C6"/>
    <w:rsid w:val="005577FF"/>
    <w:rsid w:val="0056352C"/>
    <w:rsid w:val="00564F8D"/>
    <w:rsid w:val="0056686B"/>
    <w:rsid w:val="00566D1E"/>
    <w:rsid w:val="00573B04"/>
    <w:rsid w:val="00573FE6"/>
    <w:rsid w:val="00576EDD"/>
    <w:rsid w:val="0058082C"/>
    <w:rsid w:val="005846F0"/>
    <w:rsid w:val="00586345"/>
    <w:rsid w:val="005878A6"/>
    <w:rsid w:val="00593807"/>
    <w:rsid w:val="005963AB"/>
    <w:rsid w:val="005963ED"/>
    <w:rsid w:val="005A2814"/>
    <w:rsid w:val="005A296A"/>
    <w:rsid w:val="005A49EF"/>
    <w:rsid w:val="005A6046"/>
    <w:rsid w:val="005A6FC9"/>
    <w:rsid w:val="005A74E2"/>
    <w:rsid w:val="005A7558"/>
    <w:rsid w:val="005B6C90"/>
    <w:rsid w:val="005C00CE"/>
    <w:rsid w:val="005C0EF0"/>
    <w:rsid w:val="005C2BA7"/>
    <w:rsid w:val="005C3A11"/>
    <w:rsid w:val="005C43CA"/>
    <w:rsid w:val="005D1322"/>
    <w:rsid w:val="005D571E"/>
    <w:rsid w:val="005D6E3E"/>
    <w:rsid w:val="005E25FB"/>
    <w:rsid w:val="005E5990"/>
    <w:rsid w:val="005E71DC"/>
    <w:rsid w:val="005F1EA0"/>
    <w:rsid w:val="005F4200"/>
    <w:rsid w:val="005F4EA6"/>
    <w:rsid w:val="006134EC"/>
    <w:rsid w:val="006140AB"/>
    <w:rsid w:val="00615A78"/>
    <w:rsid w:val="00616A7E"/>
    <w:rsid w:val="00621E2E"/>
    <w:rsid w:val="00622553"/>
    <w:rsid w:val="00622B88"/>
    <w:rsid w:val="00630DBD"/>
    <w:rsid w:val="00632014"/>
    <w:rsid w:val="006340B9"/>
    <w:rsid w:val="006354F3"/>
    <w:rsid w:val="006378A4"/>
    <w:rsid w:val="00641C3C"/>
    <w:rsid w:val="00644FDB"/>
    <w:rsid w:val="00645ADA"/>
    <w:rsid w:val="00655ECF"/>
    <w:rsid w:val="00656E0D"/>
    <w:rsid w:val="00662F6B"/>
    <w:rsid w:val="00670D1F"/>
    <w:rsid w:val="00675544"/>
    <w:rsid w:val="00677123"/>
    <w:rsid w:val="00685A1B"/>
    <w:rsid w:val="0068644B"/>
    <w:rsid w:val="0069147A"/>
    <w:rsid w:val="006954B9"/>
    <w:rsid w:val="00695B8D"/>
    <w:rsid w:val="00696A19"/>
    <w:rsid w:val="006A25F4"/>
    <w:rsid w:val="006A2963"/>
    <w:rsid w:val="006A34A8"/>
    <w:rsid w:val="006A4690"/>
    <w:rsid w:val="006A478F"/>
    <w:rsid w:val="006A5C18"/>
    <w:rsid w:val="006B2006"/>
    <w:rsid w:val="006B4925"/>
    <w:rsid w:val="006B6A56"/>
    <w:rsid w:val="006B7130"/>
    <w:rsid w:val="006B799D"/>
    <w:rsid w:val="006C0BE8"/>
    <w:rsid w:val="006C23D6"/>
    <w:rsid w:val="006C3232"/>
    <w:rsid w:val="006C32F2"/>
    <w:rsid w:val="006C37E2"/>
    <w:rsid w:val="006C524B"/>
    <w:rsid w:val="006C59C2"/>
    <w:rsid w:val="006C6AF8"/>
    <w:rsid w:val="006C72A0"/>
    <w:rsid w:val="006D0708"/>
    <w:rsid w:val="006D1176"/>
    <w:rsid w:val="006D1F0B"/>
    <w:rsid w:val="006D340D"/>
    <w:rsid w:val="006E11E0"/>
    <w:rsid w:val="006E18CE"/>
    <w:rsid w:val="006E5DAC"/>
    <w:rsid w:val="006E6247"/>
    <w:rsid w:val="006F0947"/>
    <w:rsid w:val="006F0DCA"/>
    <w:rsid w:val="006F0EDD"/>
    <w:rsid w:val="006F1C1A"/>
    <w:rsid w:val="006F4E6B"/>
    <w:rsid w:val="00702713"/>
    <w:rsid w:val="00702DFD"/>
    <w:rsid w:val="00707449"/>
    <w:rsid w:val="007075BA"/>
    <w:rsid w:val="00713E64"/>
    <w:rsid w:val="00716194"/>
    <w:rsid w:val="00720F06"/>
    <w:rsid w:val="0072351A"/>
    <w:rsid w:val="00726372"/>
    <w:rsid w:val="007317BC"/>
    <w:rsid w:val="007328AC"/>
    <w:rsid w:val="00733A40"/>
    <w:rsid w:val="00734DC3"/>
    <w:rsid w:val="00735121"/>
    <w:rsid w:val="007373C5"/>
    <w:rsid w:val="00737A47"/>
    <w:rsid w:val="00744987"/>
    <w:rsid w:val="007549D9"/>
    <w:rsid w:val="007553A7"/>
    <w:rsid w:val="00755ED6"/>
    <w:rsid w:val="00761BA7"/>
    <w:rsid w:val="007621AF"/>
    <w:rsid w:val="00762B97"/>
    <w:rsid w:val="007656AF"/>
    <w:rsid w:val="00766382"/>
    <w:rsid w:val="00772391"/>
    <w:rsid w:val="00772951"/>
    <w:rsid w:val="0078003C"/>
    <w:rsid w:val="007815DB"/>
    <w:rsid w:val="00786783"/>
    <w:rsid w:val="0079114E"/>
    <w:rsid w:val="007914FF"/>
    <w:rsid w:val="0079464E"/>
    <w:rsid w:val="007950AF"/>
    <w:rsid w:val="00796D2F"/>
    <w:rsid w:val="007A0D2B"/>
    <w:rsid w:val="007A0E08"/>
    <w:rsid w:val="007A27C4"/>
    <w:rsid w:val="007A59CC"/>
    <w:rsid w:val="007B5144"/>
    <w:rsid w:val="007B66D4"/>
    <w:rsid w:val="007C20C9"/>
    <w:rsid w:val="007C3450"/>
    <w:rsid w:val="007C3A88"/>
    <w:rsid w:val="007C4AAF"/>
    <w:rsid w:val="007C6BD2"/>
    <w:rsid w:val="007C74A9"/>
    <w:rsid w:val="007C75B7"/>
    <w:rsid w:val="007C76EA"/>
    <w:rsid w:val="007D1B0F"/>
    <w:rsid w:val="007D2F25"/>
    <w:rsid w:val="007D3BA3"/>
    <w:rsid w:val="007D7017"/>
    <w:rsid w:val="007E6565"/>
    <w:rsid w:val="007F09A5"/>
    <w:rsid w:val="007F0F10"/>
    <w:rsid w:val="007F5613"/>
    <w:rsid w:val="007F632D"/>
    <w:rsid w:val="007F749B"/>
    <w:rsid w:val="007F76C8"/>
    <w:rsid w:val="00800DFD"/>
    <w:rsid w:val="00802E07"/>
    <w:rsid w:val="0080373A"/>
    <w:rsid w:val="00807E3B"/>
    <w:rsid w:val="00815533"/>
    <w:rsid w:val="008223C1"/>
    <w:rsid w:val="00825AC0"/>
    <w:rsid w:val="00842E1E"/>
    <w:rsid w:val="0084639A"/>
    <w:rsid w:val="00847F41"/>
    <w:rsid w:val="0086083A"/>
    <w:rsid w:val="0086178A"/>
    <w:rsid w:val="00867AE7"/>
    <w:rsid w:val="00874597"/>
    <w:rsid w:val="00874F39"/>
    <w:rsid w:val="00877B1E"/>
    <w:rsid w:val="00877CC0"/>
    <w:rsid w:val="00882A85"/>
    <w:rsid w:val="00882EDE"/>
    <w:rsid w:val="00885AB9"/>
    <w:rsid w:val="00892CAF"/>
    <w:rsid w:val="00894867"/>
    <w:rsid w:val="00897236"/>
    <w:rsid w:val="008A1411"/>
    <w:rsid w:val="008A476C"/>
    <w:rsid w:val="008A4D73"/>
    <w:rsid w:val="008B1C88"/>
    <w:rsid w:val="008B356F"/>
    <w:rsid w:val="008B39B9"/>
    <w:rsid w:val="008C12F9"/>
    <w:rsid w:val="008C206F"/>
    <w:rsid w:val="008C2C38"/>
    <w:rsid w:val="008C3106"/>
    <w:rsid w:val="008D4725"/>
    <w:rsid w:val="008D5D28"/>
    <w:rsid w:val="008E2544"/>
    <w:rsid w:val="008E4C3D"/>
    <w:rsid w:val="008E56DF"/>
    <w:rsid w:val="008E5CB2"/>
    <w:rsid w:val="008F07BC"/>
    <w:rsid w:val="008F6379"/>
    <w:rsid w:val="008F73BC"/>
    <w:rsid w:val="00900C63"/>
    <w:rsid w:val="00901963"/>
    <w:rsid w:val="009053C5"/>
    <w:rsid w:val="00906FB3"/>
    <w:rsid w:val="00907FD4"/>
    <w:rsid w:val="009101DB"/>
    <w:rsid w:val="009105D1"/>
    <w:rsid w:val="009114D8"/>
    <w:rsid w:val="00911681"/>
    <w:rsid w:val="00913CD0"/>
    <w:rsid w:val="009159B7"/>
    <w:rsid w:val="009171A9"/>
    <w:rsid w:val="009178FB"/>
    <w:rsid w:val="00931ABE"/>
    <w:rsid w:val="0093309D"/>
    <w:rsid w:val="00934CE6"/>
    <w:rsid w:val="00941F56"/>
    <w:rsid w:val="009429CA"/>
    <w:rsid w:val="00947D8C"/>
    <w:rsid w:val="00950AFC"/>
    <w:rsid w:val="009520E6"/>
    <w:rsid w:val="00952597"/>
    <w:rsid w:val="00954A12"/>
    <w:rsid w:val="00954FB9"/>
    <w:rsid w:val="00954FBE"/>
    <w:rsid w:val="00956521"/>
    <w:rsid w:val="0095688A"/>
    <w:rsid w:val="00956F8C"/>
    <w:rsid w:val="00960458"/>
    <w:rsid w:val="00971AB3"/>
    <w:rsid w:val="00971C09"/>
    <w:rsid w:val="00975BA0"/>
    <w:rsid w:val="00984978"/>
    <w:rsid w:val="00991DD8"/>
    <w:rsid w:val="00995660"/>
    <w:rsid w:val="0099749D"/>
    <w:rsid w:val="009A719C"/>
    <w:rsid w:val="009B21A4"/>
    <w:rsid w:val="009B21BC"/>
    <w:rsid w:val="009B57BC"/>
    <w:rsid w:val="009C088E"/>
    <w:rsid w:val="009C201E"/>
    <w:rsid w:val="009C2393"/>
    <w:rsid w:val="009C2923"/>
    <w:rsid w:val="009D0B8E"/>
    <w:rsid w:val="009D6922"/>
    <w:rsid w:val="009D7BC2"/>
    <w:rsid w:val="009E334E"/>
    <w:rsid w:val="009E4D66"/>
    <w:rsid w:val="009F34F1"/>
    <w:rsid w:val="009F569D"/>
    <w:rsid w:val="009F7B5F"/>
    <w:rsid w:val="00A01DD6"/>
    <w:rsid w:val="00A07E67"/>
    <w:rsid w:val="00A11A1E"/>
    <w:rsid w:val="00A15ADB"/>
    <w:rsid w:val="00A23227"/>
    <w:rsid w:val="00A31EE9"/>
    <w:rsid w:val="00A41781"/>
    <w:rsid w:val="00A42985"/>
    <w:rsid w:val="00A43FCF"/>
    <w:rsid w:val="00A50CD6"/>
    <w:rsid w:val="00A5346D"/>
    <w:rsid w:val="00A57342"/>
    <w:rsid w:val="00A57451"/>
    <w:rsid w:val="00A5745D"/>
    <w:rsid w:val="00A649DB"/>
    <w:rsid w:val="00A75212"/>
    <w:rsid w:val="00A761A1"/>
    <w:rsid w:val="00A7789E"/>
    <w:rsid w:val="00A80FCF"/>
    <w:rsid w:val="00A81F61"/>
    <w:rsid w:val="00A90D4D"/>
    <w:rsid w:val="00A9225E"/>
    <w:rsid w:val="00AA7858"/>
    <w:rsid w:val="00AB03BB"/>
    <w:rsid w:val="00AC008D"/>
    <w:rsid w:val="00AC2251"/>
    <w:rsid w:val="00AD24E8"/>
    <w:rsid w:val="00AD5AF5"/>
    <w:rsid w:val="00AE1013"/>
    <w:rsid w:val="00AE7A4D"/>
    <w:rsid w:val="00AF482E"/>
    <w:rsid w:val="00AF68C3"/>
    <w:rsid w:val="00B033F7"/>
    <w:rsid w:val="00B03E6E"/>
    <w:rsid w:val="00B07A66"/>
    <w:rsid w:val="00B1127C"/>
    <w:rsid w:val="00B17CE3"/>
    <w:rsid w:val="00B23652"/>
    <w:rsid w:val="00B24D42"/>
    <w:rsid w:val="00B259F4"/>
    <w:rsid w:val="00B2719B"/>
    <w:rsid w:val="00B27E99"/>
    <w:rsid w:val="00B30462"/>
    <w:rsid w:val="00B313AD"/>
    <w:rsid w:val="00B31D53"/>
    <w:rsid w:val="00B32C19"/>
    <w:rsid w:val="00B34868"/>
    <w:rsid w:val="00B353A8"/>
    <w:rsid w:val="00B37073"/>
    <w:rsid w:val="00B40B66"/>
    <w:rsid w:val="00B42953"/>
    <w:rsid w:val="00B558DD"/>
    <w:rsid w:val="00B57495"/>
    <w:rsid w:val="00B64500"/>
    <w:rsid w:val="00B71C0C"/>
    <w:rsid w:val="00B73307"/>
    <w:rsid w:val="00B73ED6"/>
    <w:rsid w:val="00B808EB"/>
    <w:rsid w:val="00B90F3C"/>
    <w:rsid w:val="00B941B2"/>
    <w:rsid w:val="00B9489F"/>
    <w:rsid w:val="00B94EE5"/>
    <w:rsid w:val="00B964F3"/>
    <w:rsid w:val="00BA115E"/>
    <w:rsid w:val="00BA345C"/>
    <w:rsid w:val="00BA52B5"/>
    <w:rsid w:val="00BA62C4"/>
    <w:rsid w:val="00BA7F94"/>
    <w:rsid w:val="00BB316C"/>
    <w:rsid w:val="00BB52CF"/>
    <w:rsid w:val="00BB7E48"/>
    <w:rsid w:val="00BC085C"/>
    <w:rsid w:val="00BC1DBC"/>
    <w:rsid w:val="00BC5E9B"/>
    <w:rsid w:val="00BD31CA"/>
    <w:rsid w:val="00BD3798"/>
    <w:rsid w:val="00BE2E46"/>
    <w:rsid w:val="00BE5EB7"/>
    <w:rsid w:val="00BE6665"/>
    <w:rsid w:val="00BE70AD"/>
    <w:rsid w:val="00BE7B79"/>
    <w:rsid w:val="00BF6D15"/>
    <w:rsid w:val="00BF6E65"/>
    <w:rsid w:val="00C0025B"/>
    <w:rsid w:val="00C05179"/>
    <w:rsid w:val="00C10AC8"/>
    <w:rsid w:val="00C11456"/>
    <w:rsid w:val="00C1221E"/>
    <w:rsid w:val="00C172FA"/>
    <w:rsid w:val="00C2229E"/>
    <w:rsid w:val="00C2299C"/>
    <w:rsid w:val="00C34A77"/>
    <w:rsid w:val="00C4543D"/>
    <w:rsid w:val="00C45B5E"/>
    <w:rsid w:val="00C51FC9"/>
    <w:rsid w:val="00C540E5"/>
    <w:rsid w:val="00C54394"/>
    <w:rsid w:val="00C54652"/>
    <w:rsid w:val="00C60C1A"/>
    <w:rsid w:val="00C67403"/>
    <w:rsid w:val="00C67C89"/>
    <w:rsid w:val="00C733A8"/>
    <w:rsid w:val="00C74B27"/>
    <w:rsid w:val="00C7776C"/>
    <w:rsid w:val="00C802C1"/>
    <w:rsid w:val="00C81846"/>
    <w:rsid w:val="00C863A5"/>
    <w:rsid w:val="00C9049E"/>
    <w:rsid w:val="00CA105E"/>
    <w:rsid w:val="00CA11C6"/>
    <w:rsid w:val="00CA14D1"/>
    <w:rsid w:val="00CA2DEE"/>
    <w:rsid w:val="00CA3083"/>
    <w:rsid w:val="00CA43CC"/>
    <w:rsid w:val="00CA6DB5"/>
    <w:rsid w:val="00CA731C"/>
    <w:rsid w:val="00CA7D53"/>
    <w:rsid w:val="00CB051A"/>
    <w:rsid w:val="00CB3AED"/>
    <w:rsid w:val="00CB6995"/>
    <w:rsid w:val="00CC1123"/>
    <w:rsid w:val="00CC2CC6"/>
    <w:rsid w:val="00CC605C"/>
    <w:rsid w:val="00CD289E"/>
    <w:rsid w:val="00CD2C14"/>
    <w:rsid w:val="00CE61F7"/>
    <w:rsid w:val="00CE759F"/>
    <w:rsid w:val="00CF1AF3"/>
    <w:rsid w:val="00CF3514"/>
    <w:rsid w:val="00CF372D"/>
    <w:rsid w:val="00CF4B1B"/>
    <w:rsid w:val="00D00028"/>
    <w:rsid w:val="00D0643B"/>
    <w:rsid w:val="00D10A55"/>
    <w:rsid w:val="00D12CAA"/>
    <w:rsid w:val="00D146C5"/>
    <w:rsid w:val="00D2290D"/>
    <w:rsid w:val="00D22C9B"/>
    <w:rsid w:val="00D323E4"/>
    <w:rsid w:val="00D324D8"/>
    <w:rsid w:val="00D36FE6"/>
    <w:rsid w:val="00D37ED9"/>
    <w:rsid w:val="00D404CD"/>
    <w:rsid w:val="00D468CB"/>
    <w:rsid w:val="00D51A87"/>
    <w:rsid w:val="00D5213A"/>
    <w:rsid w:val="00D57DCD"/>
    <w:rsid w:val="00D60314"/>
    <w:rsid w:val="00D62115"/>
    <w:rsid w:val="00D677E3"/>
    <w:rsid w:val="00D67C0B"/>
    <w:rsid w:val="00D737CC"/>
    <w:rsid w:val="00D73B05"/>
    <w:rsid w:val="00D759C2"/>
    <w:rsid w:val="00D8348C"/>
    <w:rsid w:val="00D84517"/>
    <w:rsid w:val="00D86389"/>
    <w:rsid w:val="00D94EFC"/>
    <w:rsid w:val="00D95010"/>
    <w:rsid w:val="00D960E6"/>
    <w:rsid w:val="00D96B21"/>
    <w:rsid w:val="00DB2453"/>
    <w:rsid w:val="00DB30C8"/>
    <w:rsid w:val="00DC0357"/>
    <w:rsid w:val="00DD3341"/>
    <w:rsid w:val="00DD4904"/>
    <w:rsid w:val="00DE14FF"/>
    <w:rsid w:val="00DE45D1"/>
    <w:rsid w:val="00DF0A17"/>
    <w:rsid w:val="00DF6E68"/>
    <w:rsid w:val="00DF76A3"/>
    <w:rsid w:val="00E004F4"/>
    <w:rsid w:val="00E048A1"/>
    <w:rsid w:val="00E12437"/>
    <w:rsid w:val="00E13BB2"/>
    <w:rsid w:val="00E15026"/>
    <w:rsid w:val="00E22C60"/>
    <w:rsid w:val="00E3096D"/>
    <w:rsid w:val="00E36E30"/>
    <w:rsid w:val="00E37C94"/>
    <w:rsid w:val="00E40CD4"/>
    <w:rsid w:val="00E43F8D"/>
    <w:rsid w:val="00E47DAD"/>
    <w:rsid w:val="00E51558"/>
    <w:rsid w:val="00E56B28"/>
    <w:rsid w:val="00E61BF4"/>
    <w:rsid w:val="00E65088"/>
    <w:rsid w:val="00E70ADF"/>
    <w:rsid w:val="00E70DCB"/>
    <w:rsid w:val="00E737C3"/>
    <w:rsid w:val="00E73C53"/>
    <w:rsid w:val="00E753B6"/>
    <w:rsid w:val="00E76D44"/>
    <w:rsid w:val="00E774EE"/>
    <w:rsid w:val="00E77CEA"/>
    <w:rsid w:val="00E8385B"/>
    <w:rsid w:val="00E83CAB"/>
    <w:rsid w:val="00E97415"/>
    <w:rsid w:val="00EA2B56"/>
    <w:rsid w:val="00EA3EFC"/>
    <w:rsid w:val="00EB485A"/>
    <w:rsid w:val="00EB5CDD"/>
    <w:rsid w:val="00EB751B"/>
    <w:rsid w:val="00EC067B"/>
    <w:rsid w:val="00EC2D0B"/>
    <w:rsid w:val="00EC34C0"/>
    <w:rsid w:val="00EC4491"/>
    <w:rsid w:val="00EC4D12"/>
    <w:rsid w:val="00EC4F85"/>
    <w:rsid w:val="00EC5818"/>
    <w:rsid w:val="00EC6C68"/>
    <w:rsid w:val="00ED3419"/>
    <w:rsid w:val="00EE3995"/>
    <w:rsid w:val="00EE419A"/>
    <w:rsid w:val="00EE59D4"/>
    <w:rsid w:val="00EF036F"/>
    <w:rsid w:val="00EF0941"/>
    <w:rsid w:val="00EF70EC"/>
    <w:rsid w:val="00F01574"/>
    <w:rsid w:val="00F064F8"/>
    <w:rsid w:val="00F06DFF"/>
    <w:rsid w:val="00F161BC"/>
    <w:rsid w:val="00F21A5D"/>
    <w:rsid w:val="00F21E4F"/>
    <w:rsid w:val="00F257A7"/>
    <w:rsid w:val="00F273A2"/>
    <w:rsid w:val="00F3429E"/>
    <w:rsid w:val="00F37BBF"/>
    <w:rsid w:val="00F41496"/>
    <w:rsid w:val="00F41CF9"/>
    <w:rsid w:val="00F46334"/>
    <w:rsid w:val="00F5037D"/>
    <w:rsid w:val="00F51733"/>
    <w:rsid w:val="00F52DAD"/>
    <w:rsid w:val="00F530B3"/>
    <w:rsid w:val="00F532B8"/>
    <w:rsid w:val="00F5373C"/>
    <w:rsid w:val="00F574FC"/>
    <w:rsid w:val="00F6391A"/>
    <w:rsid w:val="00F64492"/>
    <w:rsid w:val="00F652D0"/>
    <w:rsid w:val="00F66820"/>
    <w:rsid w:val="00F7432E"/>
    <w:rsid w:val="00F77CD6"/>
    <w:rsid w:val="00F80117"/>
    <w:rsid w:val="00F81245"/>
    <w:rsid w:val="00F81648"/>
    <w:rsid w:val="00F973CB"/>
    <w:rsid w:val="00F979BE"/>
    <w:rsid w:val="00FA0F41"/>
    <w:rsid w:val="00FA2E55"/>
    <w:rsid w:val="00FA472D"/>
    <w:rsid w:val="00FB0EF8"/>
    <w:rsid w:val="00FB39CD"/>
    <w:rsid w:val="00FB44A6"/>
    <w:rsid w:val="00FB70E3"/>
    <w:rsid w:val="00FC697F"/>
    <w:rsid w:val="00FD0990"/>
    <w:rsid w:val="00FD0C76"/>
    <w:rsid w:val="00FD5448"/>
    <w:rsid w:val="00FD5A6C"/>
    <w:rsid w:val="00FD61B5"/>
    <w:rsid w:val="00FE124F"/>
    <w:rsid w:val="00FE4C72"/>
    <w:rsid w:val="00FE5925"/>
    <w:rsid w:val="00FF5E3B"/>
    <w:rsid w:val="00FF7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59"/>
    <w:rsid w:val="00BE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59"/>
    <w:rsid w:val="00BE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657883276">
      <w:bodyDiv w:val="1"/>
      <w:marLeft w:val="0"/>
      <w:marRight w:val="0"/>
      <w:marTop w:val="0"/>
      <w:marBottom w:val="0"/>
      <w:divBdr>
        <w:top w:val="none" w:sz="0" w:space="0" w:color="auto"/>
        <w:left w:val="none" w:sz="0" w:space="0" w:color="auto"/>
        <w:bottom w:val="none" w:sz="0" w:space="0" w:color="auto"/>
        <w:right w:val="none" w:sz="0" w:space="0" w:color="auto"/>
      </w:divBdr>
      <w:divsChild>
        <w:div w:id="291443942">
          <w:marLeft w:val="0"/>
          <w:marRight w:val="0"/>
          <w:marTop w:val="480"/>
          <w:marBottom w:val="240"/>
          <w:divBdr>
            <w:top w:val="none" w:sz="0" w:space="0" w:color="auto"/>
            <w:left w:val="none" w:sz="0" w:space="0" w:color="auto"/>
            <w:bottom w:val="none" w:sz="0" w:space="0" w:color="auto"/>
            <w:right w:val="none" w:sz="0" w:space="0" w:color="auto"/>
          </w:divBdr>
        </w:div>
        <w:div w:id="1173377843">
          <w:marLeft w:val="0"/>
          <w:marRight w:val="0"/>
          <w:marTop w:val="0"/>
          <w:marBottom w:val="567"/>
          <w:divBdr>
            <w:top w:val="none" w:sz="0" w:space="0" w:color="auto"/>
            <w:left w:val="none" w:sz="0" w:space="0" w:color="auto"/>
            <w:bottom w:val="none" w:sz="0" w:space="0" w:color="auto"/>
            <w:right w:val="none" w:sz="0" w:space="0" w:color="auto"/>
          </w:divBdr>
        </w:div>
      </w:divsChild>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DA4D-BEF8-4737-B407-F8D27ED7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13</Pages>
  <Words>3614</Words>
  <Characters>24650</Characters>
  <Application>Microsoft Office Word</Application>
  <DocSecurity>0</DocSecurity>
  <Lines>880</Lines>
  <Paragraphs>310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13.aprīļa noteikumos Nr.361 „Noteikumi par darbības programmas „Uzņēmējdarbība un inovācijas” papildinājuma 2.1.2.1.1.apakšaktivitāti „Kompetences centri””” sākotnējās ietekmes no</vt:lpstr>
    </vt:vector>
  </TitlesOfParts>
  <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13.aprīļa noteikumos Nr.361 „Noteikumi par darbības programmas „Uzņēmējdarbība un inovācijas” papildinājuma 2.1.2.1.1.apakšaktivitāti „Kompetences centri””” sākotnējās ietekmes novērtējuma ziņojums (anotācija)</dc:title>
  <dc:subject>Ministru kabineta noteikumu projekta sākotnējās ietekmes novērtējuma ziņojums (anotācija)</dc:subject>
  <dc:creator>Kaspars Purmalietis</dc:creator>
  <dc:description>67013108, Kaspars.Purmalietis@em.gov.lv</dc:description>
  <cp:lastModifiedBy>Kaspars Purmalietis</cp:lastModifiedBy>
  <cp:revision>44</cp:revision>
  <cp:lastPrinted>2014-02-11T16:24:00Z</cp:lastPrinted>
  <dcterms:created xsi:type="dcterms:W3CDTF">2014-09-01T11:39:00Z</dcterms:created>
  <dcterms:modified xsi:type="dcterms:W3CDTF">2014-10-09T12:09:00Z</dcterms:modified>
</cp:coreProperties>
</file>