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C1" w:rsidRPr="00E4699A" w:rsidRDefault="00BB09C5" w:rsidP="00307EC1">
      <w:pPr>
        <w:tabs>
          <w:tab w:val="left" w:pos="6237"/>
        </w:tabs>
        <w:jc w:val="center"/>
        <w:rPr>
          <w:b/>
          <w:sz w:val="24"/>
          <w:szCs w:val="24"/>
          <w:lang w:val="lv-LV"/>
        </w:rPr>
      </w:pPr>
      <w:bookmarkStart w:id="0" w:name="OLE_LINK3"/>
      <w:bookmarkStart w:id="1" w:name="OLE_LINK1"/>
      <w:bookmarkStart w:id="2" w:name="OLE_LINK2"/>
      <w:r w:rsidRPr="00E4699A">
        <w:rPr>
          <w:b/>
          <w:sz w:val="24"/>
          <w:szCs w:val="24"/>
          <w:lang w:val="lv-LV"/>
        </w:rPr>
        <w:t xml:space="preserve">Ministru kabineta </w:t>
      </w:r>
      <w:r w:rsidR="00C83591" w:rsidRPr="00E4699A">
        <w:rPr>
          <w:b/>
          <w:sz w:val="24"/>
          <w:szCs w:val="24"/>
          <w:lang w:val="lv-LV"/>
        </w:rPr>
        <w:t>noteikumu</w:t>
      </w:r>
      <w:r w:rsidR="001764E7" w:rsidRPr="00E4699A">
        <w:rPr>
          <w:b/>
          <w:sz w:val="24"/>
          <w:szCs w:val="24"/>
          <w:lang w:val="lv-LV"/>
        </w:rPr>
        <w:t xml:space="preserve"> </w:t>
      </w:r>
      <w:r w:rsidRPr="00E4699A">
        <w:rPr>
          <w:b/>
          <w:sz w:val="24"/>
          <w:szCs w:val="24"/>
          <w:lang w:val="lv-LV"/>
        </w:rPr>
        <w:t xml:space="preserve">projekta </w:t>
      </w:r>
      <w:r w:rsidR="00092473" w:rsidRPr="00E4699A">
        <w:rPr>
          <w:b/>
          <w:sz w:val="24"/>
          <w:szCs w:val="24"/>
          <w:lang w:val="lv-LV"/>
        </w:rPr>
        <w:t>„</w:t>
      </w:r>
      <w:r w:rsidR="00307EC1" w:rsidRPr="00E4699A">
        <w:rPr>
          <w:b/>
          <w:sz w:val="24"/>
          <w:szCs w:val="24"/>
          <w:lang w:val="lv-LV"/>
        </w:rPr>
        <w:t>Grozījumi Ministru kabineta 2009.gada 15.septembra noteikumos Nr.1065 „Noteikumi par aizdevumiem sīko (mikro), mazo un vidējo saimnieciskās darbības veicēju un lauksaimniecības pakalpojumu kooperatīvo sabiedrību attīstības veicināšanai”</w:t>
      </w:r>
      <w:r w:rsidR="0041138D" w:rsidRPr="00E4699A">
        <w:rPr>
          <w:b/>
          <w:sz w:val="24"/>
          <w:szCs w:val="24"/>
          <w:lang w:val="lv-LV"/>
        </w:rPr>
        <w:t>”</w:t>
      </w:r>
    </w:p>
    <w:p w:rsidR="00522B62" w:rsidRPr="00E4699A" w:rsidRDefault="00092473" w:rsidP="00F22471">
      <w:pPr>
        <w:pStyle w:val="BodyText"/>
        <w:jc w:val="center"/>
        <w:rPr>
          <w:b/>
          <w:sz w:val="24"/>
          <w:szCs w:val="24"/>
        </w:rPr>
      </w:pPr>
      <w:r w:rsidRPr="00E4699A">
        <w:rPr>
          <w:b/>
          <w:sz w:val="24"/>
          <w:szCs w:val="24"/>
        </w:rPr>
        <w:t xml:space="preserve"> </w:t>
      </w:r>
      <w:r w:rsidR="003000F0" w:rsidRPr="00E4699A">
        <w:rPr>
          <w:b/>
          <w:sz w:val="24"/>
          <w:szCs w:val="24"/>
        </w:rPr>
        <w:t xml:space="preserve">sākotnējās ietekmes novērtējuma </w:t>
      </w:r>
      <w:smartTag w:uri="schemas-tilde-lv/tildestengine" w:element="veidnes">
        <w:smartTagPr>
          <w:attr w:name="id" w:val="-1"/>
          <w:attr w:name="baseform" w:val="ziņojums"/>
          <w:attr w:name="text" w:val="ziņojums"/>
        </w:smartTagPr>
        <w:r w:rsidR="003000F0" w:rsidRPr="00E4699A">
          <w:rPr>
            <w:b/>
            <w:sz w:val="24"/>
            <w:szCs w:val="24"/>
          </w:rPr>
          <w:t>ziņojums</w:t>
        </w:r>
      </w:smartTag>
      <w:r w:rsidR="00E73425" w:rsidRPr="00E4699A">
        <w:rPr>
          <w:b/>
          <w:sz w:val="24"/>
          <w:szCs w:val="24"/>
        </w:rPr>
        <w:t xml:space="preserve"> </w:t>
      </w:r>
      <w:r w:rsidR="003000F0" w:rsidRPr="00E4699A">
        <w:rPr>
          <w:b/>
          <w:sz w:val="24"/>
          <w:szCs w:val="24"/>
        </w:rPr>
        <w:t>(</w:t>
      </w:r>
      <w:r w:rsidR="00E73425" w:rsidRPr="00E4699A">
        <w:rPr>
          <w:b/>
          <w:sz w:val="24"/>
          <w:szCs w:val="24"/>
        </w:rPr>
        <w:t>anotācija</w:t>
      </w:r>
      <w:r w:rsidR="003000F0" w:rsidRPr="00E4699A">
        <w:rPr>
          <w:b/>
          <w:sz w:val="24"/>
          <w:szCs w:val="24"/>
        </w:rPr>
        <w:t>)</w:t>
      </w:r>
    </w:p>
    <w:p w:rsidR="00B84C4B" w:rsidRPr="00E4699A" w:rsidRDefault="00B84C4B" w:rsidP="00F22471">
      <w:pPr>
        <w:pStyle w:val="BodyText"/>
        <w:jc w:val="center"/>
        <w:rPr>
          <w:b/>
          <w:sz w:val="16"/>
          <w:szCs w:val="16"/>
        </w:rPr>
      </w:pPr>
    </w:p>
    <w:p w:rsidR="00357321" w:rsidRPr="0018077F" w:rsidRDefault="00357321" w:rsidP="00357321">
      <w:pPr>
        <w:jc w:val="both"/>
        <w:rPr>
          <w:rFonts w:eastAsia="Times New Roman"/>
          <w:sz w:val="16"/>
          <w:szCs w:val="16"/>
          <w:lang w:val="lv-LV" w:eastAsia="lv-LV"/>
        </w:rPr>
        <w:sectPr w:rsidR="00357321" w:rsidRPr="0018077F" w:rsidSect="00C97F6E">
          <w:headerReference w:type="default" r:id="rId9"/>
          <w:footerReference w:type="default" r:id="rId10"/>
          <w:footerReference w:type="first" r:id="rId11"/>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357321" w:rsidRPr="00760AEB" w:rsidTr="00357321">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57321" w:rsidRPr="00760AEB" w:rsidRDefault="00357321" w:rsidP="00357321">
            <w:pPr>
              <w:ind w:firstLine="720"/>
              <w:jc w:val="both"/>
              <w:rPr>
                <w:rFonts w:eastAsia="Times New Roman"/>
                <w:b/>
                <w:sz w:val="24"/>
                <w:szCs w:val="24"/>
                <w:lang w:val="lv-LV" w:eastAsia="lv-LV"/>
              </w:rPr>
            </w:pPr>
            <w:r w:rsidRPr="00760AEB">
              <w:rPr>
                <w:rFonts w:eastAsia="Times New Roman"/>
                <w:b/>
                <w:sz w:val="24"/>
                <w:szCs w:val="24"/>
                <w:lang w:val="lv-LV" w:eastAsia="lv-LV"/>
              </w:rPr>
              <w:lastRenderedPageBreak/>
              <w:t>I.Tiesību akta projekta izstrādes nepieciešamība</w:t>
            </w:r>
          </w:p>
        </w:tc>
      </w:tr>
      <w:tr w:rsidR="00357321" w:rsidRPr="00760AEB" w:rsidTr="00357321">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sz w:val="24"/>
                <w:szCs w:val="24"/>
                <w:lang w:val="lv-LV"/>
              </w:rPr>
            </w:pPr>
            <w:r w:rsidRPr="00760AEB">
              <w:rPr>
                <w:sz w:val="24"/>
                <w:szCs w:val="24"/>
                <w:lang w:val="lv-LV"/>
              </w:rPr>
              <w:t>Noteikumu projekts sagatavots</w:t>
            </w:r>
            <w:r>
              <w:rPr>
                <w:sz w:val="24"/>
                <w:szCs w:val="24"/>
                <w:lang w:val="lv-LV"/>
              </w:rPr>
              <w:t>,</w:t>
            </w:r>
            <w:r w:rsidRPr="00760AEB">
              <w:rPr>
                <w:sz w:val="24"/>
                <w:szCs w:val="24"/>
                <w:lang w:val="lv-LV"/>
              </w:rPr>
              <w:t xml:space="preserve"> pamatojoties uz Ministru kabineta iekārtas likuma 31.panta pirmās daļas 3.punktu.</w:t>
            </w:r>
          </w:p>
        </w:tc>
      </w:tr>
      <w:tr w:rsidR="00357321" w:rsidRPr="00DC7B14" w:rsidTr="00357321">
        <w:trPr>
          <w:trHeight w:val="224"/>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57321" w:rsidRPr="00DC7B14" w:rsidRDefault="00357321" w:rsidP="00357321">
            <w:pPr>
              <w:jc w:val="both"/>
              <w:rPr>
                <w:rFonts w:eastAsia="Times New Roman"/>
                <w:sz w:val="24"/>
                <w:szCs w:val="24"/>
                <w:lang w:val="lv-LV" w:eastAsia="lv-LV"/>
              </w:rPr>
            </w:pPr>
            <w:r w:rsidRPr="00DC7B14">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DC7B14" w:rsidRDefault="00357321" w:rsidP="00357321">
            <w:pPr>
              <w:jc w:val="both"/>
              <w:rPr>
                <w:rFonts w:eastAsia="Times New Roman"/>
                <w:sz w:val="24"/>
                <w:szCs w:val="24"/>
                <w:lang w:val="lv-LV" w:eastAsia="lv-LV"/>
              </w:rPr>
            </w:pPr>
            <w:r w:rsidRPr="00DC7B14">
              <w:rPr>
                <w:rFonts w:eastAsia="Times New Roman"/>
                <w:sz w:val="24"/>
                <w:szCs w:val="24"/>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920C1D" w:rsidRPr="00DC7B14" w:rsidRDefault="00920C1D" w:rsidP="00920C1D">
            <w:pPr>
              <w:jc w:val="both"/>
              <w:rPr>
                <w:rFonts w:eastAsia="Times New Roman"/>
                <w:bCs/>
                <w:sz w:val="24"/>
                <w:szCs w:val="24"/>
                <w:lang w:val="lv-LV"/>
              </w:rPr>
            </w:pPr>
            <w:r w:rsidRPr="00DC7B14">
              <w:rPr>
                <w:rFonts w:eastAsia="Times New Roman"/>
                <w:bCs/>
                <w:sz w:val="24"/>
                <w:szCs w:val="24"/>
                <w:lang w:val="lv-LV"/>
              </w:rPr>
              <w:t xml:space="preserve">2009.gada 15.septembrī tika apstiprināti MK noteikumi Nr.1065, kuri noteica atbalsta piešķiršanas nosacījumus apgrozāmo līdzekļu aizdevumiem un investīciju aizdevumiem, kā arī noteica, ka aizdevumus sniegs </w:t>
            </w:r>
            <w:r w:rsidRPr="00DC7B14">
              <w:rPr>
                <w:bCs/>
                <w:sz w:val="24"/>
                <w:szCs w:val="24"/>
                <w:lang w:val="lv-LV"/>
              </w:rPr>
              <w:t>valsts akciju sabiedrības „Latvijas attīstības finanšu institūcija Altum” (turpmāk – sabiedrība Altum)</w:t>
            </w:r>
            <w:r w:rsidRPr="00DC7B14">
              <w:rPr>
                <w:rFonts w:eastAsia="Times New Roman"/>
                <w:bCs/>
                <w:sz w:val="24"/>
                <w:szCs w:val="24"/>
                <w:lang w:val="lv-LV"/>
              </w:rPr>
              <w:t xml:space="preserve">. </w:t>
            </w:r>
          </w:p>
          <w:p w:rsidR="00920C1D" w:rsidRPr="00DC7B14" w:rsidRDefault="00920C1D" w:rsidP="00920C1D">
            <w:pPr>
              <w:jc w:val="both"/>
              <w:rPr>
                <w:rFonts w:eastAsia="Times New Roman"/>
                <w:bCs/>
                <w:sz w:val="24"/>
                <w:szCs w:val="24"/>
                <w:lang w:val="lv-LV"/>
              </w:rPr>
            </w:pPr>
            <w:r w:rsidRPr="00DC7B14">
              <w:rPr>
                <w:rFonts w:eastAsia="Times New Roman"/>
                <w:bCs/>
                <w:sz w:val="24"/>
                <w:szCs w:val="24"/>
                <w:lang w:val="lv-LV"/>
              </w:rPr>
              <w:t xml:space="preserve">Programmas apjoms atbilstoši MK noteikumiem Nr.1065 ir 202 milj. </w:t>
            </w:r>
            <w:r w:rsidRPr="00DC7B14">
              <w:rPr>
                <w:rFonts w:eastAsia="Times New Roman"/>
                <w:bCs/>
                <w:i/>
                <w:sz w:val="24"/>
                <w:szCs w:val="24"/>
                <w:lang w:val="lv-LV"/>
              </w:rPr>
              <w:t>euro</w:t>
            </w:r>
            <w:r w:rsidRPr="00DC7B14">
              <w:rPr>
                <w:rFonts w:eastAsia="Times New Roman"/>
                <w:bCs/>
                <w:sz w:val="24"/>
                <w:szCs w:val="24"/>
                <w:lang w:val="lv-LV"/>
              </w:rPr>
              <w:t xml:space="preserve">. Programmas faktiskā realizācija tika uzsākta 2010.gada februārī, piesaistot Eiropas Investīciju bankas finansējumu 100 milj. </w:t>
            </w:r>
            <w:r w:rsidRPr="00DC7B14">
              <w:rPr>
                <w:rFonts w:eastAsia="Times New Roman"/>
                <w:bCs/>
                <w:i/>
                <w:sz w:val="24"/>
                <w:szCs w:val="24"/>
                <w:lang w:val="lv-LV"/>
              </w:rPr>
              <w:t>euro</w:t>
            </w:r>
            <w:r w:rsidRPr="00DC7B14">
              <w:rPr>
                <w:rFonts w:eastAsia="Times New Roman"/>
                <w:bCs/>
                <w:sz w:val="24"/>
                <w:szCs w:val="24"/>
                <w:lang w:val="lv-LV"/>
              </w:rPr>
              <w:t xml:space="preserve"> apmērā (programmas realizācijai netiek izmantoti ne valsts budžeta, ne ES fondu līdzekļi). </w:t>
            </w:r>
            <w:r w:rsidR="00B60A0A" w:rsidRPr="00DC7B14">
              <w:rPr>
                <w:rFonts w:eastAsia="Times New Roman"/>
                <w:bCs/>
                <w:sz w:val="24"/>
                <w:szCs w:val="24"/>
                <w:lang w:val="lv-LV"/>
              </w:rPr>
              <w:t xml:space="preserve">Līdz 2014.gada maijam programmas ietvaros sabiedrība Altum ir apstiprinājusi 948 projektus par kopējo summu 66,6 milj. </w:t>
            </w:r>
            <w:r w:rsidR="00B60A0A" w:rsidRPr="00DC7B14">
              <w:rPr>
                <w:rFonts w:eastAsia="Times New Roman"/>
                <w:bCs/>
                <w:i/>
                <w:sz w:val="24"/>
                <w:szCs w:val="24"/>
                <w:lang w:val="lv-LV"/>
              </w:rPr>
              <w:t>euro</w:t>
            </w:r>
            <w:r w:rsidR="00B60A0A" w:rsidRPr="00DC7B14">
              <w:rPr>
                <w:rFonts w:eastAsia="Times New Roman"/>
                <w:bCs/>
                <w:sz w:val="24"/>
                <w:szCs w:val="24"/>
                <w:lang w:val="lv-LV"/>
              </w:rPr>
              <w:t xml:space="preserve"> apmērā, savukārt, noslēgto līgumu skaits ir 909 par kopējo summu 59,2 milj </w:t>
            </w:r>
            <w:r w:rsidR="00B60A0A" w:rsidRPr="00DC7B14">
              <w:rPr>
                <w:rFonts w:eastAsia="Times New Roman"/>
                <w:bCs/>
                <w:i/>
                <w:sz w:val="24"/>
                <w:szCs w:val="24"/>
                <w:lang w:val="lv-LV"/>
              </w:rPr>
              <w:t>euro</w:t>
            </w:r>
            <w:r w:rsidR="00B60A0A" w:rsidRPr="00DC7B14">
              <w:rPr>
                <w:rFonts w:eastAsia="Times New Roman"/>
                <w:bCs/>
                <w:sz w:val="24"/>
                <w:szCs w:val="24"/>
                <w:lang w:val="lv-LV"/>
              </w:rPr>
              <w:t>.</w:t>
            </w:r>
          </w:p>
          <w:p w:rsidR="0041138D" w:rsidRPr="00A0176D" w:rsidRDefault="0041138D" w:rsidP="0041138D">
            <w:pPr>
              <w:suppressAutoHyphens/>
              <w:jc w:val="both"/>
              <w:rPr>
                <w:rFonts w:eastAsia="Times New Roman"/>
                <w:bCs/>
                <w:sz w:val="24"/>
                <w:szCs w:val="24"/>
                <w:lang w:val="lv-LV"/>
              </w:rPr>
            </w:pPr>
            <w:r w:rsidRPr="00DC7B14">
              <w:rPr>
                <w:rFonts w:eastAsia="Times New Roman"/>
                <w:bCs/>
                <w:sz w:val="24"/>
                <w:szCs w:val="24"/>
                <w:lang w:val="lv-LV"/>
              </w:rPr>
              <w:t xml:space="preserve">Tā kā atbalsts valsts atbalsta programmas ietvaros MK noteikumu Nr.1065 7.1. un 7.2.apakšpunktā minētajiem saimnieciskās darbības veicējiem tiek piešķirts kā </w:t>
            </w:r>
            <w:r w:rsidRPr="00DC7B14">
              <w:rPr>
                <w:rFonts w:eastAsia="Times New Roman"/>
                <w:bCs/>
                <w:i/>
                <w:sz w:val="24"/>
                <w:szCs w:val="24"/>
                <w:lang w:val="lv-LV"/>
              </w:rPr>
              <w:t>de minimis</w:t>
            </w:r>
            <w:r w:rsidRPr="00DC7B14">
              <w:rPr>
                <w:rFonts w:eastAsia="Times New Roman"/>
                <w:bCs/>
                <w:sz w:val="24"/>
                <w:szCs w:val="24"/>
                <w:lang w:val="lv-LV"/>
              </w:rPr>
              <w:t xml:space="preserve"> atbalsts, līdz šim atbalsta piešķiršana notika </w:t>
            </w:r>
            <w:r w:rsidRPr="00A0176D">
              <w:rPr>
                <w:rFonts w:eastAsia="Times New Roman"/>
                <w:bCs/>
                <w:sz w:val="24"/>
                <w:szCs w:val="24"/>
                <w:lang w:val="lv-LV"/>
              </w:rPr>
              <w:t xml:space="preserve">saskaņā ar </w:t>
            </w:r>
            <w:r w:rsidR="00AE39CA" w:rsidRPr="00A0176D">
              <w:rPr>
                <w:rFonts w:eastAsia="Times New Roman"/>
                <w:bCs/>
                <w:sz w:val="24"/>
                <w:szCs w:val="24"/>
                <w:lang w:val="lv-LV"/>
              </w:rPr>
              <w:t xml:space="preserve">Komisijas </w:t>
            </w:r>
            <w:r w:rsidRPr="00A0176D">
              <w:rPr>
                <w:rFonts w:eastAsia="Times New Roman"/>
                <w:bCs/>
                <w:sz w:val="24"/>
                <w:szCs w:val="24"/>
                <w:lang w:val="lv-LV"/>
              </w:rPr>
              <w:t xml:space="preserve">2006.gada 15.decembra Regulu (EK) Nr. 1998/2006 par Līguma 87. un 88. panta piemērošanu </w:t>
            </w:r>
            <w:r w:rsidRPr="00A0176D">
              <w:rPr>
                <w:rFonts w:eastAsia="Times New Roman"/>
                <w:bCs/>
                <w:i/>
                <w:sz w:val="24"/>
                <w:szCs w:val="24"/>
                <w:lang w:val="lv-LV"/>
              </w:rPr>
              <w:t>de minimis</w:t>
            </w:r>
            <w:r w:rsidRPr="00A0176D">
              <w:rPr>
                <w:rFonts w:eastAsia="Times New Roman"/>
                <w:bCs/>
                <w:sz w:val="24"/>
                <w:szCs w:val="24"/>
                <w:lang w:val="lv-LV"/>
              </w:rPr>
              <w:t xml:space="preserve"> atbalstam (turpmā</w:t>
            </w:r>
            <w:r w:rsidR="00484CA7" w:rsidRPr="00A0176D">
              <w:rPr>
                <w:rFonts w:eastAsia="Times New Roman"/>
                <w:bCs/>
                <w:sz w:val="24"/>
                <w:szCs w:val="24"/>
                <w:lang w:val="lv-LV"/>
              </w:rPr>
              <w:t xml:space="preserve">k – Komisijas Regula </w:t>
            </w:r>
            <w:r w:rsidR="00AE39CA" w:rsidRPr="00A0176D">
              <w:rPr>
                <w:rFonts w:eastAsia="Times New Roman"/>
                <w:bCs/>
                <w:sz w:val="24"/>
                <w:szCs w:val="24"/>
                <w:lang w:val="lv-LV"/>
              </w:rPr>
              <w:t xml:space="preserve">Nr. </w:t>
            </w:r>
            <w:r w:rsidR="00484CA7" w:rsidRPr="00A0176D">
              <w:rPr>
                <w:rFonts w:eastAsia="Times New Roman"/>
                <w:bCs/>
                <w:sz w:val="24"/>
                <w:szCs w:val="24"/>
                <w:lang w:val="lv-LV"/>
              </w:rPr>
              <w:t xml:space="preserve">1998/2006), savukārt atbalsts </w:t>
            </w:r>
            <w:r w:rsidR="0010324D" w:rsidRPr="00A0176D">
              <w:rPr>
                <w:rFonts w:eastAsia="Times New Roman"/>
                <w:bCs/>
                <w:sz w:val="24"/>
                <w:szCs w:val="24"/>
                <w:lang w:val="lv-LV"/>
              </w:rPr>
              <w:t>7.3.apakšpunktā minētajiem saimnieciskās darbības veicējiem apgrozāmo līdzekļu aizdevumiem</w:t>
            </w:r>
            <w:r w:rsidR="00484CA7" w:rsidRPr="00A0176D">
              <w:rPr>
                <w:rFonts w:eastAsia="Times New Roman"/>
                <w:bCs/>
                <w:sz w:val="24"/>
                <w:szCs w:val="24"/>
                <w:lang w:val="lv-LV"/>
              </w:rPr>
              <w:t xml:space="preserve"> līdzšinēji notika</w:t>
            </w:r>
            <w:r w:rsidR="0010324D" w:rsidRPr="00A0176D">
              <w:rPr>
                <w:rFonts w:eastAsia="Times New Roman"/>
                <w:bCs/>
                <w:sz w:val="24"/>
                <w:szCs w:val="24"/>
                <w:lang w:val="lv-LV"/>
              </w:rPr>
              <w:t xml:space="preserve"> saskaņā ar </w:t>
            </w:r>
            <w:r w:rsidRPr="00A0176D">
              <w:rPr>
                <w:rFonts w:eastAsia="Times New Roman"/>
                <w:bCs/>
                <w:sz w:val="24"/>
                <w:szCs w:val="24"/>
                <w:lang w:val="lv-LV"/>
              </w:rPr>
              <w:t xml:space="preserve"> Komisijas 2007.gada 20.decembra Regulu Nr. 1535/2007 par EK Līguma 87. un 88.panta piemērošanu </w:t>
            </w:r>
            <w:r w:rsidRPr="00A0176D">
              <w:rPr>
                <w:rFonts w:eastAsia="Times New Roman"/>
                <w:bCs/>
                <w:i/>
                <w:sz w:val="24"/>
                <w:szCs w:val="24"/>
                <w:lang w:val="lv-LV"/>
              </w:rPr>
              <w:t>de minimis</w:t>
            </w:r>
            <w:r w:rsidRPr="00A0176D">
              <w:rPr>
                <w:rFonts w:eastAsia="Times New Roman"/>
                <w:bCs/>
                <w:sz w:val="24"/>
                <w:szCs w:val="24"/>
                <w:lang w:val="lv-LV"/>
              </w:rPr>
              <w:t xml:space="preserve"> atbalstam lauksaimniecības produktu ražošanas nozarē (Eiropas Savienības Oficiālais Vēstnesis, 2007.gada 21.decembris, Nr. L 337) (turpmāk – Komisijas Regula Nr. 1535/2007). </w:t>
            </w:r>
          </w:p>
          <w:p w:rsidR="0041138D" w:rsidRPr="00DC7B14" w:rsidRDefault="0041138D" w:rsidP="0041138D">
            <w:pPr>
              <w:suppressAutoHyphens/>
              <w:jc w:val="both"/>
              <w:rPr>
                <w:rFonts w:eastAsia="Times New Roman"/>
                <w:bCs/>
                <w:sz w:val="24"/>
                <w:szCs w:val="24"/>
                <w:lang w:val="lv-LV"/>
              </w:rPr>
            </w:pPr>
            <w:r w:rsidRPr="00A0176D">
              <w:rPr>
                <w:rFonts w:eastAsia="Times New Roman"/>
                <w:bCs/>
                <w:sz w:val="24"/>
                <w:szCs w:val="24"/>
                <w:lang w:val="lv-LV"/>
              </w:rPr>
              <w:t>Ņemot vērā Komisijas Regulas Nr.1998/2006 6.pantu, kas nosaka,</w:t>
            </w:r>
            <w:r w:rsidRPr="00DC7B14">
              <w:rPr>
                <w:rFonts w:eastAsia="Times New Roman"/>
                <w:bCs/>
                <w:sz w:val="24"/>
                <w:szCs w:val="24"/>
                <w:lang w:val="lv-LV"/>
              </w:rPr>
              <w:t xml:space="preserve"> ka Komisijas Regulu Nr.1998/2006 piemēro līdz 2013.gada 31.decembrim (attiecīgi Komisijas Regulas Nr.1535/2007 7.pants) un 5.panta 3.punktu, kas nosaka, ka Komisijas Regulas Nr.1998/2006 spēkā esamības laika beigās jebkuru </w:t>
            </w:r>
            <w:r w:rsidRPr="00DC7B14">
              <w:rPr>
                <w:rFonts w:eastAsia="Times New Roman"/>
                <w:bCs/>
                <w:i/>
                <w:sz w:val="24"/>
                <w:szCs w:val="24"/>
                <w:lang w:val="lv-LV"/>
              </w:rPr>
              <w:t>de minimis</w:t>
            </w:r>
            <w:r w:rsidRPr="00DC7B14">
              <w:rPr>
                <w:rFonts w:eastAsia="Times New Roman"/>
                <w:bCs/>
                <w:sz w:val="24"/>
                <w:szCs w:val="24"/>
                <w:lang w:val="lv-LV"/>
              </w:rPr>
              <w:t xml:space="preserve"> atbalstu, kurš atbilst Komisijas Regulas 1998/2006 nosacījumiem (attiecīgi Komisijas Regulas 1535/2007 6.panta 3.punkts), var likumīgi īstenot turpmākajos sešos mēnešos, ar 2013.gada 10.decembra </w:t>
            </w:r>
            <w:r w:rsidR="000835BB">
              <w:rPr>
                <w:rFonts w:eastAsia="Times New Roman"/>
                <w:bCs/>
                <w:sz w:val="24"/>
                <w:szCs w:val="24"/>
                <w:lang w:val="lv-LV"/>
              </w:rPr>
              <w:t>grozījumiem MK noteikumos Nr.1065</w:t>
            </w:r>
            <w:r w:rsidRPr="00DC7B14">
              <w:rPr>
                <w:rFonts w:eastAsia="Times New Roman"/>
                <w:bCs/>
                <w:sz w:val="24"/>
                <w:szCs w:val="24"/>
                <w:lang w:val="lv-LV"/>
              </w:rPr>
              <w:t>, tika pagarināts programmas īstenošanas termiņš līdz 2014.gada 30.jūnijam.</w:t>
            </w:r>
          </w:p>
          <w:p w:rsidR="0041138D" w:rsidRPr="00DC7B14" w:rsidRDefault="0041138D" w:rsidP="0041138D">
            <w:pPr>
              <w:suppressAutoHyphens/>
              <w:jc w:val="both"/>
              <w:rPr>
                <w:rFonts w:eastAsia="Times New Roman"/>
                <w:bCs/>
                <w:sz w:val="24"/>
                <w:szCs w:val="24"/>
                <w:lang w:val="lv-LV"/>
              </w:rPr>
            </w:pPr>
            <w:r w:rsidRPr="00DC7B14">
              <w:rPr>
                <w:rFonts w:eastAsia="Times New Roman"/>
                <w:bCs/>
                <w:sz w:val="24"/>
                <w:szCs w:val="24"/>
                <w:lang w:val="lv-LV"/>
              </w:rPr>
              <w:t xml:space="preserve">Tā kā 2014.gada 1.janvārī stājās spēkā jaunais </w:t>
            </w:r>
            <w:r w:rsidRPr="00DC7B14">
              <w:rPr>
                <w:rFonts w:eastAsia="Times New Roman"/>
                <w:bCs/>
                <w:i/>
                <w:sz w:val="24"/>
                <w:szCs w:val="24"/>
                <w:lang w:val="lv-LV"/>
              </w:rPr>
              <w:t>de minimis</w:t>
            </w:r>
            <w:r w:rsidRPr="00DC7B14">
              <w:rPr>
                <w:rFonts w:eastAsia="Times New Roman"/>
                <w:bCs/>
                <w:sz w:val="24"/>
                <w:szCs w:val="24"/>
                <w:lang w:val="lv-LV"/>
              </w:rPr>
              <w:t xml:space="preserve"> atbalsta regulējums -  2013.gada 18.decembra Komisijas Regula (ES) Nr. 1407/2013 par Līguma par Eiropas Savienības darbību 107. un 108.panta piemērošanu </w:t>
            </w:r>
            <w:r w:rsidRPr="00DC7B14">
              <w:rPr>
                <w:rFonts w:eastAsia="Times New Roman"/>
                <w:bCs/>
                <w:i/>
                <w:sz w:val="24"/>
                <w:szCs w:val="24"/>
                <w:lang w:val="lv-LV"/>
              </w:rPr>
              <w:t>de minimis</w:t>
            </w:r>
            <w:r w:rsidRPr="00DC7B14">
              <w:rPr>
                <w:rFonts w:eastAsia="Times New Roman"/>
                <w:bCs/>
                <w:sz w:val="24"/>
                <w:szCs w:val="24"/>
                <w:lang w:val="lv-LV"/>
              </w:rPr>
              <w:t xml:space="preserve"> atbalstam (Eiropas Savienības </w:t>
            </w:r>
            <w:r w:rsidRPr="00DC7B14">
              <w:rPr>
                <w:rFonts w:eastAsia="Times New Roman"/>
                <w:bCs/>
                <w:sz w:val="24"/>
                <w:szCs w:val="24"/>
                <w:lang w:val="lv-LV"/>
              </w:rPr>
              <w:lastRenderedPageBreak/>
              <w:t xml:space="preserve">Oficiālais Vēstnesis, 2013.gada 24.decembris, Nr. L 352) (turpmāk – Komisijas Regula Nr. 1407/2013) un </w:t>
            </w:r>
            <w:r w:rsidRPr="00DC7B14">
              <w:rPr>
                <w:sz w:val="24"/>
                <w:szCs w:val="24"/>
              </w:rPr>
              <w:t xml:space="preserve">Komisijas 2013.gada 18.decembra Regula (ES) Nr. 1408/2013 par Līguma par Eiropas Savienības darbību 107. un 108.panta piemērošanu </w:t>
            </w:r>
            <w:r w:rsidRPr="00DC7B14">
              <w:rPr>
                <w:i/>
                <w:sz w:val="24"/>
                <w:szCs w:val="24"/>
              </w:rPr>
              <w:t>de minimis</w:t>
            </w:r>
            <w:r w:rsidRPr="00DC7B14">
              <w:rPr>
                <w:sz w:val="24"/>
                <w:szCs w:val="24"/>
              </w:rPr>
              <w:t xml:space="preserve"> atbalstam lauksaimniecības nozarē” (turpmāk – Komisijas Regula Nr. 1408/2013),</w:t>
            </w:r>
            <w:r w:rsidRPr="00DC7B14">
              <w:rPr>
                <w:rFonts w:eastAsia="Times New Roman"/>
                <w:bCs/>
                <w:sz w:val="24"/>
                <w:szCs w:val="24"/>
                <w:lang w:val="lv-LV"/>
              </w:rPr>
              <w:t xml:space="preserve"> EM ir veikusi grozījumus MK </w:t>
            </w:r>
            <w:r w:rsidR="00B60A0A" w:rsidRPr="00DC7B14">
              <w:rPr>
                <w:rFonts w:eastAsia="Times New Roman"/>
                <w:bCs/>
                <w:sz w:val="24"/>
                <w:szCs w:val="24"/>
                <w:lang w:val="lv-LV"/>
              </w:rPr>
              <w:t>noteikumos Nr.1065</w:t>
            </w:r>
            <w:r w:rsidRPr="00DC7B14">
              <w:rPr>
                <w:rFonts w:eastAsia="Times New Roman"/>
                <w:bCs/>
                <w:sz w:val="24"/>
                <w:szCs w:val="24"/>
                <w:lang w:val="lv-LV"/>
              </w:rPr>
              <w:t xml:space="preserve">, </w:t>
            </w:r>
            <w:r w:rsidRPr="00DC7B14">
              <w:rPr>
                <w:rFonts w:eastAsia="Times New Roman"/>
                <w:bCs/>
                <w:sz w:val="24"/>
                <w:szCs w:val="24"/>
                <w:u w:val="single"/>
                <w:lang w:val="lv-LV"/>
              </w:rPr>
              <w:t>pielāgojot noteikumu regulējumu Komisijas Regulai Nr.1407/2013 un Komisijas Regulai Nr.1408/2013, kā arī pagarinājusi</w:t>
            </w:r>
            <w:r w:rsidR="00B60A0A" w:rsidRPr="00DC7B14">
              <w:rPr>
                <w:rFonts w:eastAsia="Times New Roman"/>
                <w:bCs/>
                <w:sz w:val="24"/>
                <w:szCs w:val="24"/>
                <w:u w:val="single"/>
                <w:lang w:val="lv-LV"/>
              </w:rPr>
              <w:t xml:space="preserve"> apgrozāmo līdzekļu un investīciju aizdevumu līgumu noslēgšanas termiņu </w:t>
            </w:r>
            <w:r w:rsidRPr="00DC7B14">
              <w:rPr>
                <w:rFonts w:eastAsia="Times New Roman"/>
                <w:bCs/>
                <w:sz w:val="24"/>
                <w:szCs w:val="24"/>
                <w:u w:val="single"/>
                <w:lang w:val="lv-LV"/>
              </w:rPr>
              <w:t xml:space="preserve"> </w:t>
            </w:r>
            <w:r w:rsidR="00B60A0A" w:rsidRPr="00DC7B14">
              <w:rPr>
                <w:rFonts w:eastAsia="Times New Roman"/>
                <w:bCs/>
                <w:sz w:val="24"/>
                <w:szCs w:val="24"/>
                <w:u w:val="single"/>
                <w:lang w:val="lv-LV"/>
              </w:rPr>
              <w:t>7.1. un 7.2.  apakšpunktā minētajiem saimnieciskās darbības veicējiem līdz 2015.gada 31.oktobrim</w:t>
            </w:r>
            <w:r w:rsidRPr="00DC7B14">
              <w:rPr>
                <w:rFonts w:eastAsia="Times New Roman"/>
                <w:bCs/>
                <w:sz w:val="24"/>
                <w:szCs w:val="24"/>
                <w:lang w:val="lv-LV"/>
              </w:rPr>
              <w:t>. Komisijas Regulas Nr.1407/2013 nosacījumi ir saskanīgi ar Regulas Nr.1998/2006 nosacījumiem, kā arī Komisijas Regulas Nr.1408/2013 nosacījumi ir saskanīgi ar Komisijas Regulas Nr.1535/2007 nosacījumiem, turklāt atšķirībā no Komisijas Regulas Nr.1998/2006 Komisijas Regulā Nr.1407/2013, kā arī atšķirībā No Komisijas Regulas Nr.1535/2007 Komisijas Regulā Nr.1408/2013 kā vienīgais iero</w:t>
            </w:r>
            <w:r w:rsidR="0044003E">
              <w:rPr>
                <w:rFonts w:eastAsia="Times New Roman"/>
                <w:bCs/>
                <w:sz w:val="24"/>
                <w:szCs w:val="24"/>
                <w:lang w:val="lv-LV"/>
              </w:rPr>
              <w:t>bežojums atbalsta saņemšanai ir</w:t>
            </w:r>
            <w:r w:rsidRPr="00DC7B14">
              <w:rPr>
                <w:rFonts w:eastAsia="Times New Roman"/>
                <w:bCs/>
                <w:sz w:val="24"/>
                <w:szCs w:val="24"/>
                <w:lang w:val="lv-LV"/>
              </w:rPr>
              <w:t xml:space="preserve"> gadījumā, ja uzņēmumam piemērots maksātnespējas process vai tas neatbilst normatīvajos aktos noteiktiem kritērijiem, lai tam pēc kreditoru pieprasījuma piemērotu kolektīvu maksātnespējas procedūru (paredzēts MK noteikumu Nr.</w:t>
            </w:r>
            <w:r w:rsidR="00B60A0A" w:rsidRPr="00DC7B14">
              <w:rPr>
                <w:rFonts w:eastAsia="Times New Roman"/>
                <w:bCs/>
                <w:sz w:val="24"/>
                <w:szCs w:val="24"/>
                <w:lang w:val="lv-LV"/>
              </w:rPr>
              <w:t>1065 10.2.1.</w:t>
            </w:r>
            <w:r w:rsidRPr="00DC7B14">
              <w:rPr>
                <w:rFonts w:eastAsia="Times New Roman"/>
                <w:bCs/>
                <w:sz w:val="24"/>
                <w:szCs w:val="24"/>
                <w:vertAlign w:val="superscript"/>
                <w:lang w:val="lv-LV"/>
              </w:rPr>
              <w:t>.</w:t>
            </w:r>
            <w:r w:rsidRPr="00DC7B14">
              <w:rPr>
                <w:rFonts w:eastAsia="Times New Roman"/>
                <w:bCs/>
                <w:sz w:val="24"/>
                <w:szCs w:val="24"/>
                <w:lang w:val="lv-LV"/>
              </w:rPr>
              <w:t xml:space="preserve">punktā). </w:t>
            </w:r>
          </w:p>
          <w:p w:rsidR="0041138D" w:rsidRPr="00DC7B14" w:rsidRDefault="0041138D" w:rsidP="0041138D">
            <w:pPr>
              <w:ind w:firstLine="567"/>
              <w:jc w:val="both"/>
              <w:rPr>
                <w:rFonts w:eastAsia="Times New Roman"/>
                <w:bCs/>
                <w:sz w:val="24"/>
                <w:szCs w:val="24"/>
                <w:lang w:val="lv-LV"/>
              </w:rPr>
            </w:pPr>
            <w:r w:rsidRPr="00DC7B14">
              <w:rPr>
                <w:rFonts w:eastAsia="Times New Roman"/>
                <w:bCs/>
                <w:sz w:val="24"/>
                <w:szCs w:val="24"/>
                <w:lang w:val="lv-LV"/>
              </w:rPr>
              <w:t xml:space="preserve">Ņemot vērā, ka iepriekšējos divos kalendāros gados atbalsts programmas ietvaros varētu būt ticis sniegts saskaņā ar Komisijas Regulu Nr. 1998/2006 vai Komisijas Regulu Nr.1535/2007, noteikumu projektā noteikts, ka finansiālā atbalsta pieteicējam jāsniedz informācija sabiedrībai Altum par jebkuru citu </w:t>
            </w:r>
            <w:r w:rsidRPr="00DC7B14">
              <w:rPr>
                <w:rFonts w:eastAsia="Times New Roman"/>
                <w:bCs/>
                <w:i/>
                <w:sz w:val="24"/>
                <w:szCs w:val="24"/>
                <w:lang w:val="lv-LV"/>
              </w:rPr>
              <w:t>de minimis</w:t>
            </w:r>
            <w:r w:rsidRPr="00DC7B14">
              <w:rPr>
                <w:rFonts w:eastAsia="Times New Roman"/>
                <w:bCs/>
                <w:sz w:val="24"/>
                <w:szCs w:val="24"/>
                <w:lang w:val="lv-LV"/>
              </w:rPr>
              <w:t xml:space="preserve"> atbalstu, neminot konkrētas regulas numuru un izdošanas gadu.</w:t>
            </w:r>
          </w:p>
          <w:p w:rsidR="00DC7B14" w:rsidRPr="00DC7B14" w:rsidRDefault="00C633D4" w:rsidP="00DC7B14">
            <w:pPr>
              <w:ind w:firstLine="567"/>
              <w:jc w:val="both"/>
              <w:rPr>
                <w:rFonts w:eastAsia="Times New Roman"/>
                <w:bCs/>
                <w:sz w:val="24"/>
                <w:szCs w:val="24"/>
                <w:u w:val="single"/>
                <w:lang w:val="lv-LV"/>
              </w:rPr>
            </w:pPr>
            <w:r w:rsidRPr="00DC7B14">
              <w:rPr>
                <w:rFonts w:eastAsia="Times New Roman"/>
                <w:bCs/>
                <w:sz w:val="24"/>
                <w:szCs w:val="24"/>
                <w:lang w:val="lv-LV"/>
              </w:rPr>
              <w:t xml:space="preserve">Investīciju aizdevumi MK noteikumu Nr.1065 7.3.apakšpunktā minētajiem saimnieciskās darbības veicējiem tiek sniegti saskaņā ar Komisijas 2006.gada 15.decembra Regulu (EK)  Nr. 1857/2006 par Līguma 87. un 88.panta piemērošanu attiecībā uz maziem un vidējiem uzņēmumiem, kas nodarbojas ar lauksaimniecības produktu ražošanu, un grozījumiem Regulā (EK) Nr.70/2001 (turpmāk – Regula Nr.1857/2006), kuras 23.pants nosaka, ka </w:t>
            </w:r>
            <w:r w:rsidR="00DC7B14" w:rsidRPr="00DC7B14">
              <w:rPr>
                <w:rFonts w:eastAsia="Times New Roman"/>
                <w:bCs/>
                <w:sz w:val="24"/>
                <w:szCs w:val="24"/>
                <w:lang w:val="lv-LV"/>
              </w:rPr>
              <w:t>Regulu</w:t>
            </w:r>
            <w:r w:rsidRPr="00DC7B14">
              <w:rPr>
                <w:rFonts w:eastAsia="Times New Roman"/>
                <w:bCs/>
                <w:sz w:val="24"/>
                <w:szCs w:val="24"/>
                <w:lang w:val="lv-LV"/>
              </w:rPr>
              <w:t xml:space="preserve"> Nr.1857/2006  piemēro no 2007. gada 1. janvāra līdz 2014. gada 30. </w:t>
            </w:r>
            <w:r w:rsidR="00DC7B14" w:rsidRPr="00DC7B14">
              <w:rPr>
                <w:rFonts w:eastAsia="Times New Roman"/>
                <w:bCs/>
                <w:sz w:val="24"/>
                <w:szCs w:val="24"/>
                <w:lang w:val="lv-LV"/>
              </w:rPr>
              <w:t>j</w:t>
            </w:r>
            <w:r w:rsidRPr="00DC7B14">
              <w:rPr>
                <w:rFonts w:eastAsia="Times New Roman"/>
                <w:bCs/>
                <w:sz w:val="24"/>
                <w:szCs w:val="24"/>
                <w:lang w:val="lv-LV"/>
              </w:rPr>
              <w:t>ūnija</w:t>
            </w:r>
            <w:r w:rsidR="00DC7B14" w:rsidRPr="00DC7B14">
              <w:rPr>
                <w:rFonts w:eastAsia="Times New Roman"/>
                <w:bCs/>
                <w:sz w:val="24"/>
                <w:szCs w:val="24"/>
                <w:lang w:val="lv-LV"/>
              </w:rPr>
              <w:t xml:space="preserve">m, savukārt </w:t>
            </w:r>
            <w:r w:rsidRPr="00DC7B14">
              <w:rPr>
                <w:rFonts w:eastAsia="Times New Roman"/>
                <w:bCs/>
                <w:sz w:val="24"/>
                <w:szCs w:val="24"/>
                <w:lang w:val="lv-LV"/>
              </w:rPr>
              <w:t xml:space="preserve"> </w:t>
            </w:r>
            <w:r w:rsidR="00DC7B14" w:rsidRPr="00DC7B14">
              <w:rPr>
                <w:rFonts w:eastAsia="Times New Roman"/>
                <w:bCs/>
                <w:sz w:val="24"/>
                <w:szCs w:val="24"/>
                <w:lang w:val="lv-LV"/>
              </w:rPr>
              <w:t xml:space="preserve">23.panta </w:t>
            </w:r>
            <w:r w:rsidRPr="00DC7B14">
              <w:rPr>
                <w:rFonts w:eastAsia="Times New Roman"/>
                <w:bCs/>
                <w:sz w:val="24"/>
                <w:szCs w:val="24"/>
                <w:lang w:val="lv-LV"/>
              </w:rPr>
              <w:t>3.punkts nosaka, ka</w:t>
            </w:r>
            <w:r w:rsidR="00DC7B14" w:rsidRPr="00DC7B14">
              <w:rPr>
                <w:sz w:val="24"/>
                <w:szCs w:val="24"/>
              </w:rPr>
              <w:t xml:space="preserve"> a</w:t>
            </w:r>
            <w:r w:rsidR="00DC7B14" w:rsidRPr="00DC7B14">
              <w:rPr>
                <w:rFonts w:eastAsia="Times New Roman"/>
                <w:bCs/>
                <w:sz w:val="24"/>
                <w:szCs w:val="24"/>
                <w:lang w:val="lv-LV"/>
              </w:rPr>
              <w:t>tbalsta shēmām, kuras ir atbrīvotas saskaņā ar Regulu Nr.1857/2006 , atbrīvojumu piemēro sešus mēnešus pēc Regulas Nr.1857/2006  darbības beigšanās datuma</w:t>
            </w:r>
            <w:r w:rsidR="000835BB">
              <w:rPr>
                <w:rFonts w:eastAsia="Times New Roman"/>
                <w:bCs/>
                <w:sz w:val="24"/>
                <w:szCs w:val="24"/>
                <w:lang w:val="lv-LV"/>
              </w:rPr>
              <w:t>, t.i. līdz 2014.gada 31.decembrim</w:t>
            </w:r>
            <w:r w:rsidR="00DC7B14" w:rsidRPr="00DC7B14">
              <w:rPr>
                <w:rFonts w:eastAsia="Times New Roman"/>
                <w:bCs/>
                <w:sz w:val="24"/>
                <w:szCs w:val="24"/>
                <w:lang w:val="lv-LV"/>
              </w:rPr>
              <w:t xml:space="preserve">. </w:t>
            </w:r>
            <w:r w:rsidR="00DC7B14" w:rsidRPr="00DC7B14">
              <w:rPr>
                <w:rFonts w:eastAsia="Times New Roman"/>
                <w:bCs/>
                <w:sz w:val="24"/>
                <w:szCs w:val="24"/>
                <w:u w:val="single"/>
                <w:lang w:val="lv-LV"/>
              </w:rPr>
              <w:t>Tādējādi E</w:t>
            </w:r>
            <w:r w:rsidR="00E76104">
              <w:rPr>
                <w:rFonts w:eastAsia="Times New Roman"/>
                <w:bCs/>
                <w:sz w:val="24"/>
                <w:szCs w:val="24"/>
                <w:u w:val="single"/>
                <w:lang w:val="lv-LV"/>
              </w:rPr>
              <w:t>konomikas ministrija</w:t>
            </w:r>
            <w:r w:rsidR="00DC7B14" w:rsidRPr="00DC7B14">
              <w:rPr>
                <w:rFonts w:eastAsia="Times New Roman"/>
                <w:bCs/>
                <w:sz w:val="24"/>
                <w:szCs w:val="24"/>
                <w:u w:val="single"/>
                <w:lang w:val="lv-LV"/>
              </w:rPr>
              <w:t xml:space="preserve"> ir veikusi grozījumus MK noteikumos Nr.1065, pagarinot investīciju aizdevumu līgumu noslēgšanas termiņu 7.3.apakšpunktā minētajiem saimnieciskās darbības veicējiem līdz 2014.gada 31.decembrim.</w:t>
            </w:r>
          </w:p>
          <w:p w:rsidR="0041138D" w:rsidRPr="00DC7B14" w:rsidRDefault="0041138D" w:rsidP="0041138D">
            <w:pPr>
              <w:ind w:firstLine="567"/>
              <w:jc w:val="both"/>
              <w:rPr>
                <w:rFonts w:eastAsia="Times New Roman"/>
                <w:bCs/>
                <w:sz w:val="24"/>
                <w:szCs w:val="24"/>
                <w:lang w:val="lv-LV"/>
              </w:rPr>
            </w:pPr>
            <w:r w:rsidRPr="00DC7B14">
              <w:rPr>
                <w:rFonts w:eastAsia="Times New Roman"/>
                <w:bCs/>
                <w:sz w:val="24"/>
                <w:szCs w:val="24"/>
                <w:lang w:val="lv-LV"/>
              </w:rPr>
              <w:t>Ņemot vērā, ka ar 2014.gada 1.janvāri valsts A/S „Latvijas Hipotēku un zemes banka” tika mainīts nosaukums uz Altum, noteikumu projektā ir grozīts finansiālā atbalsta sniedzēja  nosaukums.</w:t>
            </w:r>
          </w:p>
          <w:p w:rsidR="00920C1D" w:rsidRPr="00A07CE4" w:rsidRDefault="00DC7B14" w:rsidP="00DC7B14">
            <w:pPr>
              <w:jc w:val="both"/>
              <w:rPr>
                <w:rFonts w:eastAsia="Times New Roman"/>
                <w:bCs/>
                <w:sz w:val="24"/>
                <w:szCs w:val="24"/>
                <w:lang w:val="lv-LV"/>
              </w:rPr>
            </w:pPr>
            <w:r w:rsidRPr="00DC7B14">
              <w:rPr>
                <w:rFonts w:eastAsia="Times New Roman"/>
                <w:bCs/>
                <w:sz w:val="24"/>
                <w:szCs w:val="24"/>
                <w:lang w:val="lv-LV"/>
              </w:rPr>
              <w:t xml:space="preserve">          </w:t>
            </w:r>
            <w:r w:rsidR="0041138D" w:rsidRPr="00DC7B14">
              <w:rPr>
                <w:rFonts w:eastAsia="Times New Roman"/>
                <w:bCs/>
                <w:sz w:val="24"/>
                <w:szCs w:val="24"/>
                <w:lang w:val="lv-LV"/>
              </w:rPr>
              <w:t xml:space="preserve">Ņemot vērā, ka 2014.gada 21.maijā Komisija </w:t>
            </w:r>
            <w:r w:rsidR="00C372FD">
              <w:rPr>
                <w:rFonts w:eastAsia="Times New Roman"/>
                <w:bCs/>
                <w:sz w:val="24"/>
                <w:szCs w:val="24"/>
                <w:lang w:val="lv-LV"/>
              </w:rPr>
              <w:t>pieņēma</w:t>
            </w:r>
            <w:r w:rsidR="0041138D" w:rsidRPr="00DC7B14">
              <w:rPr>
                <w:rFonts w:eastAsia="Times New Roman"/>
                <w:bCs/>
                <w:sz w:val="24"/>
                <w:szCs w:val="24"/>
                <w:lang w:val="lv-LV"/>
              </w:rPr>
              <w:t xml:space="preserve"> jauno vispārējo grupu atbrīvojumu regulu (</w:t>
            </w:r>
            <w:r w:rsidR="00A0176D" w:rsidRPr="00B765A6">
              <w:rPr>
                <w:sz w:val="24"/>
                <w:szCs w:val="24"/>
              </w:rPr>
              <w:t xml:space="preserve">Komisijas 2014.gada </w:t>
            </w:r>
            <w:r w:rsidR="00A0176D">
              <w:rPr>
                <w:sz w:val="24"/>
                <w:szCs w:val="24"/>
              </w:rPr>
              <w:t>17.jūnija</w:t>
            </w:r>
            <w:r w:rsidR="00A0176D" w:rsidRPr="00B765A6">
              <w:rPr>
                <w:sz w:val="24"/>
                <w:szCs w:val="24"/>
              </w:rPr>
              <w:t xml:space="preserve"> </w:t>
            </w:r>
            <w:r w:rsidR="00A0176D">
              <w:rPr>
                <w:sz w:val="24"/>
                <w:szCs w:val="24"/>
              </w:rPr>
              <w:t>Regulu</w:t>
            </w:r>
            <w:r w:rsidR="00A0176D" w:rsidRPr="00B765A6">
              <w:rPr>
                <w:sz w:val="24"/>
                <w:szCs w:val="24"/>
              </w:rPr>
              <w:t xml:space="preserve"> (E</w:t>
            </w:r>
            <w:r w:rsidR="00A0176D">
              <w:rPr>
                <w:sz w:val="24"/>
                <w:szCs w:val="24"/>
              </w:rPr>
              <w:t>S</w:t>
            </w:r>
            <w:r w:rsidR="00A0176D" w:rsidRPr="00B765A6">
              <w:rPr>
                <w:sz w:val="24"/>
                <w:szCs w:val="24"/>
              </w:rPr>
              <w:t xml:space="preserve">) Nr. </w:t>
            </w:r>
            <w:r w:rsidR="00A0176D">
              <w:rPr>
                <w:sz w:val="24"/>
                <w:szCs w:val="24"/>
              </w:rPr>
              <w:t>651</w:t>
            </w:r>
            <w:r w:rsidR="00A0176D" w:rsidRPr="00B765A6">
              <w:rPr>
                <w:sz w:val="24"/>
                <w:szCs w:val="24"/>
              </w:rPr>
              <w:t xml:space="preserve">/2014, </w:t>
            </w:r>
            <w:r w:rsidR="00A0176D" w:rsidRPr="003D749A">
              <w:rPr>
                <w:sz w:val="24"/>
                <w:szCs w:val="24"/>
              </w:rPr>
              <w:t xml:space="preserve">ar ko noteiktas atbalsta kategorijas atzīst par </w:t>
            </w:r>
            <w:r w:rsidR="00A0176D" w:rsidRPr="003D749A">
              <w:rPr>
                <w:sz w:val="24"/>
                <w:szCs w:val="24"/>
              </w:rPr>
              <w:lastRenderedPageBreak/>
              <w:t>saderīgām ar iekšējo tirgu, piemērojot Līguma 107. un 108. pantu (Eiropas Savienības Oficiālais Vēstnesis, 2014. gada 26. jūnijs, L 187)</w:t>
            </w:r>
            <w:r w:rsidR="0093417E">
              <w:rPr>
                <w:sz w:val="24"/>
                <w:szCs w:val="24"/>
              </w:rPr>
              <w:t xml:space="preserve"> (turpmāk – Komisijas Regula Nr.651/2014)</w:t>
            </w:r>
            <w:r w:rsidR="00A0176D" w:rsidRPr="003D749A">
              <w:rPr>
                <w:sz w:val="24"/>
                <w:szCs w:val="24"/>
              </w:rPr>
              <w:t xml:space="preserve"> </w:t>
            </w:r>
            <w:r w:rsidR="00A0176D" w:rsidRPr="00B765A6">
              <w:rPr>
                <w:sz w:val="24"/>
                <w:szCs w:val="24"/>
              </w:rPr>
              <w:t xml:space="preserve"> </w:t>
            </w:r>
            <w:r w:rsidR="0041138D" w:rsidRPr="00A07CE4">
              <w:rPr>
                <w:rFonts w:eastAsia="Times New Roman"/>
                <w:bCs/>
                <w:sz w:val="24"/>
                <w:szCs w:val="24"/>
                <w:lang w:val="lv-LV"/>
              </w:rPr>
              <w:t>MK</w:t>
            </w:r>
            <w:r w:rsidR="00B60A0A" w:rsidRPr="00A07CE4">
              <w:rPr>
                <w:rFonts w:eastAsia="Times New Roman"/>
                <w:bCs/>
                <w:sz w:val="24"/>
                <w:szCs w:val="24"/>
                <w:lang w:val="lv-LV"/>
              </w:rPr>
              <w:t xml:space="preserve"> noteikumu projektā ir grozīts 7.2.apakš</w:t>
            </w:r>
            <w:r w:rsidR="0041138D" w:rsidRPr="00A07CE4">
              <w:rPr>
                <w:rFonts w:eastAsia="Times New Roman"/>
                <w:bCs/>
                <w:sz w:val="24"/>
                <w:szCs w:val="24"/>
                <w:lang w:val="lv-LV"/>
              </w:rPr>
              <w:t>punkts, izsakot to jaunā redakcijā</w:t>
            </w:r>
            <w:r w:rsidR="00B60A0A" w:rsidRPr="00A07CE4">
              <w:rPr>
                <w:rFonts w:eastAsia="Times New Roman"/>
                <w:bCs/>
                <w:sz w:val="24"/>
                <w:szCs w:val="24"/>
                <w:lang w:val="lv-LV"/>
              </w:rPr>
              <w:t>, kā arī grozīts 34.2.apakšpunkts</w:t>
            </w:r>
            <w:r w:rsidR="0041138D" w:rsidRPr="00A07CE4">
              <w:rPr>
                <w:rFonts w:eastAsia="Times New Roman"/>
                <w:bCs/>
                <w:sz w:val="24"/>
                <w:szCs w:val="24"/>
                <w:lang w:val="lv-LV"/>
              </w:rPr>
              <w:t>.</w:t>
            </w:r>
          </w:p>
          <w:p w:rsidR="00F601D6" w:rsidRPr="00A07CE4" w:rsidRDefault="00022ADB" w:rsidP="00DC7B14">
            <w:pPr>
              <w:jc w:val="both"/>
              <w:rPr>
                <w:rFonts w:eastAsia="Times New Roman"/>
                <w:bCs/>
                <w:sz w:val="24"/>
                <w:szCs w:val="24"/>
                <w:lang w:val="lv-LV"/>
              </w:rPr>
            </w:pPr>
            <w:r w:rsidRPr="00A07CE4">
              <w:rPr>
                <w:rFonts w:eastAsia="Times New Roman"/>
                <w:bCs/>
                <w:sz w:val="24"/>
                <w:szCs w:val="24"/>
                <w:lang w:val="lv-LV"/>
              </w:rPr>
              <w:t xml:space="preserve">         </w:t>
            </w:r>
            <w:r w:rsidRPr="00A0176D">
              <w:rPr>
                <w:rFonts w:eastAsia="Times New Roman"/>
                <w:bCs/>
                <w:sz w:val="24"/>
                <w:szCs w:val="24"/>
                <w:lang w:val="lv-LV"/>
              </w:rPr>
              <w:t>Papildus E</w:t>
            </w:r>
            <w:r w:rsidR="00E76104" w:rsidRPr="00A0176D">
              <w:rPr>
                <w:rFonts w:eastAsia="Times New Roman"/>
                <w:bCs/>
                <w:sz w:val="24"/>
                <w:szCs w:val="24"/>
                <w:lang w:val="lv-LV"/>
              </w:rPr>
              <w:t>konomikas ministrija</w:t>
            </w:r>
            <w:r w:rsidRPr="00A0176D">
              <w:rPr>
                <w:rFonts w:eastAsia="Times New Roman"/>
                <w:bCs/>
                <w:sz w:val="24"/>
                <w:szCs w:val="24"/>
                <w:lang w:val="lv-LV"/>
              </w:rPr>
              <w:t xml:space="preserve"> ar šo noteikumu projekta grozījumiem ierosina izveidot atsevišķu garantiju un procentu likmes subsīdijas fondu </w:t>
            </w:r>
            <w:r w:rsidR="00C372FD" w:rsidRPr="00A0176D">
              <w:rPr>
                <w:rFonts w:eastAsia="Times New Roman"/>
                <w:bCs/>
                <w:sz w:val="24"/>
                <w:szCs w:val="24"/>
                <w:lang w:val="lv-LV"/>
              </w:rPr>
              <w:t xml:space="preserve">(iekšēji nodalīts uzskaites konts sabiedrībā Altum) </w:t>
            </w:r>
            <w:r w:rsidRPr="00A0176D">
              <w:rPr>
                <w:rFonts w:eastAsia="Times New Roman"/>
                <w:bCs/>
                <w:sz w:val="24"/>
                <w:szCs w:val="24"/>
                <w:lang w:val="lv-LV"/>
              </w:rPr>
              <w:t>2,5 milj</w:t>
            </w:r>
            <w:r w:rsidRPr="00A0176D">
              <w:rPr>
                <w:rFonts w:eastAsia="Times New Roman"/>
                <w:bCs/>
                <w:i/>
                <w:sz w:val="24"/>
                <w:szCs w:val="24"/>
                <w:lang w:val="lv-LV"/>
              </w:rPr>
              <w:t>. euro</w:t>
            </w:r>
            <w:r w:rsidRPr="00A0176D">
              <w:rPr>
                <w:rFonts w:eastAsia="Times New Roman"/>
                <w:bCs/>
                <w:sz w:val="24"/>
                <w:szCs w:val="24"/>
                <w:lang w:val="lv-LV"/>
              </w:rPr>
              <w:t xml:space="preserve"> apmērā, kas tiks finansēts no 2004.-2006.gada Eiropas Savienības fondu plānošanas perioda </w:t>
            </w:r>
            <w:r w:rsidRPr="00A0176D">
              <w:rPr>
                <w:sz w:val="24"/>
                <w:szCs w:val="24"/>
              </w:rPr>
              <w:t>2.4.1. nacionālās</w:t>
            </w:r>
            <w:r w:rsidRPr="00A07CE4">
              <w:rPr>
                <w:sz w:val="24"/>
                <w:szCs w:val="24"/>
              </w:rPr>
              <w:t xml:space="preserve"> programmas „Aizdevumi (t.sk.mikrokredīti) kom</w:t>
            </w:r>
            <w:r w:rsidR="00E76104" w:rsidRPr="00A07CE4">
              <w:rPr>
                <w:sz w:val="24"/>
                <w:szCs w:val="24"/>
              </w:rPr>
              <w:t>ercdarbības uzsākšanai” atmaksu publiskā finansējuma daļas</w:t>
            </w:r>
            <w:r w:rsidRPr="00A07CE4">
              <w:rPr>
                <w:sz w:val="24"/>
                <w:szCs w:val="24"/>
              </w:rPr>
              <w:t xml:space="preserve">. </w:t>
            </w:r>
            <w:r w:rsidRPr="00A07CE4">
              <w:rPr>
                <w:rFonts w:eastAsia="Times New Roman"/>
                <w:bCs/>
                <w:sz w:val="24"/>
                <w:szCs w:val="24"/>
                <w:lang w:val="lv-LV"/>
              </w:rPr>
              <w:t xml:space="preserve">Uz 2013.gada 31.decembri 2004.-2006.gada Eiropas Savienības fondu plānošanas perioda 2.4.1. nacionālās programmas „Aizdevumi (t.sk.mikrokredīti) komercdarbības uzsākšanai” aktivitātes ietvaros brīvie līdzekļi sastādīja 5 150 796 </w:t>
            </w:r>
            <w:r w:rsidRPr="00A07CE4">
              <w:rPr>
                <w:rFonts w:eastAsia="Times New Roman"/>
                <w:bCs/>
                <w:i/>
                <w:sz w:val="24"/>
                <w:szCs w:val="24"/>
                <w:lang w:val="lv-LV"/>
              </w:rPr>
              <w:t>euro</w:t>
            </w:r>
            <w:r w:rsidRPr="00A07CE4">
              <w:rPr>
                <w:rFonts w:eastAsia="Times New Roman"/>
                <w:bCs/>
                <w:sz w:val="24"/>
                <w:szCs w:val="24"/>
                <w:lang w:val="lv-LV"/>
              </w:rPr>
              <w:t xml:space="preserve"> apmērā, kur publiskais finansējums ir 50% jeb 2 575 398 </w:t>
            </w:r>
            <w:r w:rsidRPr="00A07CE4">
              <w:rPr>
                <w:rFonts w:eastAsia="Times New Roman"/>
                <w:bCs/>
                <w:i/>
                <w:sz w:val="24"/>
                <w:szCs w:val="24"/>
                <w:lang w:val="lv-LV"/>
              </w:rPr>
              <w:t>euro</w:t>
            </w:r>
            <w:r w:rsidRPr="00A07CE4">
              <w:rPr>
                <w:rFonts w:eastAsia="Times New Roman"/>
                <w:bCs/>
                <w:sz w:val="24"/>
                <w:szCs w:val="24"/>
                <w:lang w:val="lv-LV"/>
              </w:rPr>
              <w:t>. Šāds atmaksu izmantošanas modelis nav pretrunā ar Eiropas Savienības un Kohēzijas fondu regulējošajiem Eiropas un nacionālajiem normatīvajiem aktiem. Saskaņā ar Padomes Regulas (EK) Nr.1260/1999 (1999.gada 21.jūnijs), ar ko paredz vispārīgus noteikumus par struktūrfondiem 28.panta 3.punktu, kas nosaka, ka palīdzību, ko atmaksā vadošajai iestādei vai citai valsts iestādei, atkal piešķir tam pašam mērķim.</w:t>
            </w:r>
            <w:r w:rsidR="00F601D6" w:rsidRPr="00A07CE4">
              <w:rPr>
                <w:rFonts w:eastAsia="Times New Roman"/>
                <w:bCs/>
                <w:sz w:val="24"/>
                <w:szCs w:val="24"/>
                <w:lang w:val="lv-LV"/>
              </w:rPr>
              <w:t xml:space="preserve"> Tādējādi Ekonomikas ministrija slēgs līgumu ar sabiedrību Altum par šo atmaksu atkārtotu izmantošanu.</w:t>
            </w:r>
          </w:p>
          <w:p w:rsidR="00B9052B" w:rsidRPr="00A07CE4" w:rsidRDefault="00F601D6" w:rsidP="00B9052B">
            <w:pPr>
              <w:jc w:val="both"/>
              <w:rPr>
                <w:sz w:val="24"/>
                <w:szCs w:val="24"/>
              </w:rPr>
            </w:pPr>
            <w:r w:rsidRPr="00A07CE4">
              <w:rPr>
                <w:rFonts w:eastAsia="Times New Roman"/>
                <w:bCs/>
                <w:sz w:val="24"/>
                <w:szCs w:val="24"/>
                <w:lang w:val="lv-LV"/>
              </w:rPr>
              <w:t>No procentu likmes subsīdiju un garantiju fonda,</w:t>
            </w:r>
            <w:r w:rsidR="00B9052B" w:rsidRPr="00A07CE4">
              <w:rPr>
                <w:rFonts w:eastAsia="Times New Roman"/>
                <w:bCs/>
                <w:sz w:val="24"/>
                <w:szCs w:val="24"/>
                <w:lang w:val="lv-LV"/>
              </w:rPr>
              <w:t xml:space="preserve"> kas tiks izveidots sabiedrībā Altum,</w:t>
            </w:r>
            <w:r w:rsidRPr="00A07CE4">
              <w:rPr>
                <w:rFonts w:eastAsia="Times New Roman"/>
                <w:bCs/>
                <w:sz w:val="24"/>
                <w:szCs w:val="24"/>
                <w:lang w:val="lv-LV"/>
              </w:rPr>
              <w:t xml:space="preserve"> procentu likmes subs</w:t>
            </w:r>
            <w:r w:rsidR="00B9052B" w:rsidRPr="00A07CE4">
              <w:rPr>
                <w:rFonts w:eastAsia="Times New Roman"/>
                <w:bCs/>
                <w:sz w:val="24"/>
                <w:szCs w:val="24"/>
                <w:lang w:val="lv-LV"/>
              </w:rPr>
              <w:t>īdijas</w:t>
            </w:r>
            <w:r w:rsidRPr="00A07CE4">
              <w:rPr>
                <w:rFonts w:eastAsia="Times New Roman"/>
                <w:bCs/>
                <w:sz w:val="24"/>
                <w:szCs w:val="24"/>
                <w:lang w:val="lv-LV"/>
              </w:rPr>
              <w:t xml:space="preserve"> būs pieejamas </w:t>
            </w:r>
            <w:r w:rsidR="00B9052B" w:rsidRPr="00A07CE4">
              <w:rPr>
                <w:rFonts w:eastAsia="Times New Roman"/>
                <w:bCs/>
                <w:sz w:val="24"/>
                <w:szCs w:val="24"/>
                <w:lang w:val="lv-LV"/>
              </w:rPr>
              <w:t>noteikumu</w:t>
            </w:r>
            <w:r w:rsidRPr="00A07CE4">
              <w:rPr>
                <w:rFonts w:eastAsia="Times New Roman"/>
                <w:bCs/>
                <w:sz w:val="24"/>
                <w:szCs w:val="24"/>
                <w:lang w:val="lv-LV"/>
              </w:rPr>
              <w:t xml:space="preserve"> 7.2. apakšpunktā minētajiem saimnieciskās darbības veicējiem</w:t>
            </w:r>
            <w:r w:rsidR="006B3B37">
              <w:rPr>
                <w:rFonts w:eastAsia="Times New Roman"/>
                <w:bCs/>
                <w:sz w:val="24"/>
                <w:szCs w:val="24"/>
                <w:lang w:val="lv-LV"/>
              </w:rPr>
              <w:t xml:space="preserve"> kopā ar III sadaļā minēto investīciju aizdevumu</w:t>
            </w:r>
            <w:r w:rsidR="00B9052B" w:rsidRPr="00A07CE4">
              <w:rPr>
                <w:rFonts w:eastAsia="Times New Roman"/>
                <w:bCs/>
                <w:sz w:val="24"/>
                <w:szCs w:val="24"/>
                <w:lang w:val="lv-LV"/>
              </w:rPr>
              <w:t xml:space="preserve"> (nelauksaimniekiem)</w:t>
            </w:r>
            <w:r w:rsidRPr="00A07CE4">
              <w:rPr>
                <w:rFonts w:eastAsia="Times New Roman"/>
                <w:bCs/>
                <w:sz w:val="24"/>
                <w:szCs w:val="24"/>
                <w:lang w:val="lv-LV"/>
              </w:rPr>
              <w:t xml:space="preserve"> </w:t>
            </w:r>
            <w:r w:rsidRPr="00A07CE4">
              <w:rPr>
                <w:sz w:val="24"/>
                <w:szCs w:val="24"/>
              </w:rPr>
              <w:t>50% apmērā no kopējā procentu maksājumos paredzētā maksājuma, ja tas aizdevuma p</w:t>
            </w:r>
            <w:r w:rsidR="00B9052B" w:rsidRPr="00A07CE4">
              <w:rPr>
                <w:sz w:val="24"/>
                <w:szCs w:val="24"/>
              </w:rPr>
              <w:t>ieteikuma iesniegšanas dienā nebūs</w:t>
            </w:r>
            <w:r w:rsidRPr="00A07CE4">
              <w:rPr>
                <w:sz w:val="24"/>
                <w:szCs w:val="24"/>
              </w:rPr>
              <w:t xml:space="preserve"> uzsācis saimniecisko darbību vai to ir uzsācis ne agrāk kā pirms pieciem gadiem. </w:t>
            </w:r>
          </w:p>
          <w:p w:rsidR="00C86CDD" w:rsidRPr="00A0176D" w:rsidRDefault="00F601D6" w:rsidP="00B9052B">
            <w:pPr>
              <w:jc w:val="both"/>
              <w:rPr>
                <w:sz w:val="24"/>
                <w:szCs w:val="24"/>
                <w:lang w:eastAsia="lv-LV"/>
              </w:rPr>
            </w:pPr>
            <w:r w:rsidRPr="00C86CDD">
              <w:rPr>
                <w:sz w:val="24"/>
                <w:szCs w:val="24"/>
              </w:rPr>
              <w:t xml:space="preserve">Savukārt </w:t>
            </w:r>
            <w:r w:rsidR="00E76104" w:rsidRPr="00C86CDD">
              <w:rPr>
                <w:sz w:val="24"/>
                <w:szCs w:val="24"/>
              </w:rPr>
              <w:t>garantijas</w:t>
            </w:r>
            <w:r w:rsidR="00C86CDD" w:rsidRPr="00C86CDD">
              <w:rPr>
                <w:sz w:val="24"/>
                <w:szCs w:val="24"/>
              </w:rPr>
              <w:t xml:space="preserve"> būs pieejamas </w:t>
            </w:r>
            <w:r w:rsidR="00E76104" w:rsidRPr="00C86CDD">
              <w:rPr>
                <w:sz w:val="24"/>
                <w:szCs w:val="24"/>
                <w:lang w:val="lv-LV"/>
              </w:rPr>
              <w:t xml:space="preserve">paaugstināta riska (ar nepietiekamu nodrošinājuma apmēru) </w:t>
            </w:r>
            <w:r w:rsidRPr="00C86CDD">
              <w:rPr>
                <w:sz w:val="24"/>
                <w:szCs w:val="24"/>
              </w:rPr>
              <w:t xml:space="preserve"> projektu kreditēšanā, t.i. no procentu likmes subsīdiju un  garantiju fonda tiks garantēti </w:t>
            </w:r>
            <w:r w:rsidR="00B9052B" w:rsidRPr="00C86CDD">
              <w:rPr>
                <w:sz w:val="24"/>
                <w:szCs w:val="24"/>
              </w:rPr>
              <w:t>aizdevumi</w:t>
            </w:r>
            <w:r w:rsidRPr="00C86CDD">
              <w:rPr>
                <w:sz w:val="24"/>
                <w:szCs w:val="24"/>
              </w:rPr>
              <w:t xml:space="preserve"> 65% </w:t>
            </w:r>
            <w:r w:rsidR="00B9052B" w:rsidRPr="00C86CDD">
              <w:rPr>
                <w:sz w:val="24"/>
                <w:szCs w:val="24"/>
              </w:rPr>
              <w:t xml:space="preserve">apmērā, ja 7.2.apakšpunktā </w:t>
            </w:r>
            <w:r w:rsidR="00B9052B" w:rsidRPr="00C86CDD">
              <w:rPr>
                <w:rFonts w:eastAsia="Times New Roman"/>
                <w:bCs/>
                <w:sz w:val="24"/>
                <w:szCs w:val="24"/>
                <w:lang w:val="lv-LV"/>
              </w:rPr>
              <w:t xml:space="preserve">(nelauksaimniekiem) </w:t>
            </w:r>
            <w:r w:rsidR="00B9052B" w:rsidRPr="00C86CDD">
              <w:rPr>
                <w:sz w:val="24"/>
                <w:szCs w:val="24"/>
              </w:rPr>
              <w:t xml:space="preserve"> minētais saimnieciskās darbības veicējs pieteiksies investīciju aizdevumam un tas darbosies apstrādes rūpniecības nozarē</w:t>
            </w:r>
            <w:r w:rsidR="00B9052B" w:rsidRPr="00A07CE4">
              <w:t xml:space="preserve"> </w:t>
            </w:r>
            <w:r w:rsidR="00B9052B" w:rsidRPr="00C86CDD">
              <w:rPr>
                <w:sz w:val="24"/>
                <w:szCs w:val="24"/>
              </w:rPr>
              <w:t>(NACE 2. red. C sadaļa). Savukārt, ja noteikumu 7.2.apakšpunktā minētais saimnieciskās darbības veicējs pieteiksies investīciju aizdevumam</w:t>
            </w:r>
            <w:r w:rsidR="00A76DFB" w:rsidRPr="00C86CDD">
              <w:rPr>
                <w:sz w:val="24"/>
                <w:szCs w:val="24"/>
              </w:rPr>
              <w:t xml:space="preserve"> un tas darbosies apstrādes rūpniecības nozarē</w:t>
            </w:r>
            <w:r w:rsidR="00A76DFB" w:rsidRPr="00A07CE4">
              <w:t xml:space="preserve"> </w:t>
            </w:r>
            <w:r w:rsidR="00A76DFB" w:rsidRPr="00C86CDD">
              <w:rPr>
                <w:sz w:val="24"/>
                <w:szCs w:val="24"/>
              </w:rPr>
              <w:t>(NACE 2. red. C sadaļa)</w:t>
            </w:r>
            <w:r w:rsidR="00B9052B" w:rsidRPr="00C86CDD">
              <w:rPr>
                <w:sz w:val="24"/>
                <w:szCs w:val="24"/>
              </w:rPr>
              <w:t xml:space="preserve">, lai veiktu ieguldījumus infrastruktūrā, </w:t>
            </w:r>
            <w:r w:rsidR="006B3B37">
              <w:rPr>
                <w:sz w:val="24"/>
                <w:szCs w:val="24"/>
              </w:rPr>
              <w:t>tiek</w:t>
            </w:r>
            <w:r w:rsidR="00B9052B" w:rsidRPr="00C86CDD">
              <w:rPr>
                <w:sz w:val="24"/>
                <w:szCs w:val="24"/>
              </w:rPr>
              <w:t xml:space="preserve"> noteikts garantijas apjoms  līdz 80% apmērā no aizdevuma atlikuma. </w:t>
            </w:r>
            <w:r w:rsidR="00E76104" w:rsidRPr="00C86CDD">
              <w:rPr>
                <w:sz w:val="24"/>
                <w:szCs w:val="24"/>
              </w:rPr>
              <w:t xml:space="preserve">Tādējādi </w:t>
            </w:r>
            <w:r w:rsidR="00152E83" w:rsidRPr="00A0176D">
              <w:rPr>
                <w:sz w:val="24"/>
                <w:szCs w:val="24"/>
              </w:rPr>
              <w:t>tiks mazināta tirgus nepilnība</w:t>
            </w:r>
            <w:r w:rsidR="00E76104" w:rsidRPr="00A0176D">
              <w:rPr>
                <w:sz w:val="24"/>
                <w:szCs w:val="24"/>
              </w:rPr>
              <w:t xml:space="preserve"> un saimnieciskās darbības veicējiem būs pieejamāki investīciju aizdevumi savas darbības paplašināšanai un komercdarbībai nepieciešamās infrastruktūras izveidei.</w:t>
            </w:r>
            <w:r w:rsidR="00C86CDD" w:rsidRPr="00A0176D">
              <w:rPr>
                <w:b/>
                <w:color w:val="0070C0"/>
                <w:sz w:val="28"/>
                <w:szCs w:val="28"/>
                <w:lang w:eastAsia="lv-LV"/>
              </w:rPr>
              <w:t xml:space="preserve"> </w:t>
            </w:r>
            <w:r w:rsidR="00C86CDD" w:rsidRPr="00A0176D">
              <w:rPr>
                <w:sz w:val="24"/>
                <w:szCs w:val="24"/>
                <w:lang w:eastAsia="lv-LV"/>
              </w:rPr>
              <w:t xml:space="preserve">Ņemot vērā, ka pieejamais finansējums procentu likmju subsīdijām un garantijām ir ierobežots (2,5 miljoni </w:t>
            </w:r>
            <w:r w:rsidR="00C86CDD" w:rsidRPr="00A0176D">
              <w:rPr>
                <w:i/>
                <w:sz w:val="24"/>
                <w:szCs w:val="24"/>
                <w:lang w:eastAsia="lv-LV"/>
              </w:rPr>
              <w:t>euro</w:t>
            </w:r>
            <w:r w:rsidR="00C86CDD" w:rsidRPr="00A0176D">
              <w:rPr>
                <w:sz w:val="24"/>
                <w:szCs w:val="24"/>
                <w:lang w:eastAsia="lv-LV"/>
              </w:rPr>
              <w:t xml:space="preserve">), tiek ierobežots garantiju saņēmēju loks, lai būtu iespējams nodrošināt garantijas prioritārai nozarei – apstrādes rūpniecībai, kas ir viena no </w:t>
            </w:r>
            <w:r w:rsidR="00C86CDD" w:rsidRPr="00A0176D">
              <w:rPr>
                <w:sz w:val="24"/>
                <w:szCs w:val="24"/>
                <w:lang w:eastAsia="lv-LV"/>
              </w:rPr>
              <w:lastRenderedPageBreak/>
              <w:t xml:space="preserve">galvenajām tautsaimniecības produktivitātes pieaugumu virzošajām nozarēm. Apstrādes rūpniecība ir nozare, kas visciešāk saistīta ar </w:t>
            </w:r>
            <w:r w:rsidR="009914FB" w:rsidRPr="00A0176D">
              <w:rPr>
                <w:sz w:val="24"/>
                <w:szCs w:val="24"/>
                <w:lang w:eastAsia="lv-LV"/>
              </w:rPr>
              <w:t>citām tautsaimniecības nozarēm, t</w:t>
            </w:r>
            <w:r w:rsidR="00C86CDD" w:rsidRPr="00A0176D">
              <w:rPr>
                <w:sz w:val="24"/>
                <w:szCs w:val="24"/>
                <w:lang w:eastAsia="lv-LV"/>
              </w:rPr>
              <w:t xml:space="preserve">ādejādi valsts līmenī ir svarīgi atbalstīt apstrādes rūpniecību. Lai arī 2008./2009. gada finanšu krīze ir beigusies, tomēr daudziem apstrādes rūpniecības nozares uzņēmumiem joprojām problēmas rada komercbanku nodrošinājuma prasības, kur krīzes laikā nodrošinājuma vērtība (it sevišķi industriālajam nekustamajam īpašumam ārpus Rīgas) būtiski samazinājās. Tādejādi, nodrošinot, ka šīs programmas ietvaros apstrādes rūpniecības nozares uzņēmumi var saņemt garantijas, tiek risināta nodrošinājuma nepietiekamības problēma, būs iespējams saņemt aizdevumus ar samazinātām prasībām uz nodrošinājumu, daudziem komersantiem būs iespējams realizēt attīstības projektus, kas krīzes laikā atlikti uz vēlāku laiku. </w:t>
            </w:r>
          </w:p>
          <w:p w:rsidR="00E76104" w:rsidRPr="00A0176D" w:rsidRDefault="00E76104" w:rsidP="00B9052B">
            <w:pPr>
              <w:jc w:val="both"/>
              <w:rPr>
                <w:sz w:val="24"/>
                <w:szCs w:val="24"/>
              </w:rPr>
            </w:pPr>
            <w:r w:rsidRPr="00A0176D">
              <w:rPr>
                <w:sz w:val="24"/>
                <w:szCs w:val="24"/>
              </w:rPr>
              <w:t xml:space="preserve"> Papildus informējam, ka garantiju kompensācijas izmaksas kārtība tiks atrunāta līgumā, kas tiks slēgts starp sabiedrību Altum   un Ekonomikas ministriju. </w:t>
            </w:r>
          </w:p>
          <w:p w:rsidR="006B3B37" w:rsidRPr="00A0176D" w:rsidRDefault="006B3B37" w:rsidP="00B9052B">
            <w:pPr>
              <w:jc w:val="both"/>
              <w:rPr>
                <w:sz w:val="24"/>
                <w:szCs w:val="24"/>
              </w:rPr>
            </w:pPr>
            <w:r w:rsidRPr="00A0176D">
              <w:rPr>
                <w:sz w:val="24"/>
                <w:szCs w:val="24"/>
              </w:rPr>
              <w:t xml:space="preserve"> Ņemot vērā, ka 2.2.1.3.aktivitāte </w:t>
            </w:r>
            <w:r w:rsidR="0093417E">
              <w:rPr>
                <w:sz w:val="24"/>
                <w:szCs w:val="24"/>
              </w:rPr>
              <w:t>“</w:t>
            </w:r>
            <w:r w:rsidRPr="00A0176D">
              <w:rPr>
                <w:sz w:val="24"/>
                <w:szCs w:val="24"/>
              </w:rPr>
              <w:t>Garantijas komersantiem konkurētspējas uzlabošanai” ir slēgta un tās ietvaros vairs netiek izsniegtas jaunas garantijas, aktualitāti ir zaudējis noteikumu 33.punktu un tas tiek dzēsts.</w:t>
            </w:r>
          </w:p>
          <w:p w:rsidR="00357321" w:rsidRPr="00A0176D" w:rsidRDefault="00357321" w:rsidP="00302748">
            <w:pPr>
              <w:jc w:val="both"/>
              <w:rPr>
                <w:rFonts w:eastAsia="Times New Roman"/>
                <w:bCs/>
                <w:sz w:val="24"/>
                <w:szCs w:val="24"/>
                <w:lang w:val="lv-LV"/>
              </w:rPr>
            </w:pPr>
            <w:r w:rsidRPr="00A0176D">
              <w:rPr>
                <w:rFonts w:eastAsia="Times New Roman"/>
                <w:bCs/>
                <w:sz w:val="24"/>
                <w:szCs w:val="24"/>
                <w:lang w:val="lv-LV"/>
              </w:rPr>
              <w:t>Ņemot vērā augstākminēto, noteikumu projekts paredz:</w:t>
            </w:r>
          </w:p>
          <w:p w:rsidR="00357321" w:rsidRPr="00A0176D" w:rsidRDefault="00357321" w:rsidP="00152E83">
            <w:pPr>
              <w:pStyle w:val="ListParagraph"/>
              <w:numPr>
                <w:ilvl w:val="0"/>
                <w:numId w:val="17"/>
              </w:numPr>
              <w:ind w:left="283" w:hanging="142"/>
              <w:jc w:val="both"/>
              <w:rPr>
                <w:rFonts w:eastAsia="Times New Roman"/>
                <w:bCs/>
                <w:sz w:val="24"/>
                <w:szCs w:val="24"/>
                <w:lang w:val="lv-LV"/>
              </w:rPr>
            </w:pPr>
            <w:r w:rsidRPr="00A0176D">
              <w:rPr>
                <w:rFonts w:eastAsia="Times New Roman"/>
                <w:bCs/>
                <w:sz w:val="24"/>
                <w:szCs w:val="24"/>
                <w:lang w:val="lv-LV"/>
              </w:rPr>
              <w:t xml:space="preserve">pielāgot noteikumos jauno </w:t>
            </w:r>
            <w:r w:rsidRPr="00A0176D">
              <w:rPr>
                <w:rFonts w:eastAsia="Times New Roman"/>
                <w:bCs/>
                <w:i/>
                <w:sz w:val="24"/>
                <w:szCs w:val="24"/>
                <w:lang w:val="lv-LV"/>
              </w:rPr>
              <w:t>de minimis</w:t>
            </w:r>
            <w:r w:rsidR="00DC7B14" w:rsidRPr="00A0176D">
              <w:rPr>
                <w:rFonts w:eastAsia="Times New Roman"/>
                <w:bCs/>
                <w:sz w:val="24"/>
                <w:szCs w:val="24"/>
                <w:lang w:val="lv-LV"/>
              </w:rPr>
              <w:t xml:space="preserve"> R</w:t>
            </w:r>
            <w:r w:rsidRPr="00A0176D">
              <w:rPr>
                <w:rFonts w:eastAsia="Times New Roman"/>
                <w:bCs/>
                <w:sz w:val="24"/>
                <w:szCs w:val="24"/>
                <w:lang w:val="lv-LV"/>
              </w:rPr>
              <w:t>egulu Nr.1407/2013</w:t>
            </w:r>
            <w:r w:rsidR="00DC7B14" w:rsidRPr="00A0176D">
              <w:rPr>
                <w:rFonts w:eastAsia="Times New Roman"/>
                <w:bCs/>
                <w:sz w:val="24"/>
                <w:szCs w:val="24"/>
                <w:lang w:val="lv-LV"/>
              </w:rPr>
              <w:t xml:space="preserve"> un Regulu Nr.1408/2013 </w:t>
            </w:r>
            <w:r w:rsidRPr="00A0176D">
              <w:rPr>
                <w:rFonts w:eastAsia="Times New Roman"/>
                <w:bCs/>
                <w:sz w:val="24"/>
                <w:szCs w:val="24"/>
                <w:lang w:val="lv-LV"/>
              </w:rPr>
              <w:t>;</w:t>
            </w:r>
          </w:p>
          <w:p w:rsidR="00DC7B14" w:rsidRPr="00A0176D" w:rsidRDefault="00DC7B14" w:rsidP="00152E83">
            <w:pPr>
              <w:pStyle w:val="ListParagraph"/>
              <w:numPr>
                <w:ilvl w:val="0"/>
                <w:numId w:val="17"/>
              </w:numPr>
              <w:ind w:left="283" w:hanging="142"/>
              <w:jc w:val="both"/>
              <w:rPr>
                <w:rFonts w:eastAsia="Times New Roman"/>
                <w:bCs/>
                <w:sz w:val="24"/>
                <w:szCs w:val="24"/>
                <w:lang w:val="lv-LV"/>
              </w:rPr>
            </w:pPr>
            <w:r w:rsidRPr="00A0176D">
              <w:rPr>
                <w:sz w:val="24"/>
                <w:szCs w:val="24"/>
              </w:rPr>
              <w:t>pagarināt apgrozāmo līdzekļu aizdevumu līgumu noslēgšanas beigu termiņu līdz ir 2015.gada 31.oktobrim;</w:t>
            </w:r>
          </w:p>
          <w:p w:rsidR="00357321" w:rsidRPr="00A07CE4" w:rsidRDefault="00DC7B14" w:rsidP="00152E83">
            <w:pPr>
              <w:pStyle w:val="ListParagraph"/>
              <w:numPr>
                <w:ilvl w:val="0"/>
                <w:numId w:val="17"/>
              </w:numPr>
              <w:ind w:left="283" w:hanging="142"/>
              <w:jc w:val="both"/>
              <w:rPr>
                <w:rFonts w:eastAsia="Times New Roman"/>
                <w:bCs/>
                <w:sz w:val="24"/>
                <w:szCs w:val="24"/>
                <w:lang w:val="lv-LV"/>
              </w:rPr>
            </w:pPr>
            <w:r w:rsidRPr="00A0176D">
              <w:rPr>
                <w:sz w:val="24"/>
                <w:szCs w:val="24"/>
              </w:rPr>
              <w:t xml:space="preserve">pagarināt investīciju aizdevumu </w:t>
            </w:r>
            <w:r w:rsidR="000835BB" w:rsidRPr="00A0176D">
              <w:rPr>
                <w:sz w:val="24"/>
                <w:szCs w:val="24"/>
              </w:rPr>
              <w:t>līgumu noslēgšanas beigu termiņu</w:t>
            </w:r>
            <w:r w:rsidRPr="00A0176D">
              <w:rPr>
                <w:sz w:val="24"/>
                <w:szCs w:val="24"/>
              </w:rPr>
              <w:t xml:space="preserve"> 7.1. un 7.2.apakšpunktā minētajiem saimnieciskās darbības veicējiem līdz 2015.gada 31.oktobrim, savukārt 7.3.apakšpunktā minētajiem saimnieciskās darbības veicējiem</w:t>
            </w:r>
            <w:r w:rsidRPr="00A07CE4">
              <w:rPr>
                <w:sz w:val="24"/>
                <w:szCs w:val="24"/>
              </w:rPr>
              <w:t xml:space="preserve"> līdz   2014.gada 31.decembrim</w:t>
            </w:r>
            <w:r w:rsidR="00357321" w:rsidRPr="00A07CE4">
              <w:rPr>
                <w:rFonts w:eastAsia="Times New Roman"/>
                <w:bCs/>
                <w:sz w:val="24"/>
                <w:szCs w:val="24"/>
                <w:lang w:val="lv-LV"/>
              </w:rPr>
              <w:t>;</w:t>
            </w:r>
          </w:p>
          <w:p w:rsidR="00B9052B" w:rsidRPr="00A07CE4" w:rsidRDefault="00B9052B" w:rsidP="00152E83">
            <w:pPr>
              <w:pStyle w:val="ListParagraph"/>
              <w:numPr>
                <w:ilvl w:val="0"/>
                <w:numId w:val="17"/>
              </w:numPr>
              <w:ind w:left="283" w:hanging="142"/>
              <w:jc w:val="both"/>
              <w:rPr>
                <w:rFonts w:eastAsia="Times New Roman"/>
                <w:bCs/>
                <w:sz w:val="24"/>
                <w:szCs w:val="24"/>
                <w:lang w:val="lv-LV"/>
              </w:rPr>
            </w:pPr>
            <w:r w:rsidRPr="00A07CE4">
              <w:rPr>
                <w:rFonts w:eastAsia="Times New Roman"/>
                <w:bCs/>
                <w:sz w:val="24"/>
                <w:szCs w:val="24"/>
                <w:lang w:val="lv-LV"/>
              </w:rPr>
              <w:t xml:space="preserve">piešķirt sabiedrībai Altum 2,5 milj. </w:t>
            </w:r>
            <w:r w:rsidRPr="00AE39CA">
              <w:rPr>
                <w:rFonts w:eastAsia="Times New Roman"/>
                <w:bCs/>
                <w:i/>
                <w:sz w:val="24"/>
                <w:szCs w:val="24"/>
                <w:lang w:val="lv-LV"/>
              </w:rPr>
              <w:t>euro</w:t>
            </w:r>
            <w:r w:rsidRPr="00A07CE4">
              <w:rPr>
                <w:rFonts w:eastAsia="Times New Roman"/>
                <w:bCs/>
                <w:sz w:val="24"/>
                <w:szCs w:val="24"/>
                <w:lang w:val="lv-LV"/>
              </w:rPr>
              <w:t xml:space="preserve"> finansējumu no 2004</w:t>
            </w:r>
            <w:r w:rsidR="00302748" w:rsidRPr="00A07CE4">
              <w:rPr>
                <w:rFonts w:eastAsia="Times New Roman"/>
                <w:bCs/>
                <w:sz w:val="24"/>
                <w:szCs w:val="24"/>
                <w:lang w:val="lv-LV"/>
              </w:rPr>
              <w:t>.</w:t>
            </w:r>
            <w:r w:rsidRPr="00A07CE4">
              <w:rPr>
                <w:rFonts w:eastAsia="Times New Roman"/>
                <w:bCs/>
                <w:sz w:val="24"/>
                <w:szCs w:val="24"/>
                <w:lang w:val="lv-LV"/>
              </w:rPr>
              <w:t>-2006.gada ES fondu perioda atmaksu publiskās daļas;</w:t>
            </w:r>
          </w:p>
          <w:p w:rsidR="00B9052B" w:rsidRPr="00A07CE4" w:rsidRDefault="00B9052B" w:rsidP="00152E83">
            <w:pPr>
              <w:pStyle w:val="ListParagraph"/>
              <w:numPr>
                <w:ilvl w:val="0"/>
                <w:numId w:val="17"/>
              </w:numPr>
              <w:ind w:left="283" w:hanging="142"/>
              <w:jc w:val="both"/>
              <w:rPr>
                <w:rFonts w:eastAsia="Times New Roman"/>
                <w:bCs/>
                <w:sz w:val="24"/>
                <w:szCs w:val="24"/>
                <w:lang w:val="lv-LV"/>
              </w:rPr>
            </w:pPr>
            <w:r w:rsidRPr="00A07CE4">
              <w:rPr>
                <w:rFonts w:eastAsia="Times New Roman"/>
                <w:bCs/>
                <w:sz w:val="24"/>
                <w:szCs w:val="24"/>
                <w:lang w:val="lv-LV"/>
              </w:rPr>
              <w:t>izveidot procentu likmes subsīdijas un garantiju fondu un noteikt, kam tiek piešķirt</w:t>
            </w:r>
            <w:r w:rsidR="00302748" w:rsidRPr="00A07CE4">
              <w:rPr>
                <w:rFonts w:eastAsia="Times New Roman"/>
                <w:bCs/>
                <w:sz w:val="24"/>
                <w:szCs w:val="24"/>
                <w:lang w:val="lv-LV"/>
              </w:rPr>
              <w:t>i</w:t>
            </w:r>
            <w:r w:rsidRPr="00A07CE4">
              <w:rPr>
                <w:rFonts w:eastAsia="Times New Roman"/>
                <w:bCs/>
                <w:sz w:val="24"/>
                <w:szCs w:val="24"/>
                <w:lang w:val="lv-LV"/>
              </w:rPr>
              <w:t xml:space="preserve"> līdzekļi no šī fonda;</w:t>
            </w:r>
          </w:p>
          <w:p w:rsidR="00357321" w:rsidRPr="00DC7B14" w:rsidRDefault="00DC7B14" w:rsidP="00152E83">
            <w:pPr>
              <w:pStyle w:val="ListParagraph"/>
              <w:numPr>
                <w:ilvl w:val="0"/>
                <w:numId w:val="17"/>
              </w:numPr>
              <w:ind w:hanging="786"/>
              <w:jc w:val="both"/>
              <w:rPr>
                <w:rFonts w:eastAsia="Times New Roman"/>
                <w:bCs/>
                <w:sz w:val="24"/>
                <w:szCs w:val="24"/>
                <w:lang w:val="lv-LV"/>
              </w:rPr>
            </w:pPr>
            <w:r w:rsidRPr="00A07CE4">
              <w:rPr>
                <w:rFonts w:eastAsia="Times New Roman"/>
                <w:bCs/>
                <w:sz w:val="24"/>
                <w:szCs w:val="24"/>
                <w:lang w:val="lv-LV"/>
              </w:rPr>
              <w:t>klientu ērtībai noapaļot pieejamo aizdevumu summas.</w:t>
            </w:r>
          </w:p>
        </w:tc>
      </w:tr>
      <w:tr w:rsidR="00357321" w:rsidRPr="00DC7B14" w:rsidTr="00357321">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57321" w:rsidRPr="00DC7B14" w:rsidRDefault="00357321" w:rsidP="00357321">
            <w:pPr>
              <w:jc w:val="both"/>
              <w:rPr>
                <w:rFonts w:eastAsia="Times New Roman"/>
                <w:sz w:val="24"/>
                <w:szCs w:val="24"/>
                <w:lang w:val="lv-LV" w:eastAsia="lv-LV"/>
              </w:rPr>
            </w:pPr>
            <w:r w:rsidRPr="00DC7B14">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DC7B14" w:rsidRDefault="00357321" w:rsidP="00357321">
            <w:pPr>
              <w:jc w:val="both"/>
              <w:rPr>
                <w:rFonts w:eastAsia="Times New Roman"/>
                <w:sz w:val="24"/>
                <w:szCs w:val="24"/>
                <w:lang w:val="lv-LV" w:eastAsia="lv-LV"/>
              </w:rPr>
            </w:pPr>
            <w:r w:rsidRPr="00DC7B14">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DC7B14" w:rsidRDefault="00357321" w:rsidP="00357321">
            <w:pPr>
              <w:jc w:val="both"/>
              <w:rPr>
                <w:bCs/>
                <w:sz w:val="24"/>
                <w:szCs w:val="24"/>
                <w:lang w:val="lv-LV"/>
              </w:rPr>
            </w:pPr>
            <w:r w:rsidRPr="00DC7B14">
              <w:rPr>
                <w:iCs/>
                <w:sz w:val="24"/>
                <w:szCs w:val="24"/>
                <w:lang w:val="lv-LV"/>
              </w:rPr>
              <w:t>Projekts šo jomu neskar</w:t>
            </w:r>
            <w:r w:rsidRPr="00DC7B14">
              <w:rPr>
                <w:color w:val="000000"/>
                <w:sz w:val="24"/>
                <w:szCs w:val="24"/>
                <w:lang w:val="lv-LV"/>
              </w:rPr>
              <w:t xml:space="preserve">. </w:t>
            </w:r>
          </w:p>
        </w:tc>
      </w:tr>
      <w:tr w:rsidR="00357321" w:rsidRPr="00DC7B14" w:rsidTr="00357321">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57321" w:rsidRPr="00DC7B14" w:rsidRDefault="00357321" w:rsidP="00357321">
            <w:pPr>
              <w:jc w:val="both"/>
              <w:rPr>
                <w:rFonts w:eastAsia="Times New Roman"/>
                <w:sz w:val="24"/>
                <w:szCs w:val="24"/>
                <w:lang w:val="lv-LV" w:eastAsia="lv-LV"/>
              </w:rPr>
            </w:pPr>
            <w:r w:rsidRPr="00DC7B14">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357321" w:rsidRPr="00DC7B14" w:rsidRDefault="00357321" w:rsidP="00357321">
            <w:pPr>
              <w:jc w:val="both"/>
              <w:rPr>
                <w:rFonts w:eastAsia="Times New Roman"/>
                <w:sz w:val="24"/>
                <w:szCs w:val="24"/>
                <w:lang w:val="lv-LV" w:eastAsia="lv-LV"/>
              </w:rPr>
            </w:pPr>
            <w:r w:rsidRPr="00DC7B14">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357321" w:rsidRPr="00DC7B14" w:rsidRDefault="00357321" w:rsidP="00357321">
            <w:pPr>
              <w:jc w:val="both"/>
              <w:rPr>
                <w:iCs/>
                <w:sz w:val="24"/>
                <w:szCs w:val="24"/>
                <w:lang w:val="lv-LV"/>
              </w:rPr>
            </w:pPr>
            <w:r w:rsidRPr="00DC7B14">
              <w:rPr>
                <w:iCs/>
                <w:sz w:val="24"/>
                <w:szCs w:val="24"/>
                <w:lang w:val="lv-LV"/>
              </w:rPr>
              <w:t>Projekts šo jomu neskar</w:t>
            </w:r>
            <w:r w:rsidRPr="00DC7B14">
              <w:rPr>
                <w:color w:val="000000"/>
                <w:sz w:val="24"/>
                <w:szCs w:val="24"/>
                <w:lang w:val="lv-LV"/>
              </w:rPr>
              <w:t>.</w:t>
            </w:r>
          </w:p>
        </w:tc>
      </w:tr>
    </w:tbl>
    <w:p w:rsidR="00357321" w:rsidRPr="00DC7B14" w:rsidRDefault="00357321" w:rsidP="00357321">
      <w:pPr>
        <w:jc w:val="both"/>
        <w:rPr>
          <w:rFonts w:eastAsia="Times New Roman"/>
          <w:sz w:val="24"/>
          <w:szCs w:val="24"/>
          <w:lang w:val="lv-LV" w:eastAsia="lv-LV"/>
        </w:rPr>
        <w:sectPr w:rsidR="00357321" w:rsidRPr="00DC7B14" w:rsidSect="00357321">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p w:rsidR="00C95C61" w:rsidRPr="00E4699A" w:rsidRDefault="00C95C61" w:rsidP="00357321">
      <w:pPr>
        <w:jc w:val="both"/>
        <w:rPr>
          <w:rFonts w:eastAsia="Times New Roman"/>
          <w:sz w:val="16"/>
          <w:szCs w:val="16"/>
          <w:lang w:val="lv-LV" w:eastAsia="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357321" w:rsidRPr="00DC7B14" w:rsidTr="00357321">
        <w:trPr>
          <w:tblCellSpacing w:w="0" w:type="dxa"/>
        </w:trPr>
        <w:tc>
          <w:tcPr>
            <w:tcW w:w="9191" w:type="dxa"/>
            <w:gridSpan w:val="3"/>
            <w:hideMark/>
          </w:tcPr>
          <w:p w:rsidR="00357321" w:rsidRPr="00DC7B14" w:rsidRDefault="00357321" w:rsidP="00357321">
            <w:pPr>
              <w:ind w:firstLine="709"/>
              <w:jc w:val="both"/>
              <w:rPr>
                <w:rFonts w:eastAsia="Times New Roman"/>
                <w:b/>
                <w:bCs/>
                <w:sz w:val="24"/>
                <w:szCs w:val="24"/>
                <w:lang w:val="lv-LV" w:eastAsia="lv-LV"/>
              </w:rPr>
            </w:pPr>
            <w:r w:rsidRPr="00DC7B14">
              <w:rPr>
                <w:rFonts w:eastAsia="Times New Roman"/>
                <w:b/>
                <w:bCs/>
                <w:sz w:val="24"/>
                <w:szCs w:val="24"/>
                <w:lang w:val="lv-LV" w:eastAsia="lv-LV"/>
              </w:rPr>
              <w:t> V. Tiesību akta projekta atbilstība Latvijas Republikas starptautiskajām saistībām</w:t>
            </w:r>
          </w:p>
        </w:tc>
      </w:tr>
      <w:tr w:rsidR="00357321" w:rsidRPr="00DC7B14" w:rsidTr="00357321">
        <w:trPr>
          <w:trHeight w:val="1189"/>
          <w:tblCellSpacing w:w="0" w:type="dxa"/>
        </w:trPr>
        <w:tc>
          <w:tcPr>
            <w:tcW w:w="400" w:type="dxa"/>
            <w:hideMark/>
          </w:tcPr>
          <w:p w:rsidR="00357321" w:rsidRPr="00DC7B14" w:rsidRDefault="00357321" w:rsidP="00357321">
            <w:pPr>
              <w:rPr>
                <w:rFonts w:eastAsia="Times New Roman"/>
                <w:sz w:val="24"/>
                <w:szCs w:val="24"/>
                <w:lang w:val="lv-LV" w:eastAsia="lv-LV"/>
              </w:rPr>
            </w:pPr>
            <w:r w:rsidRPr="00DC7B14">
              <w:rPr>
                <w:rFonts w:eastAsia="Times New Roman"/>
                <w:sz w:val="24"/>
                <w:szCs w:val="24"/>
                <w:lang w:val="lv-LV" w:eastAsia="lv-LV"/>
              </w:rPr>
              <w:lastRenderedPageBreak/>
              <w:t> 1.</w:t>
            </w:r>
          </w:p>
        </w:tc>
        <w:tc>
          <w:tcPr>
            <w:tcW w:w="1645" w:type="dxa"/>
            <w:hideMark/>
          </w:tcPr>
          <w:p w:rsidR="00357321" w:rsidRPr="00DC7B14" w:rsidRDefault="00357321" w:rsidP="00357321">
            <w:pPr>
              <w:rPr>
                <w:rFonts w:eastAsia="Times New Roman"/>
                <w:sz w:val="24"/>
                <w:szCs w:val="24"/>
                <w:lang w:val="lv-LV" w:eastAsia="lv-LV"/>
              </w:rPr>
            </w:pPr>
            <w:r w:rsidRPr="00DC7B14">
              <w:rPr>
                <w:rFonts w:eastAsia="Times New Roman"/>
                <w:sz w:val="24"/>
                <w:szCs w:val="24"/>
                <w:lang w:val="lv-LV" w:eastAsia="lv-LV"/>
              </w:rPr>
              <w:t> Saistības pret Eiropas Savienību</w:t>
            </w:r>
          </w:p>
        </w:tc>
        <w:tc>
          <w:tcPr>
            <w:tcW w:w="7146" w:type="dxa"/>
            <w:hideMark/>
          </w:tcPr>
          <w:p w:rsidR="00357321" w:rsidRPr="00DC7B14" w:rsidRDefault="00357321" w:rsidP="00357321">
            <w:pPr>
              <w:jc w:val="both"/>
              <w:rPr>
                <w:rFonts w:eastAsia="Times New Roman"/>
                <w:sz w:val="24"/>
                <w:szCs w:val="24"/>
                <w:lang w:val="lv-LV" w:eastAsia="lv-LV"/>
              </w:rPr>
            </w:pPr>
            <w:r w:rsidRPr="00DC7B14">
              <w:rPr>
                <w:rFonts w:eastAsia="Times New Roman"/>
                <w:sz w:val="24"/>
                <w:szCs w:val="24"/>
                <w:lang w:val="lv-LV" w:eastAsia="lv-LV"/>
              </w:rPr>
              <w:t>Ar tiesību akta projektu tiek ieviesta:</w:t>
            </w:r>
          </w:p>
          <w:p w:rsidR="00357321" w:rsidRPr="00DC7B14" w:rsidRDefault="00357321" w:rsidP="00034395">
            <w:pPr>
              <w:pStyle w:val="ListParagraph"/>
              <w:numPr>
                <w:ilvl w:val="0"/>
                <w:numId w:val="19"/>
              </w:numPr>
              <w:ind w:left="82" w:hanging="22"/>
              <w:jc w:val="both"/>
              <w:rPr>
                <w:rFonts w:eastAsia="Times New Roman"/>
                <w:sz w:val="24"/>
                <w:szCs w:val="24"/>
                <w:lang w:val="lv-LV" w:eastAsia="lv-LV"/>
              </w:rPr>
            </w:pPr>
            <w:r w:rsidRPr="00DC7B14">
              <w:rPr>
                <w:rFonts w:eastAsia="Times New Roman"/>
                <w:sz w:val="24"/>
                <w:szCs w:val="24"/>
                <w:lang w:val="lv-LV" w:eastAsia="lv-LV"/>
              </w:rPr>
              <w:t xml:space="preserve"> </w:t>
            </w:r>
            <w:r w:rsidR="00AE39CA">
              <w:rPr>
                <w:sz w:val="24"/>
                <w:szCs w:val="24"/>
              </w:rPr>
              <w:t xml:space="preserve">Komisijas </w:t>
            </w:r>
            <w:r w:rsidRPr="00DC7B14">
              <w:rPr>
                <w:sz w:val="24"/>
                <w:szCs w:val="24"/>
              </w:rPr>
              <w:t xml:space="preserve">2013.gada </w:t>
            </w:r>
            <w:r w:rsidR="00DC7B14">
              <w:rPr>
                <w:sz w:val="24"/>
                <w:szCs w:val="24"/>
              </w:rPr>
              <w:t>18.decembra Regula (ES</w:t>
            </w:r>
            <w:r w:rsidRPr="00DC7B14">
              <w:rPr>
                <w:sz w:val="24"/>
                <w:szCs w:val="24"/>
              </w:rPr>
              <w:t xml:space="preserve">) Nr. 1407/2013 par Līguma par Eiropas Savienības darbību 107. un 108.panta piemērošanu </w:t>
            </w:r>
            <w:r w:rsidRPr="00DC7B14">
              <w:rPr>
                <w:i/>
                <w:sz w:val="24"/>
                <w:szCs w:val="24"/>
              </w:rPr>
              <w:t>de minimis</w:t>
            </w:r>
            <w:r w:rsidRPr="00DC7B14">
              <w:rPr>
                <w:sz w:val="24"/>
                <w:szCs w:val="24"/>
              </w:rPr>
              <w:t xml:space="preserve"> atbalstam (Eiropas Savienības Oficiālais Vēstnesis, 2013.gada 24.decembris, Nr. L 352);</w:t>
            </w:r>
          </w:p>
          <w:p w:rsidR="00DC7B14" w:rsidRPr="00DC7B14" w:rsidRDefault="00AE39CA" w:rsidP="00034395">
            <w:pPr>
              <w:pStyle w:val="ListParagraph"/>
              <w:numPr>
                <w:ilvl w:val="0"/>
                <w:numId w:val="19"/>
              </w:numPr>
              <w:ind w:left="82" w:hanging="22"/>
              <w:jc w:val="both"/>
              <w:rPr>
                <w:rFonts w:eastAsia="Times New Roman"/>
                <w:sz w:val="24"/>
                <w:szCs w:val="24"/>
                <w:lang w:val="lv-LV" w:eastAsia="lv-LV"/>
              </w:rPr>
            </w:pPr>
            <w:r w:rsidRPr="00DC7B14">
              <w:rPr>
                <w:sz w:val="24"/>
                <w:szCs w:val="24"/>
              </w:rPr>
              <w:t xml:space="preserve">Komisijas </w:t>
            </w:r>
            <w:r w:rsidR="00DC7B14" w:rsidRPr="00DC7B14">
              <w:rPr>
                <w:sz w:val="24"/>
                <w:szCs w:val="24"/>
              </w:rPr>
              <w:t xml:space="preserve">2013.gada 18.decembra Regula (ES) Nr. 1408/2013 par Līguma par Eiropas Savienības darbību 107. un 108.panta piemērošanu </w:t>
            </w:r>
            <w:r w:rsidR="00DC7B14" w:rsidRPr="00DC7B14">
              <w:rPr>
                <w:i/>
                <w:sz w:val="24"/>
                <w:szCs w:val="24"/>
              </w:rPr>
              <w:t>de minimis</w:t>
            </w:r>
            <w:r w:rsidR="00DC7B14" w:rsidRPr="00DC7B14">
              <w:rPr>
                <w:sz w:val="24"/>
                <w:szCs w:val="24"/>
              </w:rPr>
              <w:t xml:space="preserve"> atbalstam lauksaimniecības nozarē (Eiropas Savienības Oficiālais Vēstnesis, 2013.gada 24.decembris, Nr. L 352);</w:t>
            </w:r>
          </w:p>
          <w:p w:rsidR="00357321" w:rsidRPr="00DC7B14" w:rsidRDefault="00A0176D" w:rsidP="0093417E">
            <w:pPr>
              <w:pStyle w:val="ListParagraph"/>
              <w:numPr>
                <w:ilvl w:val="0"/>
                <w:numId w:val="19"/>
              </w:numPr>
              <w:ind w:left="82" w:hanging="22"/>
              <w:jc w:val="both"/>
              <w:rPr>
                <w:rFonts w:eastAsia="Times New Roman"/>
                <w:sz w:val="24"/>
                <w:szCs w:val="24"/>
                <w:lang w:val="lv-LV" w:eastAsia="lv-LV"/>
              </w:rPr>
            </w:pPr>
            <w:r w:rsidRPr="00B765A6">
              <w:rPr>
                <w:sz w:val="24"/>
                <w:szCs w:val="24"/>
              </w:rPr>
              <w:t xml:space="preserve">Komisijas 2014.gada </w:t>
            </w:r>
            <w:r>
              <w:rPr>
                <w:sz w:val="24"/>
                <w:szCs w:val="24"/>
              </w:rPr>
              <w:t>17.jūnija</w:t>
            </w:r>
            <w:r w:rsidR="00BD472A">
              <w:rPr>
                <w:sz w:val="24"/>
                <w:szCs w:val="24"/>
              </w:rPr>
              <w:t xml:space="preserve"> Regula</w:t>
            </w:r>
            <w:r w:rsidRPr="00B765A6">
              <w:rPr>
                <w:sz w:val="24"/>
                <w:szCs w:val="24"/>
              </w:rPr>
              <w:t xml:space="preserve"> (E</w:t>
            </w:r>
            <w:r>
              <w:rPr>
                <w:sz w:val="24"/>
                <w:szCs w:val="24"/>
              </w:rPr>
              <w:t>S</w:t>
            </w:r>
            <w:r w:rsidRPr="00B765A6">
              <w:rPr>
                <w:sz w:val="24"/>
                <w:szCs w:val="24"/>
              </w:rPr>
              <w:t xml:space="preserve">) Nr. </w:t>
            </w:r>
            <w:r>
              <w:rPr>
                <w:sz w:val="24"/>
                <w:szCs w:val="24"/>
              </w:rPr>
              <w:t>651</w:t>
            </w:r>
            <w:r w:rsidRPr="00B765A6">
              <w:rPr>
                <w:sz w:val="24"/>
                <w:szCs w:val="24"/>
              </w:rPr>
              <w:t xml:space="preserve">/2014, </w:t>
            </w:r>
            <w:r w:rsidRPr="003D749A">
              <w:rPr>
                <w:sz w:val="24"/>
                <w:szCs w:val="24"/>
              </w:rPr>
              <w:t xml:space="preserve">ar ko noteiktas atbalsta kategorijas atzīst par saderīgām ar iekšējo tirgu, piemērojot Līguma 107. un 108. pantu (Eiropas Savienības Oficiālais Vēstnesis, 2014. gada 26. jūnijs, L 187) </w:t>
            </w:r>
            <w:r w:rsidRPr="00B765A6">
              <w:rPr>
                <w:sz w:val="24"/>
                <w:szCs w:val="24"/>
              </w:rPr>
              <w:t xml:space="preserve"> </w:t>
            </w:r>
          </w:p>
        </w:tc>
      </w:tr>
      <w:tr w:rsidR="00357321" w:rsidRPr="00760AEB" w:rsidTr="00357321">
        <w:trPr>
          <w:tblCellSpacing w:w="0" w:type="dxa"/>
        </w:trPr>
        <w:tc>
          <w:tcPr>
            <w:tcW w:w="400" w:type="dxa"/>
            <w:hideMark/>
          </w:tcPr>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t> 2.</w:t>
            </w:r>
          </w:p>
        </w:tc>
        <w:tc>
          <w:tcPr>
            <w:tcW w:w="1645" w:type="dxa"/>
            <w:hideMark/>
          </w:tcPr>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t> Citas starptautiskās saistības</w:t>
            </w:r>
          </w:p>
        </w:tc>
        <w:tc>
          <w:tcPr>
            <w:tcW w:w="7146" w:type="dxa"/>
            <w:hideMark/>
          </w:tcPr>
          <w:p w:rsidR="00357321" w:rsidRPr="00760AEB" w:rsidRDefault="00357321" w:rsidP="00357321">
            <w:pPr>
              <w:rPr>
                <w:rFonts w:eastAsia="Times New Roman"/>
                <w:sz w:val="24"/>
                <w:szCs w:val="24"/>
                <w:lang w:val="lv-LV" w:eastAsia="lv-LV"/>
              </w:rPr>
            </w:pPr>
            <w:r w:rsidRPr="00760AEB">
              <w:rPr>
                <w:sz w:val="24"/>
                <w:szCs w:val="24"/>
                <w:lang w:val="lv-LV"/>
              </w:rPr>
              <w:t>Projekts šo jomu neskar.</w:t>
            </w:r>
          </w:p>
        </w:tc>
      </w:tr>
      <w:tr w:rsidR="00357321" w:rsidRPr="00760AEB" w:rsidTr="00357321">
        <w:trPr>
          <w:tblCellSpacing w:w="0" w:type="dxa"/>
        </w:trPr>
        <w:tc>
          <w:tcPr>
            <w:tcW w:w="400" w:type="dxa"/>
            <w:hideMark/>
          </w:tcPr>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t> 3.</w:t>
            </w:r>
          </w:p>
        </w:tc>
        <w:tc>
          <w:tcPr>
            <w:tcW w:w="1645" w:type="dxa"/>
            <w:hideMark/>
          </w:tcPr>
          <w:p w:rsidR="00357321" w:rsidRPr="00760AEB" w:rsidRDefault="00357321" w:rsidP="00357321">
            <w:pPr>
              <w:rPr>
                <w:sz w:val="24"/>
                <w:szCs w:val="24"/>
                <w:lang w:val="lv-LV"/>
              </w:rPr>
            </w:pPr>
            <w:r w:rsidRPr="00760AEB">
              <w:rPr>
                <w:sz w:val="24"/>
                <w:szCs w:val="24"/>
                <w:lang w:val="lv-LV"/>
              </w:rPr>
              <w:t> Cita informācija</w:t>
            </w:r>
          </w:p>
        </w:tc>
        <w:tc>
          <w:tcPr>
            <w:tcW w:w="7146" w:type="dxa"/>
            <w:hideMark/>
          </w:tcPr>
          <w:p w:rsidR="00357321" w:rsidRPr="00760AEB" w:rsidRDefault="00A0176D" w:rsidP="00357321">
            <w:pPr>
              <w:jc w:val="both"/>
              <w:rPr>
                <w:rFonts w:eastAsia="Times New Roman"/>
                <w:sz w:val="24"/>
                <w:szCs w:val="24"/>
                <w:lang w:val="lv-LV" w:eastAsia="lv-LV"/>
              </w:rPr>
            </w:pPr>
            <w:r>
              <w:rPr>
                <w:rFonts w:eastAsia="Times New Roman"/>
                <w:sz w:val="24"/>
                <w:szCs w:val="24"/>
                <w:lang w:val="lv-LV" w:eastAsia="lv-LV"/>
              </w:rPr>
              <w:t xml:space="preserve">Uz noteikumu 1.25. punktu (ar ko papildina noteikumus ar 39., 40., 41.punktu un 2.pielikumu) </w:t>
            </w:r>
            <w:r w:rsidR="0093417E">
              <w:rPr>
                <w:rFonts w:eastAsia="Times New Roman"/>
                <w:sz w:val="24"/>
                <w:szCs w:val="24"/>
                <w:lang w:val="lv-LV" w:eastAsia="lv-LV"/>
              </w:rPr>
              <w:t>attiecināms Komisijas paziņojum</w:t>
            </w:r>
            <w:r>
              <w:rPr>
                <w:rFonts w:eastAsia="Times New Roman"/>
                <w:sz w:val="24"/>
                <w:szCs w:val="24"/>
                <w:lang w:val="lv-LV" w:eastAsia="lv-LV"/>
              </w:rPr>
              <w:t xml:space="preserve">s </w:t>
            </w:r>
            <w:r w:rsidRPr="00A0176D">
              <w:rPr>
                <w:rFonts w:eastAsia="Times New Roman"/>
                <w:sz w:val="24"/>
                <w:szCs w:val="24"/>
                <w:lang w:val="lv-LV" w:eastAsia="lv-LV"/>
              </w:rPr>
              <w:t>par EK līguma 87. un 88.panta piemērošanu valsts atbalstam garantiju veidā Nr.2008/C 155/02 (OV C 155, 20.06.2008., lpp.</w:t>
            </w:r>
            <w:r>
              <w:rPr>
                <w:rFonts w:eastAsia="Times New Roman"/>
                <w:sz w:val="24"/>
                <w:szCs w:val="24"/>
                <w:lang w:val="lv-LV" w:eastAsia="lv-LV"/>
              </w:rPr>
              <w:t xml:space="preserve"> 0010 - 0022) 3.2. un 3.3.punkts</w:t>
            </w:r>
          </w:p>
        </w:tc>
      </w:tr>
    </w:tbl>
    <w:p w:rsidR="00C95C61" w:rsidRPr="00E4699A" w:rsidRDefault="00357321" w:rsidP="00A07CE4">
      <w:pPr>
        <w:ind w:firstLine="468"/>
        <w:jc w:val="both"/>
        <w:rPr>
          <w:rFonts w:eastAsia="Times New Roman"/>
          <w:sz w:val="16"/>
          <w:szCs w:val="16"/>
          <w:lang w:val="lv-LV" w:eastAsia="lv-LV"/>
        </w:rPr>
      </w:pPr>
      <w:r w:rsidRPr="00760AEB">
        <w:rPr>
          <w:rFonts w:eastAsia="Times New Roman"/>
          <w:sz w:val="24"/>
          <w:szCs w:val="24"/>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310"/>
        <w:gridCol w:w="2845"/>
        <w:gridCol w:w="2033"/>
      </w:tblGrid>
      <w:tr w:rsidR="00357321" w:rsidRPr="00760AEB" w:rsidTr="00357321">
        <w:trPr>
          <w:trHeight w:val="525"/>
          <w:tblCellSpacing w:w="0" w:type="dxa"/>
        </w:trPr>
        <w:tc>
          <w:tcPr>
            <w:tcW w:w="9191" w:type="dxa"/>
            <w:gridSpan w:val="4"/>
            <w:vAlign w:val="center"/>
            <w:hideMark/>
          </w:tcPr>
          <w:p w:rsidR="00357321" w:rsidRPr="00760AEB" w:rsidRDefault="00357321" w:rsidP="00357321">
            <w:pPr>
              <w:jc w:val="center"/>
              <w:rPr>
                <w:rFonts w:eastAsia="Times New Roman"/>
                <w:b/>
                <w:bCs/>
                <w:sz w:val="24"/>
                <w:szCs w:val="24"/>
                <w:lang w:val="lv-LV" w:eastAsia="lv-LV"/>
              </w:rPr>
            </w:pPr>
            <w:r w:rsidRPr="00760AEB">
              <w:rPr>
                <w:rFonts w:eastAsia="Times New Roman"/>
                <w:b/>
                <w:bCs/>
                <w:sz w:val="24"/>
                <w:szCs w:val="24"/>
                <w:lang w:val="lv-LV" w:eastAsia="lv-LV"/>
              </w:rPr>
              <w:t> 1.tabula</w:t>
            </w:r>
          </w:p>
          <w:p w:rsidR="00357321" w:rsidRPr="00760AEB" w:rsidRDefault="00357321" w:rsidP="00357321">
            <w:pPr>
              <w:jc w:val="center"/>
              <w:rPr>
                <w:rFonts w:eastAsia="Times New Roman"/>
                <w:b/>
                <w:bCs/>
                <w:sz w:val="24"/>
                <w:szCs w:val="24"/>
                <w:lang w:val="lv-LV" w:eastAsia="lv-LV"/>
              </w:rPr>
            </w:pPr>
            <w:r w:rsidRPr="00760AEB">
              <w:rPr>
                <w:rFonts w:eastAsia="Times New Roman"/>
                <w:b/>
                <w:bCs/>
                <w:sz w:val="24"/>
                <w:szCs w:val="24"/>
                <w:lang w:val="lv-LV" w:eastAsia="lv-LV"/>
              </w:rPr>
              <w:t>Tiesību akta projekta atbilstība ES tiesību aktiem</w:t>
            </w:r>
          </w:p>
        </w:tc>
      </w:tr>
      <w:tr w:rsidR="00357321" w:rsidRPr="00760AEB" w:rsidTr="00357321">
        <w:trPr>
          <w:trHeight w:val="1256"/>
          <w:tblCellSpacing w:w="0" w:type="dxa"/>
        </w:trPr>
        <w:tc>
          <w:tcPr>
            <w:tcW w:w="2003" w:type="dxa"/>
            <w:vAlign w:val="center"/>
            <w:hideMark/>
          </w:tcPr>
          <w:p w:rsidR="00357321" w:rsidRPr="00760AEB" w:rsidRDefault="00357321" w:rsidP="00357321">
            <w:pPr>
              <w:jc w:val="center"/>
              <w:rPr>
                <w:rFonts w:eastAsia="Times New Roman"/>
                <w:sz w:val="24"/>
                <w:szCs w:val="24"/>
                <w:lang w:val="lv-LV" w:eastAsia="lv-LV"/>
              </w:rPr>
            </w:pPr>
            <w:r w:rsidRPr="00760AEB">
              <w:rPr>
                <w:rFonts w:eastAsia="Times New Roman"/>
                <w:sz w:val="24"/>
                <w:szCs w:val="24"/>
                <w:lang w:val="lv-LV" w:eastAsia="lv-LV"/>
              </w:rPr>
              <w:t> Attiecīgā ES tiesību akta datums, numurs un nosaukums</w:t>
            </w:r>
          </w:p>
        </w:tc>
        <w:tc>
          <w:tcPr>
            <w:tcW w:w="7188" w:type="dxa"/>
            <w:gridSpan w:val="3"/>
            <w:vAlign w:val="center"/>
            <w:hideMark/>
          </w:tcPr>
          <w:p w:rsidR="00357321" w:rsidRDefault="00357321" w:rsidP="00357321">
            <w:pPr>
              <w:jc w:val="both"/>
              <w:rPr>
                <w:rFonts w:eastAsia="Times New Roman"/>
                <w:sz w:val="24"/>
                <w:szCs w:val="24"/>
                <w:lang w:val="lv-LV" w:eastAsia="lv-LV"/>
              </w:rPr>
            </w:pPr>
            <w:r w:rsidRPr="00760AEB">
              <w:rPr>
                <w:rFonts w:eastAsia="Times New Roman"/>
                <w:sz w:val="24"/>
                <w:szCs w:val="24"/>
                <w:lang w:val="lv-LV" w:eastAsia="lv-LV"/>
              </w:rPr>
              <w:t> Ar normatīvo aktu tiek ieviestas Eiropas Savienības tiesību akta prasības</w:t>
            </w:r>
            <w:r>
              <w:rPr>
                <w:rFonts w:eastAsia="Times New Roman"/>
                <w:sz w:val="24"/>
                <w:szCs w:val="24"/>
                <w:lang w:val="lv-LV" w:eastAsia="lv-LV"/>
              </w:rPr>
              <w:t xml:space="preserve">: </w:t>
            </w:r>
          </w:p>
          <w:p w:rsidR="00357321" w:rsidRPr="00A0176D" w:rsidRDefault="00357321" w:rsidP="00357321">
            <w:pPr>
              <w:pStyle w:val="ListParagraph"/>
              <w:numPr>
                <w:ilvl w:val="0"/>
                <w:numId w:val="19"/>
              </w:numPr>
              <w:jc w:val="both"/>
              <w:rPr>
                <w:rFonts w:eastAsia="Times New Roman"/>
                <w:sz w:val="24"/>
                <w:szCs w:val="24"/>
                <w:lang w:val="lv-LV" w:eastAsia="lv-LV"/>
              </w:rPr>
            </w:pPr>
            <w:r w:rsidRPr="00A0176D">
              <w:rPr>
                <w:sz w:val="24"/>
                <w:szCs w:val="24"/>
                <w:lang w:val="lv-LV"/>
              </w:rPr>
              <w:t>Komisijas Regula Nr.1407/2013;</w:t>
            </w:r>
          </w:p>
          <w:p w:rsidR="00DC7B14" w:rsidRPr="00A0176D" w:rsidRDefault="00DC7B14" w:rsidP="00DC7B14">
            <w:pPr>
              <w:pStyle w:val="ListParagraph"/>
              <w:numPr>
                <w:ilvl w:val="0"/>
                <w:numId w:val="19"/>
              </w:numPr>
              <w:jc w:val="both"/>
              <w:rPr>
                <w:rFonts w:eastAsia="Times New Roman"/>
                <w:sz w:val="24"/>
                <w:szCs w:val="24"/>
                <w:lang w:val="lv-LV" w:eastAsia="lv-LV"/>
              </w:rPr>
            </w:pPr>
            <w:r w:rsidRPr="00A0176D">
              <w:rPr>
                <w:sz w:val="24"/>
                <w:szCs w:val="24"/>
                <w:lang w:val="lv-LV"/>
              </w:rPr>
              <w:t>Komisijas Regula Nr.1408/2013;</w:t>
            </w:r>
          </w:p>
          <w:p w:rsidR="00357321" w:rsidRPr="00685C39" w:rsidRDefault="00357321" w:rsidP="00A0176D">
            <w:pPr>
              <w:pStyle w:val="ListParagraph"/>
              <w:numPr>
                <w:ilvl w:val="0"/>
                <w:numId w:val="19"/>
              </w:numPr>
              <w:jc w:val="both"/>
              <w:rPr>
                <w:rFonts w:eastAsia="Times New Roman"/>
                <w:sz w:val="24"/>
                <w:szCs w:val="24"/>
                <w:lang w:val="lv-LV" w:eastAsia="lv-LV"/>
              </w:rPr>
            </w:pPr>
            <w:r w:rsidRPr="00A0176D">
              <w:rPr>
                <w:sz w:val="24"/>
                <w:szCs w:val="24"/>
              </w:rPr>
              <w:t>Komisijas Regula</w:t>
            </w:r>
            <w:r w:rsidR="009914FB" w:rsidRPr="00A0176D">
              <w:rPr>
                <w:sz w:val="24"/>
                <w:szCs w:val="24"/>
              </w:rPr>
              <w:t xml:space="preserve"> Nr. </w:t>
            </w:r>
            <w:r w:rsidR="00A0176D" w:rsidRPr="00A0176D">
              <w:rPr>
                <w:sz w:val="24"/>
                <w:szCs w:val="24"/>
              </w:rPr>
              <w:t>651</w:t>
            </w:r>
            <w:r w:rsidRPr="00A0176D">
              <w:rPr>
                <w:sz w:val="24"/>
                <w:szCs w:val="24"/>
              </w:rPr>
              <w:t>/2014</w:t>
            </w:r>
          </w:p>
        </w:tc>
      </w:tr>
      <w:tr w:rsidR="00357321" w:rsidRPr="00760AEB" w:rsidTr="00715A10">
        <w:trPr>
          <w:trHeight w:val="166"/>
          <w:tblCellSpacing w:w="0" w:type="dxa"/>
        </w:trPr>
        <w:tc>
          <w:tcPr>
            <w:tcW w:w="2003" w:type="dxa"/>
            <w:vAlign w:val="center"/>
            <w:hideMark/>
          </w:tcPr>
          <w:p w:rsidR="00357321" w:rsidRPr="00760AEB" w:rsidRDefault="00357321" w:rsidP="00357321">
            <w:pPr>
              <w:jc w:val="center"/>
              <w:rPr>
                <w:rFonts w:eastAsia="Times New Roman"/>
                <w:sz w:val="24"/>
                <w:szCs w:val="24"/>
                <w:lang w:val="lv-LV" w:eastAsia="lv-LV"/>
              </w:rPr>
            </w:pPr>
            <w:r w:rsidRPr="00760AEB">
              <w:rPr>
                <w:rFonts w:eastAsia="Times New Roman"/>
                <w:sz w:val="24"/>
                <w:szCs w:val="24"/>
                <w:lang w:val="lv-LV" w:eastAsia="lv-LV"/>
              </w:rPr>
              <w:t> A</w:t>
            </w:r>
          </w:p>
        </w:tc>
        <w:tc>
          <w:tcPr>
            <w:tcW w:w="2310" w:type="dxa"/>
            <w:vAlign w:val="center"/>
            <w:hideMark/>
          </w:tcPr>
          <w:p w:rsidR="00357321" w:rsidRPr="00760AEB" w:rsidRDefault="00357321" w:rsidP="00357321">
            <w:pPr>
              <w:jc w:val="center"/>
              <w:rPr>
                <w:rFonts w:eastAsia="Times New Roman"/>
                <w:sz w:val="24"/>
                <w:szCs w:val="24"/>
                <w:lang w:val="lv-LV" w:eastAsia="lv-LV"/>
              </w:rPr>
            </w:pPr>
            <w:r w:rsidRPr="00760AEB">
              <w:rPr>
                <w:rFonts w:eastAsia="Times New Roman"/>
                <w:sz w:val="24"/>
                <w:szCs w:val="24"/>
                <w:lang w:val="lv-LV" w:eastAsia="lv-LV"/>
              </w:rPr>
              <w:t> B</w:t>
            </w:r>
          </w:p>
        </w:tc>
        <w:tc>
          <w:tcPr>
            <w:tcW w:w="2845" w:type="dxa"/>
            <w:vAlign w:val="center"/>
            <w:hideMark/>
          </w:tcPr>
          <w:p w:rsidR="00357321" w:rsidRPr="00760AEB" w:rsidRDefault="00357321" w:rsidP="00357321">
            <w:pPr>
              <w:jc w:val="center"/>
              <w:rPr>
                <w:rFonts w:eastAsia="Times New Roman"/>
                <w:sz w:val="24"/>
                <w:szCs w:val="24"/>
                <w:lang w:val="lv-LV" w:eastAsia="lv-LV"/>
              </w:rPr>
            </w:pPr>
            <w:r w:rsidRPr="00760AEB">
              <w:rPr>
                <w:rFonts w:eastAsia="Times New Roman"/>
                <w:sz w:val="24"/>
                <w:szCs w:val="24"/>
                <w:lang w:val="lv-LV" w:eastAsia="lv-LV"/>
              </w:rPr>
              <w:t> C</w:t>
            </w:r>
          </w:p>
        </w:tc>
        <w:tc>
          <w:tcPr>
            <w:tcW w:w="2033" w:type="dxa"/>
            <w:vAlign w:val="center"/>
            <w:hideMark/>
          </w:tcPr>
          <w:p w:rsidR="00357321" w:rsidRPr="00760AEB" w:rsidRDefault="00357321" w:rsidP="00357321">
            <w:pPr>
              <w:jc w:val="center"/>
              <w:rPr>
                <w:rFonts w:eastAsia="Times New Roman"/>
                <w:sz w:val="24"/>
                <w:szCs w:val="24"/>
                <w:lang w:val="lv-LV" w:eastAsia="lv-LV"/>
              </w:rPr>
            </w:pPr>
            <w:r w:rsidRPr="00760AEB">
              <w:rPr>
                <w:rFonts w:eastAsia="Times New Roman"/>
                <w:sz w:val="24"/>
                <w:szCs w:val="24"/>
                <w:lang w:val="lv-LV" w:eastAsia="lv-LV"/>
              </w:rPr>
              <w:t> D</w:t>
            </w:r>
          </w:p>
        </w:tc>
      </w:tr>
      <w:tr w:rsidR="00357321" w:rsidRPr="00760AEB" w:rsidTr="00715A10">
        <w:trPr>
          <w:trHeight w:val="2917"/>
          <w:tblCellSpacing w:w="0" w:type="dxa"/>
        </w:trPr>
        <w:tc>
          <w:tcPr>
            <w:tcW w:w="2003" w:type="dxa"/>
            <w:hideMark/>
          </w:tcPr>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t> Attiecīgā ES tiesību akta panta numurs (uzskaitot katru tiesību akta</w:t>
            </w:r>
            <w:r w:rsidRPr="00760AEB">
              <w:rPr>
                <w:rFonts w:eastAsia="Times New Roman"/>
                <w:sz w:val="24"/>
                <w:szCs w:val="24"/>
                <w:lang w:val="lv-LV" w:eastAsia="lv-LV"/>
              </w:rPr>
              <w:br/>
              <w:t>vienību – pantu, daļu, punktu, apakšpunktu)</w:t>
            </w:r>
          </w:p>
        </w:tc>
        <w:tc>
          <w:tcPr>
            <w:tcW w:w="2310" w:type="dxa"/>
            <w:hideMark/>
          </w:tcPr>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t> Projekta vienība, kas pārņem vai ievieš katru šīs tabulas A ailē minēto ES tiesību akta vienību</w:t>
            </w:r>
          </w:p>
        </w:tc>
        <w:tc>
          <w:tcPr>
            <w:tcW w:w="2845" w:type="dxa"/>
            <w:hideMark/>
          </w:tcPr>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t> Informācija par to, vai šīs tabulas A ailē minētās ES tiesību akta vienības tiek pārņemtas vai ieviestas pilnībā vai daļēji.</w:t>
            </w:r>
          </w:p>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t> </w:t>
            </w:r>
          </w:p>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t>Ja attiecīgā ES tiesību akta vienība tiek pārņemta vai ieviesta daļēji, – sniedz attiecīgu skaidrojumu, kā arī precīzi norāda, kad un kādā veidā ES tiesību akta vienība tiks pārņemta vai ieviesta pilnībā.</w:t>
            </w:r>
          </w:p>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t> </w:t>
            </w:r>
          </w:p>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lastRenderedPageBreak/>
              <w:t>Norāda institūciju, kas ir atbildīga par šo saistību izpildi pilnībā</w:t>
            </w:r>
          </w:p>
        </w:tc>
        <w:tc>
          <w:tcPr>
            <w:tcW w:w="2033" w:type="dxa"/>
            <w:hideMark/>
          </w:tcPr>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lastRenderedPageBreak/>
              <w:t> Informācija par to, vai šīs tabulas B ailē minētās projekta vienības paredz stingrākas prasības nekā šīs tabulas A ailē minētās ES tiesību akta vienības.</w:t>
            </w:r>
          </w:p>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t> </w:t>
            </w:r>
          </w:p>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t xml:space="preserve">Ja projekts satur stingrākas prasības nekā attiecīgais ES tiesību akts, – norāda pamatojumu </w:t>
            </w:r>
            <w:r w:rsidRPr="00760AEB">
              <w:rPr>
                <w:rFonts w:eastAsia="Times New Roman"/>
                <w:sz w:val="24"/>
                <w:szCs w:val="24"/>
                <w:lang w:val="lv-LV" w:eastAsia="lv-LV"/>
              </w:rPr>
              <w:lastRenderedPageBreak/>
              <w:t>un samērīgumu.</w:t>
            </w:r>
          </w:p>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t> </w:t>
            </w:r>
          </w:p>
          <w:p w:rsidR="00357321" w:rsidRPr="00760AEB" w:rsidRDefault="00357321" w:rsidP="00357321">
            <w:pPr>
              <w:rPr>
                <w:rFonts w:eastAsia="Times New Roman"/>
                <w:sz w:val="24"/>
                <w:szCs w:val="24"/>
                <w:lang w:val="lv-LV" w:eastAsia="lv-LV"/>
              </w:rPr>
            </w:pPr>
            <w:r w:rsidRPr="00760AEB">
              <w:rPr>
                <w:rFonts w:eastAsia="Times New Roman"/>
                <w:sz w:val="24"/>
                <w:szCs w:val="24"/>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63899" w:rsidRPr="00760AEB" w:rsidTr="00715A10">
        <w:trPr>
          <w:trHeight w:val="360"/>
          <w:tblCellSpacing w:w="0" w:type="dxa"/>
        </w:trPr>
        <w:tc>
          <w:tcPr>
            <w:tcW w:w="2003" w:type="dxa"/>
          </w:tcPr>
          <w:p w:rsidR="00463899" w:rsidRPr="00963B68" w:rsidRDefault="00463899" w:rsidP="000B7728">
            <w:pPr>
              <w:jc w:val="both"/>
              <w:rPr>
                <w:rFonts w:eastAsia="Times New Roman"/>
                <w:i/>
                <w:sz w:val="24"/>
                <w:szCs w:val="24"/>
                <w:lang w:val="lv-LV" w:eastAsia="lv-LV"/>
              </w:rPr>
            </w:pPr>
            <w:r w:rsidRPr="00963B68">
              <w:rPr>
                <w:rFonts w:eastAsia="Times New Roman"/>
                <w:i/>
                <w:sz w:val="24"/>
                <w:szCs w:val="24"/>
                <w:lang w:val="lv-LV" w:eastAsia="lv-LV"/>
              </w:rPr>
              <w:lastRenderedPageBreak/>
              <w:t>Komisijas regulas Nr.1407/2013 8.pants</w:t>
            </w:r>
          </w:p>
        </w:tc>
        <w:tc>
          <w:tcPr>
            <w:tcW w:w="2310" w:type="dxa"/>
          </w:tcPr>
          <w:p w:rsidR="00463899" w:rsidRPr="00963B68" w:rsidRDefault="0029609D" w:rsidP="00463899">
            <w:pPr>
              <w:jc w:val="both"/>
              <w:rPr>
                <w:rFonts w:eastAsia="Times New Roman"/>
                <w:sz w:val="24"/>
                <w:szCs w:val="24"/>
                <w:lang w:val="lv-LV"/>
              </w:rPr>
            </w:pPr>
            <w:r>
              <w:rPr>
                <w:rFonts w:eastAsia="Times New Roman"/>
                <w:i/>
                <w:sz w:val="24"/>
                <w:szCs w:val="24"/>
                <w:lang w:val="lv-LV"/>
              </w:rPr>
              <w:t>Noteikumu projekta 1.6</w:t>
            </w:r>
            <w:r w:rsidR="00463899" w:rsidRPr="00963B68">
              <w:rPr>
                <w:rFonts w:eastAsia="Times New Roman"/>
                <w:i/>
                <w:sz w:val="24"/>
                <w:szCs w:val="24"/>
                <w:lang w:val="lv-LV"/>
              </w:rPr>
              <w:t>.punkts (ar ko groza MK noteikumu Nr.</w:t>
            </w:r>
            <w:r w:rsidR="00463899">
              <w:rPr>
                <w:rFonts w:eastAsia="Times New Roman"/>
                <w:i/>
                <w:sz w:val="24"/>
                <w:szCs w:val="24"/>
                <w:lang w:val="lv-LV"/>
              </w:rPr>
              <w:t>1065</w:t>
            </w:r>
            <w:r w:rsidR="00463899" w:rsidRPr="00963B68">
              <w:rPr>
                <w:rFonts w:eastAsia="Times New Roman"/>
                <w:i/>
                <w:sz w:val="24"/>
                <w:szCs w:val="24"/>
                <w:lang w:val="lv-LV"/>
              </w:rPr>
              <w:t xml:space="preserve"> </w:t>
            </w:r>
            <w:r w:rsidR="00463899">
              <w:rPr>
                <w:i/>
                <w:sz w:val="24"/>
                <w:szCs w:val="24"/>
              </w:rPr>
              <w:t>6.</w:t>
            </w:r>
            <w:r w:rsidR="00463899" w:rsidRPr="00963B68">
              <w:rPr>
                <w:i/>
                <w:sz w:val="24"/>
                <w:szCs w:val="24"/>
              </w:rPr>
              <w:t xml:space="preserve"> </w:t>
            </w:r>
            <w:r w:rsidR="00463899" w:rsidRPr="00963B68">
              <w:rPr>
                <w:rFonts w:eastAsia="Times New Roman"/>
                <w:i/>
                <w:sz w:val="24"/>
                <w:szCs w:val="24"/>
                <w:lang w:val="lv-LV"/>
              </w:rPr>
              <w:t>punktu).</w:t>
            </w:r>
          </w:p>
        </w:tc>
        <w:tc>
          <w:tcPr>
            <w:tcW w:w="2845" w:type="dxa"/>
          </w:tcPr>
          <w:p w:rsidR="00463899" w:rsidRPr="00963B68" w:rsidRDefault="00463899" w:rsidP="000B7728">
            <w:pPr>
              <w:pStyle w:val="naisf"/>
              <w:spacing w:before="0" w:after="0"/>
              <w:rPr>
                <w:i/>
              </w:rPr>
            </w:pPr>
            <w:r w:rsidRPr="00963B68">
              <w:rPr>
                <w:i/>
              </w:rPr>
              <w:t>ieviesta pilnībā</w:t>
            </w:r>
          </w:p>
        </w:tc>
        <w:tc>
          <w:tcPr>
            <w:tcW w:w="2033" w:type="dxa"/>
          </w:tcPr>
          <w:p w:rsidR="00463899" w:rsidRPr="00963B68" w:rsidRDefault="00463899" w:rsidP="000B7728">
            <w:pPr>
              <w:pStyle w:val="naisf"/>
              <w:spacing w:before="0" w:after="0"/>
              <w:ind w:firstLine="0"/>
              <w:rPr>
                <w:i/>
              </w:rPr>
            </w:pPr>
            <w:r w:rsidRPr="00963B68">
              <w:rPr>
                <w:i/>
              </w:rPr>
              <w:t>neparedz stingrākas prasības</w:t>
            </w:r>
          </w:p>
        </w:tc>
      </w:tr>
      <w:tr w:rsidR="00463899" w:rsidRPr="00760AEB" w:rsidTr="00715A10">
        <w:trPr>
          <w:trHeight w:val="360"/>
          <w:tblCellSpacing w:w="0" w:type="dxa"/>
        </w:trPr>
        <w:tc>
          <w:tcPr>
            <w:tcW w:w="2003" w:type="dxa"/>
          </w:tcPr>
          <w:p w:rsidR="00463899" w:rsidRPr="00463899" w:rsidRDefault="00463899" w:rsidP="00357321">
            <w:pPr>
              <w:jc w:val="both"/>
              <w:rPr>
                <w:i/>
                <w:sz w:val="24"/>
                <w:szCs w:val="24"/>
              </w:rPr>
            </w:pPr>
            <w:r w:rsidRPr="00694A56">
              <w:rPr>
                <w:rFonts w:eastAsia="Times New Roman"/>
                <w:i/>
                <w:sz w:val="24"/>
                <w:szCs w:val="24"/>
                <w:lang w:val="lv-LV" w:eastAsia="lv-LV"/>
              </w:rPr>
              <w:t>Komisijas regulas Nr.1408/2013 8.pants</w:t>
            </w:r>
          </w:p>
        </w:tc>
        <w:tc>
          <w:tcPr>
            <w:tcW w:w="2310" w:type="dxa"/>
          </w:tcPr>
          <w:p w:rsidR="00463899" w:rsidRPr="00963B68" w:rsidRDefault="0029609D" w:rsidP="000B7728">
            <w:pPr>
              <w:jc w:val="both"/>
              <w:rPr>
                <w:rFonts w:eastAsia="Times New Roman"/>
                <w:sz w:val="24"/>
                <w:szCs w:val="24"/>
                <w:lang w:val="lv-LV"/>
              </w:rPr>
            </w:pPr>
            <w:r>
              <w:rPr>
                <w:rFonts w:eastAsia="Times New Roman"/>
                <w:i/>
                <w:sz w:val="24"/>
                <w:szCs w:val="24"/>
                <w:lang w:val="lv-LV"/>
              </w:rPr>
              <w:t>Noteikumu projekta 1.6</w:t>
            </w:r>
            <w:r w:rsidR="00463899" w:rsidRPr="00963B68">
              <w:rPr>
                <w:rFonts w:eastAsia="Times New Roman"/>
                <w:i/>
                <w:sz w:val="24"/>
                <w:szCs w:val="24"/>
                <w:lang w:val="lv-LV"/>
              </w:rPr>
              <w:t>.punkts (ar ko groza MK noteikumu Nr.</w:t>
            </w:r>
            <w:r w:rsidR="00463899">
              <w:rPr>
                <w:rFonts w:eastAsia="Times New Roman"/>
                <w:i/>
                <w:sz w:val="24"/>
                <w:szCs w:val="24"/>
                <w:lang w:val="lv-LV"/>
              </w:rPr>
              <w:t>1065</w:t>
            </w:r>
            <w:r w:rsidR="00463899" w:rsidRPr="00963B68">
              <w:rPr>
                <w:rFonts w:eastAsia="Times New Roman"/>
                <w:i/>
                <w:sz w:val="24"/>
                <w:szCs w:val="24"/>
                <w:lang w:val="lv-LV"/>
              </w:rPr>
              <w:t xml:space="preserve"> </w:t>
            </w:r>
            <w:r w:rsidR="00463899">
              <w:rPr>
                <w:i/>
                <w:sz w:val="24"/>
                <w:szCs w:val="24"/>
              </w:rPr>
              <w:t>6.</w:t>
            </w:r>
            <w:r w:rsidR="00463899" w:rsidRPr="00963B68">
              <w:rPr>
                <w:i/>
                <w:sz w:val="24"/>
                <w:szCs w:val="24"/>
              </w:rPr>
              <w:t xml:space="preserve"> </w:t>
            </w:r>
            <w:r w:rsidR="00463899" w:rsidRPr="00963B68">
              <w:rPr>
                <w:rFonts w:eastAsia="Times New Roman"/>
                <w:i/>
                <w:sz w:val="24"/>
                <w:szCs w:val="24"/>
                <w:lang w:val="lv-LV"/>
              </w:rPr>
              <w:t>punktu).</w:t>
            </w:r>
          </w:p>
        </w:tc>
        <w:tc>
          <w:tcPr>
            <w:tcW w:w="2845" w:type="dxa"/>
          </w:tcPr>
          <w:p w:rsidR="00463899" w:rsidRPr="00963B68" w:rsidRDefault="00463899" w:rsidP="000B7728">
            <w:pPr>
              <w:pStyle w:val="naisf"/>
              <w:spacing w:before="0" w:after="0"/>
              <w:rPr>
                <w:i/>
              </w:rPr>
            </w:pPr>
            <w:r w:rsidRPr="00963B68">
              <w:rPr>
                <w:i/>
              </w:rPr>
              <w:t>ieviesta pilnībā</w:t>
            </w:r>
          </w:p>
        </w:tc>
        <w:tc>
          <w:tcPr>
            <w:tcW w:w="2033" w:type="dxa"/>
          </w:tcPr>
          <w:p w:rsidR="00463899" w:rsidRPr="00963B68" w:rsidRDefault="00463899" w:rsidP="000B7728">
            <w:pPr>
              <w:pStyle w:val="naisf"/>
              <w:spacing w:before="0" w:after="0"/>
              <w:ind w:firstLine="0"/>
              <w:rPr>
                <w:i/>
              </w:rPr>
            </w:pPr>
            <w:r w:rsidRPr="00963B68">
              <w:rPr>
                <w:i/>
              </w:rPr>
              <w:t>neparedz stingrākas prasības</w:t>
            </w:r>
          </w:p>
        </w:tc>
      </w:tr>
      <w:tr w:rsidR="00463899" w:rsidRPr="00760AEB" w:rsidTr="00715A10">
        <w:trPr>
          <w:trHeight w:val="360"/>
          <w:tblCellSpacing w:w="0" w:type="dxa"/>
        </w:trPr>
        <w:tc>
          <w:tcPr>
            <w:tcW w:w="2003" w:type="dxa"/>
          </w:tcPr>
          <w:p w:rsidR="00463899" w:rsidRPr="00463899" w:rsidRDefault="00A0176D" w:rsidP="00357321">
            <w:pPr>
              <w:jc w:val="both"/>
              <w:rPr>
                <w:rFonts w:eastAsia="Times New Roman"/>
                <w:i/>
                <w:sz w:val="24"/>
                <w:szCs w:val="24"/>
                <w:lang w:val="lv-LV" w:eastAsia="lv-LV"/>
              </w:rPr>
            </w:pPr>
            <w:r>
              <w:rPr>
                <w:i/>
                <w:sz w:val="24"/>
                <w:szCs w:val="24"/>
              </w:rPr>
              <w:t>Komisijas Regulas Nr.651</w:t>
            </w:r>
            <w:r w:rsidR="00463899" w:rsidRPr="00463899">
              <w:rPr>
                <w:i/>
                <w:sz w:val="24"/>
                <w:szCs w:val="24"/>
              </w:rPr>
              <w:t>/2014 1.pielikums</w:t>
            </w:r>
          </w:p>
        </w:tc>
        <w:tc>
          <w:tcPr>
            <w:tcW w:w="2310" w:type="dxa"/>
          </w:tcPr>
          <w:p w:rsidR="00463899" w:rsidRPr="00463899" w:rsidRDefault="0029609D" w:rsidP="00463899">
            <w:pPr>
              <w:jc w:val="both"/>
              <w:rPr>
                <w:rFonts w:eastAsia="Times New Roman"/>
                <w:sz w:val="24"/>
                <w:szCs w:val="24"/>
                <w:lang w:val="lv-LV"/>
              </w:rPr>
            </w:pPr>
            <w:r>
              <w:rPr>
                <w:rFonts w:eastAsia="Times New Roman"/>
                <w:i/>
                <w:sz w:val="24"/>
                <w:szCs w:val="24"/>
                <w:lang w:val="lv-LV"/>
              </w:rPr>
              <w:t>Noteikumu projekta 1.7</w:t>
            </w:r>
            <w:r w:rsidR="00463899" w:rsidRPr="00463899">
              <w:rPr>
                <w:rFonts w:eastAsia="Times New Roman"/>
                <w:i/>
                <w:sz w:val="24"/>
                <w:szCs w:val="24"/>
                <w:lang w:val="lv-LV"/>
              </w:rPr>
              <w:t xml:space="preserve">.punkts (ar ko groza MK noteikumu Nr.1065 </w:t>
            </w:r>
            <w:r w:rsidR="00463899" w:rsidRPr="00463899">
              <w:rPr>
                <w:i/>
                <w:sz w:val="24"/>
                <w:szCs w:val="24"/>
              </w:rPr>
              <w:t>7.2.apakš</w:t>
            </w:r>
            <w:r w:rsidR="00463899" w:rsidRPr="00463899">
              <w:rPr>
                <w:rFonts w:eastAsia="Times New Roman"/>
                <w:i/>
                <w:sz w:val="24"/>
                <w:szCs w:val="24"/>
                <w:lang w:val="lv-LV"/>
              </w:rPr>
              <w:t>punktu).</w:t>
            </w:r>
          </w:p>
        </w:tc>
        <w:tc>
          <w:tcPr>
            <w:tcW w:w="2845" w:type="dxa"/>
          </w:tcPr>
          <w:p w:rsidR="00463899" w:rsidRPr="00F53CB4" w:rsidRDefault="00463899" w:rsidP="00357321">
            <w:pPr>
              <w:pStyle w:val="naisf"/>
              <w:spacing w:before="0" w:after="0"/>
              <w:rPr>
                <w:i/>
              </w:rPr>
            </w:pPr>
            <w:r w:rsidRPr="00F53CB4">
              <w:rPr>
                <w:i/>
              </w:rPr>
              <w:t>ieviesta pilnībā</w:t>
            </w:r>
          </w:p>
        </w:tc>
        <w:tc>
          <w:tcPr>
            <w:tcW w:w="2033" w:type="dxa"/>
          </w:tcPr>
          <w:p w:rsidR="00463899" w:rsidRPr="00F53CB4" w:rsidRDefault="00463899" w:rsidP="00357321">
            <w:pPr>
              <w:pStyle w:val="naisf"/>
              <w:spacing w:before="0" w:after="0"/>
              <w:ind w:firstLine="0"/>
              <w:rPr>
                <w:i/>
              </w:rPr>
            </w:pPr>
            <w:r w:rsidRPr="00F53CB4">
              <w:rPr>
                <w:i/>
              </w:rPr>
              <w:t>neparedz stingrākas prasības</w:t>
            </w:r>
          </w:p>
        </w:tc>
      </w:tr>
      <w:tr w:rsidR="00463899" w:rsidRPr="00760AEB" w:rsidTr="00715A10">
        <w:trPr>
          <w:trHeight w:val="360"/>
          <w:tblCellSpacing w:w="0" w:type="dxa"/>
        </w:trPr>
        <w:tc>
          <w:tcPr>
            <w:tcW w:w="2003" w:type="dxa"/>
          </w:tcPr>
          <w:p w:rsidR="00463899" w:rsidRPr="00A0176D" w:rsidRDefault="00463899" w:rsidP="000B7728">
            <w:pPr>
              <w:jc w:val="both"/>
              <w:rPr>
                <w:rFonts w:eastAsia="Times New Roman"/>
                <w:i/>
                <w:sz w:val="24"/>
                <w:szCs w:val="24"/>
                <w:lang w:val="lv-LV" w:eastAsia="lv-LV"/>
              </w:rPr>
            </w:pPr>
            <w:r w:rsidRPr="00A0176D">
              <w:rPr>
                <w:rFonts w:eastAsia="Times New Roman"/>
                <w:i/>
                <w:sz w:val="24"/>
                <w:szCs w:val="24"/>
                <w:lang w:val="lv-LV" w:eastAsia="lv-LV"/>
              </w:rPr>
              <w:t>Komisijas regulas Nr.1407/2013 4.panta 3.punkta a) daļa</w:t>
            </w:r>
          </w:p>
        </w:tc>
        <w:tc>
          <w:tcPr>
            <w:tcW w:w="2310" w:type="dxa"/>
          </w:tcPr>
          <w:p w:rsidR="00463899" w:rsidRPr="00A0176D" w:rsidRDefault="0029609D" w:rsidP="000B7728">
            <w:pPr>
              <w:jc w:val="both"/>
              <w:rPr>
                <w:rFonts w:eastAsia="Times New Roman"/>
                <w:sz w:val="24"/>
                <w:szCs w:val="24"/>
                <w:lang w:val="lv-LV"/>
              </w:rPr>
            </w:pPr>
            <w:r w:rsidRPr="00A0176D">
              <w:rPr>
                <w:rFonts w:eastAsia="Times New Roman"/>
                <w:i/>
                <w:sz w:val="24"/>
                <w:szCs w:val="24"/>
                <w:lang w:val="lv-LV"/>
              </w:rPr>
              <w:t>Noteikumu projekta 1.9</w:t>
            </w:r>
            <w:r w:rsidR="00463899" w:rsidRPr="00A0176D">
              <w:rPr>
                <w:rFonts w:eastAsia="Times New Roman"/>
                <w:i/>
                <w:sz w:val="24"/>
                <w:szCs w:val="24"/>
                <w:lang w:val="lv-LV"/>
              </w:rPr>
              <w:t xml:space="preserve">.punkts (Ar ko groza MK noteikumu Nr.1065 </w:t>
            </w:r>
            <w:r w:rsidR="00463899" w:rsidRPr="00A0176D">
              <w:rPr>
                <w:i/>
                <w:sz w:val="24"/>
                <w:szCs w:val="24"/>
              </w:rPr>
              <w:t>10.2.</w:t>
            </w:r>
            <w:r w:rsidR="00DC3586" w:rsidRPr="00A0176D">
              <w:rPr>
                <w:rFonts w:eastAsia="Times New Roman"/>
                <w:i/>
                <w:sz w:val="24"/>
                <w:szCs w:val="24"/>
                <w:lang w:val="lv-LV"/>
              </w:rPr>
              <w:t>punktu), 1.25.punkts (ar ko papildina MK noteikumu 39.punktu)</w:t>
            </w:r>
          </w:p>
        </w:tc>
        <w:tc>
          <w:tcPr>
            <w:tcW w:w="2845" w:type="dxa"/>
          </w:tcPr>
          <w:p w:rsidR="00463899" w:rsidRPr="006E6EFD" w:rsidRDefault="00463899" w:rsidP="000B7728">
            <w:pPr>
              <w:pStyle w:val="naisf"/>
              <w:spacing w:before="0" w:after="0"/>
              <w:rPr>
                <w:i/>
              </w:rPr>
            </w:pPr>
            <w:r w:rsidRPr="006E6EFD">
              <w:rPr>
                <w:i/>
              </w:rPr>
              <w:t>ieviesta pilnībā</w:t>
            </w:r>
          </w:p>
        </w:tc>
        <w:tc>
          <w:tcPr>
            <w:tcW w:w="2033" w:type="dxa"/>
          </w:tcPr>
          <w:p w:rsidR="00463899" w:rsidRPr="00963B68" w:rsidRDefault="00463899" w:rsidP="000B7728">
            <w:pPr>
              <w:pStyle w:val="naisf"/>
              <w:spacing w:before="0" w:after="0"/>
              <w:ind w:firstLine="0"/>
              <w:rPr>
                <w:i/>
              </w:rPr>
            </w:pPr>
            <w:r w:rsidRPr="00963B68">
              <w:rPr>
                <w:i/>
              </w:rPr>
              <w:t>neparedz stingrākas prasības</w:t>
            </w:r>
          </w:p>
        </w:tc>
      </w:tr>
      <w:tr w:rsidR="00463899" w:rsidRPr="00760AEB" w:rsidTr="00715A10">
        <w:trPr>
          <w:trHeight w:val="360"/>
          <w:tblCellSpacing w:w="0" w:type="dxa"/>
        </w:trPr>
        <w:tc>
          <w:tcPr>
            <w:tcW w:w="2003" w:type="dxa"/>
          </w:tcPr>
          <w:p w:rsidR="00463899" w:rsidRPr="00A0176D" w:rsidRDefault="00463899" w:rsidP="000B7728">
            <w:pPr>
              <w:jc w:val="both"/>
              <w:rPr>
                <w:rFonts w:eastAsia="Times New Roman"/>
                <w:i/>
                <w:sz w:val="24"/>
                <w:szCs w:val="24"/>
                <w:lang w:val="lv-LV" w:eastAsia="lv-LV"/>
              </w:rPr>
            </w:pPr>
            <w:r w:rsidRPr="00A0176D">
              <w:rPr>
                <w:rFonts w:eastAsia="Times New Roman"/>
                <w:i/>
                <w:sz w:val="24"/>
                <w:szCs w:val="24"/>
                <w:lang w:val="lv-LV" w:eastAsia="lv-LV"/>
              </w:rPr>
              <w:t>Komisijas regulas Nr.1408/2013 4.panta 3.punkta a) daļa</w:t>
            </w:r>
          </w:p>
        </w:tc>
        <w:tc>
          <w:tcPr>
            <w:tcW w:w="2310" w:type="dxa"/>
          </w:tcPr>
          <w:p w:rsidR="00463899" w:rsidRPr="00A0176D" w:rsidRDefault="0029609D" w:rsidP="000B7728">
            <w:pPr>
              <w:jc w:val="both"/>
              <w:rPr>
                <w:rFonts w:eastAsia="Times New Roman"/>
                <w:sz w:val="24"/>
                <w:szCs w:val="24"/>
                <w:lang w:val="lv-LV"/>
              </w:rPr>
            </w:pPr>
            <w:r w:rsidRPr="00A0176D">
              <w:rPr>
                <w:rFonts w:eastAsia="Times New Roman"/>
                <w:i/>
                <w:sz w:val="24"/>
                <w:szCs w:val="24"/>
                <w:lang w:val="lv-LV"/>
              </w:rPr>
              <w:t>Noteikumu projekta 1.9</w:t>
            </w:r>
            <w:r w:rsidR="00463899" w:rsidRPr="00A0176D">
              <w:rPr>
                <w:rFonts w:eastAsia="Times New Roman"/>
                <w:i/>
                <w:sz w:val="24"/>
                <w:szCs w:val="24"/>
                <w:lang w:val="lv-LV"/>
              </w:rPr>
              <w:t xml:space="preserve">.punkts (Ar ko groza MK noteikumu Nr.1065 </w:t>
            </w:r>
            <w:r w:rsidR="00463899" w:rsidRPr="00A0176D">
              <w:rPr>
                <w:i/>
                <w:sz w:val="24"/>
                <w:szCs w:val="24"/>
              </w:rPr>
              <w:t>10.2.</w:t>
            </w:r>
            <w:r w:rsidR="00463899" w:rsidRPr="00A0176D">
              <w:rPr>
                <w:rFonts w:eastAsia="Times New Roman"/>
                <w:i/>
                <w:sz w:val="24"/>
                <w:szCs w:val="24"/>
                <w:lang w:val="lv-LV"/>
              </w:rPr>
              <w:t>punktu).</w:t>
            </w:r>
          </w:p>
        </w:tc>
        <w:tc>
          <w:tcPr>
            <w:tcW w:w="2845" w:type="dxa"/>
          </w:tcPr>
          <w:p w:rsidR="00463899" w:rsidRPr="006E6EFD" w:rsidRDefault="00463899" w:rsidP="000B7728">
            <w:pPr>
              <w:pStyle w:val="naisf"/>
              <w:spacing w:before="0" w:after="0"/>
              <w:rPr>
                <w:i/>
              </w:rPr>
            </w:pPr>
            <w:r w:rsidRPr="006E6EFD">
              <w:rPr>
                <w:i/>
              </w:rPr>
              <w:t>ieviesta pilnībā</w:t>
            </w:r>
          </w:p>
        </w:tc>
        <w:tc>
          <w:tcPr>
            <w:tcW w:w="2033" w:type="dxa"/>
          </w:tcPr>
          <w:p w:rsidR="00463899" w:rsidRPr="00963B68" w:rsidRDefault="00463899" w:rsidP="000B7728">
            <w:pPr>
              <w:pStyle w:val="naisf"/>
              <w:spacing w:before="0" w:after="0"/>
              <w:ind w:firstLine="0"/>
              <w:rPr>
                <w:i/>
              </w:rPr>
            </w:pPr>
            <w:r w:rsidRPr="00963B68">
              <w:rPr>
                <w:i/>
              </w:rPr>
              <w:t>neparedz stingrākas prasības</w:t>
            </w:r>
          </w:p>
        </w:tc>
      </w:tr>
      <w:tr w:rsidR="00463899" w:rsidRPr="00760AEB" w:rsidTr="00715A10">
        <w:trPr>
          <w:trHeight w:val="360"/>
          <w:tblCellSpacing w:w="0" w:type="dxa"/>
        </w:trPr>
        <w:tc>
          <w:tcPr>
            <w:tcW w:w="2003" w:type="dxa"/>
          </w:tcPr>
          <w:p w:rsidR="00463899" w:rsidRPr="00A0176D" w:rsidRDefault="00463899" w:rsidP="000B7728">
            <w:pPr>
              <w:jc w:val="both"/>
              <w:rPr>
                <w:rFonts w:eastAsia="Times New Roman"/>
                <w:i/>
                <w:sz w:val="24"/>
                <w:szCs w:val="24"/>
                <w:lang w:val="lv-LV" w:eastAsia="lv-LV"/>
              </w:rPr>
            </w:pPr>
            <w:r w:rsidRPr="00A0176D">
              <w:rPr>
                <w:rFonts w:eastAsia="Times New Roman"/>
                <w:i/>
                <w:sz w:val="24"/>
                <w:szCs w:val="24"/>
                <w:lang w:val="lv-LV" w:eastAsia="lv-LV"/>
              </w:rPr>
              <w:t xml:space="preserve">Komisijas regulas Nr.1407/2013 6.panta 1.punkts </w:t>
            </w:r>
          </w:p>
        </w:tc>
        <w:tc>
          <w:tcPr>
            <w:tcW w:w="2310" w:type="dxa"/>
          </w:tcPr>
          <w:p w:rsidR="00463899" w:rsidRPr="00A0176D" w:rsidRDefault="00463899" w:rsidP="00463899">
            <w:pPr>
              <w:jc w:val="both"/>
              <w:rPr>
                <w:rFonts w:eastAsia="Times New Roman"/>
                <w:sz w:val="24"/>
                <w:szCs w:val="24"/>
                <w:lang w:val="lv-LV"/>
              </w:rPr>
            </w:pPr>
            <w:r w:rsidRPr="00A0176D">
              <w:rPr>
                <w:rFonts w:eastAsia="Times New Roman"/>
                <w:i/>
                <w:sz w:val="24"/>
                <w:szCs w:val="24"/>
                <w:lang w:val="lv-LV"/>
              </w:rPr>
              <w:t xml:space="preserve">Noteikumu projekta </w:t>
            </w:r>
            <w:r w:rsidR="0029609D" w:rsidRPr="00A0176D">
              <w:rPr>
                <w:rFonts w:eastAsia="Times New Roman"/>
                <w:i/>
                <w:sz w:val="24"/>
                <w:szCs w:val="24"/>
                <w:lang w:val="lv-LV"/>
              </w:rPr>
              <w:t>1.11</w:t>
            </w:r>
            <w:r w:rsidRPr="00A0176D">
              <w:rPr>
                <w:rFonts w:eastAsia="Times New Roman"/>
                <w:i/>
                <w:sz w:val="24"/>
                <w:szCs w:val="24"/>
                <w:lang w:val="lv-LV"/>
              </w:rPr>
              <w:t xml:space="preserve">.punkts (ar ko groza MK noteikumu Nr.1065 14.1 </w:t>
            </w:r>
            <w:r w:rsidR="00DC3586" w:rsidRPr="00A0176D">
              <w:rPr>
                <w:rFonts w:eastAsia="Times New Roman"/>
                <w:i/>
                <w:sz w:val="24"/>
                <w:szCs w:val="24"/>
                <w:lang w:val="lv-LV"/>
              </w:rPr>
              <w:t xml:space="preserve">.punktu), 1.25.punkts (ar ko </w:t>
            </w:r>
            <w:r w:rsidR="00DC3586" w:rsidRPr="00A0176D">
              <w:rPr>
                <w:rFonts w:eastAsia="Times New Roman"/>
                <w:i/>
                <w:sz w:val="24"/>
                <w:szCs w:val="24"/>
                <w:lang w:val="lv-LV"/>
              </w:rPr>
              <w:lastRenderedPageBreak/>
              <w:t>papildina MK noteikumu 38.punktu)</w:t>
            </w:r>
          </w:p>
        </w:tc>
        <w:tc>
          <w:tcPr>
            <w:tcW w:w="2845" w:type="dxa"/>
          </w:tcPr>
          <w:p w:rsidR="00463899" w:rsidRPr="006E6EFD" w:rsidRDefault="00463899" w:rsidP="000B7728">
            <w:pPr>
              <w:pStyle w:val="naisf"/>
              <w:spacing w:before="0" w:after="0"/>
              <w:rPr>
                <w:i/>
              </w:rPr>
            </w:pPr>
            <w:r w:rsidRPr="006E6EFD">
              <w:rPr>
                <w:i/>
              </w:rPr>
              <w:lastRenderedPageBreak/>
              <w:t>ieviesta pilnībā</w:t>
            </w:r>
          </w:p>
        </w:tc>
        <w:tc>
          <w:tcPr>
            <w:tcW w:w="2033" w:type="dxa"/>
          </w:tcPr>
          <w:p w:rsidR="00463899" w:rsidRPr="00963B68" w:rsidRDefault="00463899" w:rsidP="000B7728">
            <w:pPr>
              <w:pStyle w:val="naisf"/>
              <w:spacing w:before="0" w:after="0"/>
              <w:ind w:firstLine="0"/>
              <w:rPr>
                <w:i/>
              </w:rPr>
            </w:pPr>
            <w:r w:rsidRPr="00963B68">
              <w:rPr>
                <w:i/>
              </w:rPr>
              <w:t>neparedz stingrākas prasības</w:t>
            </w:r>
          </w:p>
        </w:tc>
      </w:tr>
      <w:tr w:rsidR="00463899" w:rsidRPr="00760AEB" w:rsidTr="00715A10">
        <w:trPr>
          <w:trHeight w:val="360"/>
          <w:tblCellSpacing w:w="0" w:type="dxa"/>
        </w:trPr>
        <w:tc>
          <w:tcPr>
            <w:tcW w:w="2003" w:type="dxa"/>
          </w:tcPr>
          <w:p w:rsidR="00463899" w:rsidRPr="006E6EFD" w:rsidRDefault="000835BB" w:rsidP="000B7728">
            <w:pPr>
              <w:jc w:val="both"/>
              <w:rPr>
                <w:rFonts w:eastAsia="Times New Roman"/>
                <w:i/>
                <w:sz w:val="24"/>
                <w:szCs w:val="24"/>
                <w:lang w:val="lv-LV" w:eastAsia="lv-LV"/>
              </w:rPr>
            </w:pPr>
            <w:r>
              <w:rPr>
                <w:rFonts w:eastAsia="Times New Roman"/>
                <w:i/>
                <w:sz w:val="24"/>
                <w:szCs w:val="24"/>
                <w:lang w:val="lv-LV" w:eastAsia="lv-LV"/>
              </w:rPr>
              <w:lastRenderedPageBreak/>
              <w:t>Komisijas regulas Nr.1408</w:t>
            </w:r>
            <w:r w:rsidR="00463899" w:rsidRPr="006E6EFD">
              <w:rPr>
                <w:rFonts w:eastAsia="Times New Roman"/>
                <w:i/>
                <w:sz w:val="24"/>
                <w:szCs w:val="24"/>
                <w:lang w:val="lv-LV" w:eastAsia="lv-LV"/>
              </w:rPr>
              <w:t xml:space="preserve">/2013 6.panta 1.punkts </w:t>
            </w:r>
          </w:p>
        </w:tc>
        <w:tc>
          <w:tcPr>
            <w:tcW w:w="2310" w:type="dxa"/>
          </w:tcPr>
          <w:p w:rsidR="00463899" w:rsidRPr="006E6EFD" w:rsidRDefault="00463899" w:rsidP="00DC3586">
            <w:pPr>
              <w:jc w:val="both"/>
              <w:rPr>
                <w:rFonts w:eastAsia="Times New Roman"/>
                <w:sz w:val="24"/>
                <w:szCs w:val="24"/>
                <w:lang w:val="lv-LV"/>
              </w:rPr>
            </w:pPr>
            <w:r w:rsidRPr="006E6EFD">
              <w:rPr>
                <w:rFonts w:eastAsia="Times New Roman"/>
                <w:i/>
                <w:sz w:val="24"/>
                <w:szCs w:val="24"/>
                <w:lang w:val="lv-LV"/>
              </w:rPr>
              <w:t xml:space="preserve">Noteikumu projekta </w:t>
            </w:r>
            <w:r w:rsidR="0029609D">
              <w:rPr>
                <w:rFonts w:eastAsia="Times New Roman"/>
                <w:i/>
                <w:sz w:val="24"/>
                <w:szCs w:val="24"/>
                <w:lang w:val="lv-LV"/>
              </w:rPr>
              <w:t>1.11</w:t>
            </w:r>
            <w:r w:rsidRPr="006E6EFD">
              <w:rPr>
                <w:rFonts w:eastAsia="Times New Roman"/>
                <w:i/>
                <w:sz w:val="24"/>
                <w:szCs w:val="24"/>
                <w:lang w:val="lv-LV"/>
              </w:rPr>
              <w:t>.punkts (ar ko groza MK noteikumu Nr.</w:t>
            </w:r>
            <w:r w:rsidRPr="00A0176D">
              <w:rPr>
                <w:rFonts w:eastAsia="Times New Roman"/>
                <w:i/>
                <w:sz w:val="24"/>
                <w:szCs w:val="24"/>
                <w:lang w:val="lv-LV"/>
              </w:rPr>
              <w:t>1065 15.</w:t>
            </w:r>
            <w:r w:rsidR="0029609D" w:rsidRPr="00A0176D">
              <w:rPr>
                <w:rFonts w:eastAsia="Times New Roman"/>
                <w:i/>
                <w:sz w:val="24"/>
                <w:szCs w:val="24"/>
                <w:lang w:val="lv-LV"/>
              </w:rPr>
              <w:t>1.punktu); 1.15</w:t>
            </w:r>
            <w:r w:rsidR="00F53CB4" w:rsidRPr="00A0176D">
              <w:rPr>
                <w:rFonts w:eastAsia="Times New Roman"/>
                <w:i/>
                <w:sz w:val="24"/>
                <w:szCs w:val="24"/>
                <w:lang w:val="lv-LV"/>
              </w:rPr>
              <w:t>.punkts (ar ko groza MK noteikumu Nr.1065 21.punktu</w:t>
            </w:r>
            <w:r w:rsidR="00DC3586" w:rsidRPr="00A0176D">
              <w:rPr>
                <w:rFonts w:eastAsia="Times New Roman"/>
                <w:i/>
                <w:sz w:val="24"/>
                <w:szCs w:val="24"/>
                <w:lang w:val="lv-LV"/>
              </w:rPr>
              <w:t>); 1.25.punkts (ar ko papildina MK noteikumu Nr.1065 40. un 41.punktu)</w:t>
            </w:r>
          </w:p>
        </w:tc>
        <w:tc>
          <w:tcPr>
            <w:tcW w:w="2845" w:type="dxa"/>
          </w:tcPr>
          <w:p w:rsidR="00463899" w:rsidRPr="006E6EFD" w:rsidRDefault="00463899" w:rsidP="000B7728">
            <w:pPr>
              <w:pStyle w:val="naisf"/>
              <w:spacing w:before="0" w:after="0"/>
              <w:rPr>
                <w:i/>
              </w:rPr>
            </w:pPr>
            <w:r w:rsidRPr="006E6EFD">
              <w:rPr>
                <w:i/>
              </w:rPr>
              <w:t>ieviesta pilnībā</w:t>
            </w:r>
          </w:p>
        </w:tc>
        <w:tc>
          <w:tcPr>
            <w:tcW w:w="2033" w:type="dxa"/>
          </w:tcPr>
          <w:p w:rsidR="00463899" w:rsidRPr="00963B68" w:rsidRDefault="00463899" w:rsidP="000B7728">
            <w:pPr>
              <w:pStyle w:val="naisf"/>
              <w:spacing w:before="0" w:after="0"/>
              <w:ind w:firstLine="0"/>
              <w:rPr>
                <w:i/>
              </w:rPr>
            </w:pPr>
            <w:r w:rsidRPr="00963B68">
              <w:rPr>
                <w:i/>
              </w:rPr>
              <w:t>neparedz stingrākas prasības</w:t>
            </w:r>
          </w:p>
        </w:tc>
      </w:tr>
      <w:tr w:rsidR="00463899" w:rsidRPr="00760AEB" w:rsidTr="00715A10">
        <w:trPr>
          <w:trHeight w:val="360"/>
          <w:tblCellSpacing w:w="0" w:type="dxa"/>
        </w:trPr>
        <w:tc>
          <w:tcPr>
            <w:tcW w:w="2003" w:type="dxa"/>
          </w:tcPr>
          <w:p w:rsidR="00463899" w:rsidRPr="006E6EFD" w:rsidRDefault="00463899" w:rsidP="00463899">
            <w:pPr>
              <w:jc w:val="both"/>
              <w:rPr>
                <w:rFonts w:eastAsia="Times New Roman"/>
                <w:i/>
                <w:sz w:val="24"/>
                <w:szCs w:val="24"/>
                <w:lang w:val="lv-LV" w:eastAsia="lv-LV"/>
              </w:rPr>
            </w:pPr>
            <w:r w:rsidRPr="006E6EFD">
              <w:rPr>
                <w:rFonts w:eastAsia="Times New Roman"/>
                <w:i/>
                <w:sz w:val="24"/>
                <w:szCs w:val="24"/>
                <w:lang w:val="lv-LV" w:eastAsia="lv-LV"/>
              </w:rPr>
              <w:t xml:space="preserve">Komisijas regulas Nr.1407/2013 </w:t>
            </w:r>
            <w:r>
              <w:rPr>
                <w:rFonts w:eastAsia="Times New Roman"/>
                <w:i/>
                <w:sz w:val="24"/>
                <w:szCs w:val="24"/>
                <w:lang w:val="lv-LV" w:eastAsia="lv-LV"/>
              </w:rPr>
              <w:t>1.pants</w:t>
            </w:r>
            <w:r w:rsidRPr="006E6EFD">
              <w:rPr>
                <w:rFonts w:eastAsia="Times New Roman"/>
                <w:i/>
                <w:sz w:val="24"/>
                <w:szCs w:val="24"/>
                <w:lang w:val="lv-LV" w:eastAsia="lv-LV"/>
              </w:rPr>
              <w:t xml:space="preserve"> </w:t>
            </w:r>
          </w:p>
        </w:tc>
        <w:tc>
          <w:tcPr>
            <w:tcW w:w="2310" w:type="dxa"/>
          </w:tcPr>
          <w:p w:rsidR="00463899" w:rsidRPr="006E6EFD" w:rsidRDefault="00463899" w:rsidP="000B7728">
            <w:pPr>
              <w:jc w:val="both"/>
              <w:rPr>
                <w:rFonts w:eastAsia="Times New Roman"/>
                <w:sz w:val="24"/>
                <w:szCs w:val="24"/>
                <w:lang w:val="lv-LV"/>
              </w:rPr>
            </w:pPr>
            <w:r w:rsidRPr="006E6EFD">
              <w:rPr>
                <w:rFonts w:eastAsia="Times New Roman"/>
                <w:i/>
                <w:sz w:val="24"/>
                <w:szCs w:val="24"/>
                <w:lang w:val="lv-LV"/>
              </w:rPr>
              <w:t xml:space="preserve">Noteikumu projekta </w:t>
            </w:r>
            <w:r w:rsidR="0029609D">
              <w:rPr>
                <w:rFonts w:eastAsia="Times New Roman"/>
                <w:i/>
                <w:sz w:val="24"/>
                <w:szCs w:val="24"/>
                <w:lang w:val="lv-LV"/>
              </w:rPr>
              <w:t>1.11</w:t>
            </w:r>
            <w:r w:rsidRPr="006E6EFD">
              <w:rPr>
                <w:rFonts w:eastAsia="Times New Roman"/>
                <w:i/>
                <w:sz w:val="24"/>
                <w:szCs w:val="24"/>
                <w:lang w:val="lv-LV"/>
              </w:rPr>
              <w:t>.punkts (ar ko groza MK noteikumu Nr.</w:t>
            </w:r>
            <w:r>
              <w:rPr>
                <w:rFonts w:eastAsia="Times New Roman"/>
                <w:i/>
                <w:sz w:val="24"/>
                <w:szCs w:val="24"/>
                <w:lang w:val="lv-LV"/>
              </w:rPr>
              <w:t>1065 14.2</w:t>
            </w:r>
            <w:r w:rsidR="0029609D">
              <w:rPr>
                <w:rFonts w:eastAsia="Times New Roman"/>
                <w:i/>
                <w:sz w:val="24"/>
                <w:szCs w:val="24"/>
                <w:lang w:val="lv-LV"/>
              </w:rPr>
              <w:t>.punktu), 1.15</w:t>
            </w:r>
            <w:r w:rsidR="00F53CB4">
              <w:rPr>
                <w:rFonts w:eastAsia="Times New Roman"/>
                <w:i/>
                <w:sz w:val="24"/>
                <w:szCs w:val="24"/>
                <w:lang w:val="lv-LV"/>
              </w:rPr>
              <w:t xml:space="preserve">.punkts (ar ko groza </w:t>
            </w:r>
            <w:r w:rsidR="00F53CB4" w:rsidRPr="006E6EFD">
              <w:rPr>
                <w:rFonts w:eastAsia="Times New Roman"/>
                <w:i/>
                <w:sz w:val="24"/>
                <w:szCs w:val="24"/>
                <w:lang w:val="lv-LV"/>
              </w:rPr>
              <w:t>MK noteikumu Nr.</w:t>
            </w:r>
            <w:r w:rsidR="00F53CB4">
              <w:rPr>
                <w:rFonts w:eastAsia="Times New Roman"/>
                <w:i/>
                <w:sz w:val="24"/>
                <w:szCs w:val="24"/>
                <w:lang w:val="lv-LV"/>
              </w:rPr>
              <w:t>1065 21.punktu</w:t>
            </w:r>
          </w:p>
        </w:tc>
        <w:tc>
          <w:tcPr>
            <w:tcW w:w="2845" w:type="dxa"/>
          </w:tcPr>
          <w:p w:rsidR="00463899" w:rsidRPr="006E6EFD" w:rsidRDefault="00463899" w:rsidP="000B7728">
            <w:pPr>
              <w:pStyle w:val="naisf"/>
              <w:spacing w:before="0" w:after="0"/>
              <w:rPr>
                <w:i/>
              </w:rPr>
            </w:pPr>
            <w:r w:rsidRPr="006E6EFD">
              <w:rPr>
                <w:i/>
              </w:rPr>
              <w:t>ieviesta pilnībā</w:t>
            </w:r>
          </w:p>
        </w:tc>
        <w:tc>
          <w:tcPr>
            <w:tcW w:w="2033" w:type="dxa"/>
          </w:tcPr>
          <w:p w:rsidR="00463899" w:rsidRPr="00963B68" w:rsidRDefault="00463899" w:rsidP="000B7728">
            <w:pPr>
              <w:pStyle w:val="naisf"/>
              <w:spacing w:before="0" w:after="0"/>
              <w:ind w:firstLine="0"/>
              <w:rPr>
                <w:i/>
              </w:rPr>
            </w:pPr>
            <w:r w:rsidRPr="00963B68">
              <w:rPr>
                <w:i/>
              </w:rPr>
              <w:t>neparedz stingrākas prasības</w:t>
            </w:r>
          </w:p>
        </w:tc>
      </w:tr>
      <w:tr w:rsidR="00463899" w:rsidRPr="00760AEB" w:rsidTr="00715A10">
        <w:trPr>
          <w:trHeight w:val="360"/>
          <w:tblCellSpacing w:w="0" w:type="dxa"/>
        </w:trPr>
        <w:tc>
          <w:tcPr>
            <w:tcW w:w="2003" w:type="dxa"/>
          </w:tcPr>
          <w:p w:rsidR="00463899" w:rsidRPr="006E6EFD" w:rsidRDefault="000835BB" w:rsidP="000B7728">
            <w:pPr>
              <w:jc w:val="both"/>
              <w:rPr>
                <w:rFonts w:eastAsia="Times New Roman"/>
                <w:i/>
                <w:sz w:val="24"/>
                <w:szCs w:val="24"/>
                <w:lang w:val="lv-LV" w:eastAsia="lv-LV"/>
              </w:rPr>
            </w:pPr>
            <w:r>
              <w:rPr>
                <w:rFonts w:eastAsia="Times New Roman"/>
                <w:i/>
                <w:sz w:val="24"/>
                <w:szCs w:val="24"/>
                <w:lang w:val="lv-LV" w:eastAsia="lv-LV"/>
              </w:rPr>
              <w:t>Komisijas regulas Nr.1408</w:t>
            </w:r>
            <w:r w:rsidR="00463899" w:rsidRPr="006E6EFD">
              <w:rPr>
                <w:rFonts w:eastAsia="Times New Roman"/>
                <w:i/>
                <w:sz w:val="24"/>
                <w:szCs w:val="24"/>
                <w:lang w:val="lv-LV" w:eastAsia="lv-LV"/>
              </w:rPr>
              <w:t xml:space="preserve">/2013 </w:t>
            </w:r>
            <w:r w:rsidR="00463899">
              <w:rPr>
                <w:rFonts w:eastAsia="Times New Roman"/>
                <w:i/>
                <w:sz w:val="24"/>
                <w:szCs w:val="24"/>
                <w:lang w:val="lv-LV" w:eastAsia="lv-LV"/>
              </w:rPr>
              <w:t>1.pants</w:t>
            </w:r>
          </w:p>
        </w:tc>
        <w:tc>
          <w:tcPr>
            <w:tcW w:w="2310" w:type="dxa"/>
          </w:tcPr>
          <w:p w:rsidR="00463899" w:rsidRPr="006E6EFD" w:rsidRDefault="00463899" w:rsidP="000B7728">
            <w:pPr>
              <w:jc w:val="both"/>
              <w:rPr>
                <w:rFonts w:eastAsia="Times New Roman"/>
                <w:sz w:val="24"/>
                <w:szCs w:val="24"/>
                <w:lang w:val="lv-LV"/>
              </w:rPr>
            </w:pPr>
            <w:r w:rsidRPr="006E6EFD">
              <w:rPr>
                <w:rFonts w:eastAsia="Times New Roman"/>
                <w:i/>
                <w:sz w:val="24"/>
                <w:szCs w:val="24"/>
                <w:lang w:val="lv-LV"/>
              </w:rPr>
              <w:t xml:space="preserve">Noteikumu projekta </w:t>
            </w:r>
            <w:r w:rsidR="0029609D">
              <w:rPr>
                <w:rFonts w:eastAsia="Times New Roman"/>
                <w:i/>
                <w:sz w:val="24"/>
                <w:szCs w:val="24"/>
                <w:lang w:val="lv-LV"/>
              </w:rPr>
              <w:t>1.11</w:t>
            </w:r>
            <w:r w:rsidRPr="006E6EFD">
              <w:rPr>
                <w:rFonts w:eastAsia="Times New Roman"/>
                <w:i/>
                <w:sz w:val="24"/>
                <w:szCs w:val="24"/>
                <w:lang w:val="lv-LV"/>
              </w:rPr>
              <w:t>.punkts (ar ko groza MK noteikumu Nr.</w:t>
            </w:r>
            <w:r>
              <w:rPr>
                <w:rFonts w:eastAsia="Times New Roman"/>
                <w:i/>
                <w:sz w:val="24"/>
                <w:szCs w:val="24"/>
                <w:lang w:val="lv-LV"/>
              </w:rPr>
              <w:t xml:space="preserve">1065 15.2 </w:t>
            </w:r>
            <w:r w:rsidRPr="006E6EFD">
              <w:rPr>
                <w:rFonts w:eastAsia="Times New Roman"/>
                <w:i/>
                <w:sz w:val="24"/>
                <w:szCs w:val="24"/>
                <w:lang w:val="lv-LV"/>
              </w:rPr>
              <w:t xml:space="preserve">.punktu) </w:t>
            </w:r>
          </w:p>
        </w:tc>
        <w:tc>
          <w:tcPr>
            <w:tcW w:w="2845" w:type="dxa"/>
          </w:tcPr>
          <w:p w:rsidR="00463899" w:rsidRPr="006E6EFD" w:rsidRDefault="00463899" w:rsidP="000B7728">
            <w:pPr>
              <w:pStyle w:val="naisf"/>
              <w:spacing w:before="0" w:after="0"/>
              <w:rPr>
                <w:i/>
              </w:rPr>
            </w:pPr>
            <w:r w:rsidRPr="006E6EFD">
              <w:rPr>
                <w:i/>
              </w:rPr>
              <w:t>ieviesta pilnībā</w:t>
            </w:r>
          </w:p>
        </w:tc>
        <w:tc>
          <w:tcPr>
            <w:tcW w:w="2033" w:type="dxa"/>
          </w:tcPr>
          <w:p w:rsidR="00463899" w:rsidRPr="00963B68" w:rsidRDefault="00463899" w:rsidP="000B7728">
            <w:pPr>
              <w:pStyle w:val="naisf"/>
              <w:spacing w:before="0" w:after="0"/>
              <w:ind w:firstLine="0"/>
              <w:rPr>
                <w:i/>
              </w:rPr>
            </w:pPr>
            <w:r w:rsidRPr="00963B68">
              <w:rPr>
                <w:i/>
              </w:rPr>
              <w:t>neparedz stingrākas prasības</w:t>
            </w:r>
          </w:p>
        </w:tc>
      </w:tr>
      <w:tr w:rsidR="00463899" w:rsidRPr="00760AEB" w:rsidTr="00715A10">
        <w:trPr>
          <w:trHeight w:val="360"/>
          <w:tblCellSpacing w:w="0" w:type="dxa"/>
        </w:trPr>
        <w:tc>
          <w:tcPr>
            <w:tcW w:w="2003" w:type="dxa"/>
          </w:tcPr>
          <w:p w:rsidR="00463899" w:rsidRPr="00963B68" w:rsidRDefault="00463899" w:rsidP="000B7728">
            <w:pPr>
              <w:jc w:val="both"/>
              <w:rPr>
                <w:rFonts w:eastAsia="Times New Roman"/>
                <w:i/>
                <w:sz w:val="24"/>
                <w:szCs w:val="24"/>
                <w:lang w:val="lv-LV" w:eastAsia="lv-LV"/>
              </w:rPr>
            </w:pPr>
            <w:r w:rsidRPr="00963B68">
              <w:rPr>
                <w:rFonts w:eastAsia="Times New Roman"/>
                <w:i/>
                <w:sz w:val="24"/>
                <w:szCs w:val="24"/>
                <w:lang w:val="lv-LV" w:eastAsia="lv-LV"/>
              </w:rPr>
              <w:t>Komisijas regulas Nr.1407/20136 3.panta 2.punkts</w:t>
            </w:r>
          </w:p>
        </w:tc>
        <w:tc>
          <w:tcPr>
            <w:tcW w:w="2310" w:type="dxa"/>
          </w:tcPr>
          <w:p w:rsidR="00463899" w:rsidRPr="00963B68" w:rsidRDefault="0029609D" w:rsidP="00463899">
            <w:pPr>
              <w:jc w:val="both"/>
              <w:rPr>
                <w:rFonts w:eastAsia="Times New Roman"/>
                <w:sz w:val="24"/>
                <w:szCs w:val="24"/>
                <w:lang w:val="lv-LV"/>
              </w:rPr>
            </w:pPr>
            <w:r>
              <w:rPr>
                <w:rFonts w:eastAsia="Times New Roman"/>
                <w:i/>
                <w:sz w:val="24"/>
                <w:szCs w:val="24"/>
                <w:lang w:val="lv-LV"/>
              </w:rPr>
              <w:t>Noteikumu projekta 1.13</w:t>
            </w:r>
            <w:r w:rsidR="00463899" w:rsidRPr="00963B68">
              <w:rPr>
                <w:rFonts w:eastAsia="Times New Roman"/>
                <w:i/>
                <w:sz w:val="24"/>
                <w:szCs w:val="24"/>
                <w:lang w:val="lv-LV"/>
              </w:rPr>
              <w:t>.punkt</w:t>
            </w:r>
            <w:r w:rsidR="00463899">
              <w:rPr>
                <w:rFonts w:eastAsia="Times New Roman"/>
                <w:i/>
                <w:sz w:val="24"/>
                <w:szCs w:val="24"/>
                <w:lang w:val="lv-LV"/>
              </w:rPr>
              <w:t>s (Ar ko groza MK noteikumu Nr.1065</w:t>
            </w:r>
            <w:r w:rsidR="00463899" w:rsidRPr="00963B68">
              <w:rPr>
                <w:rFonts w:eastAsia="Times New Roman"/>
                <w:i/>
                <w:sz w:val="24"/>
                <w:szCs w:val="24"/>
                <w:lang w:val="lv-LV"/>
              </w:rPr>
              <w:t xml:space="preserve"> </w:t>
            </w:r>
            <w:r w:rsidR="00463899">
              <w:rPr>
                <w:i/>
                <w:sz w:val="24"/>
                <w:szCs w:val="24"/>
              </w:rPr>
              <w:t>19.1</w:t>
            </w:r>
            <w:r w:rsidR="00463899" w:rsidRPr="00963B68">
              <w:rPr>
                <w:i/>
                <w:sz w:val="24"/>
                <w:szCs w:val="24"/>
              </w:rPr>
              <w:t xml:space="preserve">. </w:t>
            </w:r>
            <w:r>
              <w:rPr>
                <w:rFonts w:eastAsia="Times New Roman"/>
                <w:i/>
                <w:sz w:val="24"/>
                <w:szCs w:val="24"/>
                <w:lang w:val="lv-LV"/>
              </w:rPr>
              <w:t>punktu), 1.19</w:t>
            </w:r>
            <w:r w:rsidR="00F53CB4">
              <w:rPr>
                <w:rFonts w:eastAsia="Times New Roman"/>
                <w:i/>
                <w:sz w:val="24"/>
                <w:szCs w:val="24"/>
                <w:lang w:val="lv-LV"/>
              </w:rPr>
              <w:t xml:space="preserve">.punkts (ar ko groza </w:t>
            </w:r>
            <w:r w:rsidR="00F53CB4" w:rsidRPr="006E6EFD">
              <w:rPr>
                <w:rFonts w:eastAsia="Times New Roman"/>
                <w:i/>
                <w:sz w:val="24"/>
                <w:szCs w:val="24"/>
                <w:lang w:val="lv-LV"/>
              </w:rPr>
              <w:t>MK noteikumu Nr.</w:t>
            </w:r>
            <w:r w:rsidR="00F53CB4">
              <w:rPr>
                <w:rFonts w:eastAsia="Times New Roman"/>
                <w:i/>
                <w:sz w:val="24"/>
                <w:szCs w:val="24"/>
                <w:lang w:val="lv-LV"/>
              </w:rPr>
              <w:t>1065 29.1.punktu</w:t>
            </w:r>
          </w:p>
        </w:tc>
        <w:tc>
          <w:tcPr>
            <w:tcW w:w="2845" w:type="dxa"/>
          </w:tcPr>
          <w:p w:rsidR="00463899" w:rsidRPr="00963B68" w:rsidRDefault="00463899" w:rsidP="000B7728">
            <w:pPr>
              <w:pStyle w:val="naisf"/>
              <w:spacing w:before="0" w:after="0"/>
              <w:rPr>
                <w:i/>
              </w:rPr>
            </w:pPr>
            <w:r w:rsidRPr="00963B68">
              <w:rPr>
                <w:i/>
              </w:rPr>
              <w:t>ieviesta pilnībā</w:t>
            </w:r>
          </w:p>
        </w:tc>
        <w:tc>
          <w:tcPr>
            <w:tcW w:w="2033" w:type="dxa"/>
          </w:tcPr>
          <w:p w:rsidR="00463899" w:rsidRPr="00963B68" w:rsidRDefault="00463899" w:rsidP="000B7728">
            <w:pPr>
              <w:pStyle w:val="naisf"/>
              <w:spacing w:before="0" w:after="0"/>
              <w:ind w:firstLine="0"/>
              <w:rPr>
                <w:i/>
              </w:rPr>
            </w:pPr>
            <w:r w:rsidRPr="00963B68">
              <w:rPr>
                <w:i/>
              </w:rPr>
              <w:t>neparedz stingrākas prasības</w:t>
            </w:r>
          </w:p>
        </w:tc>
      </w:tr>
      <w:tr w:rsidR="00463899" w:rsidRPr="00760AEB" w:rsidTr="00715A10">
        <w:trPr>
          <w:trHeight w:val="360"/>
          <w:tblCellSpacing w:w="0" w:type="dxa"/>
        </w:trPr>
        <w:tc>
          <w:tcPr>
            <w:tcW w:w="2003" w:type="dxa"/>
          </w:tcPr>
          <w:p w:rsidR="00463899" w:rsidRPr="00963B68" w:rsidRDefault="00463899" w:rsidP="000B7728">
            <w:pPr>
              <w:jc w:val="both"/>
              <w:rPr>
                <w:rFonts w:eastAsia="Times New Roman"/>
                <w:i/>
                <w:sz w:val="24"/>
                <w:szCs w:val="24"/>
                <w:lang w:val="lv-LV" w:eastAsia="lv-LV"/>
              </w:rPr>
            </w:pPr>
            <w:r>
              <w:rPr>
                <w:rFonts w:eastAsia="Times New Roman"/>
                <w:i/>
                <w:sz w:val="24"/>
                <w:szCs w:val="24"/>
                <w:lang w:val="lv-LV" w:eastAsia="lv-LV"/>
              </w:rPr>
              <w:t>Komisijas regulas Nr.1408</w:t>
            </w:r>
            <w:r w:rsidRPr="00963B68">
              <w:rPr>
                <w:rFonts w:eastAsia="Times New Roman"/>
                <w:i/>
                <w:sz w:val="24"/>
                <w:szCs w:val="24"/>
                <w:lang w:val="lv-LV" w:eastAsia="lv-LV"/>
              </w:rPr>
              <w:t>/20136 3.panta 2.punkts</w:t>
            </w:r>
          </w:p>
        </w:tc>
        <w:tc>
          <w:tcPr>
            <w:tcW w:w="2310" w:type="dxa"/>
          </w:tcPr>
          <w:p w:rsidR="00463899" w:rsidRPr="00963B68" w:rsidRDefault="0029609D" w:rsidP="00715A10">
            <w:pPr>
              <w:jc w:val="both"/>
              <w:rPr>
                <w:rFonts w:eastAsia="Times New Roman"/>
                <w:sz w:val="24"/>
                <w:szCs w:val="24"/>
                <w:lang w:val="lv-LV"/>
              </w:rPr>
            </w:pPr>
            <w:r>
              <w:rPr>
                <w:rFonts w:eastAsia="Times New Roman"/>
                <w:i/>
                <w:sz w:val="24"/>
                <w:szCs w:val="24"/>
                <w:lang w:val="lv-LV"/>
              </w:rPr>
              <w:t>Noteikumu projekta 1.13</w:t>
            </w:r>
            <w:r w:rsidR="00463899" w:rsidRPr="00963B68">
              <w:rPr>
                <w:rFonts w:eastAsia="Times New Roman"/>
                <w:i/>
                <w:sz w:val="24"/>
                <w:szCs w:val="24"/>
                <w:lang w:val="lv-LV"/>
              </w:rPr>
              <w:t>.punkt</w:t>
            </w:r>
            <w:r w:rsidR="00463899">
              <w:rPr>
                <w:rFonts w:eastAsia="Times New Roman"/>
                <w:i/>
                <w:sz w:val="24"/>
                <w:szCs w:val="24"/>
                <w:lang w:val="lv-LV"/>
              </w:rPr>
              <w:t>s (Ar ko groza MK noteikumu Nr.1065</w:t>
            </w:r>
            <w:r w:rsidR="00463899" w:rsidRPr="00963B68">
              <w:rPr>
                <w:rFonts w:eastAsia="Times New Roman"/>
                <w:i/>
                <w:sz w:val="24"/>
                <w:szCs w:val="24"/>
                <w:lang w:val="lv-LV"/>
              </w:rPr>
              <w:t xml:space="preserve"> </w:t>
            </w:r>
            <w:r w:rsidR="00463899">
              <w:rPr>
                <w:i/>
                <w:sz w:val="24"/>
                <w:szCs w:val="24"/>
              </w:rPr>
              <w:t>19.2</w:t>
            </w:r>
            <w:r w:rsidR="00463899" w:rsidRPr="00963B68">
              <w:rPr>
                <w:i/>
                <w:sz w:val="24"/>
                <w:szCs w:val="24"/>
              </w:rPr>
              <w:t xml:space="preserve">. </w:t>
            </w:r>
            <w:r w:rsidR="00715A10">
              <w:rPr>
                <w:rFonts w:eastAsia="Times New Roman"/>
                <w:i/>
                <w:sz w:val="24"/>
                <w:szCs w:val="24"/>
                <w:lang w:val="lv-LV"/>
              </w:rPr>
              <w:t xml:space="preserve">punktu); 1.25.punkts (ar ko papildina </w:t>
            </w:r>
            <w:r w:rsidR="00715A10" w:rsidRPr="006E6EFD">
              <w:rPr>
                <w:rFonts w:eastAsia="Times New Roman"/>
                <w:i/>
                <w:sz w:val="24"/>
                <w:szCs w:val="24"/>
                <w:lang w:val="lv-LV"/>
              </w:rPr>
              <w:t>MK noteikumu Nr.</w:t>
            </w:r>
            <w:r w:rsidR="00715A10">
              <w:rPr>
                <w:rFonts w:eastAsia="Times New Roman"/>
                <w:i/>
                <w:sz w:val="24"/>
                <w:szCs w:val="24"/>
                <w:lang w:val="lv-LV"/>
              </w:rPr>
              <w:t>1065 42.punktu)</w:t>
            </w:r>
          </w:p>
        </w:tc>
        <w:tc>
          <w:tcPr>
            <w:tcW w:w="2845" w:type="dxa"/>
          </w:tcPr>
          <w:p w:rsidR="00463899" w:rsidRPr="00963B68" w:rsidRDefault="00463899" w:rsidP="000B7728">
            <w:pPr>
              <w:pStyle w:val="naisf"/>
              <w:spacing w:before="0" w:after="0"/>
              <w:rPr>
                <w:i/>
              </w:rPr>
            </w:pPr>
            <w:r w:rsidRPr="00963B68">
              <w:rPr>
                <w:i/>
              </w:rPr>
              <w:t>ieviesta pilnībā</w:t>
            </w:r>
          </w:p>
        </w:tc>
        <w:tc>
          <w:tcPr>
            <w:tcW w:w="2033" w:type="dxa"/>
          </w:tcPr>
          <w:p w:rsidR="00463899" w:rsidRPr="00963B68" w:rsidRDefault="00463899" w:rsidP="000B7728">
            <w:pPr>
              <w:pStyle w:val="naisf"/>
              <w:spacing w:before="0" w:after="0"/>
              <w:ind w:firstLine="0"/>
              <w:rPr>
                <w:i/>
              </w:rPr>
            </w:pPr>
            <w:r w:rsidRPr="00963B68">
              <w:rPr>
                <w:i/>
              </w:rPr>
              <w:t>neparedz stingrākas prasības</w:t>
            </w:r>
          </w:p>
        </w:tc>
      </w:tr>
      <w:tr w:rsidR="00463899" w:rsidRPr="00760AEB" w:rsidTr="00715A10">
        <w:trPr>
          <w:trHeight w:val="360"/>
          <w:tblCellSpacing w:w="0" w:type="dxa"/>
        </w:trPr>
        <w:tc>
          <w:tcPr>
            <w:tcW w:w="2003" w:type="dxa"/>
          </w:tcPr>
          <w:p w:rsidR="00463899" w:rsidRPr="00963B68" w:rsidRDefault="00463899" w:rsidP="00357321">
            <w:pPr>
              <w:jc w:val="both"/>
              <w:rPr>
                <w:rFonts w:eastAsia="Times New Roman"/>
                <w:i/>
                <w:sz w:val="24"/>
                <w:szCs w:val="24"/>
                <w:lang w:val="lv-LV" w:eastAsia="lv-LV"/>
              </w:rPr>
            </w:pPr>
            <w:r w:rsidRPr="006E6EFD">
              <w:rPr>
                <w:rFonts w:eastAsia="Times New Roman"/>
                <w:i/>
                <w:sz w:val="24"/>
                <w:szCs w:val="24"/>
                <w:lang w:val="lv-LV" w:eastAsia="lv-LV"/>
              </w:rPr>
              <w:t xml:space="preserve">Komisijas regulas Nr.1407/2013 </w:t>
            </w:r>
            <w:r>
              <w:rPr>
                <w:rFonts w:eastAsia="Times New Roman"/>
                <w:i/>
                <w:sz w:val="24"/>
                <w:szCs w:val="24"/>
                <w:lang w:val="lv-LV" w:eastAsia="lv-LV"/>
              </w:rPr>
              <w:t>2.pants</w:t>
            </w:r>
          </w:p>
        </w:tc>
        <w:tc>
          <w:tcPr>
            <w:tcW w:w="2310" w:type="dxa"/>
          </w:tcPr>
          <w:p w:rsidR="00463899" w:rsidRPr="00963B68" w:rsidRDefault="0029609D" w:rsidP="00463899">
            <w:pPr>
              <w:jc w:val="both"/>
              <w:rPr>
                <w:rFonts w:eastAsia="Times New Roman"/>
                <w:sz w:val="24"/>
                <w:szCs w:val="24"/>
                <w:lang w:val="lv-LV"/>
              </w:rPr>
            </w:pPr>
            <w:r>
              <w:rPr>
                <w:rFonts w:eastAsia="Times New Roman"/>
                <w:i/>
                <w:sz w:val="24"/>
                <w:szCs w:val="24"/>
                <w:lang w:val="lv-LV"/>
              </w:rPr>
              <w:t>Noteikumu projekta 1.14.</w:t>
            </w:r>
            <w:r w:rsidR="00463899" w:rsidRPr="00963B68">
              <w:rPr>
                <w:rFonts w:eastAsia="Times New Roman"/>
                <w:i/>
                <w:sz w:val="24"/>
                <w:szCs w:val="24"/>
                <w:lang w:val="lv-LV"/>
              </w:rPr>
              <w:t>punkt</w:t>
            </w:r>
            <w:r w:rsidR="00463899">
              <w:rPr>
                <w:rFonts w:eastAsia="Times New Roman"/>
                <w:i/>
                <w:sz w:val="24"/>
                <w:szCs w:val="24"/>
                <w:lang w:val="lv-LV"/>
              </w:rPr>
              <w:t>s (Ar ko papildina MK noteikumu Nr.1065</w:t>
            </w:r>
            <w:r w:rsidR="00463899" w:rsidRPr="00963B68">
              <w:rPr>
                <w:rFonts w:eastAsia="Times New Roman"/>
                <w:i/>
                <w:sz w:val="24"/>
                <w:szCs w:val="24"/>
                <w:lang w:val="lv-LV"/>
              </w:rPr>
              <w:t xml:space="preserve"> </w:t>
            </w:r>
            <w:r w:rsidR="00463899">
              <w:rPr>
                <w:i/>
                <w:sz w:val="24"/>
                <w:szCs w:val="24"/>
              </w:rPr>
              <w:t>19.</w:t>
            </w:r>
            <w:r w:rsidR="00463899" w:rsidRPr="00463899">
              <w:rPr>
                <w:i/>
                <w:sz w:val="24"/>
                <w:szCs w:val="24"/>
                <w:vertAlign w:val="superscript"/>
              </w:rPr>
              <w:t>1.</w:t>
            </w:r>
            <w:r w:rsidR="00463899" w:rsidRPr="00963B68">
              <w:rPr>
                <w:i/>
                <w:sz w:val="24"/>
                <w:szCs w:val="24"/>
              </w:rPr>
              <w:t xml:space="preserve"> </w:t>
            </w:r>
            <w:r w:rsidR="00463899" w:rsidRPr="00963B68">
              <w:rPr>
                <w:rFonts w:eastAsia="Times New Roman"/>
                <w:i/>
                <w:sz w:val="24"/>
                <w:szCs w:val="24"/>
                <w:lang w:val="lv-LV"/>
              </w:rPr>
              <w:t>punktu).</w:t>
            </w:r>
          </w:p>
        </w:tc>
        <w:tc>
          <w:tcPr>
            <w:tcW w:w="2845" w:type="dxa"/>
          </w:tcPr>
          <w:p w:rsidR="00463899" w:rsidRPr="00963B68" w:rsidRDefault="00463899" w:rsidP="000B7728">
            <w:pPr>
              <w:pStyle w:val="naisf"/>
              <w:spacing w:before="0" w:after="0"/>
              <w:rPr>
                <w:i/>
              </w:rPr>
            </w:pPr>
            <w:r w:rsidRPr="00963B68">
              <w:rPr>
                <w:i/>
              </w:rPr>
              <w:t>ieviesta pilnībā</w:t>
            </w:r>
          </w:p>
        </w:tc>
        <w:tc>
          <w:tcPr>
            <w:tcW w:w="2033" w:type="dxa"/>
          </w:tcPr>
          <w:p w:rsidR="00463899" w:rsidRPr="00963B68" w:rsidRDefault="00463899" w:rsidP="000B7728">
            <w:pPr>
              <w:pStyle w:val="naisf"/>
              <w:spacing w:before="0" w:after="0"/>
              <w:ind w:firstLine="0"/>
              <w:rPr>
                <w:i/>
              </w:rPr>
            </w:pPr>
            <w:r w:rsidRPr="00963B68">
              <w:rPr>
                <w:i/>
              </w:rPr>
              <w:t>neparedz stingrākas prasības</w:t>
            </w:r>
          </w:p>
        </w:tc>
      </w:tr>
      <w:tr w:rsidR="00463899" w:rsidRPr="00760AEB" w:rsidTr="00715A10">
        <w:trPr>
          <w:trHeight w:val="360"/>
          <w:tblCellSpacing w:w="0" w:type="dxa"/>
        </w:trPr>
        <w:tc>
          <w:tcPr>
            <w:tcW w:w="2003" w:type="dxa"/>
          </w:tcPr>
          <w:p w:rsidR="00463899" w:rsidRPr="00A0176D" w:rsidRDefault="00463899" w:rsidP="00357321">
            <w:pPr>
              <w:jc w:val="both"/>
              <w:rPr>
                <w:rFonts w:eastAsia="Times New Roman"/>
                <w:i/>
                <w:sz w:val="24"/>
                <w:szCs w:val="24"/>
                <w:lang w:val="lv-LV" w:eastAsia="lv-LV"/>
              </w:rPr>
            </w:pPr>
            <w:r w:rsidRPr="00A0176D">
              <w:rPr>
                <w:rFonts w:eastAsia="Times New Roman"/>
                <w:i/>
                <w:sz w:val="24"/>
                <w:szCs w:val="24"/>
                <w:lang w:val="lv-LV" w:eastAsia="lv-LV"/>
              </w:rPr>
              <w:lastRenderedPageBreak/>
              <w:t>Komisijas regulas Nr.1408/2013 2.pants</w:t>
            </w:r>
          </w:p>
        </w:tc>
        <w:tc>
          <w:tcPr>
            <w:tcW w:w="2310" w:type="dxa"/>
          </w:tcPr>
          <w:p w:rsidR="00463899" w:rsidRPr="00A0176D" w:rsidRDefault="0029609D" w:rsidP="000B7728">
            <w:pPr>
              <w:jc w:val="both"/>
              <w:rPr>
                <w:rFonts w:eastAsia="Times New Roman"/>
                <w:sz w:val="24"/>
                <w:szCs w:val="24"/>
                <w:lang w:val="lv-LV"/>
              </w:rPr>
            </w:pPr>
            <w:r w:rsidRPr="00A0176D">
              <w:rPr>
                <w:rFonts w:eastAsia="Times New Roman"/>
                <w:i/>
                <w:sz w:val="24"/>
                <w:szCs w:val="24"/>
                <w:lang w:val="lv-LV"/>
              </w:rPr>
              <w:t>Noteikumu projekta 1.14</w:t>
            </w:r>
            <w:r w:rsidR="00F53CB4" w:rsidRPr="00A0176D">
              <w:rPr>
                <w:rFonts w:eastAsia="Times New Roman"/>
                <w:i/>
                <w:sz w:val="24"/>
                <w:szCs w:val="24"/>
                <w:lang w:val="lv-LV"/>
              </w:rPr>
              <w:t>.</w:t>
            </w:r>
            <w:r w:rsidR="00463899" w:rsidRPr="00A0176D">
              <w:rPr>
                <w:rFonts w:eastAsia="Times New Roman"/>
                <w:i/>
                <w:sz w:val="24"/>
                <w:szCs w:val="24"/>
                <w:lang w:val="lv-LV"/>
              </w:rPr>
              <w:t xml:space="preserve">punkts (Ar ko papildina MK noteikumu Nr.1065 </w:t>
            </w:r>
            <w:r w:rsidR="00463899" w:rsidRPr="00A0176D">
              <w:rPr>
                <w:i/>
                <w:sz w:val="24"/>
                <w:szCs w:val="24"/>
              </w:rPr>
              <w:t>19.</w:t>
            </w:r>
            <w:r w:rsidR="00463899" w:rsidRPr="00A0176D">
              <w:rPr>
                <w:i/>
                <w:sz w:val="24"/>
                <w:szCs w:val="24"/>
                <w:vertAlign w:val="superscript"/>
              </w:rPr>
              <w:t>1.</w:t>
            </w:r>
            <w:r w:rsidR="00463899" w:rsidRPr="00A0176D">
              <w:rPr>
                <w:i/>
                <w:sz w:val="24"/>
                <w:szCs w:val="24"/>
              </w:rPr>
              <w:t xml:space="preserve"> </w:t>
            </w:r>
            <w:r w:rsidR="00463899" w:rsidRPr="00A0176D">
              <w:rPr>
                <w:rFonts w:eastAsia="Times New Roman"/>
                <w:i/>
                <w:sz w:val="24"/>
                <w:szCs w:val="24"/>
                <w:lang w:val="lv-LV"/>
              </w:rPr>
              <w:t>punktu).</w:t>
            </w:r>
          </w:p>
        </w:tc>
        <w:tc>
          <w:tcPr>
            <w:tcW w:w="2845" w:type="dxa"/>
          </w:tcPr>
          <w:p w:rsidR="00463899" w:rsidRPr="00A0176D" w:rsidRDefault="00463899" w:rsidP="000B7728">
            <w:pPr>
              <w:pStyle w:val="naisf"/>
              <w:spacing w:before="0" w:after="0"/>
              <w:rPr>
                <w:i/>
              </w:rPr>
            </w:pPr>
            <w:r w:rsidRPr="00A0176D">
              <w:rPr>
                <w:i/>
              </w:rPr>
              <w:t>ieviesta pilnībā</w:t>
            </w:r>
          </w:p>
        </w:tc>
        <w:tc>
          <w:tcPr>
            <w:tcW w:w="2033" w:type="dxa"/>
          </w:tcPr>
          <w:p w:rsidR="00463899" w:rsidRPr="00963B68" w:rsidRDefault="00463899" w:rsidP="000B7728">
            <w:pPr>
              <w:pStyle w:val="naisf"/>
              <w:spacing w:before="0" w:after="0"/>
              <w:ind w:firstLine="0"/>
              <w:rPr>
                <w:i/>
              </w:rPr>
            </w:pPr>
            <w:r w:rsidRPr="00963B68">
              <w:rPr>
                <w:i/>
              </w:rPr>
              <w:t>neparedz stingrākas prasības</w:t>
            </w:r>
          </w:p>
        </w:tc>
      </w:tr>
      <w:tr w:rsidR="00F53CB4" w:rsidRPr="00760AEB" w:rsidTr="00715A10">
        <w:trPr>
          <w:trHeight w:val="360"/>
          <w:tblCellSpacing w:w="0" w:type="dxa"/>
        </w:trPr>
        <w:tc>
          <w:tcPr>
            <w:tcW w:w="2003" w:type="dxa"/>
          </w:tcPr>
          <w:p w:rsidR="00F53CB4" w:rsidRPr="00A0176D" w:rsidRDefault="00F53CB4" w:rsidP="00357321">
            <w:pPr>
              <w:jc w:val="both"/>
              <w:rPr>
                <w:rFonts w:eastAsia="Times New Roman"/>
                <w:i/>
                <w:sz w:val="24"/>
                <w:szCs w:val="24"/>
                <w:lang w:val="lv-LV" w:eastAsia="lv-LV"/>
              </w:rPr>
            </w:pPr>
            <w:r w:rsidRPr="00A0176D">
              <w:rPr>
                <w:rFonts w:eastAsia="Times New Roman"/>
                <w:i/>
                <w:sz w:val="24"/>
                <w:szCs w:val="24"/>
                <w:lang w:val="lv-LV" w:eastAsia="lv-LV"/>
              </w:rPr>
              <w:t xml:space="preserve">Komisijas regulas Nr.1407/2013 5.panta 1.punkts </w:t>
            </w:r>
          </w:p>
        </w:tc>
        <w:tc>
          <w:tcPr>
            <w:tcW w:w="2310" w:type="dxa"/>
          </w:tcPr>
          <w:p w:rsidR="00F53CB4" w:rsidRPr="00A0176D" w:rsidRDefault="0029609D" w:rsidP="0029609D">
            <w:pPr>
              <w:jc w:val="both"/>
              <w:rPr>
                <w:rFonts w:eastAsia="Times New Roman"/>
                <w:sz w:val="24"/>
                <w:szCs w:val="24"/>
                <w:lang w:val="lv-LV"/>
              </w:rPr>
            </w:pPr>
            <w:r w:rsidRPr="00A0176D">
              <w:rPr>
                <w:rFonts w:eastAsia="Times New Roman"/>
                <w:i/>
                <w:sz w:val="24"/>
                <w:szCs w:val="24"/>
                <w:lang w:val="lv-LV"/>
              </w:rPr>
              <w:t>Noteikumu projekta 1.20</w:t>
            </w:r>
            <w:r w:rsidR="00F53CB4" w:rsidRPr="00A0176D">
              <w:rPr>
                <w:rFonts w:eastAsia="Times New Roman"/>
                <w:i/>
                <w:sz w:val="24"/>
                <w:szCs w:val="24"/>
                <w:lang w:val="lv-LV"/>
              </w:rPr>
              <w:t xml:space="preserve">.punkts (Ar ko groza MK noteikumu Nr.1065 </w:t>
            </w:r>
            <w:r w:rsidR="00F53CB4" w:rsidRPr="00A0176D">
              <w:rPr>
                <w:i/>
                <w:sz w:val="24"/>
                <w:szCs w:val="24"/>
              </w:rPr>
              <w:t>32.1.</w:t>
            </w:r>
            <w:r w:rsidR="00F53CB4" w:rsidRPr="00A0176D">
              <w:rPr>
                <w:i/>
                <w:sz w:val="24"/>
                <w:szCs w:val="24"/>
                <w:vertAlign w:val="superscript"/>
              </w:rPr>
              <w:t>.</w:t>
            </w:r>
            <w:r w:rsidR="00F53CB4" w:rsidRPr="00A0176D">
              <w:rPr>
                <w:i/>
                <w:sz w:val="24"/>
                <w:szCs w:val="24"/>
              </w:rPr>
              <w:t xml:space="preserve"> </w:t>
            </w:r>
            <w:r w:rsidR="0044003E" w:rsidRPr="00A0176D">
              <w:rPr>
                <w:rFonts w:eastAsia="Times New Roman"/>
                <w:i/>
                <w:sz w:val="24"/>
                <w:szCs w:val="24"/>
                <w:lang w:val="lv-LV"/>
              </w:rPr>
              <w:t>punktu), 1.22</w:t>
            </w:r>
            <w:r w:rsidR="00F53CB4" w:rsidRPr="00A0176D">
              <w:rPr>
                <w:rFonts w:eastAsia="Times New Roman"/>
                <w:i/>
                <w:sz w:val="24"/>
                <w:szCs w:val="24"/>
                <w:lang w:val="lv-LV"/>
              </w:rPr>
              <w:t>. punkts (ar ko groza MK noteikumu Nr.1065 34.1.punktu)</w:t>
            </w:r>
          </w:p>
        </w:tc>
        <w:tc>
          <w:tcPr>
            <w:tcW w:w="2845" w:type="dxa"/>
          </w:tcPr>
          <w:p w:rsidR="00F53CB4" w:rsidRPr="00A0176D" w:rsidRDefault="00F53CB4" w:rsidP="000B7728">
            <w:pPr>
              <w:pStyle w:val="naisf"/>
              <w:spacing w:before="0" w:after="0"/>
              <w:rPr>
                <w:i/>
              </w:rPr>
            </w:pPr>
            <w:r w:rsidRPr="00A0176D">
              <w:rPr>
                <w:i/>
              </w:rPr>
              <w:t>ieviesta pilnībā</w:t>
            </w:r>
          </w:p>
        </w:tc>
        <w:tc>
          <w:tcPr>
            <w:tcW w:w="2033" w:type="dxa"/>
          </w:tcPr>
          <w:p w:rsidR="00F53CB4" w:rsidRPr="00963B68" w:rsidRDefault="00F53CB4" w:rsidP="000B7728">
            <w:pPr>
              <w:pStyle w:val="naisf"/>
              <w:spacing w:before="0" w:after="0"/>
              <w:ind w:firstLine="0"/>
              <w:rPr>
                <w:i/>
              </w:rPr>
            </w:pPr>
            <w:r w:rsidRPr="00963B68">
              <w:rPr>
                <w:i/>
              </w:rPr>
              <w:t>neparedz stingrākas prasības</w:t>
            </w:r>
          </w:p>
        </w:tc>
      </w:tr>
      <w:tr w:rsidR="00F53CB4" w:rsidRPr="00760AEB" w:rsidTr="00715A10">
        <w:trPr>
          <w:trHeight w:val="360"/>
          <w:tblCellSpacing w:w="0" w:type="dxa"/>
        </w:trPr>
        <w:tc>
          <w:tcPr>
            <w:tcW w:w="2003" w:type="dxa"/>
          </w:tcPr>
          <w:p w:rsidR="00F53CB4" w:rsidRPr="00A0176D" w:rsidRDefault="00F53CB4" w:rsidP="00357321">
            <w:pPr>
              <w:jc w:val="both"/>
              <w:rPr>
                <w:rFonts w:eastAsia="Times New Roman"/>
                <w:i/>
                <w:sz w:val="24"/>
                <w:szCs w:val="24"/>
                <w:lang w:val="lv-LV" w:eastAsia="lv-LV"/>
              </w:rPr>
            </w:pPr>
            <w:r w:rsidRPr="00A0176D">
              <w:rPr>
                <w:rFonts w:eastAsia="Times New Roman"/>
                <w:i/>
                <w:sz w:val="24"/>
                <w:szCs w:val="24"/>
                <w:lang w:val="lv-LV" w:eastAsia="lv-LV"/>
              </w:rPr>
              <w:t>Komisijas regulas Nr.1408/2013 5.panta 1.punkts</w:t>
            </w:r>
          </w:p>
        </w:tc>
        <w:tc>
          <w:tcPr>
            <w:tcW w:w="2310" w:type="dxa"/>
          </w:tcPr>
          <w:p w:rsidR="00F53CB4" w:rsidRPr="00A0176D" w:rsidRDefault="0029609D" w:rsidP="00F53CB4">
            <w:pPr>
              <w:jc w:val="both"/>
              <w:rPr>
                <w:rFonts w:eastAsia="Times New Roman"/>
                <w:sz w:val="24"/>
                <w:szCs w:val="24"/>
                <w:lang w:val="lv-LV"/>
              </w:rPr>
            </w:pPr>
            <w:r w:rsidRPr="00A0176D">
              <w:rPr>
                <w:rFonts w:eastAsia="Times New Roman"/>
                <w:i/>
                <w:sz w:val="24"/>
                <w:szCs w:val="24"/>
                <w:lang w:val="lv-LV"/>
              </w:rPr>
              <w:t>Noteikumu projekta 1.20</w:t>
            </w:r>
            <w:r w:rsidR="00F53CB4" w:rsidRPr="00A0176D">
              <w:rPr>
                <w:rFonts w:eastAsia="Times New Roman"/>
                <w:i/>
                <w:sz w:val="24"/>
                <w:szCs w:val="24"/>
                <w:lang w:val="lv-LV"/>
              </w:rPr>
              <w:t xml:space="preserve">.punkts (Ar ko groza MK noteikumu Nr.1065 </w:t>
            </w:r>
            <w:r w:rsidR="0044003E" w:rsidRPr="00A0176D">
              <w:rPr>
                <w:i/>
                <w:sz w:val="24"/>
                <w:szCs w:val="24"/>
              </w:rPr>
              <w:t>32.2</w:t>
            </w:r>
            <w:r w:rsidR="00F53CB4" w:rsidRPr="00A0176D">
              <w:rPr>
                <w:i/>
                <w:sz w:val="24"/>
                <w:szCs w:val="24"/>
              </w:rPr>
              <w:t>.</w:t>
            </w:r>
            <w:r w:rsidR="00F53CB4" w:rsidRPr="00A0176D">
              <w:rPr>
                <w:i/>
                <w:sz w:val="24"/>
                <w:szCs w:val="24"/>
                <w:vertAlign w:val="superscript"/>
              </w:rPr>
              <w:t>.</w:t>
            </w:r>
            <w:r w:rsidR="00F53CB4" w:rsidRPr="00A0176D">
              <w:rPr>
                <w:i/>
                <w:sz w:val="24"/>
                <w:szCs w:val="24"/>
              </w:rPr>
              <w:t xml:space="preserve"> </w:t>
            </w:r>
            <w:r w:rsidR="0044003E" w:rsidRPr="00A0176D">
              <w:rPr>
                <w:rFonts w:eastAsia="Times New Roman"/>
                <w:i/>
                <w:sz w:val="24"/>
                <w:szCs w:val="24"/>
                <w:lang w:val="lv-LV"/>
              </w:rPr>
              <w:t>punktu), 1.22</w:t>
            </w:r>
            <w:r w:rsidR="00F53CB4" w:rsidRPr="00A0176D">
              <w:rPr>
                <w:rFonts w:eastAsia="Times New Roman"/>
                <w:i/>
                <w:sz w:val="24"/>
                <w:szCs w:val="24"/>
                <w:lang w:val="lv-LV"/>
              </w:rPr>
              <w:t>. punkts (ar ko groza MK noteikumu Nr.1065 34.1.punktu)</w:t>
            </w:r>
          </w:p>
        </w:tc>
        <w:tc>
          <w:tcPr>
            <w:tcW w:w="2845" w:type="dxa"/>
          </w:tcPr>
          <w:p w:rsidR="00F53CB4" w:rsidRPr="00A0176D" w:rsidRDefault="00F53CB4" w:rsidP="000B7728">
            <w:pPr>
              <w:pStyle w:val="naisf"/>
              <w:spacing w:before="0" w:after="0"/>
              <w:rPr>
                <w:i/>
              </w:rPr>
            </w:pPr>
            <w:r w:rsidRPr="00A0176D">
              <w:rPr>
                <w:i/>
              </w:rPr>
              <w:t>ieviesta pilnībā</w:t>
            </w:r>
          </w:p>
        </w:tc>
        <w:tc>
          <w:tcPr>
            <w:tcW w:w="2033" w:type="dxa"/>
          </w:tcPr>
          <w:p w:rsidR="00F53CB4" w:rsidRPr="00963B68" w:rsidRDefault="00F53CB4" w:rsidP="000B7728">
            <w:pPr>
              <w:pStyle w:val="naisf"/>
              <w:spacing w:before="0" w:after="0"/>
              <w:ind w:firstLine="0"/>
              <w:rPr>
                <w:i/>
              </w:rPr>
            </w:pPr>
            <w:r w:rsidRPr="00963B68">
              <w:rPr>
                <w:i/>
              </w:rPr>
              <w:t>neparedz stingrākas prasības</w:t>
            </w:r>
          </w:p>
        </w:tc>
      </w:tr>
      <w:tr w:rsidR="00F53CB4" w:rsidRPr="00760AEB" w:rsidTr="00715A10">
        <w:trPr>
          <w:trHeight w:val="360"/>
          <w:tblCellSpacing w:w="0" w:type="dxa"/>
        </w:trPr>
        <w:tc>
          <w:tcPr>
            <w:tcW w:w="2003" w:type="dxa"/>
          </w:tcPr>
          <w:p w:rsidR="00F53CB4" w:rsidRPr="00A0176D" w:rsidRDefault="00F53CB4" w:rsidP="0044003E">
            <w:pPr>
              <w:jc w:val="both"/>
              <w:rPr>
                <w:rFonts w:eastAsia="Times New Roman"/>
                <w:i/>
                <w:sz w:val="24"/>
                <w:szCs w:val="24"/>
                <w:lang w:val="lv-LV" w:eastAsia="lv-LV"/>
              </w:rPr>
            </w:pPr>
            <w:r w:rsidRPr="00A0176D">
              <w:rPr>
                <w:rFonts w:eastAsia="Times New Roman"/>
                <w:i/>
                <w:sz w:val="24"/>
                <w:szCs w:val="24"/>
                <w:lang w:val="lv-LV" w:eastAsia="lv-LV"/>
              </w:rPr>
              <w:t xml:space="preserve">Komisijas regulas Nr. </w:t>
            </w:r>
            <w:r w:rsidR="00A0176D" w:rsidRPr="00A0176D">
              <w:rPr>
                <w:rFonts w:eastAsia="Times New Roman"/>
                <w:i/>
                <w:sz w:val="24"/>
                <w:szCs w:val="24"/>
                <w:lang w:val="lv-LV" w:eastAsia="lv-LV"/>
              </w:rPr>
              <w:t>651</w:t>
            </w:r>
            <w:r w:rsidRPr="00A0176D">
              <w:rPr>
                <w:rFonts w:eastAsia="Times New Roman"/>
                <w:i/>
                <w:sz w:val="24"/>
                <w:szCs w:val="24"/>
                <w:lang w:val="lv-LV" w:eastAsia="lv-LV"/>
              </w:rPr>
              <w:t>/2014 8.pants</w:t>
            </w:r>
          </w:p>
        </w:tc>
        <w:tc>
          <w:tcPr>
            <w:tcW w:w="2310" w:type="dxa"/>
          </w:tcPr>
          <w:p w:rsidR="00F53CB4" w:rsidRPr="00A0176D" w:rsidRDefault="0044003E" w:rsidP="00715A10">
            <w:pPr>
              <w:jc w:val="both"/>
              <w:rPr>
                <w:rFonts w:eastAsia="Times New Roman"/>
                <w:i/>
                <w:sz w:val="24"/>
                <w:szCs w:val="24"/>
                <w:lang w:val="lv-LV"/>
              </w:rPr>
            </w:pPr>
            <w:r w:rsidRPr="00A0176D">
              <w:rPr>
                <w:rFonts w:eastAsia="Times New Roman"/>
                <w:i/>
                <w:sz w:val="24"/>
                <w:szCs w:val="24"/>
                <w:lang w:val="lv-LV"/>
              </w:rPr>
              <w:t>Noteikumu projekta 1.23</w:t>
            </w:r>
            <w:r w:rsidR="00F53CB4" w:rsidRPr="00A0176D">
              <w:rPr>
                <w:rFonts w:eastAsia="Times New Roman"/>
                <w:i/>
                <w:sz w:val="24"/>
                <w:szCs w:val="24"/>
                <w:lang w:val="lv-LV"/>
              </w:rPr>
              <w:t xml:space="preserve">.punkts (ar ko groza MK noteikumu Nr.1065 </w:t>
            </w:r>
            <w:r w:rsidR="00F53CB4" w:rsidRPr="00A0176D">
              <w:rPr>
                <w:i/>
                <w:sz w:val="24"/>
                <w:szCs w:val="24"/>
              </w:rPr>
              <w:t>34.2.</w:t>
            </w:r>
            <w:r w:rsidR="00715A10" w:rsidRPr="00A0176D">
              <w:rPr>
                <w:rFonts w:eastAsia="Times New Roman"/>
                <w:i/>
                <w:sz w:val="24"/>
                <w:szCs w:val="24"/>
                <w:lang w:val="lv-LV"/>
              </w:rPr>
              <w:t>punktu; 1.25.punkts (ar ko papildina MK noteikumu Nr.1065 43.</w:t>
            </w:r>
            <w:r w:rsidR="00BD472A">
              <w:rPr>
                <w:rFonts w:eastAsia="Times New Roman"/>
                <w:i/>
                <w:sz w:val="24"/>
                <w:szCs w:val="24"/>
                <w:lang w:val="lv-LV"/>
              </w:rPr>
              <w:t xml:space="preserve"> un 44.</w:t>
            </w:r>
            <w:r w:rsidR="00715A10" w:rsidRPr="00A0176D">
              <w:rPr>
                <w:rFonts w:eastAsia="Times New Roman"/>
                <w:i/>
                <w:sz w:val="24"/>
                <w:szCs w:val="24"/>
                <w:lang w:val="lv-LV"/>
              </w:rPr>
              <w:t>punktu)</w:t>
            </w:r>
          </w:p>
        </w:tc>
        <w:tc>
          <w:tcPr>
            <w:tcW w:w="2845" w:type="dxa"/>
          </w:tcPr>
          <w:p w:rsidR="00F53CB4" w:rsidRPr="00A0176D" w:rsidRDefault="00F53CB4" w:rsidP="000B7728">
            <w:pPr>
              <w:pStyle w:val="naisf"/>
              <w:spacing w:before="0" w:after="0"/>
              <w:rPr>
                <w:i/>
              </w:rPr>
            </w:pPr>
            <w:r w:rsidRPr="00A0176D">
              <w:rPr>
                <w:i/>
              </w:rPr>
              <w:t>ieviesta pilnībā</w:t>
            </w:r>
          </w:p>
        </w:tc>
        <w:tc>
          <w:tcPr>
            <w:tcW w:w="2033" w:type="dxa"/>
          </w:tcPr>
          <w:p w:rsidR="00F53CB4" w:rsidRPr="00F53CB4" w:rsidRDefault="00F53CB4" w:rsidP="000B7728">
            <w:pPr>
              <w:pStyle w:val="naisf"/>
              <w:spacing w:before="0" w:after="0"/>
              <w:ind w:firstLine="0"/>
              <w:rPr>
                <w:i/>
              </w:rPr>
            </w:pPr>
            <w:r w:rsidRPr="00F53CB4">
              <w:rPr>
                <w:i/>
              </w:rPr>
              <w:t>neparedz stingrākas prasības</w:t>
            </w:r>
          </w:p>
        </w:tc>
      </w:tr>
      <w:tr w:rsidR="00F53CB4" w:rsidRPr="00760AEB" w:rsidTr="00715A10">
        <w:trPr>
          <w:trHeight w:val="360"/>
          <w:tblCellSpacing w:w="0" w:type="dxa"/>
        </w:trPr>
        <w:tc>
          <w:tcPr>
            <w:tcW w:w="2003" w:type="dxa"/>
          </w:tcPr>
          <w:p w:rsidR="00F53CB4" w:rsidRPr="00A0176D" w:rsidRDefault="00F53CB4" w:rsidP="000B7728">
            <w:pPr>
              <w:jc w:val="both"/>
              <w:rPr>
                <w:rFonts w:eastAsia="Times New Roman"/>
                <w:i/>
                <w:sz w:val="24"/>
                <w:szCs w:val="24"/>
                <w:lang w:val="lv-LV" w:eastAsia="lv-LV"/>
              </w:rPr>
            </w:pPr>
            <w:r w:rsidRPr="00A0176D">
              <w:rPr>
                <w:rFonts w:eastAsia="Times New Roman"/>
                <w:i/>
                <w:sz w:val="24"/>
                <w:szCs w:val="24"/>
                <w:lang w:val="lv-LV" w:eastAsia="lv-LV"/>
              </w:rPr>
              <w:t xml:space="preserve">Komisijas regulas Nr.1407/2013 6.panta 3.punkts </w:t>
            </w:r>
          </w:p>
        </w:tc>
        <w:tc>
          <w:tcPr>
            <w:tcW w:w="2310" w:type="dxa"/>
          </w:tcPr>
          <w:p w:rsidR="00F53CB4" w:rsidRPr="00A0176D" w:rsidRDefault="0044003E" w:rsidP="00F53CB4">
            <w:pPr>
              <w:jc w:val="both"/>
              <w:rPr>
                <w:rFonts w:eastAsia="Times New Roman"/>
                <w:sz w:val="24"/>
                <w:szCs w:val="24"/>
                <w:lang w:val="lv-LV"/>
              </w:rPr>
            </w:pPr>
            <w:r w:rsidRPr="00A0176D">
              <w:rPr>
                <w:rFonts w:eastAsia="Times New Roman"/>
                <w:i/>
                <w:sz w:val="24"/>
                <w:szCs w:val="24"/>
                <w:lang w:val="lv-LV"/>
              </w:rPr>
              <w:t>Noteikumu projekta 1.24</w:t>
            </w:r>
            <w:r w:rsidR="00F53CB4" w:rsidRPr="00A0176D">
              <w:rPr>
                <w:rFonts w:eastAsia="Times New Roman"/>
                <w:i/>
                <w:sz w:val="24"/>
                <w:szCs w:val="24"/>
                <w:lang w:val="lv-LV"/>
              </w:rPr>
              <w:t xml:space="preserve">.punkts (Ar ko groza MK noteikumu Nr.1065 </w:t>
            </w:r>
            <w:r w:rsidR="00F53CB4" w:rsidRPr="00A0176D">
              <w:rPr>
                <w:i/>
                <w:sz w:val="24"/>
                <w:szCs w:val="24"/>
              </w:rPr>
              <w:t>37.</w:t>
            </w:r>
            <w:r w:rsidR="00F53CB4" w:rsidRPr="00A0176D">
              <w:rPr>
                <w:i/>
                <w:sz w:val="24"/>
                <w:szCs w:val="24"/>
                <w:vertAlign w:val="superscript"/>
              </w:rPr>
              <w:t>.</w:t>
            </w:r>
            <w:r w:rsidR="00F53CB4" w:rsidRPr="00A0176D">
              <w:rPr>
                <w:i/>
                <w:sz w:val="24"/>
                <w:szCs w:val="24"/>
              </w:rPr>
              <w:t xml:space="preserve"> </w:t>
            </w:r>
            <w:r w:rsidR="00F53CB4" w:rsidRPr="00A0176D">
              <w:rPr>
                <w:rFonts w:eastAsia="Times New Roman"/>
                <w:i/>
                <w:sz w:val="24"/>
                <w:szCs w:val="24"/>
                <w:lang w:val="lv-LV"/>
              </w:rPr>
              <w:t>punktu)</w:t>
            </w:r>
          </w:p>
        </w:tc>
        <w:tc>
          <w:tcPr>
            <w:tcW w:w="2845" w:type="dxa"/>
          </w:tcPr>
          <w:p w:rsidR="00F53CB4" w:rsidRPr="00A0176D" w:rsidRDefault="00F53CB4" w:rsidP="000B7728">
            <w:pPr>
              <w:pStyle w:val="naisf"/>
              <w:spacing w:before="0" w:after="0"/>
              <w:rPr>
                <w:i/>
              </w:rPr>
            </w:pPr>
            <w:r w:rsidRPr="00A0176D">
              <w:rPr>
                <w:i/>
              </w:rPr>
              <w:t>ieviesta pilnībā</w:t>
            </w:r>
          </w:p>
        </w:tc>
        <w:tc>
          <w:tcPr>
            <w:tcW w:w="2033" w:type="dxa"/>
          </w:tcPr>
          <w:p w:rsidR="00F53CB4" w:rsidRPr="00963B68" w:rsidRDefault="00F53CB4" w:rsidP="000B7728">
            <w:pPr>
              <w:pStyle w:val="naisf"/>
              <w:spacing w:before="0" w:after="0"/>
              <w:ind w:firstLine="0"/>
              <w:rPr>
                <w:i/>
              </w:rPr>
            </w:pPr>
            <w:r w:rsidRPr="00963B68">
              <w:rPr>
                <w:i/>
              </w:rPr>
              <w:t>neparedz stingrākas prasības</w:t>
            </w:r>
          </w:p>
        </w:tc>
      </w:tr>
      <w:tr w:rsidR="00F53CB4" w:rsidRPr="00760AEB" w:rsidTr="00715A10">
        <w:trPr>
          <w:trHeight w:val="360"/>
          <w:tblCellSpacing w:w="0" w:type="dxa"/>
        </w:trPr>
        <w:tc>
          <w:tcPr>
            <w:tcW w:w="2003" w:type="dxa"/>
          </w:tcPr>
          <w:p w:rsidR="00F53CB4" w:rsidRPr="00A0176D" w:rsidRDefault="00F53CB4" w:rsidP="000B7728">
            <w:pPr>
              <w:jc w:val="both"/>
              <w:rPr>
                <w:rFonts w:eastAsia="Times New Roman"/>
                <w:i/>
                <w:sz w:val="24"/>
                <w:szCs w:val="24"/>
                <w:lang w:val="lv-LV" w:eastAsia="lv-LV"/>
              </w:rPr>
            </w:pPr>
            <w:r w:rsidRPr="00A0176D">
              <w:rPr>
                <w:rFonts w:eastAsia="Times New Roman"/>
                <w:i/>
                <w:sz w:val="24"/>
                <w:szCs w:val="24"/>
                <w:lang w:val="lv-LV" w:eastAsia="lv-LV"/>
              </w:rPr>
              <w:t xml:space="preserve">Komisijas regulas Nr.1408/2013 6.panta 3.punkts </w:t>
            </w:r>
          </w:p>
        </w:tc>
        <w:tc>
          <w:tcPr>
            <w:tcW w:w="2310" w:type="dxa"/>
          </w:tcPr>
          <w:p w:rsidR="00F53CB4" w:rsidRPr="00A0176D" w:rsidRDefault="0044003E" w:rsidP="000B7728">
            <w:pPr>
              <w:jc w:val="both"/>
              <w:rPr>
                <w:rFonts w:eastAsia="Times New Roman"/>
                <w:sz w:val="24"/>
                <w:szCs w:val="24"/>
                <w:lang w:val="lv-LV"/>
              </w:rPr>
            </w:pPr>
            <w:r w:rsidRPr="00A0176D">
              <w:rPr>
                <w:rFonts w:eastAsia="Times New Roman"/>
                <w:i/>
                <w:sz w:val="24"/>
                <w:szCs w:val="24"/>
                <w:lang w:val="lv-LV"/>
              </w:rPr>
              <w:t>Noteikumu projekta 1.24</w:t>
            </w:r>
            <w:r w:rsidR="00F53CB4" w:rsidRPr="00A0176D">
              <w:rPr>
                <w:rFonts w:eastAsia="Times New Roman"/>
                <w:i/>
                <w:sz w:val="24"/>
                <w:szCs w:val="24"/>
                <w:lang w:val="lv-LV"/>
              </w:rPr>
              <w:t xml:space="preserve">.punkts (Ar ko groza MK noteikumu Nr.1065 </w:t>
            </w:r>
            <w:r w:rsidR="00F53CB4" w:rsidRPr="00A0176D">
              <w:rPr>
                <w:i/>
                <w:sz w:val="24"/>
                <w:szCs w:val="24"/>
              </w:rPr>
              <w:t>37.</w:t>
            </w:r>
            <w:r w:rsidR="00F53CB4" w:rsidRPr="00A0176D">
              <w:rPr>
                <w:i/>
                <w:sz w:val="24"/>
                <w:szCs w:val="24"/>
                <w:vertAlign w:val="superscript"/>
              </w:rPr>
              <w:t>.</w:t>
            </w:r>
            <w:r w:rsidR="00F53CB4" w:rsidRPr="00A0176D">
              <w:rPr>
                <w:i/>
                <w:sz w:val="24"/>
                <w:szCs w:val="24"/>
              </w:rPr>
              <w:t xml:space="preserve"> </w:t>
            </w:r>
            <w:r w:rsidR="00F53CB4" w:rsidRPr="00A0176D">
              <w:rPr>
                <w:rFonts w:eastAsia="Times New Roman"/>
                <w:i/>
                <w:sz w:val="24"/>
                <w:szCs w:val="24"/>
                <w:lang w:val="lv-LV"/>
              </w:rPr>
              <w:t>punktu)</w:t>
            </w:r>
          </w:p>
        </w:tc>
        <w:tc>
          <w:tcPr>
            <w:tcW w:w="2845" w:type="dxa"/>
          </w:tcPr>
          <w:p w:rsidR="00F53CB4" w:rsidRPr="00A0176D" w:rsidRDefault="00F53CB4" w:rsidP="000B7728">
            <w:pPr>
              <w:pStyle w:val="naisf"/>
              <w:spacing w:before="0" w:after="0"/>
              <w:rPr>
                <w:i/>
              </w:rPr>
            </w:pPr>
            <w:r w:rsidRPr="00A0176D">
              <w:rPr>
                <w:i/>
              </w:rPr>
              <w:t>ieviesta pilnībā</w:t>
            </w:r>
          </w:p>
        </w:tc>
        <w:tc>
          <w:tcPr>
            <w:tcW w:w="2033" w:type="dxa"/>
          </w:tcPr>
          <w:p w:rsidR="00F53CB4" w:rsidRPr="00963B68" w:rsidRDefault="00F53CB4" w:rsidP="000B7728">
            <w:pPr>
              <w:pStyle w:val="naisf"/>
              <w:spacing w:before="0" w:after="0"/>
              <w:ind w:firstLine="0"/>
              <w:rPr>
                <w:i/>
              </w:rPr>
            </w:pPr>
            <w:r w:rsidRPr="00963B68">
              <w:rPr>
                <w:i/>
              </w:rPr>
              <w:t>neparedz stingrākas prasības</w:t>
            </w:r>
          </w:p>
        </w:tc>
      </w:tr>
      <w:tr w:rsidR="0044003E" w:rsidRPr="00760AEB" w:rsidTr="00715A10">
        <w:trPr>
          <w:trHeight w:val="360"/>
          <w:tblCellSpacing w:w="0" w:type="dxa"/>
        </w:trPr>
        <w:tc>
          <w:tcPr>
            <w:tcW w:w="2003" w:type="dxa"/>
          </w:tcPr>
          <w:p w:rsidR="0044003E" w:rsidRPr="00A0176D" w:rsidRDefault="00DC3586" w:rsidP="000B7728">
            <w:pPr>
              <w:jc w:val="both"/>
              <w:rPr>
                <w:rFonts w:eastAsia="Times New Roman"/>
                <w:i/>
                <w:sz w:val="24"/>
                <w:szCs w:val="24"/>
                <w:lang w:val="lv-LV" w:eastAsia="lv-LV"/>
              </w:rPr>
            </w:pPr>
            <w:r w:rsidRPr="00A0176D">
              <w:rPr>
                <w:rFonts w:eastAsia="Times New Roman"/>
                <w:i/>
                <w:sz w:val="24"/>
                <w:szCs w:val="24"/>
                <w:lang w:val="lv-LV" w:eastAsia="lv-LV"/>
              </w:rPr>
              <w:t>Komisijas regulas Nr.1408/2013 6.panta 4.punkts</w:t>
            </w:r>
          </w:p>
        </w:tc>
        <w:tc>
          <w:tcPr>
            <w:tcW w:w="2310" w:type="dxa"/>
          </w:tcPr>
          <w:p w:rsidR="0044003E" w:rsidRPr="00A0176D" w:rsidRDefault="00DC3586" w:rsidP="00DC3586">
            <w:pPr>
              <w:jc w:val="both"/>
              <w:rPr>
                <w:rFonts w:eastAsia="Times New Roman"/>
                <w:i/>
                <w:sz w:val="24"/>
                <w:szCs w:val="24"/>
                <w:lang w:val="lv-LV"/>
              </w:rPr>
            </w:pPr>
            <w:r w:rsidRPr="00A0176D">
              <w:rPr>
                <w:rFonts w:eastAsia="Times New Roman"/>
                <w:i/>
                <w:sz w:val="24"/>
                <w:szCs w:val="24"/>
                <w:lang w:val="lv-LV"/>
              </w:rPr>
              <w:t>Noteikumu projekta  1.25.punkts (ar ko papildina MK noteikumu 45.punktu)</w:t>
            </w:r>
          </w:p>
        </w:tc>
        <w:tc>
          <w:tcPr>
            <w:tcW w:w="2845" w:type="dxa"/>
          </w:tcPr>
          <w:p w:rsidR="0044003E" w:rsidRPr="00A0176D" w:rsidRDefault="0044003E" w:rsidP="000B7728">
            <w:pPr>
              <w:pStyle w:val="naisf"/>
              <w:spacing w:before="0" w:after="0"/>
              <w:rPr>
                <w:i/>
              </w:rPr>
            </w:pPr>
          </w:p>
        </w:tc>
        <w:tc>
          <w:tcPr>
            <w:tcW w:w="2033" w:type="dxa"/>
          </w:tcPr>
          <w:p w:rsidR="0044003E" w:rsidRPr="00963B68" w:rsidRDefault="0044003E" w:rsidP="000B7728">
            <w:pPr>
              <w:pStyle w:val="naisf"/>
              <w:spacing w:before="0" w:after="0"/>
              <w:ind w:firstLine="0"/>
              <w:rPr>
                <w:i/>
              </w:rPr>
            </w:pPr>
          </w:p>
        </w:tc>
      </w:tr>
      <w:tr w:rsidR="00F53CB4" w:rsidRPr="00760AEB" w:rsidTr="00357321">
        <w:trPr>
          <w:trHeight w:val="282"/>
          <w:tblCellSpacing w:w="0" w:type="dxa"/>
        </w:trPr>
        <w:tc>
          <w:tcPr>
            <w:tcW w:w="2003" w:type="dxa"/>
            <w:vAlign w:val="center"/>
            <w:hideMark/>
          </w:tcPr>
          <w:p w:rsidR="00F53CB4" w:rsidRPr="00760AEB" w:rsidRDefault="00F53CB4" w:rsidP="00357321">
            <w:pPr>
              <w:rPr>
                <w:rFonts w:eastAsia="Times New Roman"/>
                <w:sz w:val="24"/>
                <w:szCs w:val="24"/>
                <w:lang w:val="lv-LV" w:eastAsia="lv-LV"/>
              </w:rPr>
            </w:pPr>
            <w:r w:rsidRPr="00760AEB">
              <w:rPr>
                <w:rFonts w:eastAsia="Times New Roman"/>
                <w:sz w:val="24"/>
                <w:szCs w:val="24"/>
                <w:lang w:val="lv-LV" w:eastAsia="lv-LV"/>
              </w:rPr>
              <w:t xml:space="preserve"> Kā ir izmantota ES tiesību aktā paredzētā rīcības brīvība dalībvalstij </w:t>
            </w:r>
            <w:r w:rsidRPr="00760AEB">
              <w:rPr>
                <w:rFonts w:eastAsia="Times New Roman"/>
                <w:sz w:val="24"/>
                <w:szCs w:val="24"/>
                <w:lang w:val="lv-LV" w:eastAsia="lv-LV"/>
              </w:rPr>
              <w:lastRenderedPageBreak/>
              <w:t>pārņemt vai ieviest noteiktas ES tiesību akta normas.</w:t>
            </w:r>
          </w:p>
          <w:p w:rsidR="00F53CB4" w:rsidRPr="00760AEB" w:rsidRDefault="00F53CB4" w:rsidP="00357321">
            <w:pPr>
              <w:rPr>
                <w:rFonts w:eastAsia="Times New Roman"/>
                <w:sz w:val="24"/>
                <w:szCs w:val="24"/>
                <w:lang w:val="lv-LV" w:eastAsia="lv-LV"/>
              </w:rPr>
            </w:pPr>
            <w:r w:rsidRPr="00760AEB">
              <w:rPr>
                <w:rFonts w:eastAsia="Times New Roman"/>
                <w:sz w:val="24"/>
                <w:szCs w:val="24"/>
                <w:lang w:val="lv-LV" w:eastAsia="lv-LV"/>
              </w:rPr>
              <w:t>Kādēļ?</w:t>
            </w:r>
          </w:p>
        </w:tc>
        <w:tc>
          <w:tcPr>
            <w:tcW w:w="7188" w:type="dxa"/>
            <w:gridSpan w:val="3"/>
            <w:hideMark/>
          </w:tcPr>
          <w:p w:rsidR="00F53CB4" w:rsidRPr="00760AEB" w:rsidRDefault="00F53CB4" w:rsidP="00357321">
            <w:pPr>
              <w:rPr>
                <w:rFonts w:eastAsia="Times New Roman"/>
                <w:i/>
                <w:sz w:val="24"/>
                <w:szCs w:val="24"/>
                <w:lang w:val="lv-LV" w:eastAsia="lv-LV"/>
              </w:rPr>
            </w:pPr>
            <w:r w:rsidRPr="00760AEB">
              <w:rPr>
                <w:rFonts w:eastAsia="Times New Roman"/>
                <w:sz w:val="24"/>
                <w:szCs w:val="24"/>
                <w:lang w:val="lv-LV" w:eastAsia="lv-LV"/>
              </w:rPr>
              <w:lastRenderedPageBreak/>
              <w:t> </w:t>
            </w:r>
            <w:r w:rsidRPr="00760AEB">
              <w:rPr>
                <w:rFonts w:eastAsia="Times New Roman"/>
                <w:i/>
                <w:sz w:val="24"/>
                <w:szCs w:val="24"/>
                <w:lang w:val="lv-LV" w:eastAsia="lv-LV"/>
              </w:rPr>
              <w:t>Projekts šo jomu neskar.</w:t>
            </w:r>
          </w:p>
        </w:tc>
      </w:tr>
      <w:tr w:rsidR="00F53CB4" w:rsidRPr="00760AEB" w:rsidTr="00357321">
        <w:trPr>
          <w:trHeight w:val="916"/>
          <w:tblCellSpacing w:w="0" w:type="dxa"/>
        </w:trPr>
        <w:tc>
          <w:tcPr>
            <w:tcW w:w="2003" w:type="dxa"/>
            <w:vAlign w:val="center"/>
            <w:hideMark/>
          </w:tcPr>
          <w:p w:rsidR="00F53CB4" w:rsidRPr="00760AEB" w:rsidRDefault="00F53CB4" w:rsidP="00357321">
            <w:pPr>
              <w:rPr>
                <w:rFonts w:eastAsia="Times New Roman"/>
                <w:sz w:val="24"/>
                <w:szCs w:val="24"/>
                <w:lang w:val="lv-LV" w:eastAsia="lv-LV"/>
              </w:rPr>
            </w:pPr>
            <w:r w:rsidRPr="00760AEB">
              <w:rPr>
                <w:rFonts w:eastAsia="Times New Roman"/>
                <w:sz w:val="24"/>
                <w:szCs w:val="24"/>
                <w:lang w:val="lv-LV" w:eastAsia="lv-LV"/>
              </w:rPr>
              <w:lastRenderedPageBreak/>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F53CB4" w:rsidRPr="00760AEB" w:rsidRDefault="00F53CB4" w:rsidP="00357321">
            <w:pPr>
              <w:jc w:val="both"/>
              <w:rPr>
                <w:rFonts w:eastAsia="Times New Roman"/>
                <w:i/>
                <w:sz w:val="24"/>
                <w:szCs w:val="24"/>
                <w:lang w:val="lv-LV" w:eastAsia="lv-LV"/>
              </w:rPr>
            </w:pPr>
            <w:r w:rsidRPr="00760AEB">
              <w:rPr>
                <w:rFonts w:eastAsia="Times New Roman"/>
                <w:i/>
                <w:sz w:val="24"/>
                <w:szCs w:val="24"/>
                <w:lang w:val="lv-LV" w:eastAsia="lv-LV"/>
              </w:rPr>
              <w:t>Projekts šo jomu neskar.</w:t>
            </w:r>
          </w:p>
        </w:tc>
      </w:tr>
      <w:tr w:rsidR="00F53CB4" w:rsidRPr="00760AEB" w:rsidTr="00357321">
        <w:trPr>
          <w:trHeight w:val="249"/>
          <w:tblCellSpacing w:w="0" w:type="dxa"/>
        </w:trPr>
        <w:tc>
          <w:tcPr>
            <w:tcW w:w="2003" w:type="dxa"/>
            <w:hideMark/>
          </w:tcPr>
          <w:p w:rsidR="00F53CB4" w:rsidRPr="00760AEB" w:rsidRDefault="00F53CB4" w:rsidP="00357321">
            <w:pPr>
              <w:rPr>
                <w:rFonts w:eastAsia="Times New Roman"/>
                <w:sz w:val="24"/>
                <w:szCs w:val="24"/>
                <w:lang w:val="lv-LV" w:eastAsia="lv-LV"/>
              </w:rPr>
            </w:pPr>
            <w:r w:rsidRPr="00760AEB">
              <w:rPr>
                <w:rFonts w:eastAsia="Times New Roman"/>
                <w:sz w:val="24"/>
                <w:szCs w:val="24"/>
                <w:lang w:val="lv-LV" w:eastAsia="lv-LV"/>
              </w:rPr>
              <w:t> Cita informācija</w:t>
            </w:r>
          </w:p>
        </w:tc>
        <w:tc>
          <w:tcPr>
            <w:tcW w:w="7188" w:type="dxa"/>
            <w:gridSpan w:val="3"/>
            <w:hideMark/>
          </w:tcPr>
          <w:p w:rsidR="00F53CB4" w:rsidRPr="00760AEB" w:rsidRDefault="00F53CB4" w:rsidP="00357321">
            <w:pPr>
              <w:rPr>
                <w:rFonts w:eastAsia="Times New Roman"/>
                <w:i/>
                <w:sz w:val="24"/>
                <w:szCs w:val="24"/>
                <w:lang w:val="lv-LV" w:eastAsia="lv-LV"/>
              </w:rPr>
            </w:pPr>
            <w:r w:rsidRPr="00760AEB">
              <w:rPr>
                <w:rFonts w:eastAsia="Times New Roman"/>
                <w:sz w:val="24"/>
                <w:szCs w:val="24"/>
                <w:lang w:val="lv-LV" w:eastAsia="lv-LV"/>
              </w:rPr>
              <w:t> </w:t>
            </w:r>
            <w:r w:rsidRPr="00760AEB">
              <w:rPr>
                <w:i/>
                <w:sz w:val="24"/>
                <w:szCs w:val="24"/>
                <w:lang w:val="lv-LV"/>
              </w:rPr>
              <w:t>Nav.</w:t>
            </w:r>
          </w:p>
        </w:tc>
      </w:tr>
    </w:tbl>
    <w:p w:rsidR="00C95C61" w:rsidRPr="00E4699A" w:rsidRDefault="00357321" w:rsidP="00E4699A">
      <w:pPr>
        <w:ind w:firstLine="468"/>
        <w:jc w:val="both"/>
        <w:rPr>
          <w:rFonts w:eastAsia="Times New Roman"/>
          <w:sz w:val="16"/>
          <w:szCs w:val="16"/>
          <w:lang w:val="lv-LV" w:eastAsia="lv-LV"/>
        </w:rPr>
      </w:pPr>
      <w:r w:rsidRPr="00760AEB">
        <w:rPr>
          <w:rFonts w:eastAsia="Times New Roman"/>
          <w:sz w:val="24"/>
          <w:szCs w:val="24"/>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357321" w:rsidRPr="00760AEB" w:rsidTr="00357321">
        <w:trPr>
          <w:trHeight w:val="796"/>
          <w:tblCellSpacing w:w="0" w:type="dxa"/>
        </w:trPr>
        <w:tc>
          <w:tcPr>
            <w:tcW w:w="9115" w:type="dxa"/>
            <w:gridSpan w:val="4"/>
            <w:vAlign w:val="center"/>
            <w:hideMark/>
          </w:tcPr>
          <w:p w:rsidR="00357321" w:rsidRPr="00760AEB" w:rsidRDefault="00357321" w:rsidP="00357321">
            <w:pPr>
              <w:jc w:val="center"/>
              <w:rPr>
                <w:rFonts w:eastAsia="Times New Roman"/>
                <w:b/>
                <w:bCs/>
                <w:sz w:val="24"/>
                <w:szCs w:val="24"/>
                <w:lang w:val="lv-LV"/>
              </w:rPr>
            </w:pPr>
            <w:r w:rsidRPr="00760AEB">
              <w:rPr>
                <w:rFonts w:eastAsia="Times New Roman"/>
                <w:b/>
                <w:bCs/>
                <w:sz w:val="24"/>
                <w:szCs w:val="24"/>
                <w:lang w:val="lv-LV"/>
              </w:rPr>
              <w:t> 2.tabula</w:t>
            </w:r>
          </w:p>
          <w:p w:rsidR="00357321" w:rsidRPr="00760AEB" w:rsidRDefault="00357321" w:rsidP="00357321">
            <w:pPr>
              <w:jc w:val="center"/>
              <w:rPr>
                <w:rFonts w:eastAsia="Times New Roman"/>
                <w:b/>
                <w:bCs/>
                <w:sz w:val="24"/>
                <w:szCs w:val="24"/>
                <w:lang w:val="lv-LV"/>
              </w:rPr>
            </w:pPr>
            <w:r w:rsidRPr="00760AEB">
              <w:rPr>
                <w:rFonts w:eastAsia="Times New Roman"/>
                <w:b/>
                <w:bCs/>
                <w:sz w:val="24"/>
                <w:szCs w:val="24"/>
                <w:lang w:val="lv-LV"/>
              </w:rPr>
              <w:t>Ar tiesību akta projektu uzņemtās saistības, kas izriet no starptautiskajiem tiesību aktiem vai starptautiskas institūcijas vai organizācijas dokumentiem</w:t>
            </w:r>
          </w:p>
          <w:p w:rsidR="00357321" w:rsidRPr="00760AEB" w:rsidRDefault="00357321" w:rsidP="00357321">
            <w:pPr>
              <w:jc w:val="center"/>
              <w:rPr>
                <w:rFonts w:eastAsia="Times New Roman"/>
                <w:b/>
                <w:bCs/>
                <w:sz w:val="24"/>
                <w:szCs w:val="24"/>
                <w:lang w:val="lv-LV"/>
              </w:rPr>
            </w:pPr>
            <w:r w:rsidRPr="00760AEB">
              <w:rPr>
                <w:rFonts w:eastAsia="Times New Roman"/>
                <w:b/>
                <w:bCs/>
                <w:sz w:val="24"/>
                <w:szCs w:val="24"/>
                <w:lang w:val="lv-LV"/>
              </w:rPr>
              <w:t>Pasākumi šo saistību izpildei</w:t>
            </w:r>
          </w:p>
        </w:tc>
      </w:tr>
      <w:tr w:rsidR="00357321" w:rsidRPr="00760AEB" w:rsidTr="00357321">
        <w:trPr>
          <w:trHeight w:val="1393"/>
          <w:tblCellSpacing w:w="0" w:type="dxa"/>
        </w:trPr>
        <w:tc>
          <w:tcPr>
            <w:tcW w:w="3594" w:type="dxa"/>
            <w:gridSpan w:val="2"/>
            <w:vAlign w:val="center"/>
            <w:hideMark/>
          </w:tcPr>
          <w:p w:rsidR="00357321" w:rsidRPr="00760AEB" w:rsidRDefault="00357321" w:rsidP="00357321">
            <w:pPr>
              <w:rPr>
                <w:rFonts w:eastAsia="Times New Roman"/>
                <w:sz w:val="24"/>
                <w:szCs w:val="24"/>
                <w:lang w:val="lv-LV"/>
              </w:rPr>
            </w:pPr>
            <w:r w:rsidRPr="00760AEB">
              <w:rPr>
                <w:rFonts w:eastAsia="Times New Roman"/>
                <w:sz w:val="24"/>
                <w:szCs w:val="24"/>
                <w:lang w:val="lv-LV"/>
              </w:rPr>
              <w:t> Attiecīgā starptautiskā tiesību akta vai starptautiskas institūcijas vai organizācijas dokumenta (turpmāk – starptautiskais dokuments) datums, numurs un nosaukums</w:t>
            </w:r>
          </w:p>
        </w:tc>
        <w:tc>
          <w:tcPr>
            <w:tcW w:w="5521" w:type="dxa"/>
            <w:gridSpan w:val="2"/>
            <w:hideMark/>
          </w:tcPr>
          <w:p w:rsidR="00357321" w:rsidRPr="00760AEB" w:rsidRDefault="00357321" w:rsidP="00357321">
            <w:pPr>
              <w:rPr>
                <w:rFonts w:eastAsia="Times New Roman"/>
                <w:sz w:val="24"/>
                <w:szCs w:val="24"/>
                <w:lang w:val="lv-LV"/>
              </w:rPr>
            </w:pPr>
            <w:r w:rsidRPr="00760AEB">
              <w:rPr>
                <w:rFonts w:eastAsia="Times New Roman"/>
                <w:sz w:val="24"/>
                <w:szCs w:val="24"/>
                <w:lang w:val="lv-LV"/>
              </w:rPr>
              <w:t> 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357321" w:rsidRPr="00760AEB" w:rsidTr="00357321">
        <w:trPr>
          <w:trHeight w:val="343"/>
          <w:tblCellSpacing w:w="0" w:type="dxa"/>
        </w:trPr>
        <w:tc>
          <w:tcPr>
            <w:tcW w:w="2602" w:type="dxa"/>
            <w:vAlign w:val="center"/>
            <w:hideMark/>
          </w:tcPr>
          <w:p w:rsidR="00357321" w:rsidRPr="00760AEB" w:rsidRDefault="00357321" w:rsidP="00357321">
            <w:pPr>
              <w:jc w:val="center"/>
              <w:rPr>
                <w:rFonts w:eastAsia="Times New Roman"/>
                <w:sz w:val="24"/>
                <w:szCs w:val="24"/>
                <w:lang w:val="lv-LV"/>
              </w:rPr>
            </w:pPr>
            <w:r w:rsidRPr="00760AEB">
              <w:rPr>
                <w:rFonts w:eastAsia="Times New Roman"/>
                <w:sz w:val="24"/>
                <w:szCs w:val="24"/>
                <w:lang w:val="lv-LV"/>
              </w:rPr>
              <w:t> A</w:t>
            </w:r>
          </w:p>
        </w:tc>
        <w:tc>
          <w:tcPr>
            <w:tcW w:w="2599" w:type="dxa"/>
            <w:gridSpan w:val="2"/>
            <w:vAlign w:val="center"/>
            <w:hideMark/>
          </w:tcPr>
          <w:p w:rsidR="00357321" w:rsidRPr="00760AEB" w:rsidRDefault="00357321" w:rsidP="00357321">
            <w:pPr>
              <w:jc w:val="center"/>
              <w:rPr>
                <w:rFonts w:eastAsia="Times New Roman"/>
                <w:sz w:val="24"/>
                <w:szCs w:val="24"/>
                <w:lang w:val="lv-LV"/>
              </w:rPr>
            </w:pPr>
            <w:r w:rsidRPr="00760AEB">
              <w:rPr>
                <w:rFonts w:eastAsia="Times New Roman"/>
                <w:sz w:val="24"/>
                <w:szCs w:val="24"/>
                <w:lang w:val="lv-LV"/>
              </w:rPr>
              <w:t> B</w:t>
            </w:r>
          </w:p>
        </w:tc>
        <w:tc>
          <w:tcPr>
            <w:tcW w:w="3914" w:type="dxa"/>
            <w:vAlign w:val="center"/>
            <w:hideMark/>
          </w:tcPr>
          <w:p w:rsidR="00357321" w:rsidRPr="00760AEB" w:rsidRDefault="00357321" w:rsidP="00357321">
            <w:pPr>
              <w:jc w:val="center"/>
              <w:rPr>
                <w:rFonts w:eastAsia="Times New Roman"/>
                <w:sz w:val="24"/>
                <w:szCs w:val="24"/>
                <w:lang w:val="lv-LV"/>
              </w:rPr>
            </w:pPr>
            <w:r w:rsidRPr="00760AEB">
              <w:rPr>
                <w:rFonts w:eastAsia="Times New Roman"/>
                <w:sz w:val="24"/>
                <w:szCs w:val="24"/>
                <w:lang w:val="lv-LV"/>
              </w:rPr>
              <w:t> C</w:t>
            </w:r>
          </w:p>
        </w:tc>
      </w:tr>
      <w:tr w:rsidR="00357321" w:rsidRPr="00760AEB" w:rsidTr="00357321">
        <w:trPr>
          <w:trHeight w:val="1362"/>
          <w:tblCellSpacing w:w="0" w:type="dxa"/>
        </w:trPr>
        <w:tc>
          <w:tcPr>
            <w:tcW w:w="2602" w:type="dxa"/>
            <w:hideMark/>
          </w:tcPr>
          <w:p w:rsidR="00357321" w:rsidRPr="00760AEB" w:rsidRDefault="00357321" w:rsidP="00357321">
            <w:pPr>
              <w:rPr>
                <w:rFonts w:eastAsia="Times New Roman"/>
                <w:sz w:val="24"/>
                <w:szCs w:val="24"/>
                <w:lang w:val="lv-LV"/>
              </w:rPr>
            </w:pPr>
            <w:r w:rsidRPr="00760AEB">
              <w:rPr>
                <w:rFonts w:eastAsia="Times New Roman"/>
                <w:sz w:val="24"/>
                <w:szCs w:val="24"/>
                <w:lang w:val="lv-LV"/>
              </w:rPr>
              <w:t> Starptautiskās saistības (pēc būtības), kas izriet no norādītā starptautiskā dokumenta.</w:t>
            </w:r>
          </w:p>
          <w:p w:rsidR="00357321" w:rsidRPr="00760AEB" w:rsidRDefault="00357321" w:rsidP="00357321">
            <w:pPr>
              <w:rPr>
                <w:rFonts w:eastAsia="Times New Roman"/>
                <w:sz w:val="24"/>
                <w:szCs w:val="24"/>
                <w:lang w:val="lv-LV"/>
              </w:rPr>
            </w:pPr>
            <w:r w:rsidRPr="00760AEB">
              <w:rPr>
                <w:rFonts w:eastAsia="Times New Roman"/>
                <w:sz w:val="24"/>
                <w:szCs w:val="24"/>
                <w:lang w:val="lv-LV"/>
              </w:rPr>
              <w:t> </w:t>
            </w:r>
          </w:p>
          <w:p w:rsidR="00357321" w:rsidRPr="00760AEB" w:rsidRDefault="00357321" w:rsidP="00357321">
            <w:pPr>
              <w:rPr>
                <w:rFonts w:eastAsia="Times New Roman"/>
                <w:sz w:val="24"/>
                <w:szCs w:val="24"/>
                <w:lang w:val="lv-LV"/>
              </w:rPr>
            </w:pPr>
            <w:r w:rsidRPr="00760AEB">
              <w:rPr>
                <w:rFonts w:eastAsia="Times New Roman"/>
                <w:sz w:val="24"/>
                <w:szCs w:val="24"/>
                <w:lang w:val="lv-LV"/>
              </w:rPr>
              <w:t>Konkrēti veicamie pasākumi vai uzdevumi, kas nepieciešami šo starptautisko saistību izpildei</w:t>
            </w:r>
          </w:p>
        </w:tc>
        <w:tc>
          <w:tcPr>
            <w:tcW w:w="2599" w:type="dxa"/>
            <w:gridSpan w:val="2"/>
            <w:hideMark/>
          </w:tcPr>
          <w:p w:rsidR="00357321" w:rsidRPr="00760AEB" w:rsidRDefault="00357321" w:rsidP="00357321">
            <w:pPr>
              <w:rPr>
                <w:rFonts w:eastAsia="Times New Roman"/>
                <w:sz w:val="24"/>
                <w:szCs w:val="24"/>
                <w:lang w:val="lv-LV"/>
              </w:rPr>
            </w:pPr>
            <w:r w:rsidRPr="00760AEB">
              <w:rPr>
                <w:rFonts w:eastAsia="Times New Roman"/>
                <w:sz w:val="24"/>
                <w:szCs w:val="24"/>
                <w:lang w:val="lv-LV"/>
              </w:rPr>
              <w:t> Ja pasākumi vai uzdevumi, ar ko tiks izpildītas starptautiskās saistības, tiek noteikti projektā, norāda attiecīgo projekta vienību.</w:t>
            </w:r>
          </w:p>
          <w:p w:rsidR="00357321" w:rsidRPr="00760AEB" w:rsidRDefault="00357321" w:rsidP="00357321">
            <w:pPr>
              <w:rPr>
                <w:rFonts w:eastAsia="Times New Roman"/>
                <w:sz w:val="24"/>
                <w:szCs w:val="24"/>
                <w:lang w:val="lv-LV"/>
              </w:rPr>
            </w:pPr>
            <w:r w:rsidRPr="00760AEB">
              <w:rPr>
                <w:rFonts w:eastAsia="Times New Roman"/>
                <w:sz w:val="24"/>
                <w:szCs w:val="24"/>
                <w:lang w:val="lv-LV"/>
              </w:rPr>
              <w:t> </w:t>
            </w:r>
          </w:p>
          <w:p w:rsidR="00357321" w:rsidRPr="00760AEB" w:rsidRDefault="00357321" w:rsidP="00357321">
            <w:pPr>
              <w:rPr>
                <w:rFonts w:eastAsia="Times New Roman"/>
                <w:sz w:val="24"/>
                <w:szCs w:val="24"/>
                <w:lang w:val="lv-LV"/>
              </w:rPr>
            </w:pPr>
            <w:r w:rsidRPr="00760AEB">
              <w:rPr>
                <w:rFonts w:eastAsia="Times New Roman"/>
                <w:sz w:val="24"/>
                <w:szCs w:val="24"/>
                <w:lang w:val="lv-LV"/>
              </w:rPr>
              <w:t xml:space="preserve">Vai arī norāda dokumentu, kurā sniegts izvērsts skaidrojums, kādā veidā tiks </w:t>
            </w:r>
            <w:r w:rsidRPr="00760AEB">
              <w:rPr>
                <w:rFonts w:eastAsia="Times New Roman"/>
                <w:sz w:val="24"/>
                <w:szCs w:val="24"/>
                <w:lang w:val="lv-LV"/>
              </w:rPr>
              <w:lastRenderedPageBreak/>
              <w:t>nodrošināta starptautisko saistību izpilde</w:t>
            </w:r>
          </w:p>
        </w:tc>
        <w:tc>
          <w:tcPr>
            <w:tcW w:w="3914" w:type="dxa"/>
            <w:hideMark/>
          </w:tcPr>
          <w:p w:rsidR="00357321" w:rsidRPr="00760AEB" w:rsidRDefault="00357321" w:rsidP="00357321">
            <w:pPr>
              <w:rPr>
                <w:rFonts w:eastAsia="Times New Roman"/>
                <w:sz w:val="24"/>
                <w:szCs w:val="24"/>
                <w:lang w:val="lv-LV"/>
              </w:rPr>
            </w:pPr>
            <w:r w:rsidRPr="00760AEB">
              <w:rPr>
                <w:rFonts w:eastAsia="Times New Roman"/>
                <w:sz w:val="24"/>
                <w:szCs w:val="24"/>
                <w:lang w:val="lv-LV"/>
              </w:rPr>
              <w:lastRenderedPageBreak/>
              <w:t> Informācija par to, vai starptautiskās saistības, kas minētas šīs tabulas A ailē, tiek izpildītas pilnībā vai daļēji.</w:t>
            </w:r>
          </w:p>
          <w:p w:rsidR="00357321" w:rsidRPr="00760AEB" w:rsidRDefault="00357321" w:rsidP="00357321">
            <w:pPr>
              <w:rPr>
                <w:rFonts w:eastAsia="Times New Roman"/>
                <w:sz w:val="24"/>
                <w:szCs w:val="24"/>
                <w:lang w:val="lv-LV"/>
              </w:rPr>
            </w:pPr>
            <w:r w:rsidRPr="00760AEB">
              <w:rPr>
                <w:rFonts w:eastAsia="Times New Roman"/>
                <w:sz w:val="24"/>
                <w:szCs w:val="24"/>
                <w:lang w:val="lv-LV"/>
              </w:rPr>
              <w:t> </w:t>
            </w:r>
          </w:p>
          <w:p w:rsidR="00357321" w:rsidRPr="00760AEB" w:rsidRDefault="00357321" w:rsidP="00357321">
            <w:pPr>
              <w:rPr>
                <w:rFonts w:eastAsia="Times New Roman"/>
                <w:sz w:val="24"/>
                <w:szCs w:val="24"/>
                <w:lang w:val="lv-LV"/>
              </w:rPr>
            </w:pPr>
            <w:r w:rsidRPr="00760AEB">
              <w:rPr>
                <w:rFonts w:eastAsia="Times New Roman"/>
                <w:sz w:val="24"/>
                <w:szCs w:val="24"/>
                <w:lang w:val="lv-LV"/>
              </w:rPr>
              <w:t>Ja attiecīgās starptautiskās saistības tiek izpildītas daļēji, sniedz attiecīgu skaidrojumu, kā arī precīzi norāda, kad un kādā veidā starptautiskās saistības tiks izpildītas pilnībā.</w:t>
            </w:r>
          </w:p>
          <w:p w:rsidR="00357321" w:rsidRPr="00760AEB" w:rsidRDefault="00357321" w:rsidP="00357321">
            <w:pPr>
              <w:rPr>
                <w:rFonts w:eastAsia="Times New Roman"/>
                <w:sz w:val="24"/>
                <w:szCs w:val="24"/>
                <w:lang w:val="lv-LV"/>
              </w:rPr>
            </w:pPr>
            <w:r w:rsidRPr="00760AEB">
              <w:rPr>
                <w:rFonts w:eastAsia="Times New Roman"/>
                <w:sz w:val="24"/>
                <w:szCs w:val="24"/>
                <w:lang w:val="lv-LV"/>
              </w:rPr>
              <w:t> </w:t>
            </w:r>
          </w:p>
          <w:p w:rsidR="00357321" w:rsidRPr="00760AEB" w:rsidRDefault="00357321" w:rsidP="00357321">
            <w:pPr>
              <w:rPr>
                <w:rFonts w:eastAsia="Times New Roman"/>
                <w:sz w:val="24"/>
                <w:szCs w:val="24"/>
                <w:lang w:val="lv-LV"/>
              </w:rPr>
            </w:pPr>
            <w:r w:rsidRPr="00760AEB">
              <w:rPr>
                <w:rFonts w:eastAsia="Times New Roman"/>
                <w:sz w:val="24"/>
                <w:szCs w:val="24"/>
                <w:lang w:val="lv-LV"/>
              </w:rPr>
              <w:t xml:space="preserve">Norāda institūciju, kas ir atbildīga par </w:t>
            </w:r>
            <w:r w:rsidRPr="00760AEB">
              <w:rPr>
                <w:rFonts w:eastAsia="Times New Roman"/>
                <w:sz w:val="24"/>
                <w:szCs w:val="24"/>
                <w:lang w:val="lv-LV"/>
              </w:rPr>
              <w:lastRenderedPageBreak/>
              <w:t>šo saistību izpildi pilnībā</w:t>
            </w:r>
          </w:p>
        </w:tc>
      </w:tr>
      <w:tr w:rsidR="00357321" w:rsidRPr="00760AEB" w:rsidTr="00357321">
        <w:trPr>
          <w:trHeight w:val="282"/>
          <w:tblCellSpacing w:w="0" w:type="dxa"/>
        </w:trPr>
        <w:tc>
          <w:tcPr>
            <w:tcW w:w="2602" w:type="dxa"/>
            <w:hideMark/>
          </w:tcPr>
          <w:p w:rsidR="00357321" w:rsidRPr="00760AEB" w:rsidRDefault="00357321" w:rsidP="00357321">
            <w:pPr>
              <w:rPr>
                <w:rFonts w:eastAsia="Times New Roman"/>
                <w:i/>
                <w:sz w:val="24"/>
                <w:szCs w:val="24"/>
                <w:lang w:val="lv-LV"/>
              </w:rPr>
            </w:pPr>
            <w:r w:rsidRPr="00760AEB">
              <w:rPr>
                <w:rFonts w:eastAsia="Times New Roman"/>
                <w:i/>
                <w:sz w:val="24"/>
                <w:szCs w:val="24"/>
                <w:lang w:val="lv-LV"/>
              </w:rPr>
              <w:lastRenderedPageBreak/>
              <w:t xml:space="preserve"> Projekts šo jomu neskar.</w:t>
            </w:r>
          </w:p>
        </w:tc>
        <w:tc>
          <w:tcPr>
            <w:tcW w:w="2599" w:type="dxa"/>
            <w:gridSpan w:val="2"/>
            <w:hideMark/>
          </w:tcPr>
          <w:p w:rsidR="00357321" w:rsidRPr="00760AEB" w:rsidRDefault="00357321" w:rsidP="00357321">
            <w:pPr>
              <w:rPr>
                <w:rFonts w:eastAsia="Times New Roman"/>
                <w:i/>
                <w:sz w:val="24"/>
                <w:szCs w:val="24"/>
                <w:lang w:val="lv-LV"/>
              </w:rPr>
            </w:pPr>
            <w:r w:rsidRPr="00760AEB">
              <w:rPr>
                <w:rFonts w:eastAsia="Times New Roman"/>
                <w:i/>
                <w:sz w:val="24"/>
                <w:szCs w:val="24"/>
                <w:lang w:val="lv-LV"/>
              </w:rPr>
              <w:t xml:space="preserve"> Projekts šo jomu neskar.</w:t>
            </w:r>
          </w:p>
        </w:tc>
        <w:tc>
          <w:tcPr>
            <w:tcW w:w="3914" w:type="dxa"/>
            <w:hideMark/>
          </w:tcPr>
          <w:p w:rsidR="00357321" w:rsidRPr="00760AEB" w:rsidRDefault="00357321" w:rsidP="00357321">
            <w:pPr>
              <w:rPr>
                <w:rFonts w:eastAsia="Times New Roman"/>
                <w:i/>
                <w:sz w:val="24"/>
                <w:szCs w:val="24"/>
                <w:lang w:val="lv-LV"/>
              </w:rPr>
            </w:pPr>
            <w:r w:rsidRPr="00760AEB">
              <w:rPr>
                <w:rFonts w:eastAsia="Times New Roman"/>
                <w:i/>
                <w:sz w:val="24"/>
                <w:szCs w:val="24"/>
                <w:lang w:val="lv-LV"/>
              </w:rPr>
              <w:t xml:space="preserve"> Projekts šo jomu neskar.</w:t>
            </w:r>
          </w:p>
        </w:tc>
      </w:tr>
      <w:tr w:rsidR="00357321" w:rsidRPr="00760AEB" w:rsidTr="00357321">
        <w:trPr>
          <w:trHeight w:val="653"/>
          <w:tblCellSpacing w:w="0" w:type="dxa"/>
        </w:trPr>
        <w:tc>
          <w:tcPr>
            <w:tcW w:w="2602" w:type="dxa"/>
            <w:vAlign w:val="center"/>
            <w:hideMark/>
          </w:tcPr>
          <w:p w:rsidR="00357321" w:rsidRPr="00760AEB" w:rsidRDefault="00357321" w:rsidP="00357321">
            <w:pPr>
              <w:rPr>
                <w:rFonts w:eastAsia="Times New Roman"/>
                <w:sz w:val="24"/>
                <w:szCs w:val="24"/>
                <w:lang w:val="lv-LV"/>
              </w:rPr>
            </w:pPr>
            <w:r w:rsidRPr="00760AEB">
              <w:rPr>
                <w:rFonts w:eastAsia="Times New Roman"/>
                <w:sz w:val="24"/>
                <w:szCs w:val="24"/>
                <w:lang w:val="lv-LV"/>
              </w:rPr>
              <w:t> Vai starptautiskajā dokumentā paredzētās saistības nav pretrunā ar jau esošajām Latvijas Republikas starptautiskajām saistībām</w:t>
            </w:r>
          </w:p>
        </w:tc>
        <w:tc>
          <w:tcPr>
            <w:tcW w:w="6513" w:type="dxa"/>
            <w:gridSpan w:val="3"/>
            <w:hideMark/>
          </w:tcPr>
          <w:p w:rsidR="00357321" w:rsidRPr="00760AEB" w:rsidRDefault="00357321" w:rsidP="00357321">
            <w:pPr>
              <w:rPr>
                <w:rFonts w:eastAsia="Times New Roman"/>
                <w:i/>
                <w:sz w:val="24"/>
                <w:szCs w:val="24"/>
                <w:lang w:val="lv-LV"/>
              </w:rPr>
            </w:pPr>
            <w:r w:rsidRPr="00760AEB">
              <w:rPr>
                <w:rFonts w:eastAsia="Times New Roman"/>
                <w:sz w:val="24"/>
                <w:szCs w:val="24"/>
                <w:lang w:val="lv-LV"/>
              </w:rPr>
              <w:t> </w:t>
            </w:r>
            <w:r w:rsidRPr="00760AEB">
              <w:rPr>
                <w:rFonts w:eastAsia="Times New Roman"/>
                <w:i/>
                <w:sz w:val="24"/>
                <w:szCs w:val="24"/>
                <w:lang w:val="lv-LV"/>
              </w:rPr>
              <w:t>Projekts šo jomu neskar.</w:t>
            </w:r>
          </w:p>
        </w:tc>
      </w:tr>
      <w:tr w:rsidR="00357321" w:rsidRPr="00760AEB" w:rsidTr="00357321">
        <w:trPr>
          <w:trHeight w:val="337"/>
          <w:tblCellSpacing w:w="0" w:type="dxa"/>
        </w:trPr>
        <w:tc>
          <w:tcPr>
            <w:tcW w:w="2602" w:type="dxa"/>
            <w:hideMark/>
          </w:tcPr>
          <w:p w:rsidR="00357321" w:rsidRPr="00760AEB" w:rsidRDefault="00357321" w:rsidP="00357321">
            <w:pPr>
              <w:rPr>
                <w:rFonts w:eastAsia="Times New Roman"/>
                <w:sz w:val="24"/>
                <w:szCs w:val="24"/>
                <w:lang w:val="lv-LV"/>
              </w:rPr>
            </w:pPr>
            <w:r w:rsidRPr="00760AEB">
              <w:rPr>
                <w:rFonts w:eastAsia="Times New Roman"/>
                <w:sz w:val="24"/>
                <w:szCs w:val="24"/>
                <w:lang w:val="lv-LV"/>
              </w:rPr>
              <w:t> Cita informācija</w:t>
            </w:r>
          </w:p>
        </w:tc>
        <w:tc>
          <w:tcPr>
            <w:tcW w:w="6513" w:type="dxa"/>
            <w:gridSpan w:val="3"/>
            <w:hideMark/>
          </w:tcPr>
          <w:p w:rsidR="00357321" w:rsidRPr="00760AEB" w:rsidRDefault="00357321" w:rsidP="00357321">
            <w:pPr>
              <w:rPr>
                <w:rFonts w:eastAsia="Times New Roman"/>
                <w:i/>
                <w:sz w:val="24"/>
                <w:szCs w:val="24"/>
                <w:lang w:val="lv-LV"/>
              </w:rPr>
            </w:pPr>
            <w:r w:rsidRPr="00760AEB">
              <w:rPr>
                <w:rFonts w:eastAsia="Times New Roman"/>
                <w:sz w:val="24"/>
                <w:szCs w:val="24"/>
                <w:lang w:val="lv-LV"/>
              </w:rPr>
              <w:t xml:space="preserve"> </w:t>
            </w:r>
            <w:r w:rsidRPr="00760AEB">
              <w:rPr>
                <w:rFonts w:eastAsia="Times New Roman"/>
                <w:i/>
                <w:sz w:val="24"/>
                <w:szCs w:val="24"/>
                <w:lang w:val="lv-LV"/>
              </w:rPr>
              <w:t>Nav.</w:t>
            </w:r>
          </w:p>
        </w:tc>
      </w:tr>
    </w:tbl>
    <w:p w:rsidR="00C95C61" w:rsidRPr="0018077F" w:rsidRDefault="00C95C61" w:rsidP="00357321">
      <w:pPr>
        <w:rPr>
          <w:sz w:val="16"/>
          <w:szCs w:val="1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57321" w:rsidRPr="00760AEB" w:rsidTr="00357321">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57321" w:rsidRPr="00760AEB" w:rsidRDefault="00357321" w:rsidP="00357321">
            <w:pPr>
              <w:ind w:firstLine="720"/>
              <w:jc w:val="both"/>
              <w:rPr>
                <w:rFonts w:eastAsia="Times New Roman"/>
                <w:b/>
                <w:sz w:val="24"/>
                <w:szCs w:val="24"/>
                <w:lang w:val="lv-LV" w:eastAsia="lv-LV"/>
              </w:rPr>
            </w:pPr>
            <w:r w:rsidRPr="00760AEB">
              <w:rPr>
                <w:rFonts w:eastAsia="Times New Roman"/>
                <w:b/>
                <w:sz w:val="24"/>
                <w:szCs w:val="24"/>
                <w:lang w:val="lv-LV" w:eastAsia="lv-LV"/>
              </w:rPr>
              <w:t>VII. Tiesību akta projekta izpildes nodrošināšana un tās ietekme uz institūcijām</w:t>
            </w:r>
          </w:p>
        </w:tc>
      </w:tr>
      <w:tr w:rsidR="00357321" w:rsidRPr="00760AEB" w:rsidTr="00357321">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 xml:space="preserve">MK </w:t>
            </w:r>
            <w:r w:rsidRPr="00760AEB">
              <w:rPr>
                <w:sz w:val="24"/>
                <w:szCs w:val="24"/>
                <w:lang w:val="lv-LV"/>
              </w:rPr>
              <w:t>noteikumu</w:t>
            </w:r>
            <w:r w:rsidRPr="00760AEB">
              <w:rPr>
                <w:rFonts w:eastAsia="Times New Roman"/>
                <w:sz w:val="24"/>
                <w:szCs w:val="24"/>
                <w:lang w:val="lv-LV" w:eastAsia="lv-LV"/>
              </w:rPr>
              <w:t xml:space="preserve"> projekta izpildi nodrošinās</w:t>
            </w:r>
            <w:r w:rsidR="0093417E">
              <w:rPr>
                <w:rFonts w:eastAsia="Times New Roman"/>
                <w:sz w:val="24"/>
                <w:szCs w:val="24"/>
                <w:lang w:val="lv-LV" w:eastAsia="lv-LV"/>
              </w:rPr>
              <w:t xml:space="preserve"> EM un</w:t>
            </w:r>
            <w:r w:rsidRPr="00760AEB">
              <w:rPr>
                <w:rFonts w:eastAsia="Times New Roman"/>
                <w:sz w:val="24"/>
                <w:szCs w:val="24"/>
                <w:lang w:val="lv-LV" w:eastAsia="lv-LV"/>
              </w:rPr>
              <w:t xml:space="preserve"> </w:t>
            </w:r>
            <w:r>
              <w:rPr>
                <w:rFonts w:eastAsia="Times New Roman"/>
                <w:sz w:val="24"/>
                <w:szCs w:val="24"/>
                <w:lang w:val="lv-LV" w:eastAsia="lv-LV"/>
              </w:rPr>
              <w:t>sabiedrība Altum</w:t>
            </w:r>
            <w:r w:rsidRPr="00760AEB">
              <w:rPr>
                <w:rFonts w:eastAsia="Times New Roman"/>
                <w:sz w:val="24"/>
                <w:szCs w:val="24"/>
                <w:lang w:val="lv-LV" w:eastAsia="lv-LV"/>
              </w:rPr>
              <w:t>.</w:t>
            </w:r>
          </w:p>
        </w:tc>
      </w:tr>
      <w:tr w:rsidR="00357321" w:rsidRPr="00760AEB" w:rsidTr="00357321">
        <w:trPr>
          <w:trHeight w:val="54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 xml:space="preserve">MK </w:t>
            </w:r>
            <w:r w:rsidRPr="00760AEB">
              <w:rPr>
                <w:sz w:val="24"/>
                <w:szCs w:val="24"/>
                <w:lang w:val="lv-LV"/>
              </w:rPr>
              <w:t>noteikumu</w:t>
            </w:r>
            <w:r w:rsidRPr="00760AEB">
              <w:rPr>
                <w:rFonts w:eastAsia="Times New Roman"/>
                <w:sz w:val="24"/>
                <w:szCs w:val="24"/>
                <w:lang w:val="lv-LV" w:eastAsia="lv-LV"/>
              </w:rPr>
              <w:t xml:space="preserve"> projekta izpilde tiks nodrošināta</w:t>
            </w:r>
            <w:r w:rsidR="0093417E">
              <w:rPr>
                <w:rFonts w:eastAsia="Times New Roman"/>
                <w:sz w:val="24"/>
                <w:szCs w:val="24"/>
                <w:lang w:val="lv-LV" w:eastAsia="lv-LV"/>
              </w:rPr>
              <w:t xml:space="preserve"> EM un </w:t>
            </w:r>
            <w:r>
              <w:rPr>
                <w:rFonts w:eastAsia="Times New Roman"/>
                <w:sz w:val="24"/>
                <w:szCs w:val="24"/>
                <w:lang w:val="lv-LV" w:eastAsia="lv-LV"/>
              </w:rPr>
              <w:t xml:space="preserve"> </w:t>
            </w:r>
            <w:r w:rsidRPr="00760AEB">
              <w:rPr>
                <w:rFonts w:eastAsia="Times New Roman"/>
                <w:sz w:val="24"/>
                <w:szCs w:val="24"/>
                <w:lang w:val="lv-LV" w:eastAsia="lv-LV"/>
              </w:rPr>
              <w:t xml:space="preserve"> sabiedrības Altum esošo funkciju ietvaros.</w:t>
            </w:r>
          </w:p>
        </w:tc>
      </w:tr>
      <w:tr w:rsidR="00357321" w:rsidRPr="00760AEB" w:rsidTr="00357321">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rFonts w:eastAsia="Times New Roman"/>
                <w:sz w:val="24"/>
                <w:szCs w:val="24"/>
                <w:lang w:val="lv-LV" w:eastAsia="lv-LV"/>
              </w:rPr>
            </w:pPr>
            <w:r w:rsidRPr="00760AEB">
              <w:rPr>
                <w:sz w:val="24"/>
                <w:szCs w:val="24"/>
                <w:lang w:val="lv-LV"/>
              </w:rPr>
              <w:t>MK noteikumu projekta izpildei nav nepieciešams izveidot jaunas institūcijas</w:t>
            </w:r>
            <w:r w:rsidRPr="00760AEB">
              <w:rPr>
                <w:rFonts w:eastAsia="Times New Roman"/>
                <w:sz w:val="24"/>
                <w:szCs w:val="24"/>
                <w:lang w:val="lv-LV" w:eastAsia="lv-LV"/>
              </w:rPr>
              <w:t>.</w:t>
            </w:r>
          </w:p>
        </w:tc>
      </w:tr>
      <w:tr w:rsidR="00357321" w:rsidRPr="00760AEB" w:rsidTr="00357321">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sz w:val="24"/>
                <w:szCs w:val="24"/>
                <w:lang w:val="lv-LV"/>
              </w:rPr>
            </w:pPr>
            <w:r w:rsidRPr="00760AEB">
              <w:rPr>
                <w:sz w:val="24"/>
                <w:szCs w:val="24"/>
                <w:lang w:val="lv-LV"/>
              </w:rPr>
              <w:t>MK noteikumu projekta izpildei nav nepieciešams likvidēt esošās institūcijas</w:t>
            </w:r>
            <w:r w:rsidRPr="00760AEB">
              <w:rPr>
                <w:rFonts w:eastAsia="Times New Roman"/>
                <w:sz w:val="24"/>
                <w:szCs w:val="24"/>
                <w:lang w:val="lv-LV" w:eastAsia="lv-LV"/>
              </w:rPr>
              <w:t>.</w:t>
            </w:r>
          </w:p>
        </w:tc>
      </w:tr>
      <w:tr w:rsidR="00357321" w:rsidRPr="00760AEB" w:rsidTr="00357321">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 xml:space="preserve">MK </w:t>
            </w:r>
            <w:r w:rsidRPr="00760AEB">
              <w:rPr>
                <w:sz w:val="24"/>
                <w:szCs w:val="24"/>
                <w:lang w:val="lv-LV"/>
              </w:rPr>
              <w:t>noteikumu projekta izpildei nav nepieciešams reorganizēt esošās institūcijas</w:t>
            </w:r>
            <w:r w:rsidRPr="00760AEB">
              <w:rPr>
                <w:rFonts w:eastAsia="Times New Roman"/>
                <w:sz w:val="24"/>
                <w:szCs w:val="24"/>
                <w:lang w:val="lv-LV" w:eastAsia="lv-LV"/>
              </w:rPr>
              <w:t>.</w:t>
            </w:r>
          </w:p>
          <w:p w:rsidR="00357321" w:rsidRPr="00760AEB" w:rsidRDefault="00357321" w:rsidP="00357321">
            <w:pPr>
              <w:jc w:val="both"/>
              <w:rPr>
                <w:rFonts w:eastAsia="Times New Roman"/>
                <w:sz w:val="24"/>
                <w:szCs w:val="24"/>
                <w:lang w:val="lv-LV" w:eastAsia="lv-LV"/>
              </w:rPr>
            </w:pPr>
          </w:p>
        </w:tc>
      </w:tr>
      <w:tr w:rsidR="00357321" w:rsidRPr="00760AEB" w:rsidTr="00357321">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57321" w:rsidRPr="00760AEB" w:rsidRDefault="00357321" w:rsidP="00357321">
            <w:pPr>
              <w:jc w:val="both"/>
              <w:rPr>
                <w:rFonts w:eastAsia="Times New Roman"/>
                <w:sz w:val="24"/>
                <w:szCs w:val="24"/>
                <w:lang w:val="lv-LV" w:eastAsia="lv-LV"/>
              </w:rPr>
            </w:pPr>
            <w:r w:rsidRPr="00760AEB">
              <w:rPr>
                <w:rFonts w:eastAsia="Times New Roman"/>
                <w:sz w:val="24"/>
                <w:szCs w:val="24"/>
                <w:lang w:val="lv-LV" w:eastAsia="lv-LV"/>
              </w:rPr>
              <w:t>Nav.</w:t>
            </w:r>
          </w:p>
        </w:tc>
      </w:tr>
    </w:tbl>
    <w:p w:rsidR="00357321" w:rsidRPr="00760AEB" w:rsidRDefault="00357321" w:rsidP="00357321">
      <w:pPr>
        <w:tabs>
          <w:tab w:val="left" w:pos="7655"/>
        </w:tabs>
        <w:jc w:val="both"/>
        <w:rPr>
          <w:sz w:val="24"/>
          <w:szCs w:val="24"/>
          <w:lang w:val="lv-LV"/>
        </w:rPr>
      </w:pPr>
    </w:p>
    <w:p w:rsidR="00DC7B14" w:rsidRPr="00760AEB" w:rsidRDefault="00DC7B14" w:rsidP="00DC7B14">
      <w:pPr>
        <w:rPr>
          <w:rFonts w:eastAsia="Times New Roman"/>
          <w:b/>
          <w:sz w:val="24"/>
          <w:szCs w:val="24"/>
          <w:lang w:val="lv-LV" w:eastAsia="lv-LV"/>
        </w:rPr>
        <w:sectPr w:rsidR="00DC7B14" w:rsidRPr="00760AEB" w:rsidSect="00C97F6E">
          <w:headerReference w:type="default" r:id="rId15"/>
          <w:footerReference w:type="default" r:id="rId16"/>
          <w:footerReference w:type="first" r:id="rId17"/>
          <w:type w:val="continuous"/>
          <w:pgSz w:w="11906" w:h="16838"/>
          <w:pgMar w:top="1418" w:right="1134" w:bottom="1134" w:left="1701" w:header="709" w:footer="709" w:gutter="0"/>
          <w:cols w:space="708"/>
          <w:titlePg/>
          <w:docGrid w:linePitch="360"/>
        </w:sectPr>
      </w:pPr>
      <w:r>
        <w:rPr>
          <w:rFonts w:eastAsia="Times New Roman"/>
          <w:b/>
          <w:sz w:val="24"/>
          <w:szCs w:val="24"/>
          <w:lang w:val="lv-LV" w:eastAsia="lv-LV"/>
        </w:rPr>
        <w:t>Anotācijas II, III, IV,</w:t>
      </w:r>
      <w:r w:rsidRPr="00760AEB">
        <w:rPr>
          <w:rFonts w:eastAsia="Times New Roman"/>
          <w:b/>
          <w:sz w:val="24"/>
          <w:szCs w:val="24"/>
          <w:lang w:val="lv-LV" w:eastAsia="lv-LV"/>
        </w:rPr>
        <w:t xml:space="preserve"> VI sadaļa – projekts šo jomu neskar</w:t>
      </w:r>
    </w:p>
    <w:p w:rsidR="00357321" w:rsidRPr="00760AEB" w:rsidRDefault="00357321" w:rsidP="00357321">
      <w:pPr>
        <w:tabs>
          <w:tab w:val="left" w:pos="7655"/>
        </w:tabs>
        <w:jc w:val="both"/>
        <w:rPr>
          <w:sz w:val="24"/>
          <w:szCs w:val="24"/>
          <w:lang w:val="lv-LV"/>
        </w:rPr>
      </w:pPr>
    </w:p>
    <w:p w:rsidR="00357321" w:rsidRPr="00760AEB" w:rsidRDefault="00357321" w:rsidP="00357321">
      <w:pPr>
        <w:tabs>
          <w:tab w:val="right" w:pos="9072"/>
        </w:tabs>
        <w:rPr>
          <w:sz w:val="24"/>
          <w:szCs w:val="24"/>
          <w:lang w:val="lv-LV"/>
        </w:rPr>
      </w:pPr>
    </w:p>
    <w:p w:rsidR="00357321" w:rsidRPr="00760AEB" w:rsidRDefault="00357321" w:rsidP="00357321">
      <w:pPr>
        <w:tabs>
          <w:tab w:val="right" w:pos="9072"/>
        </w:tabs>
        <w:rPr>
          <w:sz w:val="24"/>
          <w:szCs w:val="24"/>
          <w:lang w:val="lv-LV"/>
        </w:rPr>
      </w:pPr>
      <w:r w:rsidRPr="00760AEB">
        <w:rPr>
          <w:sz w:val="24"/>
          <w:szCs w:val="24"/>
          <w:lang w:val="lv-LV"/>
        </w:rPr>
        <w:t>Ekonomikas ministrs</w:t>
      </w:r>
      <w:r w:rsidRPr="00760AEB">
        <w:rPr>
          <w:sz w:val="24"/>
          <w:szCs w:val="24"/>
          <w:lang w:val="lv-LV"/>
        </w:rPr>
        <w:tab/>
        <w:t>V.Dombrovskis</w:t>
      </w:r>
      <w:r w:rsidRPr="00760AEB">
        <w:rPr>
          <w:sz w:val="24"/>
          <w:szCs w:val="24"/>
          <w:lang w:val="lv-LV"/>
        </w:rPr>
        <w:tab/>
      </w:r>
      <w:r w:rsidRPr="00760AEB">
        <w:rPr>
          <w:sz w:val="24"/>
          <w:szCs w:val="24"/>
          <w:lang w:val="lv-LV"/>
        </w:rPr>
        <w:tab/>
      </w:r>
      <w:r w:rsidRPr="00760AEB">
        <w:rPr>
          <w:sz w:val="24"/>
          <w:szCs w:val="24"/>
          <w:lang w:val="lv-LV"/>
        </w:rPr>
        <w:tab/>
      </w:r>
      <w:r w:rsidRPr="00760AEB">
        <w:rPr>
          <w:sz w:val="24"/>
          <w:szCs w:val="24"/>
          <w:lang w:val="lv-LV"/>
        </w:rPr>
        <w:tab/>
      </w:r>
      <w:r w:rsidRPr="00760AEB">
        <w:rPr>
          <w:sz w:val="24"/>
          <w:szCs w:val="24"/>
          <w:lang w:val="lv-LV"/>
        </w:rPr>
        <w:tab/>
      </w:r>
      <w:r w:rsidRPr="00760AEB">
        <w:rPr>
          <w:sz w:val="24"/>
          <w:szCs w:val="24"/>
          <w:lang w:val="lv-LV"/>
        </w:rPr>
        <w:tab/>
      </w:r>
    </w:p>
    <w:p w:rsidR="00357321" w:rsidRPr="00760AEB" w:rsidRDefault="00357321" w:rsidP="00357321">
      <w:pPr>
        <w:tabs>
          <w:tab w:val="left" w:pos="8222"/>
        </w:tabs>
        <w:rPr>
          <w:sz w:val="24"/>
          <w:szCs w:val="24"/>
          <w:lang w:val="lv-LV"/>
        </w:rPr>
      </w:pPr>
    </w:p>
    <w:p w:rsidR="00357321" w:rsidRPr="00760AEB" w:rsidRDefault="00357321" w:rsidP="00357321">
      <w:pPr>
        <w:tabs>
          <w:tab w:val="right" w:pos="9072"/>
        </w:tabs>
        <w:rPr>
          <w:sz w:val="24"/>
          <w:szCs w:val="24"/>
          <w:lang w:val="lv-LV"/>
        </w:rPr>
      </w:pPr>
      <w:bookmarkStart w:id="3" w:name="_GoBack"/>
    </w:p>
    <w:p w:rsidR="00357321" w:rsidRPr="00760AEB" w:rsidRDefault="00357321" w:rsidP="00357321">
      <w:pPr>
        <w:tabs>
          <w:tab w:val="right" w:pos="9072"/>
        </w:tabs>
        <w:rPr>
          <w:sz w:val="24"/>
          <w:szCs w:val="24"/>
          <w:lang w:val="lv-LV"/>
        </w:rPr>
      </w:pPr>
      <w:r w:rsidRPr="00760AEB">
        <w:rPr>
          <w:sz w:val="24"/>
          <w:szCs w:val="24"/>
          <w:lang w:val="lv-LV"/>
        </w:rPr>
        <w:t>Vīza: valsts sekretārs</w:t>
      </w:r>
      <w:bookmarkEnd w:id="3"/>
      <w:r w:rsidRPr="00760AEB">
        <w:rPr>
          <w:sz w:val="24"/>
          <w:szCs w:val="24"/>
          <w:lang w:val="lv-LV"/>
        </w:rPr>
        <w:tab/>
        <w:t>M.Lazdovskis</w:t>
      </w:r>
    </w:p>
    <w:p w:rsidR="00357321" w:rsidRDefault="00357321" w:rsidP="00357321">
      <w:pPr>
        <w:jc w:val="both"/>
        <w:rPr>
          <w:color w:val="000000"/>
          <w:sz w:val="18"/>
          <w:szCs w:val="18"/>
          <w:lang w:val="lv-LV"/>
        </w:rPr>
      </w:pPr>
    </w:p>
    <w:p w:rsidR="00E4699A" w:rsidRPr="0018077F" w:rsidRDefault="00E4699A" w:rsidP="00357321">
      <w:pPr>
        <w:jc w:val="both"/>
        <w:rPr>
          <w:color w:val="000000"/>
          <w:sz w:val="18"/>
          <w:szCs w:val="18"/>
          <w:lang w:val="lv-LV"/>
        </w:rPr>
      </w:pPr>
    </w:p>
    <w:p w:rsidR="00357321" w:rsidRPr="0018077F" w:rsidRDefault="00357321" w:rsidP="00357321">
      <w:pPr>
        <w:jc w:val="both"/>
        <w:rPr>
          <w:sz w:val="18"/>
          <w:szCs w:val="18"/>
        </w:rPr>
      </w:pPr>
      <w:r w:rsidRPr="0018077F">
        <w:rPr>
          <w:sz w:val="18"/>
          <w:szCs w:val="18"/>
        </w:rPr>
        <w:fldChar w:fldCharType="begin"/>
      </w:r>
      <w:r w:rsidRPr="0018077F">
        <w:rPr>
          <w:sz w:val="18"/>
          <w:szCs w:val="18"/>
          <w:lang w:val="lv-LV"/>
        </w:rPr>
        <w:instrText xml:space="preserve"> TIME \@ "dd.MM.yyyy. H:mm" </w:instrText>
      </w:r>
      <w:r w:rsidRPr="0018077F">
        <w:rPr>
          <w:sz w:val="18"/>
          <w:szCs w:val="18"/>
        </w:rPr>
        <w:fldChar w:fldCharType="separate"/>
      </w:r>
      <w:r w:rsidR="0093417E">
        <w:rPr>
          <w:noProof/>
          <w:sz w:val="18"/>
          <w:szCs w:val="18"/>
          <w:lang w:val="lv-LV"/>
        </w:rPr>
        <w:t>08.07.2014. 11:51</w:t>
      </w:r>
      <w:r w:rsidRPr="0018077F">
        <w:rPr>
          <w:sz w:val="18"/>
          <w:szCs w:val="18"/>
        </w:rPr>
        <w:fldChar w:fldCharType="end"/>
      </w:r>
    </w:p>
    <w:p w:rsidR="00357321" w:rsidRPr="0018077F" w:rsidRDefault="00357321" w:rsidP="00357321">
      <w:pPr>
        <w:jc w:val="both"/>
        <w:rPr>
          <w:sz w:val="18"/>
          <w:szCs w:val="18"/>
        </w:rPr>
      </w:pPr>
      <w:r w:rsidRPr="0018077F">
        <w:rPr>
          <w:sz w:val="18"/>
          <w:szCs w:val="18"/>
        </w:rPr>
        <w:fldChar w:fldCharType="begin"/>
      </w:r>
      <w:r w:rsidRPr="0018077F">
        <w:rPr>
          <w:sz w:val="18"/>
          <w:szCs w:val="18"/>
        </w:rPr>
        <w:instrText xml:space="preserve"> NUMWORDS   \* MERGEFORMAT </w:instrText>
      </w:r>
      <w:r w:rsidRPr="0018077F">
        <w:rPr>
          <w:sz w:val="18"/>
          <w:szCs w:val="18"/>
        </w:rPr>
        <w:fldChar w:fldCharType="separate"/>
      </w:r>
      <w:r w:rsidR="0093417E">
        <w:rPr>
          <w:noProof/>
          <w:sz w:val="18"/>
          <w:szCs w:val="18"/>
        </w:rPr>
        <w:t>2628</w:t>
      </w:r>
      <w:r w:rsidRPr="0018077F">
        <w:rPr>
          <w:noProof/>
          <w:sz w:val="18"/>
          <w:szCs w:val="18"/>
        </w:rPr>
        <w:fldChar w:fldCharType="end"/>
      </w:r>
    </w:p>
    <w:p w:rsidR="00357321" w:rsidRPr="0018077F" w:rsidRDefault="00357321" w:rsidP="00357321">
      <w:pPr>
        <w:jc w:val="both"/>
        <w:rPr>
          <w:color w:val="000000"/>
          <w:sz w:val="18"/>
          <w:szCs w:val="18"/>
          <w:lang w:val="lv-LV"/>
        </w:rPr>
      </w:pPr>
      <w:r w:rsidRPr="0018077F">
        <w:rPr>
          <w:color w:val="000000"/>
          <w:sz w:val="18"/>
          <w:szCs w:val="18"/>
          <w:lang w:val="lv-LV"/>
        </w:rPr>
        <w:t>E.Dlohi</w:t>
      </w:r>
    </w:p>
    <w:p w:rsidR="00357321" w:rsidRPr="00E4699A" w:rsidRDefault="00357321" w:rsidP="00E4699A">
      <w:pPr>
        <w:jc w:val="both"/>
        <w:rPr>
          <w:color w:val="000000"/>
          <w:sz w:val="18"/>
          <w:szCs w:val="18"/>
          <w:lang w:val="lv-LV"/>
        </w:rPr>
      </w:pPr>
      <w:r w:rsidRPr="0018077F">
        <w:rPr>
          <w:sz w:val="18"/>
          <w:szCs w:val="18"/>
          <w:lang w:val="lv-LV"/>
        </w:rPr>
        <w:t xml:space="preserve">67013082, </w:t>
      </w:r>
      <w:hyperlink r:id="rId18" w:history="1">
        <w:r w:rsidRPr="0018077F">
          <w:rPr>
            <w:rStyle w:val="Hyperlink"/>
            <w:sz w:val="18"/>
            <w:szCs w:val="18"/>
            <w:lang w:val="lv-LV"/>
          </w:rPr>
          <w:t>Elina.Dlohi@em.gov.lv</w:t>
        </w:r>
      </w:hyperlink>
    </w:p>
    <w:bookmarkEnd w:id="0"/>
    <w:bookmarkEnd w:id="1"/>
    <w:bookmarkEnd w:id="2"/>
    <w:sectPr w:rsidR="00357321" w:rsidRPr="00E4699A" w:rsidSect="00C97F6E">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21" w:rsidRDefault="00357321" w:rsidP="00B014C2">
      <w:r>
        <w:separator/>
      </w:r>
    </w:p>
  </w:endnote>
  <w:endnote w:type="continuationSeparator" w:id="0">
    <w:p w:rsidR="00357321" w:rsidRDefault="00357321"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21" w:rsidRPr="00634095" w:rsidRDefault="00357321" w:rsidP="0094634F">
    <w:pPr>
      <w:pStyle w:val="BodyText"/>
    </w:pPr>
    <w:r>
      <w:rPr>
        <w:sz w:val="24"/>
        <w:szCs w:val="24"/>
      </w:rPr>
      <w:t>EMAnot_070414_groz698</w:t>
    </w:r>
    <w:r w:rsidRPr="00634095">
      <w:rPr>
        <w:sz w:val="24"/>
        <w:szCs w:val="24"/>
      </w:rPr>
      <w:t>; Ministru kabineta noteikumu projekta „</w:t>
    </w:r>
    <w:r w:rsidRPr="00092473">
      <w:rPr>
        <w:sz w:val="24"/>
        <w:szCs w:val="24"/>
      </w:rPr>
      <w:t xml:space="preserve">Grozījumi Ministru kabineta 2011.gada 6.septembra noteikumos Nr.698 „Noteikumi par mikroaizdevumiem un grantiem Latvijas un Šveices sadarbības programmas individuālā projekta </w:t>
    </w:r>
    <w:r>
      <w:rPr>
        <w:sz w:val="24"/>
        <w:szCs w:val="24"/>
      </w:rPr>
      <w:t>„</w:t>
    </w:r>
    <w:r w:rsidRPr="00092473">
      <w:rPr>
        <w:sz w:val="24"/>
        <w:szCs w:val="24"/>
      </w:rPr>
      <w:t>Mikrokreditēšanas programma</w:t>
    </w:r>
    <w:r>
      <w:rPr>
        <w:sz w:val="24"/>
        <w:szCs w:val="24"/>
      </w:rPr>
      <w:t>”</w:t>
    </w:r>
    <w:r w:rsidRPr="00092473">
      <w:rPr>
        <w:sz w:val="24"/>
        <w:szCs w:val="24"/>
      </w:rPr>
      <w:t xml:space="preserve"> ietvaros</w:t>
    </w:r>
    <w:r>
      <w:rPr>
        <w:sz w:val="24"/>
        <w:szCs w:val="24"/>
      </w:rPr>
      <w:t xml:space="preserve">” </w:t>
    </w:r>
    <w:r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Pr="00C33F2C">
        <w:rPr>
          <w:sz w:val="24"/>
          <w:szCs w:val="24"/>
        </w:rPr>
        <w:t>ziņojums</w:t>
      </w:r>
    </w:smartTag>
    <w:r w:rsidRPr="00C33F2C">
      <w:rPr>
        <w:sz w:val="24"/>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21" w:rsidRPr="00F601D6" w:rsidRDefault="00A0176D" w:rsidP="00D7256E">
    <w:pPr>
      <w:pStyle w:val="BodyText"/>
      <w:rPr>
        <w:sz w:val="20"/>
      </w:rPr>
    </w:pPr>
    <w:r>
      <w:rPr>
        <w:sz w:val="20"/>
      </w:rPr>
      <w:t>EMAnot_</w:t>
    </w:r>
    <w:r w:rsidR="003C3538">
      <w:rPr>
        <w:sz w:val="20"/>
      </w:rPr>
      <w:t>0</w:t>
    </w:r>
    <w:r w:rsidR="00E4699A">
      <w:rPr>
        <w:sz w:val="20"/>
      </w:rPr>
      <w:t>8</w:t>
    </w:r>
    <w:r w:rsidR="00C2504B">
      <w:rPr>
        <w:sz w:val="20"/>
      </w:rPr>
      <w:t>0</w:t>
    </w:r>
    <w:r w:rsidR="003C3538">
      <w:rPr>
        <w:sz w:val="20"/>
      </w:rPr>
      <w:t>7</w:t>
    </w:r>
    <w:r w:rsidR="00357321" w:rsidRPr="00F601D6">
      <w:rPr>
        <w:sz w:val="20"/>
      </w:rPr>
      <w:t>14</w:t>
    </w:r>
    <w:r w:rsidR="0041138D" w:rsidRPr="00F601D6">
      <w:rPr>
        <w:sz w:val="20"/>
      </w:rPr>
      <w:t>_groz1065</w:t>
    </w:r>
    <w:r w:rsidR="00357321" w:rsidRPr="00F601D6">
      <w:rPr>
        <w:sz w:val="20"/>
      </w:rPr>
      <w:t>; Ministru kabineta noteikumu projekta „</w:t>
    </w:r>
    <w:r w:rsidR="0041138D" w:rsidRPr="00F601D6">
      <w:rPr>
        <w:sz w:val="20"/>
      </w:rPr>
      <w:t>Grozījumi Ministru kabineta 2009.gada 15.septembra noteikumos Nr.1065 „Noteikumi par aizdevumiem sīko (mikro), mazo un vidējo saimnieciskās darbības veicēju un lauksaimniecības pakalpojumu kooperatīvo sabiedrību attīstības veicināšanai”</w:t>
    </w:r>
    <w:r w:rsidR="00357321" w:rsidRPr="00F601D6">
      <w:rPr>
        <w:sz w:val="20"/>
      </w:rPr>
      <w:t xml:space="preserve">”  sākotnējās ietekmes novērtējuma </w:t>
    </w:r>
    <w:smartTag w:uri="schemas-tilde-lv/tildestengine" w:element="veidnes">
      <w:smartTagPr>
        <w:attr w:name="id" w:val="-1"/>
        <w:attr w:name="baseform" w:val="ziņojums"/>
        <w:attr w:name="text" w:val="ziņojums"/>
      </w:smartTagPr>
      <w:r w:rsidR="00357321" w:rsidRPr="00F601D6">
        <w:rPr>
          <w:sz w:val="20"/>
        </w:rPr>
        <w:t>ziņojums</w:t>
      </w:r>
    </w:smartTag>
    <w:r w:rsidR="00357321" w:rsidRPr="00F601D6">
      <w:rPr>
        <w:sz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8D" w:rsidRPr="00F601D6" w:rsidRDefault="00A0176D" w:rsidP="0041138D">
    <w:pPr>
      <w:pStyle w:val="BodyText"/>
      <w:rPr>
        <w:sz w:val="20"/>
      </w:rPr>
    </w:pPr>
    <w:r>
      <w:rPr>
        <w:sz w:val="20"/>
      </w:rPr>
      <w:t>EMAnot_</w:t>
    </w:r>
    <w:r w:rsidR="003C3538">
      <w:rPr>
        <w:sz w:val="20"/>
      </w:rPr>
      <w:t>0</w:t>
    </w:r>
    <w:r w:rsidR="00E4699A">
      <w:rPr>
        <w:sz w:val="20"/>
      </w:rPr>
      <w:t>8</w:t>
    </w:r>
    <w:r w:rsidR="00C2504B">
      <w:rPr>
        <w:sz w:val="20"/>
      </w:rPr>
      <w:t>0</w:t>
    </w:r>
    <w:r w:rsidR="003C3538">
      <w:rPr>
        <w:sz w:val="20"/>
      </w:rPr>
      <w:t>7</w:t>
    </w:r>
    <w:r w:rsidR="0041138D" w:rsidRPr="00F601D6">
      <w:rPr>
        <w:sz w:val="20"/>
      </w:rPr>
      <w:t xml:space="preserve">14_groz1065; Ministru kabineta noteikumu projekta „Grozījumi Ministru kabineta 2009.gada 15.septembra noteikumos Nr.1065 „Noteikumi par aizdevumiem sīko (mikro), mazo un vidējo saimnieciskās darbības veicēju un lauksaimniecības pakalpojumu kooperatīvo sabiedrību attīstības veicināšanai””  sākotnējās ietekmes novērtējuma </w:t>
    </w:r>
    <w:smartTag w:uri="schemas-tilde-lv/tildestengine" w:element="veidnes">
      <w:smartTagPr>
        <w:attr w:name="id" w:val="-1"/>
        <w:attr w:name="baseform" w:val="ziņojums"/>
        <w:attr w:name="text" w:val="ziņojums"/>
      </w:smartTagPr>
      <w:r w:rsidR="0041138D" w:rsidRPr="00F601D6">
        <w:rPr>
          <w:sz w:val="20"/>
        </w:rPr>
        <w:t>ziņojums</w:t>
      </w:r>
    </w:smartTag>
    <w:r w:rsidR="0041138D" w:rsidRPr="00F601D6">
      <w:rPr>
        <w:sz w:val="20"/>
      </w:rPr>
      <w:t xml:space="preserve"> (anotācija)</w:t>
    </w:r>
  </w:p>
  <w:p w:rsidR="00357321" w:rsidRPr="0041138D" w:rsidRDefault="00357321" w:rsidP="004113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21" w:rsidRPr="00C33F2C" w:rsidRDefault="00357321" w:rsidP="00D7256E">
    <w:pPr>
      <w:pStyle w:val="BodyText"/>
      <w:rPr>
        <w:sz w:val="24"/>
        <w:szCs w:val="24"/>
      </w:rPr>
    </w:pPr>
    <w:r>
      <w:rPr>
        <w:sz w:val="24"/>
        <w:szCs w:val="24"/>
      </w:rPr>
      <w:t>EMAnot_010414_groz898</w:t>
    </w:r>
    <w:r w:rsidRPr="00634095">
      <w:rPr>
        <w:sz w:val="24"/>
        <w:szCs w:val="24"/>
      </w:rPr>
      <w:t>; Ministru kabineta noteikumu projekta „</w:t>
    </w:r>
    <w:r w:rsidRPr="0067603D">
      <w:rPr>
        <w:sz w:val="24"/>
        <w:szCs w:val="24"/>
      </w:rPr>
      <w:t xml:space="preserve">Grozījumi Ministru kabineta 2013.gada 24.septembra noteikumos Nr.898 „Noteikumi par apmācību nodrošināšanu saimnieciskās darbības uzsācējiem un personām, kas vēlas uzsākt saimniecisko darbību”” </w:t>
    </w:r>
    <w:r>
      <w:rPr>
        <w:sz w:val="24"/>
        <w:szCs w:val="24"/>
      </w:rPr>
      <w:t xml:space="preserve"> </w:t>
    </w:r>
    <w:r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Pr="00C33F2C">
        <w:rPr>
          <w:sz w:val="24"/>
          <w:szCs w:val="24"/>
        </w:rPr>
        <w:t>ziņojums</w:t>
      </w:r>
    </w:smartTag>
    <w:r w:rsidRPr="00C33F2C">
      <w:rPr>
        <w:sz w:val="24"/>
        <w:szCs w:val="24"/>
      </w:rPr>
      <w:t xml:space="preserve"> (anotācija)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D6" w:rsidRPr="00F601D6" w:rsidRDefault="00A0176D" w:rsidP="00F601D6">
    <w:pPr>
      <w:pStyle w:val="BodyText"/>
      <w:rPr>
        <w:sz w:val="20"/>
      </w:rPr>
    </w:pPr>
    <w:r>
      <w:rPr>
        <w:sz w:val="20"/>
      </w:rPr>
      <w:t>EMAnot_</w:t>
    </w:r>
    <w:r w:rsidR="00E4699A">
      <w:rPr>
        <w:sz w:val="20"/>
      </w:rPr>
      <w:t>08</w:t>
    </w:r>
    <w:r>
      <w:rPr>
        <w:sz w:val="20"/>
      </w:rPr>
      <w:t>0</w:t>
    </w:r>
    <w:r w:rsidR="003C3538">
      <w:rPr>
        <w:sz w:val="20"/>
      </w:rPr>
      <w:t>7</w:t>
    </w:r>
    <w:r w:rsidR="00F601D6" w:rsidRPr="00F601D6">
      <w:rPr>
        <w:sz w:val="20"/>
      </w:rPr>
      <w:t xml:space="preserve">14_groz1065; Ministru kabineta noteikumu projekta „Grozījumi Ministru kabineta 2009.gada 15.septembra noteikumos Nr.1065 „Noteikumi par aizdevumiem sīko (mikro), mazo un vidējo saimnieciskās darbības veicēju un lauksaimniecības pakalpojumu kooperatīvo sabiedrību attīstības veicināšanai””  sākotnējās ietekmes novērtējuma </w:t>
    </w:r>
    <w:smartTag w:uri="schemas-tilde-lv/tildestengine" w:element="veidnes">
      <w:smartTagPr>
        <w:attr w:name="id" w:val="-1"/>
        <w:attr w:name="baseform" w:val="ziņojums"/>
        <w:attr w:name="text" w:val="ziņojums"/>
      </w:smartTagPr>
      <w:r w:rsidR="00F601D6" w:rsidRPr="00F601D6">
        <w:rPr>
          <w:sz w:val="20"/>
        </w:rPr>
        <w:t>ziņojums</w:t>
      </w:r>
    </w:smartTag>
    <w:r w:rsidR="00F601D6" w:rsidRPr="00F601D6">
      <w:rPr>
        <w:sz w:val="20"/>
      </w:rPr>
      <w:t xml:space="preserve"> (anotācija)</w:t>
    </w:r>
  </w:p>
  <w:p w:rsidR="00DC7B14" w:rsidRPr="00307EC1" w:rsidRDefault="00DC7B14" w:rsidP="00307E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14" w:rsidRPr="00C33F2C" w:rsidRDefault="00DC7B14" w:rsidP="00D7256E">
    <w:pPr>
      <w:pStyle w:val="BodyText"/>
      <w:rPr>
        <w:sz w:val="24"/>
        <w:szCs w:val="24"/>
      </w:rPr>
    </w:pPr>
    <w:r>
      <w:rPr>
        <w:sz w:val="24"/>
        <w:szCs w:val="24"/>
      </w:rPr>
      <w:t>EMAnot_290514_groz1065</w:t>
    </w:r>
    <w:r w:rsidRPr="00634095">
      <w:rPr>
        <w:sz w:val="24"/>
        <w:szCs w:val="24"/>
      </w:rPr>
      <w:t>; Ministru kabineta noteikumu projekta „</w:t>
    </w:r>
    <w:r w:rsidRPr="00307EC1">
      <w:rPr>
        <w:sz w:val="24"/>
        <w:szCs w:val="24"/>
      </w:rPr>
      <w:t xml:space="preserve">Grozījumi Ministru kabineta 2009.gada 15.septembra noteikumos Nr.1065 „Noteikumi par aizdevumiem sīko (mikro), mazo un vidējo saimnieciskās darbības veicēju un lauksaimniecības pakalpojumu kooperatīvo sabiedrību attīstības </w:t>
    </w:r>
    <w:r>
      <w:rPr>
        <w:sz w:val="24"/>
        <w:szCs w:val="24"/>
      </w:rPr>
      <w:t>veicināšanai”</w:t>
    </w:r>
    <w:r w:rsidRPr="00092473">
      <w:rPr>
        <w:sz w:val="24"/>
        <w:szCs w:val="24"/>
      </w:rPr>
      <w:t xml:space="preserve"> ietvaros</w:t>
    </w:r>
    <w:r>
      <w:rPr>
        <w:sz w:val="24"/>
        <w:szCs w:val="24"/>
      </w:rPr>
      <w:t xml:space="preserve">” </w:t>
    </w:r>
    <w:r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Pr="00C33F2C">
        <w:rPr>
          <w:sz w:val="24"/>
          <w:szCs w:val="24"/>
        </w:rPr>
        <w:t>ziņojums</w:t>
      </w:r>
    </w:smartTag>
    <w:r w:rsidRPr="00C33F2C">
      <w:rPr>
        <w:sz w:val="24"/>
        <w:szCs w:val="24"/>
      </w:rPr>
      <w:t xml:space="preserve"> (anotācija)</w:t>
    </w:r>
  </w:p>
  <w:p w:rsidR="00DC7B14" w:rsidRDefault="00DC7B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21" w:rsidRDefault="00357321" w:rsidP="00B014C2">
      <w:r>
        <w:separator/>
      </w:r>
    </w:p>
  </w:footnote>
  <w:footnote w:type="continuationSeparator" w:id="0">
    <w:p w:rsidR="00357321" w:rsidRDefault="00357321"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005262"/>
      <w:docPartObj>
        <w:docPartGallery w:val="Page Numbers (Top of Page)"/>
        <w:docPartUnique/>
      </w:docPartObj>
    </w:sdtPr>
    <w:sdtEndPr>
      <w:rPr>
        <w:sz w:val="24"/>
        <w:szCs w:val="24"/>
      </w:rPr>
    </w:sdtEndPr>
    <w:sdtContent>
      <w:p w:rsidR="00357321" w:rsidRPr="00B014C2" w:rsidRDefault="00357321">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2</w:t>
        </w:r>
        <w:r w:rsidRPr="00B014C2">
          <w:rPr>
            <w:sz w:val="24"/>
            <w:szCs w:val="24"/>
          </w:rPr>
          <w:fldChar w:fldCharType="end"/>
        </w:r>
      </w:p>
    </w:sdtContent>
  </w:sdt>
  <w:p w:rsidR="00357321" w:rsidRDefault="00357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357321" w:rsidRPr="00B014C2" w:rsidRDefault="00357321">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93417E">
          <w:rPr>
            <w:noProof/>
            <w:sz w:val="24"/>
            <w:szCs w:val="24"/>
          </w:rPr>
          <w:t>4</w:t>
        </w:r>
        <w:r w:rsidRPr="00B014C2">
          <w:rPr>
            <w:sz w:val="24"/>
            <w:szCs w:val="24"/>
          </w:rPr>
          <w:fldChar w:fldCharType="end"/>
        </w:r>
      </w:p>
    </w:sdtContent>
  </w:sdt>
  <w:p w:rsidR="00357321" w:rsidRDefault="00357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24691"/>
      <w:docPartObj>
        <w:docPartGallery w:val="Page Numbers (Top of Page)"/>
        <w:docPartUnique/>
      </w:docPartObj>
    </w:sdtPr>
    <w:sdtEndPr>
      <w:rPr>
        <w:sz w:val="24"/>
        <w:szCs w:val="24"/>
      </w:rPr>
    </w:sdtEndPr>
    <w:sdtContent>
      <w:p w:rsidR="00DC7B14" w:rsidRPr="00B014C2" w:rsidRDefault="00DC7B14">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93417E">
          <w:rPr>
            <w:noProof/>
            <w:sz w:val="24"/>
            <w:szCs w:val="24"/>
          </w:rPr>
          <w:t>10</w:t>
        </w:r>
        <w:r w:rsidRPr="00B014C2">
          <w:rPr>
            <w:sz w:val="24"/>
            <w:szCs w:val="24"/>
          </w:rPr>
          <w:fldChar w:fldCharType="end"/>
        </w:r>
      </w:p>
    </w:sdtContent>
  </w:sdt>
  <w:p w:rsidR="00DC7B14" w:rsidRDefault="00DC7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EA2657C"/>
    <w:multiLevelType w:val="hybridMultilevel"/>
    <w:tmpl w:val="FD66F9EC"/>
    <w:lvl w:ilvl="0" w:tplc="762AB5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7174DD"/>
    <w:multiLevelType w:val="hybridMultilevel"/>
    <w:tmpl w:val="D0888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3BC6458"/>
    <w:multiLevelType w:val="hybridMultilevel"/>
    <w:tmpl w:val="4DA4F856"/>
    <w:lvl w:ilvl="0" w:tplc="D5EEA598">
      <w:start w:val="2009"/>
      <w:numFmt w:val="bullet"/>
      <w:lvlText w:val="-"/>
      <w:lvlJc w:val="left"/>
      <w:pPr>
        <w:ind w:left="997" w:hanging="360"/>
      </w:pPr>
      <w:rPr>
        <w:rFonts w:ascii="Times New Roman" w:eastAsia="Calibri" w:hAnsi="Times New Roman" w:cs="Times New Roman"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2">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79F0E6F"/>
    <w:multiLevelType w:val="hybridMultilevel"/>
    <w:tmpl w:val="9974A5A6"/>
    <w:lvl w:ilvl="0" w:tplc="C4AA4AA8">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9">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0">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8"/>
  </w:num>
  <w:num w:numId="3">
    <w:abstractNumId w:val="14"/>
  </w:num>
  <w:num w:numId="4">
    <w:abstractNumId w:val="2"/>
  </w:num>
  <w:num w:numId="5">
    <w:abstractNumId w:val="1"/>
  </w:num>
  <w:num w:numId="6">
    <w:abstractNumId w:val="12"/>
  </w:num>
  <w:num w:numId="7">
    <w:abstractNumId w:val="20"/>
  </w:num>
  <w:num w:numId="8">
    <w:abstractNumId w:val="7"/>
  </w:num>
  <w:num w:numId="9">
    <w:abstractNumId w:val="13"/>
  </w:num>
  <w:num w:numId="10">
    <w:abstractNumId w:val="16"/>
  </w:num>
  <w:num w:numId="11">
    <w:abstractNumId w:val="4"/>
  </w:num>
  <w:num w:numId="12">
    <w:abstractNumId w:val="9"/>
  </w:num>
  <w:num w:numId="13">
    <w:abstractNumId w:val="19"/>
  </w:num>
  <w:num w:numId="14">
    <w:abstractNumId w:val="3"/>
  </w:num>
  <w:num w:numId="15">
    <w:abstractNumId w:val="6"/>
  </w:num>
  <w:num w:numId="16">
    <w:abstractNumId w:val="11"/>
  </w:num>
  <w:num w:numId="17">
    <w:abstractNumId w:val="5"/>
  </w:num>
  <w:num w:numId="18">
    <w:abstractNumId w:val="17"/>
  </w:num>
  <w:num w:numId="19">
    <w:abstractNumId w:val="15"/>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3041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199D"/>
    <w:rsid w:val="000120A0"/>
    <w:rsid w:val="00014006"/>
    <w:rsid w:val="0001626D"/>
    <w:rsid w:val="0001764D"/>
    <w:rsid w:val="00020A02"/>
    <w:rsid w:val="000214DF"/>
    <w:rsid w:val="00022ADB"/>
    <w:rsid w:val="00026BA7"/>
    <w:rsid w:val="00026C03"/>
    <w:rsid w:val="000275AB"/>
    <w:rsid w:val="0002762A"/>
    <w:rsid w:val="00031099"/>
    <w:rsid w:val="000320DD"/>
    <w:rsid w:val="00034395"/>
    <w:rsid w:val="0003693D"/>
    <w:rsid w:val="00036E03"/>
    <w:rsid w:val="0004167C"/>
    <w:rsid w:val="000445F3"/>
    <w:rsid w:val="00047EF5"/>
    <w:rsid w:val="00050184"/>
    <w:rsid w:val="00050EA4"/>
    <w:rsid w:val="00052380"/>
    <w:rsid w:val="000564DA"/>
    <w:rsid w:val="00060D39"/>
    <w:rsid w:val="000643D5"/>
    <w:rsid w:val="00071114"/>
    <w:rsid w:val="000729ED"/>
    <w:rsid w:val="00072ECD"/>
    <w:rsid w:val="00081C1D"/>
    <w:rsid w:val="00081F44"/>
    <w:rsid w:val="000835BB"/>
    <w:rsid w:val="00083704"/>
    <w:rsid w:val="000847AE"/>
    <w:rsid w:val="0008484B"/>
    <w:rsid w:val="0008486C"/>
    <w:rsid w:val="00086412"/>
    <w:rsid w:val="00087524"/>
    <w:rsid w:val="00091DBA"/>
    <w:rsid w:val="00092473"/>
    <w:rsid w:val="0009664E"/>
    <w:rsid w:val="00096AA9"/>
    <w:rsid w:val="00097583"/>
    <w:rsid w:val="000A164A"/>
    <w:rsid w:val="000A402E"/>
    <w:rsid w:val="000A4AED"/>
    <w:rsid w:val="000A5FB9"/>
    <w:rsid w:val="000B0719"/>
    <w:rsid w:val="000B08FC"/>
    <w:rsid w:val="000B10BD"/>
    <w:rsid w:val="000B2AE3"/>
    <w:rsid w:val="000C4FFD"/>
    <w:rsid w:val="000D0388"/>
    <w:rsid w:val="000D19C8"/>
    <w:rsid w:val="000D2F05"/>
    <w:rsid w:val="000D4DC9"/>
    <w:rsid w:val="000D6DF2"/>
    <w:rsid w:val="000E2F17"/>
    <w:rsid w:val="000E409F"/>
    <w:rsid w:val="000E4277"/>
    <w:rsid w:val="000E76CF"/>
    <w:rsid w:val="000E76F0"/>
    <w:rsid w:val="000F0232"/>
    <w:rsid w:val="000F6C72"/>
    <w:rsid w:val="000F6E9E"/>
    <w:rsid w:val="001000B5"/>
    <w:rsid w:val="001002E4"/>
    <w:rsid w:val="0010079A"/>
    <w:rsid w:val="0010324D"/>
    <w:rsid w:val="0010385C"/>
    <w:rsid w:val="00103FE1"/>
    <w:rsid w:val="0010410B"/>
    <w:rsid w:val="0010443F"/>
    <w:rsid w:val="001047E8"/>
    <w:rsid w:val="00115E25"/>
    <w:rsid w:val="00120651"/>
    <w:rsid w:val="0012067B"/>
    <w:rsid w:val="00120C26"/>
    <w:rsid w:val="001232D1"/>
    <w:rsid w:val="001254CC"/>
    <w:rsid w:val="001267F1"/>
    <w:rsid w:val="001305B3"/>
    <w:rsid w:val="00130D33"/>
    <w:rsid w:val="00131980"/>
    <w:rsid w:val="00131C62"/>
    <w:rsid w:val="00134E0F"/>
    <w:rsid w:val="001428EB"/>
    <w:rsid w:val="00142A69"/>
    <w:rsid w:val="00142AC2"/>
    <w:rsid w:val="00142CBB"/>
    <w:rsid w:val="00144D39"/>
    <w:rsid w:val="00152E83"/>
    <w:rsid w:val="00153C1A"/>
    <w:rsid w:val="00153E7C"/>
    <w:rsid w:val="00155953"/>
    <w:rsid w:val="001611D0"/>
    <w:rsid w:val="0017312C"/>
    <w:rsid w:val="001733BE"/>
    <w:rsid w:val="0017472D"/>
    <w:rsid w:val="001764E7"/>
    <w:rsid w:val="001802E6"/>
    <w:rsid w:val="00182537"/>
    <w:rsid w:val="00182AB8"/>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A1F"/>
    <w:rsid w:val="001D02A2"/>
    <w:rsid w:val="001D2EDB"/>
    <w:rsid w:val="001D39D9"/>
    <w:rsid w:val="001D416F"/>
    <w:rsid w:val="001D46D6"/>
    <w:rsid w:val="001D5E9C"/>
    <w:rsid w:val="001D76FC"/>
    <w:rsid w:val="001E1DD1"/>
    <w:rsid w:val="001E3BD0"/>
    <w:rsid w:val="001E5031"/>
    <w:rsid w:val="001E6651"/>
    <w:rsid w:val="001E7BB7"/>
    <w:rsid w:val="001F02C1"/>
    <w:rsid w:val="001F6151"/>
    <w:rsid w:val="001F7527"/>
    <w:rsid w:val="00200612"/>
    <w:rsid w:val="00205FEE"/>
    <w:rsid w:val="0021241F"/>
    <w:rsid w:val="00213D6A"/>
    <w:rsid w:val="002149CB"/>
    <w:rsid w:val="00216B96"/>
    <w:rsid w:val="00221058"/>
    <w:rsid w:val="00221205"/>
    <w:rsid w:val="00221561"/>
    <w:rsid w:val="00221CAE"/>
    <w:rsid w:val="00222A92"/>
    <w:rsid w:val="00224C7C"/>
    <w:rsid w:val="0023085A"/>
    <w:rsid w:val="00230FB6"/>
    <w:rsid w:val="00231EB0"/>
    <w:rsid w:val="002324F4"/>
    <w:rsid w:val="00233657"/>
    <w:rsid w:val="00233F7A"/>
    <w:rsid w:val="0023462C"/>
    <w:rsid w:val="00234C58"/>
    <w:rsid w:val="00234DDC"/>
    <w:rsid w:val="00235168"/>
    <w:rsid w:val="00236989"/>
    <w:rsid w:val="00245D09"/>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609D"/>
    <w:rsid w:val="00297E4A"/>
    <w:rsid w:val="002A0052"/>
    <w:rsid w:val="002A0CE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02748"/>
    <w:rsid w:val="00307EC1"/>
    <w:rsid w:val="003124BE"/>
    <w:rsid w:val="00314594"/>
    <w:rsid w:val="00314A13"/>
    <w:rsid w:val="00315BB0"/>
    <w:rsid w:val="00320EB0"/>
    <w:rsid w:val="00321E80"/>
    <w:rsid w:val="00322A15"/>
    <w:rsid w:val="00324F11"/>
    <w:rsid w:val="00330AF0"/>
    <w:rsid w:val="003312F2"/>
    <w:rsid w:val="00335837"/>
    <w:rsid w:val="00335C2E"/>
    <w:rsid w:val="00335CC3"/>
    <w:rsid w:val="003365BB"/>
    <w:rsid w:val="003369C8"/>
    <w:rsid w:val="003372CD"/>
    <w:rsid w:val="00340E1F"/>
    <w:rsid w:val="00341D01"/>
    <w:rsid w:val="0034284E"/>
    <w:rsid w:val="00344B27"/>
    <w:rsid w:val="0034724B"/>
    <w:rsid w:val="0034794E"/>
    <w:rsid w:val="003479DF"/>
    <w:rsid w:val="00356364"/>
    <w:rsid w:val="0035647E"/>
    <w:rsid w:val="00356CDF"/>
    <w:rsid w:val="00357321"/>
    <w:rsid w:val="00357B86"/>
    <w:rsid w:val="00360437"/>
    <w:rsid w:val="00360962"/>
    <w:rsid w:val="003611ED"/>
    <w:rsid w:val="00361DA6"/>
    <w:rsid w:val="00362D30"/>
    <w:rsid w:val="003707C8"/>
    <w:rsid w:val="0037466C"/>
    <w:rsid w:val="00376A40"/>
    <w:rsid w:val="00382BA7"/>
    <w:rsid w:val="00383500"/>
    <w:rsid w:val="00384799"/>
    <w:rsid w:val="00385DB0"/>
    <w:rsid w:val="00386053"/>
    <w:rsid w:val="00391942"/>
    <w:rsid w:val="00396D2E"/>
    <w:rsid w:val="003A5545"/>
    <w:rsid w:val="003A56E6"/>
    <w:rsid w:val="003A5F98"/>
    <w:rsid w:val="003A7D89"/>
    <w:rsid w:val="003B04FD"/>
    <w:rsid w:val="003B060D"/>
    <w:rsid w:val="003B2464"/>
    <w:rsid w:val="003B3003"/>
    <w:rsid w:val="003B3450"/>
    <w:rsid w:val="003B4994"/>
    <w:rsid w:val="003B5399"/>
    <w:rsid w:val="003B590B"/>
    <w:rsid w:val="003C1C94"/>
    <w:rsid w:val="003C3538"/>
    <w:rsid w:val="003C406A"/>
    <w:rsid w:val="003C5329"/>
    <w:rsid w:val="003D342E"/>
    <w:rsid w:val="003D3A14"/>
    <w:rsid w:val="003D4D2F"/>
    <w:rsid w:val="003E0167"/>
    <w:rsid w:val="003E0BD3"/>
    <w:rsid w:val="003E284A"/>
    <w:rsid w:val="003E2968"/>
    <w:rsid w:val="003E3604"/>
    <w:rsid w:val="003E6CB3"/>
    <w:rsid w:val="003F0B61"/>
    <w:rsid w:val="003F0C4F"/>
    <w:rsid w:val="003F17ED"/>
    <w:rsid w:val="003F4E09"/>
    <w:rsid w:val="00401C5F"/>
    <w:rsid w:val="00402B2B"/>
    <w:rsid w:val="004035D5"/>
    <w:rsid w:val="00404C10"/>
    <w:rsid w:val="00404D4B"/>
    <w:rsid w:val="00406C83"/>
    <w:rsid w:val="004074FD"/>
    <w:rsid w:val="00410EC7"/>
    <w:rsid w:val="00410FEE"/>
    <w:rsid w:val="0041138D"/>
    <w:rsid w:val="00414CC7"/>
    <w:rsid w:val="00415C03"/>
    <w:rsid w:val="00416C3A"/>
    <w:rsid w:val="00420FC8"/>
    <w:rsid w:val="0042129F"/>
    <w:rsid w:val="004232D7"/>
    <w:rsid w:val="0042395B"/>
    <w:rsid w:val="0042472B"/>
    <w:rsid w:val="00431CB5"/>
    <w:rsid w:val="00434ACC"/>
    <w:rsid w:val="00435CDA"/>
    <w:rsid w:val="00436083"/>
    <w:rsid w:val="00436E46"/>
    <w:rsid w:val="00436E6A"/>
    <w:rsid w:val="0043736D"/>
    <w:rsid w:val="0044003E"/>
    <w:rsid w:val="004413C4"/>
    <w:rsid w:val="00441C3F"/>
    <w:rsid w:val="004426FC"/>
    <w:rsid w:val="00442884"/>
    <w:rsid w:val="00443B04"/>
    <w:rsid w:val="0044567A"/>
    <w:rsid w:val="004465FC"/>
    <w:rsid w:val="004522D7"/>
    <w:rsid w:val="004527EA"/>
    <w:rsid w:val="00457B62"/>
    <w:rsid w:val="00457CC8"/>
    <w:rsid w:val="00460A29"/>
    <w:rsid w:val="00463899"/>
    <w:rsid w:val="00472EF3"/>
    <w:rsid w:val="00475A76"/>
    <w:rsid w:val="004775F4"/>
    <w:rsid w:val="00484C10"/>
    <w:rsid w:val="00484CA7"/>
    <w:rsid w:val="00485E0B"/>
    <w:rsid w:val="00486BD6"/>
    <w:rsid w:val="00487753"/>
    <w:rsid w:val="0049013B"/>
    <w:rsid w:val="00491F0A"/>
    <w:rsid w:val="004960FB"/>
    <w:rsid w:val="00497086"/>
    <w:rsid w:val="004A22E5"/>
    <w:rsid w:val="004A554F"/>
    <w:rsid w:val="004B18A4"/>
    <w:rsid w:val="004B1FE7"/>
    <w:rsid w:val="004B77C0"/>
    <w:rsid w:val="004C1463"/>
    <w:rsid w:val="004C2DF8"/>
    <w:rsid w:val="004D4997"/>
    <w:rsid w:val="004D54CD"/>
    <w:rsid w:val="004D5E1E"/>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07C64"/>
    <w:rsid w:val="00510235"/>
    <w:rsid w:val="00511ADB"/>
    <w:rsid w:val="00511C7D"/>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4A7A"/>
    <w:rsid w:val="005631C8"/>
    <w:rsid w:val="0056506A"/>
    <w:rsid w:val="005663B6"/>
    <w:rsid w:val="0056795E"/>
    <w:rsid w:val="00570B3E"/>
    <w:rsid w:val="005747E7"/>
    <w:rsid w:val="0057501D"/>
    <w:rsid w:val="00576AEE"/>
    <w:rsid w:val="00576D8A"/>
    <w:rsid w:val="00580317"/>
    <w:rsid w:val="00580621"/>
    <w:rsid w:val="0058086F"/>
    <w:rsid w:val="0058249F"/>
    <w:rsid w:val="0058679B"/>
    <w:rsid w:val="005877DA"/>
    <w:rsid w:val="00591F1C"/>
    <w:rsid w:val="00593CA6"/>
    <w:rsid w:val="0059700D"/>
    <w:rsid w:val="00597137"/>
    <w:rsid w:val="00597231"/>
    <w:rsid w:val="005A1D6F"/>
    <w:rsid w:val="005A2A2D"/>
    <w:rsid w:val="005A37FF"/>
    <w:rsid w:val="005A6E2E"/>
    <w:rsid w:val="005B29DE"/>
    <w:rsid w:val="005B4307"/>
    <w:rsid w:val="005C251D"/>
    <w:rsid w:val="005C6DDB"/>
    <w:rsid w:val="005D1220"/>
    <w:rsid w:val="005D3658"/>
    <w:rsid w:val="005D4522"/>
    <w:rsid w:val="005D6171"/>
    <w:rsid w:val="005E4730"/>
    <w:rsid w:val="005E49F0"/>
    <w:rsid w:val="005E713D"/>
    <w:rsid w:val="005F09EC"/>
    <w:rsid w:val="005F3202"/>
    <w:rsid w:val="005F6018"/>
    <w:rsid w:val="00607722"/>
    <w:rsid w:val="00610DDF"/>
    <w:rsid w:val="00614602"/>
    <w:rsid w:val="006218A6"/>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6770"/>
    <w:rsid w:val="0068051B"/>
    <w:rsid w:val="00681496"/>
    <w:rsid w:val="00682B64"/>
    <w:rsid w:val="0068409B"/>
    <w:rsid w:val="00684EA2"/>
    <w:rsid w:val="006910BE"/>
    <w:rsid w:val="00691B3C"/>
    <w:rsid w:val="00696FF3"/>
    <w:rsid w:val="006A3A28"/>
    <w:rsid w:val="006A3BC9"/>
    <w:rsid w:val="006A668E"/>
    <w:rsid w:val="006A6AD4"/>
    <w:rsid w:val="006A7488"/>
    <w:rsid w:val="006A7638"/>
    <w:rsid w:val="006B0E03"/>
    <w:rsid w:val="006B3B37"/>
    <w:rsid w:val="006C114F"/>
    <w:rsid w:val="006C15FA"/>
    <w:rsid w:val="006C53BE"/>
    <w:rsid w:val="006D0B9B"/>
    <w:rsid w:val="006D1F62"/>
    <w:rsid w:val="006D23AE"/>
    <w:rsid w:val="006D30BF"/>
    <w:rsid w:val="006D662F"/>
    <w:rsid w:val="006D69A4"/>
    <w:rsid w:val="006E07AC"/>
    <w:rsid w:val="006E07C0"/>
    <w:rsid w:val="006E09B6"/>
    <w:rsid w:val="006E0ECB"/>
    <w:rsid w:val="006E13D1"/>
    <w:rsid w:val="006E1F97"/>
    <w:rsid w:val="006E3949"/>
    <w:rsid w:val="006F02CA"/>
    <w:rsid w:val="006F0C19"/>
    <w:rsid w:val="006F24A8"/>
    <w:rsid w:val="006F56C1"/>
    <w:rsid w:val="007049BD"/>
    <w:rsid w:val="007058E9"/>
    <w:rsid w:val="0070678E"/>
    <w:rsid w:val="00706EC2"/>
    <w:rsid w:val="00715A10"/>
    <w:rsid w:val="00716874"/>
    <w:rsid w:val="00720EE5"/>
    <w:rsid w:val="007217E4"/>
    <w:rsid w:val="00721D6C"/>
    <w:rsid w:val="00721E50"/>
    <w:rsid w:val="00725107"/>
    <w:rsid w:val="00725B16"/>
    <w:rsid w:val="007278CF"/>
    <w:rsid w:val="00732C19"/>
    <w:rsid w:val="00732F77"/>
    <w:rsid w:val="007363F2"/>
    <w:rsid w:val="00737AB8"/>
    <w:rsid w:val="00742BAF"/>
    <w:rsid w:val="00743E33"/>
    <w:rsid w:val="00744513"/>
    <w:rsid w:val="0075648C"/>
    <w:rsid w:val="00763941"/>
    <w:rsid w:val="00767185"/>
    <w:rsid w:val="00767E0F"/>
    <w:rsid w:val="007715A2"/>
    <w:rsid w:val="00771E40"/>
    <w:rsid w:val="0077435A"/>
    <w:rsid w:val="00781C31"/>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63F8"/>
    <w:rsid w:val="007E7623"/>
    <w:rsid w:val="007F0242"/>
    <w:rsid w:val="007F0C15"/>
    <w:rsid w:val="00810BB4"/>
    <w:rsid w:val="00812990"/>
    <w:rsid w:val="00814B24"/>
    <w:rsid w:val="0081539E"/>
    <w:rsid w:val="00815CC0"/>
    <w:rsid w:val="008173C3"/>
    <w:rsid w:val="00817839"/>
    <w:rsid w:val="00822DF2"/>
    <w:rsid w:val="00823419"/>
    <w:rsid w:val="00823C4F"/>
    <w:rsid w:val="0082492B"/>
    <w:rsid w:val="008253A7"/>
    <w:rsid w:val="008265EF"/>
    <w:rsid w:val="00827407"/>
    <w:rsid w:val="00836318"/>
    <w:rsid w:val="00837E38"/>
    <w:rsid w:val="00840961"/>
    <w:rsid w:val="008444BD"/>
    <w:rsid w:val="00844DC6"/>
    <w:rsid w:val="00851D2A"/>
    <w:rsid w:val="008535B7"/>
    <w:rsid w:val="00855B83"/>
    <w:rsid w:val="00860387"/>
    <w:rsid w:val="00861F33"/>
    <w:rsid w:val="008620C5"/>
    <w:rsid w:val="00864EFE"/>
    <w:rsid w:val="008657D2"/>
    <w:rsid w:val="00866076"/>
    <w:rsid w:val="00874C25"/>
    <w:rsid w:val="0087682B"/>
    <w:rsid w:val="00877F72"/>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3A38"/>
    <w:rsid w:val="008B46BA"/>
    <w:rsid w:val="008B4856"/>
    <w:rsid w:val="008B7C3D"/>
    <w:rsid w:val="008C2886"/>
    <w:rsid w:val="008C34B9"/>
    <w:rsid w:val="008D1537"/>
    <w:rsid w:val="008D17E5"/>
    <w:rsid w:val="008D6725"/>
    <w:rsid w:val="008D78FF"/>
    <w:rsid w:val="008E476F"/>
    <w:rsid w:val="008E54FE"/>
    <w:rsid w:val="008E5F7D"/>
    <w:rsid w:val="008E6217"/>
    <w:rsid w:val="008F48C1"/>
    <w:rsid w:val="008F4C9D"/>
    <w:rsid w:val="008F5394"/>
    <w:rsid w:val="008F636C"/>
    <w:rsid w:val="008F6397"/>
    <w:rsid w:val="0090048A"/>
    <w:rsid w:val="00901246"/>
    <w:rsid w:val="009041C1"/>
    <w:rsid w:val="0090449A"/>
    <w:rsid w:val="00904A06"/>
    <w:rsid w:val="0090536A"/>
    <w:rsid w:val="00911D0C"/>
    <w:rsid w:val="00914CB3"/>
    <w:rsid w:val="00916328"/>
    <w:rsid w:val="00917324"/>
    <w:rsid w:val="00920C1D"/>
    <w:rsid w:val="00920CC5"/>
    <w:rsid w:val="00921208"/>
    <w:rsid w:val="009223CF"/>
    <w:rsid w:val="009223E3"/>
    <w:rsid w:val="0092468A"/>
    <w:rsid w:val="009260C5"/>
    <w:rsid w:val="00930CFF"/>
    <w:rsid w:val="00932B78"/>
    <w:rsid w:val="00933744"/>
    <w:rsid w:val="0093417E"/>
    <w:rsid w:val="0094012A"/>
    <w:rsid w:val="00940388"/>
    <w:rsid w:val="009429B7"/>
    <w:rsid w:val="00944903"/>
    <w:rsid w:val="009449FD"/>
    <w:rsid w:val="009450CF"/>
    <w:rsid w:val="00945AEE"/>
    <w:rsid w:val="0094634F"/>
    <w:rsid w:val="0094732D"/>
    <w:rsid w:val="00947CF8"/>
    <w:rsid w:val="009520C3"/>
    <w:rsid w:val="0095680E"/>
    <w:rsid w:val="0095696B"/>
    <w:rsid w:val="00962693"/>
    <w:rsid w:val="00962CEA"/>
    <w:rsid w:val="009637AA"/>
    <w:rsid w:val="00971B45"/>
    <w:rsid w:val="00972275"/>
    <w:rsid w:val="00977A1D"/>
    <w:rsid w:val="00983085"/>
    <w:rsid w:val="00984230"/>
    <w:rsid w:val="0098472B"/>
    <w:rsid w:val="009906DC"/>
    <w:rsid w:val="009914FB"/>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4BE7"/>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76D"/>
    <w:rsid w:val="00A01864"/>
    <w:rsid w:val="00A045ED"/>
    <w:rsid w:val="00A07CE4"/>
    <w:rsid w:val="00A14437"/>
    <w:rsid w:val="00A14502"/>
    <w:rsid w:val="00A15971"/>
    <w:rsid w:val="00A246DC"/>
    <w:rsid w:val="00A271B4"/>
    <w:rsid w:val="00A27386"/>
    <w:rsid w:val="00A30576"/>
    <w:rsid w:val="00A30F97"/>
    <w:rsid w:val="00A31FDC"/>
    <w:rsid w:val="00A32343"/>
    <w:rsid w:val="00A326B1"/>
    <w:rsid w:val="00A3336D"/>
    <w:rsid w:val="00A34AC6"/>
    <w:rsid w:val="00A34F24"/>
    <w:rsid w:val="00A37DC3"/>
    <w:rsid w:val="00A425FC"/>
    <w:rsid w:val="00A42C4D"/>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76DFB"/>
    <w:rsid w:val="00A805C2"/>
    <w:rsid w:val="00A806F1"/>
    <w:rsid w:val="00A87BE9"/>
    <w:rsid w:val="00A92409"/>
    <w:rsid w:val="00A9241A"/>
    <w:rsid w:val="00A95893"/>
    <w:rsid w:val="00A963C3"/>
    <w:rsid w:val="00A96F94"/>
    <w:rsid w:val="00AA127F"/>
    <w:rsid w:val="00AA230A"/>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39CA"/>
    <w:rsid w:val="00AE4EB6"/>
    <w:rsid w:val="00AE51EC"/>
    <w:rsid w:val="00AE6E0C"/>
    <w:rsid w:val="00AF1E99"/>
    <w:rsid w:val="00B014C2"/>
    <w:rsid w:val="00B033B8"/>
    <w:rsid w:val="00B0347F"/>
    <w:rsid w:val="00B04FAA"/>
    <w:rsid w:val="00B121E8"/>
    <w:rsid w:val="00B13499"/>
    <w:rsid w:val="00B1662F"/>
    <w:rsid w:val="00B20342"/>
    <w:rsid w:val="00B20D39"/>
    <w:rsid w:val="00B221CA"/>
    <w:rsid w:val="00B25EA3"/>
    <w:rsid w:val="00B274BB"/>
    <w:rsid w:val="00B30133"/>
    <w:rsid w:val="00B37577"/>
    <w:rsid w:val="00B45711"/>
    <w:rsid w:val="00B46B34"/>
    <w:rsid w:val="00B526DC"/>
    <w:rsid w:val="00B5655C"/>
    <w:rsid w:val="00B56EB8"/>
    <w:rsid w:val="00B57637"/>
    <w:rsid w:val="00B57C79"/>
    <w:rsid w:val="00B60083"/>
    <w:rsid w:val="00B60A0A"/>
    <w:rsid w:val="00B60EEC"/>
    <w:rsid w:val="00B6151B"/>
    <w:rsid w:val="00B6155C"/>
    <w:rsid w:val="00B6163A"/>
    <w:rsid w:val="00B62197"/>
    <w:rsid w:val="00B63BE0"/>
    <w:rsid w:val="00B6474E"/>
    <w:rsid w:val="00B65CFA"/>
    <w:rsid w:val="00B70F42"/>
    <w:rsid w:val="00B74BCA"/>
    <w:rsid w:val="00B756EA"/>
    <w:rsid w:val="00B75B65"/>
    <w:rsid w:val="00B7774A"/>
    <w:rsid w:val="00B8141A"/>
    <w:rsid w:val="00B81E82"/>
    <w:rsid w:val="00B820E5"/>
    <w:rsid w:val="00B82499"/>
    <w:rsid w:val="00B84C4B"/>
    <w:rsid w:val="00B85C22"/>
    <w:rsid w:val="00B866E5"/>
    <w:rsid w:val="00B9052B"/>
    <w:rsid w:val="00B91EA5"/>
    <w:rsid w:val="00B931D1"/>
    <w:rsid w:val="00B943B1"/>
    <w:rsid w:val="00BA0A22"/>
    <w:rsid w:val="00BA14F4"/>
    <w:rsid w:val="00BA2E9B"/>
    <w:rsid w:val="00BA37BF"/>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2A"/>
    <w:rsid w:val="00BD4752"/>
    <w:rsid w:val="00BD63E9"/>
    <w:rsid w:val="00BE0EC8"/>
    <w:rsid w:val="00BE25AA"/>
    <w:rsid w:val="00BE4892"/>
    <w:rsid w:val="00BE649D"/>
    <w:rsid w:val="00BE6E9C"/>
    <w:rsid w:val="00BF13E2"/>
    <w:rsid w:val="00BF249C"/>
    <w:rsid w:val="00BF2F17"/>
    <w:rsid w:val="00BF4361"/>
    <w:rsid w:val="00BF6568"/>
    <w:rsid w:val="00C02217"/>
    <w:rsid w:val="00C044F2"/>
    <w:rsid w:val="00C11C6A"/>
    <w:rsid w:val="00C16A63"/>
    <w:rsid w:val="00C16F7D"/>
    <w:rsid w:val="00C1739F"/>
    <w:rsid w:val="00C20A0F"/>
    <w:rsid w:val="00C20EF9"/>
    <w:rsid w:val="00C21A1E"/>
    <w:rsid w:val="00C24F0A"/>
    <w:rsid w:val="00C2504B"/>
    <w:rsid w:val="00C25337"/>
    <w:rsid w:val="00C27BB9"/>
    <w:rsid w:val="00C307D2"/>
    <w:rsid w:val="00C31A26"/>
    <w:rsid w:val="00C327A5"/>
    <w:rsid w:val="00C32F05"/>
    <w:rsid w:val="00C33F2C"/>
    <w:rsid w:val="00C34377"/>
    <w:rsid w:val="00C34941"/>
    <w:rsid w:val="00C372FD"/>
    <w:rsid w:val="00C37B14"/>
    <w:rsid w:val="00C40FDA"/>
    <w:rsid w:val="00C44943"/>
    <w:rsid w:val="00C44C95"/>
    <w:rsid w:val="00C4549D"/>
    <w:rsid w:val="00C45AB4"/>
    <w:rsid w:val="00C5082A"/>
    <w:rsid w:val="00C52C5E"/>
    <w:rsid w:val="00C5549D"/>
    <w:rsid w:val="00C61BDC"/>
    <w:rsid w:val="00C61FF9"/>
    <w:rsid w:val="00C627A2"/>
    <w:rsid w:val="00C633D4"/>
    <w:rsid w:val="00C65525"/>
    <w:rsid w:val="00C6637E"/>
    <w:rsid w:val="00C67E3F"/>
    <w:rsid w:val="00C7152A"/>
    <w:rsid w:val="00C728A7"/>
    <w:rsid w:val="00C7500F"/>
    <w:rsid w:val="00C751EA"/>
    <w:rsid w:val="00C75A4F"/>
    <w:rsid w:val="00C772EA"/>
    <w:rsid w:val="00C8212B"/>
    <w:rsid w:val="00C83342"/>
    <w:rsid w:val="00C83591"/>
    <w:rsid w:val="00C83878"/>
    <w:rsid w:val="00C84027"/>
    <w:rsid w:val="00C85068"/>
    <w:rsid w:val="00C86127"/>
    <w:rsid w:val="00C86CDD"/>
    <w:rsid w:val="00C8799F"/>
    <w:rsid w:val="00C87B1B"/>
    <w:rsid w:val="00C906FA"/>
    <w:rsid w:val="00C93C55"/>
    <w:rsid w:val="00C95C61"/>
    <w:rsid w:val="00C95CFC"/>
    <w:rsid w:val="00C9779A"/>
    <w:rsid w:val="00C97C3E"/>
    <w:rsid w:val="00C97F6E"/>
    <w:rsid w:val="00CA0169"/>
    <w:rsid w:val="00CA0B16"/>
    <w:rsid w:val="00CA0E9F"/>
    <w:rsid w:val="00CA181C"/>
    <w:rsid w:val="00CA26C7"/>
    <w:rsid w:val="00CA34C6"/>
    <w:rsid w:val="00CA4ADF"/>
    <w:rsid w:val="00CA6526"/>
    <w:rsid w:val="00CA7E59"/>
    <w:rsid w:val="00CB1829"/>
    <w:rsid w:val="00CB189E"/>
    <w:rsid w:val="00CB19CB"/>
    <w:rsid w:val="00CB204F"/>
    <w:rsid w:val="00CB45B6"/>
    <w:rsid w:val="00CB5D7B"/>
    <w:rsid w:val="00CB6882"/>
    <w:rsid w:val="00CB7A76"/>
    <w:rsid w:val="00CC1D5F"/>
    <w:rsid w:val="00CC2408"/>
    <w:rsid w:val="00CC4F60"/>
    <w:rsid w:val="00CC76C2"/>
    <w:rsid w:val="00CD40FD"/>
    <w:rsid w:val="00CD4E1C"/>
    <w:rsid w:val="00CE09F6"/>
    <w:rsid w:val="00CE128B"/>
    <w:rsid w:val="00CE46A5"/>
    <w:rsid w:val="00CF0131"/>
    <w:rsid w:val="00CF05DA"/>
    <w:rsid w:val="00CF370C"/>
    <w:rsid w:val="00CF4D9E"/>
    <w:rsid w:val="00CF50F6"/>
    <w:rsid w:val="00CF5C7C"/>
    <w:rsid w:val="00D0079F"/>
    <w:rsid w:val="00D03BE9"/>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765E4"/>
    <w:rsid w:val="00D7741F"/>
    <w:rsid w:val="00D8286C"/>
    <w:rsid w:val="00D83021"/>
    <w:rsid w:val="00D94B9B"/>
    <w:rsid w:val="00D94F4A"/>
    <w:rsid w:val="00DA0A55"/>
    <w:rsid w:val="00DA33A5"/>
    <w:rsid w:val="00DA3D82"/>
    <w:rsid w:val="00DA4F89"/>
    <w:rsid w:val="00DA61A3"/>
    <w:rsid w:val="00DA6973"/>
    <w:rsid w:val="00DA775F"/>
    <w:rsid w:val="00DB0477"/>
    <w:rsid w:val="00DB1642"/>
    <w:rsid w:val="00DB28DC"/>
    <w:rsid w:val="00DB35ED"/>
    <w:rsid w:val="00DB7168"/>
    <w:rsid w:val="00DC0A98"/>
    <w:rsid w:val="00DC1068"/>
    <w:rsid w:val="00DC2009"/>
    <w:rsid w:val="00DC27BB"/>
    <w:rsid w:val="00DC2AFF"/>
    <w:rsid w:val="00DC3586"/>
    <w:rsid w:val="00DC614F"/>
    <w:rsid w:val="00DC7ACA"/>
    <w:rsid w:val="00DC7B14"/>
    <w:rsid w:val="00DD0266"/>
    <w:rsid w:val="00DD21C0"/>
    <w:rsid w:val="00DD42C2"/>
    <w:rsid w:val="00DD5665"/>
    <w:rsid w:val="00DE01CE"/>
    <w:rsid w:val="00DE0762"/>
    <w:rsid w:val="00DE67FC"/>
    <w:rsid w:val="00DF00C1"/>
    <w:rsid w:val="00DF05BB"/>
    <w:rsid w:val="00DF0637"/>
    <w:rsid w:val="00DF0A7E"/>
    <w:rsid w:val="00DF4BCE"/>
    <w:rsid w:val="00E00806"/>
    <w:rsid w:val="00E03A78"/>
    <w:rsid w:val="00E07DF2"/>
    <w:rsid w:val="00E147E0"/>
    <w:rsid w:val="00E14EB7"/>
    <w:rsid w:val="00E22906"/>
    <w:rsid w:val="00E22D5A"/>
    <w:rsid w:val="00E22EBE"/>
    <w:rsid w:val="00E237AA"/>
    <w:rsid w:val="00E25884"/>
    <w:rsid w:val="00E26606"/>
    <w:rsid w:val="00E26AAA"/>
    <w:rsid w:val="00E3385D"/>
    <w:rsid w:val="00E360B7"/>
    <w:rsid w:val="00E43842"/>
    <w:rsid w:val="00E44062"/>
    <w:rsid w:val="00E4416C"/>
    <w:rsid w:val="00E45FE7"/>
    <w:rsid w:val="00E4699A"/>
    <w:rsid w:val="00E51BA8"/>
    <w:rsid w:val="00E51BE9"/>
    <w:rsid w:val="00E52FCD"/>
    <w:rsid w:val="00E54741"/>
    <w:rsid w:val="00E56A1F"/>
    <w:rsid w:val="00E5743D"/>
    <w:rsid w:val="00E606B4"/>
    <w:rsid w:val="00E62150"/>
    <w:rsid w:val="00E6447F"/>
    <w:rsid w:val="00E65F36"/>
    <w:rsid w:val="00E65F64"/>
    <w:rsid w:val="00E671E2"/>
    <w:rsid w:val="00E70B81"/>
    <w:rsid w:val="00E73425"/>
    <w:rsid w:val="00E73C02"/>
    <w:rsid w:val="00E76104"/>
    <w:rsid w:val="00E7628E"/>
    <w:rsid w:val="00E77577"/>
    <w:rsid w:val="00E8006C"/>
    <w:rsid w:val="00E90C7E"/>
    <w:rsid w:val="00E921F7"/>
    <w:rsid w:val="00E9274F"/>
    <w:rsid w:val="00EA0986"/>
    <w:rsid w:val="00EA2820"/>
    <w:rsid w:val="00EA6137"/>
    <w:rsid w:val="00EB03F5"/>
    <w:rsid w:val="00EB263C"/>
    <w:rsid w:val="00EB4862"/>
    <w:rsid w:val="00EB760E"/>
    <w:rsid w:val="00EC09FD"/>
    <w:rsid w:val="00EC1C10"/>
    <w:rsid w:val="00EC1CD1"/>
    <w:rsid w:val="00EC4103"/>
    <w:rsid w:val="00ED175B"/>
    <w:rsid w:val="00ED29AD"/>
    <w:rsid w:val="00ED377B"/>
    <w:rsid w:val="00ED49F3"/>
    <w:rsid w:val="00ED683B"/>
    <w:rsid w:val="00EE35DE"/>
    <w:rsid w:val="00EE4E64"/>
    <w:rsid w:val="00EE4FC3"/>
    <w:rsid w:val="00EF26A5"/>
    <w:rsid w:val="00EF335B"/>
    <w:rsid w:val="00EF4B50"/>
    <w:rsid w:val="00EF662A"/>
    <w:rsid w:val="00EF6CB9"/>
    <w:rsid w:val="00EF6E5B"/>
    <w:rsid w:val="00EF7435"/>
    <w:rsid w:val="00EF7A99"/>
    <w:rsid w:val="00F017F1"/>
    <w:rsid w:val="00F02F53"/>
    <w:rsid w:val="00F10EB1"/>
    <w:rsid w:val="00F12786"/>
    <w:rsid w:val="00F14553"/>
    <w:rsid w:val="00F154DF"/>
    <w:rsid w:val="00F15932"/>
    <w:rsid w:val="00F16354"/>
    <w:rsid w:val="00F1704E"/>
    <w:rsid w:val="00F17FB6"/>
    <w:rsid w:val="00F20476"/>
    <w:rsid w:val="00F20A3B"/>
    <w:rsid w:val="00F20C84"/>
    <w:rsid w:val="00F210C4"/>
    <w:rsid w:val="00F213B5"/>
    <w:rsid w:val="00F2244C"/>
    <w:rsid w:val="00F22471"/>
    <w:rsid w:val="00F23AB0"/>
    <w:rsid w:val="00F24053"/>
    <w:rsid w:val="00F25271"/>
    <w:rsid w:val="00F25DD3"/>
    <w:rsid w:val="00F27161"/>
    <w:rsid w:val="00F33C48"/>
    <w:rsid w:val="00F33E2D"/>
    <w:rsid w:val="00F45FC6"/>
    <w:rsid w:val="00F52FB8"/>
    <w:rsid w:val="00F53CB4"/>
    <w:rsid w:val="00F543D6"/>
    <w:rsid w:val="00F55D66"/>
    <w:rsid w:val="00F573E5"/>
    <w:rsid w:val="00F601D6"/>
    <w:rsid w:val="00F60C28"/>
    <w:rsid w:val="00F6177A"/>
    <w:rsid w:val="00F64547"/>
    <w:rsid w:val="00F65DC0"/>
    <w:rsid w:val="00F65EC5"/>
    <w:rsid w:val="00F67545"/>
    <w:rsid w:val="00F722C5"/>
    <w:rsid w:val="00F73E4D"/>
    <w:rsid w:val="00F73FBF"/>
    <w:rsid w:val="00F768B2"/>
    <w:rsid w:val="00F80221"/>
    <w:rsid w:val="00F81BA5"/>
    <w:rsid w:val="00F82D25"/>
    <w:rsid w:val="00F84DC9"/>
    <w:rsid w:val="00F86F4B"/>
    <w:rsid w:val="00F90307"/>
    <w:rsid w:val="00F91217"/>
    <w:rsid w:val="00F9294A"/>
    <w:rsid w:val="00F92A3D"/>
    <w:rsid w:val="00F97A74"/>
    <w:rsid w:val="00FA2DB4"/>
    <w:rsid w:val="00FA371D"/>
    <w:rsid w:val="00FA59B7"/>
    <w:rsid w:val="00FA6053"/>
    <w:rsid w:val="00FA6507"/>
    <w:rsid w:val="00FA6DB0"/>
    <w:rsid w:val="00FA7C2F"/>
    <w:rsid w:val="00FB0E25"/>
    <w:rsid w:val="00FB18C1"/>
    <w:rsid w:val="00FB4555"/>
    <w:rsid w:val="00FB553F"/>
    <w:rsid w:val="00FC02DA"/>
    <w:rsid w:val="00FC4CC7"/>
    <w:rsid w:val="00FC5AC6"/>
    <w:rsid w:val="00FD3BBA"/>
    <w:rsid w:val="00FD4326"/>
    <w:rsid w:val="00FD7D7A"/>
    <w:rsid w:val="00FE2734"/>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4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31576902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669911183">
      <w:bodyDiv w:val="1"/>
      <w:marLeft w:val="0"/>
      <w:marRight w:val="0"/>
      <w:marTop w:val="0"/>
      <w:marBottom w:val="0"/>
      <w:divBdr>
        <w:top w:val="none" w:sz="0" w:space="0" w:color="auto"/>
        <w:left w:val="none" w:sz="0" w:space="0" w:color="auto"/>
        <w:bottom w:val="none" w:sz="0" w:space="0" w:color="auto"/>
        <w:right w:val="none" w:sz="0" w:space="0" w:color="auto"/>
      </w:divBdr>
    </w:div>
    <w:div w:id="891040985">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689595867">
      <w:bodyDiv w:val="1"/>
      <w:marLeft w:val="0"/>
      <w:marRight w:val="0"/>
      <w:marTop w:val="0"/>
      <w:marBottom w:val="0"/>
      <w:divBdr>
        <w:top w:val="none" w:sz="0" w:space="0" w:color="auto"/>
        <w:left w:val="none" w:sz="0" w:space="0" w:color="auto"/>
        <w:bottom w:val="none" w:sz="0" w:space="0" w:color="auto"/>
        <w:right w:val="none" w:sz="0" w:space="0" w:color="auto"/>
      </w:divBdr>
    </w:div>
    <w:div w:id="1780568571">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Elina.Dlohi@em.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23F8-60B3-4639-A26B-AA67235F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2664</Words>
  <Characters>18623</Characters>
  <Application>Microsoft Office Word</Application>
  <DocSecurity>0</DocSecurity>
  <Lines>716</Lines>
  <Paragraphs>226</Paragraphs>
  <ScaleCrop>false</ScaleCrop>
  <HeadingPairs>
    <vt:vector size="2" baseType="variant">
      <vt:variant>
        <vt:lpstr>Title</vt:lpstr>
      </vt:variant>
      <vt:variant>
        <vt:i4>1</vt:i4>
      </vt:variant>
    </vt:vector>
  </HeadingPairs>
  <TitlesOfParts>
    <vt:vector size="1" baseType="lpstr">
      <vt:lpstr>Ministru kabineta noteikumu projekta „G„Grozījumi Ministru kabineta 2009.gada 15.septembra noteikumos Nr.1065 „Noteikumi par aizdevumiem sīko (mikro), mazo un vidējo saimnieciskās darbības veicēju un lauksaimniecības pakalpojumu kooperatīvo sabiedrību att</vt:lpstr>
    </vt:vector>
  </TitlesOfParts>
  <Company>LR Ekonomikas ministrija</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15.septembra noteikumos Nr.1065 „Noteikumi par aizdevumiem sīko (mikro), mazo un vidējo saimnieciskās darbības veicēju un lauksaimniecības pakalpojumu kooperatīvo sabiedrību attīstības veicināšanai" ietvaros”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18</cp:revision>
  <cp:lastPrinted>2014-07-08T08:51:00Z</cp:lastPrinted>
  <dcterms:created xsi:type="dcterms:W3CDTF">2014-05-29T10:30:00Z</dcterms:created>
  <dcterms:modified xsi:type="dcterms:W3CDTF">2014-07-08T08:51:00Z</dcterms:modified>
</cp:coreProperties>
</file>