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CB" w:rsidRPr="00FB1F5C" w:rsidRDefault="00A31BCB" w:rsidP="00A31BCB">
      <w:pPr>
        <w:ind w:firstLine="720"/>
        <w:jc w:val="center"/>
        <w:rPr>
          <w:b/>
          <w:sz w:val="28"/>
          <w:szCs w:val="28"/>
        </w:rPr>
      </w:pPr>
      <w:bookmarkStart w:id="0" w:name="OLE_LINK7"/>
      <w:bookmarkStart w:id="1" w:name="OLE_LINK6"/>
      <w:r w:rsidRPr="00FB1F5C">
        <w:rPr>
          <w:b/>
          <w:sz w:val="28"/>
          <w:szCs w:val="28"/>
        </w:rPr>
        <w:t xml:space="preserve">Ministru kabineta </w:t>
      </w:r>
      <w:r w:rsidRPr="00FB1F5C">
        <w:rPr>
          <w:b/>
          <w:bCs/>
          <w:sz w:val="28"/>
          <w:szCs w:val="28"/>
        </w:rPr>
        <w:t xml:space="preserve">noteikumu </w:t>
      </w:r>
      <w:r w:rsidR="00CD3C60" w:rsidRPr="00FB1F5C">
        <w:rPr>
          <w:b/>
          <w:bCs/>
          <w:sz w:val="28"/>
          <w:szCs w:val="28"/>
        </w:rPr>
        <w:t xml:space="preserve">projekta </w:t>
      </w:r>
      <w:r w:rsidR="007F33F8" w:rsidRPr="00FB1F5C">
        <w:rPr>
          <w:b/>
          <w:bCs/>
          <w:sz w:val="28"/>
          <w:szCs w:val="28"/>
        </w:rPr>
        <w:t>„Grozījumi Ministru kabineta 2011.gada 22.februāra</w:t>
      </w:r>
      <w:r w:rsidRPr="00FB1F5C">
        <w:rPr>
          <w:b/>
          <w:bCs/>
          <w:sz w:val="28"/>
          <w:szCs w:val="28"/>
        </w:rPr>
        <w:t xml:space="preserve"> noteikumos Nr.</w:t>
      </w:r>
      <w:r w:rsidR="007F33F8" w:rsidRPr="00FB1F5C">
        <w:rPr>
          <w:b/>
          <w:bCs/>
          <w:sz w:val="28"/>
          <w:szCs w:val="28"/>
        </w:rPr>
        <w:t>136</w:t>
      </w:r>
      <w:r w:rsidRPr="00FB1F5C">
        <w:rPr>
          <w:b/>
          <w:bCs/>
          <w:sz w:val="28"/>
          <w:szCs w:val="28"/>
        </w:rPr>
        <w:t xml:space="preserve"> „</w:t>
      </w:r>
      <w:r w:rsidR="007F33F8" w:rsidRPr="00FB1F5C">
        <w:rPr>
          <w:b/>
          <w:bCs/>
          <w:sz w:val="28"/>
          <w:szCs w:val="28"/>
        </w:rPr>
        <w:t>Noteikumi par brīvdienu mītnes ilgtermiņa lietošanas tiesību līgumu, brīvdienu pakalpojumu ilgtermiņa līgumu, brīvdienu mītnes ilgtermiņa lietošanas tiesību vai brīvdienu pakalpojumu tālākpārdošanas līgumu un brīvdienu mītnes ilgtermiņa tiesību apmaiņas līgumu”</w:t>
      </w:r>
      <w:r w:rsidRPr="00FB1F5C">
        <w:rPr>
          <w:b/>
          <w:sz w:val="28"/>
          <w:szCs w:val="28"/>
        </w:rPr>
        <w:t xml:space="preserve">” </w:t>
      </w:r>
      <w:bookmarkEnd w:id="0"/>
      <w:bookmarkEnd w:id="1"/>
      <w:r w:rsidRPr="00FB1F5C">
        <w:rPr>
          <w:b/>
          <w:sz w:val="28"/>
          <w:szCs w:val="28"/>
        </w:rPr>
        <w:t xml:space="preserve">sākotnējās ietekmes novērtējuma </w:t>
      </w:r>
    </w:p>
    <w:p w:rsidR="00A31BCB" w:rsidRPr="00FB1F5C" w:rsidRDefault="00A31BCB" w:rsidP="00A31BCB">
      <w:pPr>
        <w:ind w:firstLine="720"/>
        <w:jc w:val="center"/>
        <w:rPr>
          <w:b/>
          <w:sz w:val="28"/>
          <w:szCs w:val="28"/>
        </w:rPr>
      </w:pPr>
      <w:r w:rsidRPr="00FB1F5C">
        <w:rPr>
          <w:b/>
          <w:sz w:val="28"/>
          <w:szCs w:val="28"/>
        </w:rPr>
        <w:t>ziņojums (anotācija)</w:t>
      </w:r>
    </w:p>
    <w:p w:rsidR="00A31BCB" w:rsidRPr="00FB1F5C" w:rsidRDefault="00A31BCB" w:rsidP="00A31BCB">
      <w:pPr>
        <w:ind w:firstLine="720"/>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B1F5C" w:rsidRPr="00FB1F5C" w:rsidTr="00EE5DE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FB1F5C" w:rsidRDefault="00A31BCB" w:rsidP="00EE5DE0">
            <w:pPr>
              <w:ind w:firstLine="300"/>
              <w:jc w:val="center"/>
              <w:rPr>
                <w:b/>
                <w:bCs/>
                <w:sz w:val="26"/>
                <w:szCs w:val="26"/>
                <w:lang w:eastAsia="lv-LV"/>
              </w:rPr>
            </w:pPr>
            <w:r w:rsidRPr="00FB1F5C">
              <w:rPr>
                <w:b/>
                <w:bCs/>
                <w:sz w:val="26"/>
                <w:szCs w:val="26"/>
                <w:lang w:eastAsia="lv-LV"/>
              </w:rPr>
              <w:t>I. Tiesību akta projekta izstrādes nepieciešamība</w:t>
            </w:r>
          </w:p>
        </w:tc>
      </w:tr>
      <w:tr w:rsidR="00FB1F5C" w:rsidRPr="00FB1F5C" w:rsidTr="00EE5DE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jc w:val="both"/>
              <w:rPr>
                <w:iCs/>
                <w:sz w:val="26"/>
                <w:szCs w:val="26"/>
              </w:rPr>
            </w:pPr>
            <w:r w:rsidRPr="00FB1F5C">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jc w:val="both"/>
              <w:rPr>
                <w:iCs/>
                <w:sz w:val="26"/>
                <w:szCs w:val="26"/>
              </w:rPr>
            </w:pPr>
            <w:r w:rsidRPr="00FB1F5C">
              <w:rPr>
                <w:iCs/>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F33F8" w:rsidRPr="00FB1F5C" w:rsidRDefault="000875AB" w:rsidP="0084765E">
            <w:pPr>
              <w:pStyle w:val="naisf"/>
              <w:spacing w:before="0" w:after="0"/>
              <w:ind w:left="70" w:firstLine="425"/>
              <w:jc w:val="both"/>
              <w:rPr>
                <w:sz w:val="26"/>
                <w:szCs w:val="26"/>
              </w:rPr>
            </w:pPr>
            <w:r w:rsidRPr="00FB1F5C">
              <w:rPr>
                <w:sz w:val="26"/>
                <w:szCs w:val="26"/>
              </w:rPr>
              <w:t xml:space="preserve">Latvijas Republika no Eiropas Komisijas saņēma informācijas pieprasījumu EU Pilot lietā </w:t>
            </w:r>
            <w:proofErr w:type="spellStart"/>
            <w:r w:rsidRPr="00FB1F5C">
              <w:rPr>
                <w:sz w:val="26"/>
                <w:szCs w:val="26"/>
              </w:rPr>
              <w:t>Nr</w:t>
            </w:r>
            <w:proofErr w:type="spellEnd"/>
            <w:r w:rsidRPr="00FB1F5C">
              <w:rPr>
                <w:sz w:val="26"/>
                <w:szCs w:val="26"/>
              </w:rPr>
              <w:t xml:space="preserve">. 5408/13/JUST par Eiropas Parlamenta un Padomes 2009.gada 14.janvāra direktīvas 2008/122/EK par </w:t>
            </w:r>
            <w:r w:rsidRPr="00FB1F5C">
              <w:rPr>
                <w:i/>
                <w:sz w:val="26"/>
                <w:szCs w:val="26"/>
              </w:rPr>
              <w:t xml:space="preserve">patērētāju aizsardzību attiecībā uz dažiem aspektiem, kas saistīti ar </w:t>
            </w:r>
            <w:proofErr w:type="spellStart"/>
            <w:r w:rsidRPr="00FB1F5C">
              <w:rPr>
                <w:i/>
                <w:sz w:val="26"/>
                <w:szCs w:val="26"/>
              </w:rPr>
              <w:t>daļlaika</w:t>
            </w:r>
            <w:proofErr w:type="spellEnd"/>
            <w:r w:rsidRPr="00FB1F5C">
              <w:rPr>
                <w:i/>
                <w:sz w:val="26"/>
                <w:szCs w:val="26"/>
              </w:rPr>
              <w:t xml:space="preserve"> lietojuma tiesībām, ilgtermiņa brīvdienu produktiem, tālākpārdošanas un apmaiņas līgumiem</w:t>
            </w:r>
            <w:r w:rsidRPr="00FB1F5C">
              <w:rPr>
                <w:sz w:val="26"/>
                <w:szCs w:val="26"/>
              </w:rPr>
              <w:t xml:space="preserve"> (turpmāk – direktīva 2008/122/EK) transponēšanu un ieviešanu Latvijā. </w:t>
            </w:r>
            <w:r w:rsidR="0084765E">
              <w:rPr>
                <w:sz w:val="26"/>
                <w:szCs w:val="26"/>
              </w:rPr>
              <w:t xml:space="preserve">Atbildes vēstulē Latvijas Republika piekrita Eiropas Komisijas norādītajam par nepilnīgu direktīvas ieviešanu. </w:t>
            </w:r>
            <w:r w:rsidR="004B36EC" w:rsidRPr="00FB1F5C">
              <w:rPr>
                <w:sz w:val="26"/>
                <w:szCs w:val="26"/>
              </w:rPr>
              <w:t xml:space="preserve">Ministru kabineta noteikumu projekts izstrādāts, lai pilnībā ieviestu Latvijas Republikas tiesību aktos </w:t>
            </w:r>
            <w:r w:rsidRPr="00FB1F5C">
              <w:rPr>
                <w:sz w:val="26"/>
                <w:szCs w:val="26"/>
              </w:rPr>
              <w:t>D</w:t>
            </w:r>
            <w:r w:rsidR="004B36EC" w:rsidRPr="00FB1F5C">
              <w:rPr>
                <w:sz w:val="26"/>
                <w:szCs w:val="26"/>
              </w:rPr>
              <w:t>irektīvas 2008/122/EK</w:t>
            </w:r>
            <w:r w:rsidR="004B36EC" w:rsidRPr="00FB1F5C">
              <w:rPr>
                <w:b/>
                <w:bCs/>
                <w:sz w:val="26"/>
                <w:szCs w:val="26"/>
              </w:rPr>
              <w:t xml:space="preserve"> </w:t>
            </w:r>
            <w:r w:rsidR="004B36EC" w:rsidRPr="00FB1F5C">
              <w:rPr>
                <w:sz w:val="26"/>
                <w:szCs w:val="26"/>
              </w:rPr>
              <w:t xml:space="preserve"> normas.</w:t>
            </w:r>
          </w:p>
        </w:tc>
      </w:tr>
      <w:tr w:rsidR="00FB1F5C" w:rsidRPr="00FB1F5C"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jc w:val="both"/>
              <w:rPr>
                <w:iCs/>
                <w:sz w:val="26"/>
                <w:szCs w:val="26"/>
              </w:rPr>
            </w:pPr>
            <w:r w:rsidRPr="00FB1F5C">
              <w:rPr>
                <w:iCs/>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jc w:val="both"/>
              <w:rPr>
                <w:iCs/>
                <w:sz w:val="26"/>
                <w:szCs w:val="26"/>
              </w:rPr>
            </w:pPr>
            <w:r w:rsidRPr="00FB1F5C">
              <w:rPr>
                <w:iCs/>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1A4D31" w:rsidRDefault="004B36EC" w:rsidP="001A4D31">
            <w:pPr>
              <w:pStyle w:val="naisf"/>
              <w:spacing w:before="0" w:after="0"/>
              <w:ind w:left="70" w:right="23"/>
              <w:jc w:val="both"/>
              <w:rPr>
                <w:sz w:val="26"/>
                <w:szCs w:val="26"/>
              </w:rPr>
            </w:pPr>
            <w:r w:rsidRPr="00851A8B">
              <w:rPr>
                <w:sz w:val="26"/>
                <w:szCs w:val="26"/>
              </w:rPr>
              <w:t xml:space="preserve">Direktīvas 2008/122/EK normas ir iekļautas Ministru kabineta </w:t>
            </w:r>
            <w:r w:rsidR="00985C5C" w:rsidRPr="00851A8B">
              <w:rPr>
                <w:sz w:val="26"/>
                <w:szCs w:val="26"/>
              </w:rPr>
              <w:t xml:space="preserve">2011.gada 22.februāra noteikumos </w:t>
            </w:r>
            <w:r w:rsidRPr="00851A8B">
              <w:rPr>
                <w:sz w:val="26"/>
                <w:szCs w:val="26"/>
              </w:rPr>
              <w:t>Nr.</w:t>
            </w:r>
            <w:r w:rsidR="00985C5C" w:rsidRPr="00851A8B">
              <w:rPr>
                <w:sz w:val="26"/>
                <w:szCs w:val="26"/>
              </w:rPr>
              <w:t>136</w:t>
            </w:r>
            <w:r w:rsidRPr="00851A8B">
              <w:rPr>
                <w:sz w:val="26"/>
                <w:szCs w:val="26"/>
              </w:rPr>
              <w:t xml:space="preserve"> „</w:t>
            </w:r>
            <w:r w:rsidR="00985C5C" w:rsidRPr="00851A8B">
              <w:rPr>
                <w:sz w:val="26"/>
                <w:szCs w:val="26"/>
              </w:rPr>
              <w:t xml:space="preserve">Noteikumi par brīvdienu mītnes ilgtermiņa lietošanas tiesību </w:t>
            </w:r>
            <w:r w:rsidR="00985C5C" w:rsidRPr="001A4D31">
              <w:rPr>
                <w:sz w:val="26"/>
                <w:szCs w:val="26"/>
              </w:rPr>
              <w:t>līgumu, brīvdienu pakalpojumu ilgtermiņa līgumu, brīvdienu mītnes ilgtermiņa lietošanas tiesību vai brīvdienu pakalpojumu tālākpārdošanas līgumu un brīvdienu mītnes ilgtermiņa tiesību apmaiņas līgumu</w:t>
            </w:r>
            <w:r w:rsidRPr="001A4D31">
              <w:rPr>
                <w:sz w:val="26"/>
                <w:szCs w:val="26"/>
              </w:rPr>
              <w:t>”</w:t>
            </w:r>
            <w:r w:rsidR="002733FA" w:rsidRPr="001A4D31">
              <w:rPr>
                <w:sz w:val="26"/>
                <w:szCs w:val="26"/>
              </w:rPr>
              <w:t xml:space="preserve"> (turpmāk – MK noteikumi Nr.136)</w:t>
            </w:r>
            <w:r w:rsidRPr="001A4D31">
              <w:rPr>
                <w:sz w:val="26"/>
                <w:szCs w:val="26"/>
              </w:rPr>
              <w:t xml:space="preserve">. </w:t>
            </w:r>
            <w:r w:rsidR="002733FA" w:rsidRPr="001A4D31">
              <w:rPr>
                <w:sz w:val="26"/>
                <w:szCs w:val="26"/>
              </w:rPr>
              <w:t>MK noteikumu Nr.136</w:t>
            </w:r>
            <w:r w:rsidRPr="001A4D31">
              <w:rPr>
                <w:sz w:val="26"/>
                <w:szCs w:val="26"/>
              </w:rPr>
              <w:t xml:space="preserve"> pašreizējā redakcij</w:t>
            </w:r>
            <w:r w:rsidR="00454423" w:rsidRPr="001A4D31">
              <w:rPr>
                <w:sz w:val="26"/>
                <w:szCs w:val="26"/>
              </w:rPr>
              <w:t>a</w:t>
            </w:r>
            <w:r w:rsidRPr="001A4D31">
              <w:rPr>
                <w:sz w:val="26"/>
                <w:szCs w:val="26"/>
              </w:rPr>
              <w:t xml:space="preserve"> nenodrošina </w:t>
            </w:r>
            <w:r w:rsidR="002733FA" w:rsidRPr="001A4D31">
              <w:rPr>
                <w:sz w:val="26"/>
                <w:szCs w:val="26"/>
              </w:rPr>
              <w:t xml:space="preserve">pilnīgu </w:t>
            </w:r>
            <w:r w:rsidRPr="001A4D31">
              <w:rPr>
                <w:sz w:val="26"/>
                <w:szCs w:val="26"/>
              </w:rPr>
              <w:t xml:space="preserve">prasību izpildi </w:t>
            </w:r>
            <w:r w:rsidR="000875AB" w:rsidRPr="001A4D31">
              <w:rPr>
                <w:sz w:val="26"/>
                <w:szCs w:val="26"/>
              </w:rPr>
              <w:t xml:space="preserve">attiecībā uz </w:t>
            </w:r>
            <w:r w:rsidR="00454423" w:rsidRPr="001A4D31">
              <w:rPr>
                <w:sz w:val="26"/>
                <w:szCs w:val="26"/>
              </w:rPr>
              <w:t>direktīvas II, III IV un V pielikumu transponēšanu, proti, nepieciešams precizēt pielikumos ietveramo informāciju attiecībā uz tālākpārdošanas līgumiem, apmaiņas līgumiem un standarta informāciju par atteikuma tiesībām – papildinot, svītrojot vai grozot esošo redakciju.</w:t>
            </w:r>
          </w:p>
          <w:p w:rsidR="001A4D31" w:rsidRPr="0012010B" w:rsidRDefault="001A4D31" w:rsidP="001A4D31">
            <w:pPr>
              <w:pStyle w:val="naisf"/>
              <w:spacing w:before="0" w:after="0"/>
              <w:ind w:left="70" w:right="23"/>
              <w:jc w:val="both"/>
              <w:rPr>
                <w:sz w:val="26"/>
                <w:szCs w:val="26"/>
              </w:rPr>
            </w:pPr>
            <w:r w:rsidRPr="001A4D31">
              <w:rPr>
                <w:sz w:val="26"/>
                <w:szCs w:val="26"/>
              </w:rPr>
              <w:t xml:space="preserve">Saskaņā ar Direktīvas 2008/122/EK prasībām, attiecībā uz </w:t>
            </w:r>
            <w:proofErr w:type="spellStart"/>
            <w:r w:rsidRPr="001A4D31">
              <w:rPr>
                <w:sz w:val="26"/>
                <w:szCs w:val="26"/>
              </w:rPr>
              <w:t>daļlaika</w:t>
            </w:r>
            <w:proofErr w:type="spellEnd"/>
            <w:r w:rsidRPr="001A4D31">
              <w:rPr>
                <w:sz w:val="26"/>
                <w:szCs w:val="26"/>
              </w:rPr>
              <w:t xml:space="preserve"> lietojumu tiesībām, ilgtermiņa brīvdienu produktu un apmaiņas līgumiem avansa </w:t>
            </w:r>
            <w:proofErr w:type="spellStart"/>
            <w:r w:rsidRPr="001A4D31">
              <w:rPr>
                <w:sz w:val="26"/>
                <w:szCs w:val="26"/>
              </w:rPr>
              <w:t>u.c.maksājumus</w:t>
            </w:r>
            <w:proofErr w:type="spellEnd"/>
            <w:r w:rsidRPr="001A4D31">
              <w:rPr>
                <w:sz w:val="26"/>
                <w:szCs w:val="26"/>
              </w:rPr>
              <w:t xml:space="preserve"> patērētājam aizliegts pieprasīt </w:t>
            </w:r>
            <w:r w:rsidRPr="001A4D31">
              <w:rPr>
                <w:sz w:val="26"/>
                <w:szCs w:val="26"/>
                <w:u w:val="single"/>
              </w:rPr>
              <w:lastRenderedPageBreak/>
              <w:t>atteikuma tiesību darbības termiņa laikā.</w:t>
            </w:r>
            <w:r w:rsidRPr="001A4D31">
              <w:rPr>
                <w:sz w:val="26"/>
                <w:szCs w:val="26"/>
              </w:rPr>
              <w:t xml:space="preserve"> Savukārt </w:t>
            </w:r>
            <w:r w:rsidRPr="0012010B">
              <w:rPr>
                <w:sz w:val="26"/>
                <w:szCs w:val="26"/>
              </w:rPr>
              <w:t xml:space="preserve">attiecībā uz </w:t>
            </w:r>
            <w:r w:rsidRPr="0012010B">
              <w:rPr>
                <w:sz w:val="26"/>
                <w:szCs w:val="26"/>
                <w:u w:val="single"/>
              </w:rPr>
              <w:t xml:space="preserve">tālākpārdošanas līgumiem, avansa </w:t>
            </w:r>
            <w:proofErr w:type="spellStart"/>
            <w:r w:rsidRPr="0012010B">
              <w:rPr>
                <w:sz w:val="26"/>
                <w:szCs w:val="26"/>
                <w:u w:val="single"/>
              </w:rPr>
              <w:t>u.c.maksājumus</w:t>
            </w:r>
            <w:proofErr w:type="spellEnd"/>
            <w:r w:rsidRPr="0012010B">
              <w:rPr>
                <w:sz w:val="26"/>
                <w:szCs w:val="26"/>
                <w:u w:val="single"/>
              </w:rPr>
              <w:t xml:space="preserve"> patērētājam aizliegts pieprasīt pirms notiek faktiskā pārdošana vai tālākpārdošana</w:t>
            </w:r>
            <w:r w:rsidRPr="0012010B">
              <w:rPr>
                <w:sz w:val="26"/>
                <w:szCs w:val="26"/>
              </w:rPr>
              <w:t xml:space="preserve">. Tālākpārdošanas līgumi attiecas uz </w:t>
            </w:r>
            <w:proofErr w:type="spellStart"/>
            <w:r w:rsidRPr="0012010B">
              <w:rPr>
                <w:sz w:val="26"/>
                <w:szCs w:val="26"/>
              </w:rPr>
              <w:t>daļlaika</w:t>
            </w:r>
            <w:proofErr w:type="spellEnd"/>
            <w:r w:rsidRPr="0012010B">
              <w:rPr>
                <w:sz w:val="26"/>
                <w:szCs w:val="26"/>
              </w:rPr>
              <w:t xml:space="preserve"> lietojuma tiesībām vai ilgtermiņa brīvdienu produktu (turpmāk – „</w:t>
            </w:r>
            <w:proofErr w:type="spellStart"/>
            <w:r w:rsidRPr="0012010B">
              <w:rPr>
                <w:i/>
                <w:sz w:val="26"/>
                <w:szCs w:val="26"/>
              </w:rPr>
              <w:t>timeshare</w:t>
            </w:r>
            <w:proofErr w:type="spellEnd"/>
            <w:r w:rsidRPr="0012010B">
              <w:rPr>
                <w:sz w:val="26"/>
                <w:szCs w:val="26"/>
              </w:rPr>
              <w:t>”).</w:t>
            </w:r>
          </w:p>
          <w:p w:rsidR="0012010B" w:rsidRPr="0012010B" w:rsidRDefault="0012010B" w:rsidP="0012010B">
            <w:pPr>
              <w:pStyle w:val="naisf"/>
              <w:spacing w:before="0" w:after="0"/>
              <w:ind w:left="70" w:right="23"/>
              <w:jc w:val="both"/>
              <w:rPr>
                <w:color w:val="000000"/>
                <w:sz w:val="26"/>
                <w:szCs w:val="26"/>
                <w:shd w:val="clear" w:color="auto" w:fill="FFFFFF"/>
              </w:rPr>
            </w:pPr>
            <w:r w:rsidRPr="0012010B">
              <w:rPr>
                <w:color w:val="000000"/>
                <w:sz w:val="26"/>
                <w:szCs w:val="26"/>
                <w:shd w:val="clear" w:color="auto" w:fill="FFFFFF"/>
              </w:rPr>
              <w:t>Aizliegums veikt avansa maksājumus saistībā ar tālākpārdošanas līgumiem būtu jāattiecina uz laiku līdz brīdim, kamēr nav noslēgts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līgums vai izbeigts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tālākpārdošanas līgums. Piemēram, patērētājs ir nopircis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Spānijā uz 5 gadiem izmantot telpas divas nedēļas vasaras periodā. Ja patērētājs vairs nevēlas sev paturēt savu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xml:space="preserve">” un vēlas to </w:t>
            </w:r>
            <w:proofErr w:type="spellStart"/>
            <w:r w:rsidRPr="0012010B">
              <w:rPr>
                <w:color w:val="000000"/>
                <w:sz w:val="26"/>
                <w:szCs w:val="26"/>
                <w:shd w:val="clear" w:color="auto" w:fill="FFFFFF"/>
              </w:rPr>
              <w:t>tālākpārdot</w:t>
            </w:r>
            <w:proofErr w:type="spellEnd"/>
            <w:r w:rsidRPr="0012010B">
              <w:rPr>
                <w:color w:val="000000"/>
                <w:sz w:val="26"/>
                <w:szCs w:val="26"/>
                <w:shd w:val="clear" w:color="auto" w:fill="FFFFFF"/>
              </w:rPr>
              <w:t>, tas var vienoties ar tirgotāju (mākleri), ka viņa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xml:space="preserve">” tiek </w:t>
            </w:r>
            <w:proofErr w:type="spellStart"/>
            <w:r w:rsidRPr="0012010B">
              <w:rPr>
                <w:color w:val="000000"/>
                <w:sz w:val="26"/>
                <w:szCs w:val="26"/>
                <w:shd w:val="clear" w:color="auto" w:fill="FFFFFF"/>
              </w:rPr>
              <w:t>tālākpārdots</w:t>
            </w:r>
            <w:proofErr w:type="spellEnd"/>
            <w:r w:rsidRPr="0012010B">
              <w:rPr>
                <w:color w:val="000000"/>
                <w:sz w:val="26"/>
                <w:szCs w:val="26"/>
                <w:shd w:val="clear" w:color="auto" w:fill="FFFFFF"/>
              </w:rPr>
              <w:t xml:space="preserve"> kādai citai personai. Proti, kamēr nav noslēgts līgums par „</w:t>
            </w:r>
            <w:proofErr w:type="spellStart"/>
            <w:r w:rsidRPr="0012010B">
              <w:rPr>
                <w:i/>
                <w:color w:val="000000"/>
                <w:sz w:val="26"/>
                <w:szCs w:val="26"/>
                <w:shd w:val="clear" w:color="auto" w:fill="FFFFFF"/>
              </w:rPr>
              <w:t>timeshare</w:t>
            </w:r>
            <w:proofErr w:type="spellEnd"/>
            <w:r w:rsidRPr="0012010B">
              <w:rPr>
                <w:color w:val="000000"/>
                <w:sz w:val="26"/>
                <w:szCs w:val="26"/>
                <w:shd w:val="clear" w:color="auto" w:fill="FFFFFF"/>
              </w:rPr>
              <w:t>” tālākpārdošanu, tirgotājam (māklerim) aizliegts pieprasīt avansu.</w:t>
            </w:r>
          </w:p>
          <w:p w:rsidR="0012010B" w:rsidRPr="0012010B" w:rsidRDefault="0012010B" w:rsidP="0012010B">
            <w:pPr>
              <w:pStyle w:val="naisf"/>
              <w:spacing w:before="0" w:after="0"/>
              <w:ind w:left="70" w:right="23"/>
              <w:rPr>
                <w:color w:val="000000"/>
                <w:sz w:val="26"/>
                <w:szCs w:val="26"/>
                <w:shd w:val="clear" w:color="auto" w:fill="FFFFFF"/>
              </w:rPr>
            </w:pPr>
            <w:r w:rsidRPr="0012010B">
              <w:rPr>
                <w:color w:val="000000"/>
                <w:sz w:val="26"/>
                <w:szCs w:val="26"/>
                <w:shd w:val="clear" w:color="auto" w:fill="FFFFFF"/>
              </w:rPr>
              <w:t>ņemot vērā izteikto iebildumu, piedāvātajā redakcijā ir skaidrots jēdziens „faktiskā pārdošana”, kas ir „brīdis</w:t>
            </w:r>
            <w:r w:rsidRPr="0012010B">
              <w:rPr>
                <w:color w:val="000000"/>
                <w:sz w:val="26"/>
                <w:szCs w:val="26"/>
              </w:rPr>
              <w:t xml:space="preserve">, kad pārdevējs un patērētājs ir vienojušies par būtiskām līguma sastāvdaļām un tiek noslēgts līgums par </w:t>
            </w:r>
            <w:r w:rsidRPr="0012010B">
              <w:rPr>
                <w:sz w:val="26"/>
                <w:szCs w:val="26"/>
              </w:rPr>
              <w:t>brīvdienu mītnes ilgtermiņa lietošanas tiesību vai ilgtermiņa brīvdienu pakalpojumu pārdošanu</w:t>
            </w:r>
            <w:r w:rsidRPr="0012010B">
              <w:rPr>
                <w:color w:val="000000"/>
                <w:sz w:val="26"/>
                <w:szCs w:val="26"/>
                <w:shd w:val="clear" w:color="auto" w:fill="FFFFFF"/>
              </w:rPr>
              <w:t xml:space="preserve">”. </w:t>
            </w:r>
          </w:p>
          <w:p w:rsidR="0045009D" w:rsidRPr="00851A8B" w:rsidRDefault="0012010B" w:rsidP="0045009D">
            <w:pPr>
              <w:pStyle w:val="naisc"/>
              <w:spacing w:before="0" w:after="0"/>
              <w:jc w:val="both"/>
              <w:rPr>
                <w:sz w:val="26"/>
                <w:szCs w:val="26"/>
              </w:rPr>
            </w:pPr>
            <w:r w:rsidRPr="0012010B">
              <w:rPr>
                <w:sz w:val="26"/>
                <w:szCs w:val="26"/>
              </w:rPr>
              <w:t>Attiecībā par Direktīvas 2008/122/EK pārņemšanu, Latvija no Eiropas Komisijas (turpmāk – EK) saņēma Pilot lietu par neprecīzu direktīvas III pielikuma  (Tālākpārdošanas līgumi) 2.daļas otrā rindkopas pārņemšanu.</w:t>
            </w:r>
            <w:r w:rsidRPr="0012010B">
              <w:rPr>
                <w:b/>
                <w:sz w:val="26"/>
                <w:szCs w:val="26"/>
              </w:rPr>
              <w:t xml:space="preserve"> </w:t>
            </w:r>
            <w:r w:rsidRPr="0012010B">
              <w:rPr>
                <w:sz w:val="26"/>
                <w:szCs w:val="26"/>
              </w:rPr>
              <w:t xml:space="preserve">Latvijas iestādes norādīja, ka EK iebildums ir pamatots un apņēmās veikt grozījumus </w:t>
            </w:r>
            <w:r w:rsidRPr="0012010B">
              <w:rPr>
                <w:noProof/>
                <w:sz w:val="26"/>
                <w:szCs w:val="26"/>
              </w:rPr>
              <w:t xml:space="preserve">MK noteikumos Nr.136 3.pielikumā nosakot, ka avansa maksājumi ir aizliegti, kamēr nav notikusi faktiskā pārdošana vai tālākpārdošanas līgums ir izbeigts citā veidā un tādā veidā precīzi pārņemot direktīvas 2008/122/EK prasības. Ievērojot Tieslietu ministrijas izteikto iebildumu, Ekonomikas ministrija informēs Eiropas Komisiju par izmaiņām saistībā ar </w:t>
            </w:r>
            <w:r w:rsidRPr="0012010B">
              <w:rPr>
                <w:sz w:val="26"/>
                <w:szCs w:val="26"/>
              </w:rPr>
              <w:t>direktīvas III pielikuma  (Tālākpārdošanas līgumi) 2.daļas otrā rindkopas pārņemšanu.</w:t>
            </w:r>
            <w:r w:rsidRPr="0012010B">
              <w:rPr>
                <w:noProof/>
                <w:sz w:val="26"/>
                <w:szCs w:val="26"/>
              </w:rPr>
              <w:t xml:space="preserve">  Atbildes vēstulē Eiropas Komsiijai tika minēts, ka </w:t>
            </w:r>
            <w:r w:rsidRPr="0012010B">
              <w:rPr>
                <w:sz w:val="26"/>
                <w:szCs w:val="26"/>
              </w:rPr>
              <w:t xml:space="preserve">Grozījumi MK noteikumos Nr.136 tiks iesniegti un apstiprināti </w:t>
            </w:r>
            <w:r w:rsidRPr="0012010B">
              <w:rPr>
                <w:sz w:val="26"/>
                <w:szCs w:val="26"/>
              </w:rPr>
              <w:lastRenderedPageBreak/>
              <w:t>Ministru kabinetā līdz 2014.gada jūnijam.</w:t>
            </w:r>
            <w:r w:rsidR="0045009D" w:rsidRPr="001E1D6D">
              <w:rPr>
                <w:b/>
                <w:sz w:val="26"/>
                <w:szCs w:val="26"/>
              </w:rPr>
              <w:t xml:space="preserve"> </w:t>
            </w:r>
            <w:r w:rsidR="0045009D" w:rsidRPr="0045009D">
              <w:rPr>
                <w:rStyle w:val="logpropertydata"/>
                <w:sz w:val="26"/>
                <w:szCs w:val="26"/>
              </w:rPr>
              <w:t xml:space="preserve">2014.gada 30.jūnijā Latvijas Republika no Eiropas Komisijas saņēma papildus komentāru par Pilot lietu Nr.5408/13/JUST ar lūgumu  četru nedēļu laikā Komisijai iesniegt apstiprinātu normatīvā akta redakciju, proti, līdz 2014.gada 31.jūlijam. </w:t>
            </w:r>
            <w:r w:rsidR="0045009D" w:rsidRPr="0045009D">
              <w:rPr>
                <w:sz w:val="26"/>
                <w:szCs w:val="26"/>
              </w:rPr>
              <w:t xml:space="preserve"> </w:t>
            </w:r>
          </w:p>
        </w:tc>
      </w:tr>
      <w:tr w:rsidR="00FB1F5C" w:rsidRPr="00FB1F5C"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851A8B" w:rsidRDefault="0084765E" w:rsidP="007E35FF">
            <w:pPr>
              <w:rPr>
                <w:iCs/>
                <w:sz w:val="26"/>
                <w:szCs w:val="26"/>
              </w:rPr>
            </w:pPr>
            <w:r w:rsidRPr="00851A8B">
              <w:rPr>
                <w:iCs/>
                <w:sz w:val="26"/>
                <w:szCs w:val="26"/>
              </w:rPr>
              <w:t>Patērētāju tiesību aizsardzības centrs.</w:t>
            </w:r>
          </w:p>
        </w:tc>
      </w:tr>
      <w:tr w:rsidR="00FB1F5C" w:rsidRPr="00FB1F5C" w:rsidTr="00EE5DE0">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851A8B" w:rsidRDefault="00DB48D0" w:rsidP="00A47F41">
            <w:pPr>
              <w:jc w:val="both"/>
              <w:rPr>
                <w:iCs/>
                <w:sz w:val="26"/>
                <w:szCs w:val="26"/>
              </w:rPr>
            </w:pPr>
            <w:r w:rsidRPr="00851A8B">
              <w:rPr>
                <w:iCs/>
                <w:sz w:val="26"/>
                <w:szCs w:val="26"/>
              </w:rPr>
              <w:t>Nav</w:t>
            </w:r>
            <w:r w:rsidR="001125F0" w:rsidRPr="00851A8B">
              <w:rPr>
                <w:iCs/>
                <w:sz w:val="26"/>
                <w:szCs w:val="26"/>
              </w:rPr>
              <w:t>.</w:t>
            </w:r>
          </w:p>
        </w:tc>
      </w:tr>
      <w:tr w:rsidR="00A31BCB" w:rsidRPr="00FB1F5C" w:rsidTr="00EE5DE0">
        <w:trPr>
          <w:trHeight w:val="128"/>
        </w:trPr>
        <w:tc>
          <w:tcPr>
            <w:tcW w:w="5000" w:type="pct"/>
            <w:gridSpan w:val="3"/>
            <w:tcBorders>
              <w:top w:val="outset" w:sz="6" w:space="0" w:color="414142"/>
              <w:left w:val="nil"/>
              <w:bottom w:val="outset" w:sz="6" w:space="0" w:color="414142"/>
              <w:right w:val="nil"/>
            </w:tcBorders>
          </w:tcPr>
          <w:p w:rsidR="00FA5626" w:rsidRPr="00FB1F5C" w:rsidRDefault="00A31BCB" w:rsidP="00EE5DE0">
            <w:pPr>
              <w:tabs>
                <w:tab w:val="left" w:pos="990"/>
              </w:tabs>
              <w:rPr>
                <w:sz w:val="26"/>
                <w:szCs w:val="26"/>
                <w:lang w:eastAsia="lv-LV"/>
              </w:rPr>
            </w:pPr>
            <w:r w:rsidRPr="00FB1F5C">
              <w:rPr>
                <w:sz w:val="26"/>
                <w:szCs w:val="26"/>
                <w:lang w:eastAsia="lv-LV"/>
              </w:rPr>
              <w:tab/>
            </w:r>
          </w:p>
        </w:tc>
      </w:tr>
    </w:tbl>
    <w:p w:rsidR="00A31BCB" w:rsidRPr="00FB1F5C" w:rsidRDefault="00A31BCB" w:rsidP="00A31BCB">
      <w:pPr>
        <w:rPr>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B1F5C" w:rsidRPr="00FB1F5C" w:rsidTr="00EE5DE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31BCB" w:rsidRPr="00FB1F5C" w:rsidRDefault="00A31BCB" w:rsidP="00EE5DE0">
            <w:pPr>
              <w:ind w:firstLine="300"/>
              <w:jc w:val="center"/>
              <w:rPr>
                <w:b/>
                <w:bCs/>
                <w:sz w:val="26"/>
                <w:szCs w:val="26"/>
                <w:lang w:eastAsia="lv-LV"/>
              </w:rPr>
            </w:pPr>
            <w:r w:rsidRPr="00FB1F5C">
              <w:rPr>
                <w:b/>
                <w:bCs/>
                <w:sz w:val="26"/>
                <w:szCs w:val="26"/>
                <w:lang w:eastAsia="lv-LV"/>
              </w:rPr>
              <w:t>II. Tiesību akta projekta ietekme uz sabiedrību, tautsaimniecības attīstību un administratīvo slogu</w:t>
            </w:r>
          </w:p>
        </w:tc>
      </w:tr>
      <w:tr w:rsidR="00FB1F5C" w:rsidRPr="00FB1F5C"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E35FF" w:rsidRPr="00FB1F5C" w:rsidRDefault="007E35FF" w:rsidP="007E35FF">
            <w:pPr>
              <w:jc w:val="both"/>
              <w:rPr>
                <w:sz w:val="26"/>
                <w:szCs w:val="26"/>
              </w:rPr>
            </w:pPr>
            <w:r w:rsidRPr="00FB1F5C">
              <w:rPr>
                <w:sz w:val="26"/>
                <w:szCs w:val="26"/>
              </w:rPr>
              <w:t>Patērētāji (~ 2,3 miljoni Latvijas iedzīvotāju, kā arī, ņemot vērā direktīvas 2008/122/EK mērķi – vienota Eiropas Savienības iekšējā tirgus izveidi – direktīvas ieviešana Latvijā skars arī ~ 480 miljonus ES patērētāju).</w:t>
            </w:r>
          </w:p>
          <w:p w:rsidR="00A31BCB" w:rsidRPr="00FB1F5C" w:rsidRDefault="007E35FF" w:rsidP="007E35FF">
            <w:pPr>
              <w:jc w:val="both"/>
              <w:rPr>
                <w:sz w:val="26"/>
                <w:szCs w:val="26"/>
              </w:rPr>
            </w:pPr>
            <w:r w:rsidRPr="00FB1F5C">
              <w:rPr>
                <w:sz w:val="26"/>
                <w:szCs w:val="26"/>
              </w:rPr>
              <w:t xml:space="preserve">Tirgus dalībnieki – pakalpojumu sniedzēji, kuri ar patērētājiem slēdz līgumus brīvdienu mītnes lietošanas tiesību līgumu, brīvdienu pakalpojumu līgumu, tālākpārdošanas līgumu vai apmaiņas līgumu. Precīza informācija nav pieejama par komersantiem, kas piedāvā minētos pakalpojums, jo šāda informācija šobrīd netiek nekur apkopota. </w:t>
            </w:r>
          </w:p>
        </w:tc>
      </w:tr>
      <w:tr w:rsidR="00FB1F5C" w:rsidRPr="00FB1F5C"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FB1F5C" w:rsidRDefault="00DD2666" w:rsidP="00BC5A0C">
            <w:pPr>
              <w:jc w:val="both"/>
              <w:rPr>
                <w:iCs/>
                <w:sz w:val="26"/>
                <w:szCs w:val="26"/>
              </w:rPr>
            </w:pPr>
            <w:r w:rsidRPr="00FB1F5C">
              <w:rPr>
                <w:sz w:val="26"/>
                <w:szCs w:val="26"/>
              </w:rPr>
              <w:t>Sabiedrības grupām un institūcijām projekta tiesiskais regulējums nemaina tiesības un pienākumus, kā arī veicamās darbības.</w:t>
            </w:r>
            <w:r w:rsidR="005C4219" w:rsidRPr="00FB1F5C">
              <w:rPr>
                <w:sz w:val="26"/>
                <w:szCs w:val="26"/>
              </w:rPr>
              <w:t xml:space="preserve"> </w:t>
            </w:r>
          </w:p>
        </w:tc>
      </w:tr>
      <w:tr w:rsidR="00FB1F5C" w:rsidRPr="00FB1F5C"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FB1F5C" w:rsidRDefault="00DD2666" w:rsidP="00EE5DE0">
            <w:pPr>
              <w:rPr>
                <w:iCs/>
                <w:sz w:val="26"/>
                <w:szCs w:val="26"/>
              </w:rPr>
            </w:pPr>
            <w:r w:rsidRPr="00FB1F5C">
              <w:rPr>
                <w:sz w:val="26"/>
                <w:szCs w:val="26"/>
              </w:rPr>
              <w:t>Projekts šo jomu neskar.</w:t>
            </w:r>
          </w:p>
        </w:tc>
      </w:tr>
      <w:tr w:rsidR="00FB1F5C" w:rsidRPr="00FB1F5C" w:rsidTr="00EE5DE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1125F0">
            <w:pPr>
              <w:rPr>
                <w:iCs/>
                <w:sz w:val="26"/>
                <w:szCs w:val="26"/>
              </w:rPr>
            </w:pPr>
            <w:r w:rsidRPr="00FB1F5C">
              <w:rPr>
                <w:iCs/>
                <w:sz w:val="26"/>
                <w:szCs w:val="26"/>
              </w:rPr>
              <w:t>Nav</w:t>
            </w:r>
            <w:r w:rsidR="001125F0" w:rsidRPr="00FB1F5C">
              <w:rPr>
                <w:iCs/>
                <w:sz w:val="26"/>
                <w:szCs w:val="26"/>
              </w:rPr>
              <w:t>.</w:t>
            </w:r>
          </w:p>
        </w:tc>
      </w:tr>
    </w:tbl>
    <w:p w:rsidR="00FB1F5C" w:rsidRDefault="00FB1F5C" w:rsidP="00705216">
      <w:pPr>
        <w:pStyle w:val="NormalWeb"/>
        <w:ind w:right="-99"/>
        <w:rPr>
          <w:rStyle w:val="apple-style-span"/>
          <w:sz w:val="26"/>
          <w:szCs w:val="26"/>
        </w:rPr>
      </w:pPr>
    </w:p>
    <w:p w:rsidR="00705216" w:rsidRDefault="00705216" w:rsidP="00705216">
      <w:pPr>
        <w:pStyle w:val="NormalWeb"/>
        <w:ind w:right="-99"/>
        <w:rPr>
          <w:rStyle w:val="apple-style-span"/>
          <w:sz w:val="26"/>
          <w:szCs w:val="26"/>
        </w:rPr>
      </w:pPr>
      <w:proofErr w:type="spellStart"/>
      <w:r w:rsidRPr="00FB1F5C">
        <w:rPr>
          <w:rStyle w:val="apple-style-span"/>
          <w:sz w:val="26"/>
          <w:szCs w:val="26"/>
        </w:rPr>
        <w:t>Anotācijas</w:t>
      </w:r>
      <w:proofErr w:type="spellEnd"/>
      <w:r w:rsidRPr="00FB1F5C">
        <w:rPr>
          <w:rStyle w:val="apple-style-span"/>
          <w:sz w:val="26"/>
          <w:szCs w:val="26"/>
        </w:rPr>
        <w:t xml:space="preserve"> III, IV </w:t>
      </w:r>
      <w:proofErr w:type="spellStart"/>
      <w:r w:rsidRPr="00FB1F5C">
        <w:rPr>
          <w:rStyle w:val="apple-style-span"/>
          <w:sz w:val="26"/>
          <w:szCs w:val="26"/>
        </w:rPr>
        <w:t>sadaļa</w:t>
      </w:r>
      <w:proofErr w:type="spellEnd"/>
      <w:r w:rsidRPr="00FB1F5C">
        <w:rPr>
          <w:rStyle w:val="apple-style-span"/>
          <w:sz w:val="26"/>
          <w:szCs w:val="26"/>
        </w:rPr>
        <w:t xml:space="preserve"> – </w:t>
      </w:r>
      <w:proofErr w:type="spellStart"/>
      <w:r w:rsidRPr="00FB1F5C">
        <w:rPr>
          <w:rStyle w:val="apple-style-span"/>
          <w:sz w:val="26"/>
          <w:szCs w:val="26"/>
        </w:rPr>
        <w:t>nav</w:t>
      </w:r>
      <w:proofErr w:type="spellEnd"/>
      <w:r w:rsidRPr="00FB1F5C">
        <w:rPr>
          <w:rStyle w:val="apple-style-span"/>
          <w:sz w:val="26"/>
          <w:szCs w:val="26"/>
        </w:rPr>
        <w:t xml:space="preserve"> </w:t>
      </w:r>
      <w:proofErr w:type="spellStart"/>
      <w:r w:rsidRPr="00FB1F5C">
        <w:rPr>
          <w:rStyle w:val="apple-style-span"/>
          <w:sz w:val="26"/>
          <w:szCs w:val="26"/>
        </w:rPr>
        <w:t>attiecināms</w:t>
      </w:r>
      <w:proofErr w:type="spellEnd"/>
      <w:r w:rsidRPr="00FB1F5C">
        <w:rPr>
          <w:rStyle w:val="apple-style-span"/>
          <w:sz w:val="26"/>
          <w:szCs w:val="26"/>
        </w:rPr>
        <w:t>.</w:t>
      </w:r>
    </w:p>
    <w:p w:rsidR="00FB1F5C" w:rsidRPr="00FB1F5C" w:rsidRDefault="00FB1F5C" w:rsidP="00705216">
      <w:pPr>
        <w:pStyle w:val="NormalWeb"/>
        <w:ind w:right="-99"/>
        <w:rPr>
          <w:rStyle w:val="apple-style-sp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632"/>
        <w:gridCol w:w="5120"/>
      </w:tblGrid>
      <w:tr w:rsidR="00705216" w:rsidRPr="00FB1F5C" w:rsidTr="00BD3361">
        <w:tc>
          <w:tcPr>
            <w:tcW w:w="5000" w:type="pct"/>
            <w:gridSpan w:val="3"/>
            <w:tcBorders>
              <w:top w:val="single" w:sz="4" w:space="0" w:color="auto"/>
              <w:left w:val="single" w:sz="4" w:space="0" w:color="auto"/>
              <w:bottom w:val="single" w:sz="4" w:space="0" w:color="auto"/>
              <w:right w:val="single" w:sz="4" w:space="0" w:color="auto"/>
            </w:tcBorders>
          </w:tcPr>
          <w:p w:rsidR="00705216" w:rsidRPr="00FB1F5C" w:rsidRDefault="00705216" w:rsidP="00705216">
            <w:pPr>
              <w:pStyle w:val="naisnod"/>
              <w:spacing w:before="0" w:after="0"/>
              <w:ind w:right="-99"/>
              <w:jc w:val="center"/>
              <w:rPr>
                <w:b/>
                <w:sz w:val="26"/>
                <w:szCs w:val="26"/>
              </w:rPr>
            </w:pPr>
            <w:r w:rsidRPr="00FB1F5C">
              <w:rPr>
                <w:b/>
                <w:sz w:val="26"/>
                <w:szCs w:val="26"/>
              </w:rPr>
              <w:t>V. Tiesību akta projekta atbilstība Latvijas Republikas starptautiskajām saistībām</w:t>
            </w:r>
          </w:p>
        </w:tc>
      </w:tr>
      <w:tr w:rsidR="00705216" w:rsidRPr="00FB1F5C" w:rsidTr="00BD3361">
        <w:tc>
          <w:tcPr>
            <w:tcW w:w="176"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iCs/>
                <w:sz w:val="26"/>
                <w:szCs w:val="26"/>
              </w:rPr>
              <w:t>1.</w:t>
            </w:r>
          </w:p>
        </w:tc>
        <w:tc>
          <w:tcPr>
            <w:tcW w:w="2002"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jc w:val="both"/>
              <w:rPr>
                <w:iCs/>
                <w:sz w:val="26"/>
                <w:szCs w:val="26"/>
              </w:rPr>
            </w:pPr>
            <w:r w:rsidRPr="00FB1F5C">
              <w:rPr>
                <w:sz w:val="26"/>
                <w:szCs w:val="26"/>
              </w:rPr>
              <w:t>Saistības pret Eiropas Savienību</w:t>
            </w:r>
          </w:p>
        </w:tc>
        <w:tc>
          <w:tcPr>
            <w:tcW w:w="2822" w:type="pct"/>
            <w:tcBorders>
              <w:top w:val="single" w:sz="4" w:space="0" w:color="auto"/>
              <w:left w:val="single" w:sz="4" w:space="0" w:color="auto"/>
              <w:bottom w:val="single" w:sz="4" w:space="0" w:color="auto"/>
              <w:right w:val="single" w:sz="4" w:space="0" w:color="auto"/>
            </w:tcBorders>
          </w:tcPr>
          <w:p w:rsidR="00705216" w:rsidRPr="00FB1F5C" w:rsidRDefault="00705216" w:rsidP="00851A8B">
            <w:pPr>
              <w:pStyle w:val="naiskr"/>
              <w:spacing w:before="0" w:after="0"/>
              <w:ind w:right="34"/>
              <w:jc w:val="both"/>
              <w:rPr>
                <w:bCs/>
                <w:sz w:val="26"/>
                <w:szCs w:val="26"/>
              </w:rPr>
            </w:pPr>
            <w:r w:rsidRPr="00FB1F5C">
              <w:rPr>
                <w:sz w:val="26"/>
                <w:szCs w:val="26"/>
              </w:rPr>
              <w:t xml:space="preserve"> Direktīva 2008/122/EK</w:t>
            </w:r>
            <w:r w:rsidRPr="00FB1F5C">
              <w:rPr>
                <w:bCs/>
                <w:sz w:val="26"/>
                <w:szCs w:val="26"/>
              </w:rPr>
              <w:t xml:space="preserve"> ir piemērojama no 2011.gada 23.februāra.</w:t>
            </w:r>
          </w:p>
        </w:tc>
      </w:tr>
      <w:tr w:rsidR="00705216" w:rsidRPr="00FB1F5C" w:rsidTr="00BD3361">
        <w:tc>
          <w:tcPr>
            <w:tcW w:w="176"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iCs/>
                <w:sz w:val="26"/>
                <w:szCs w:val="26"/>
              </w:rPr>
              <w:lastRenderedPageBreak/>
              <w:t>2.</w:t>
            </w:r>
          </w:p>
        </w:tc>
        <w:tc>
          <w:tcPr>
            <w:tcW w:w="2002"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sz w:val="26"/>
                <w:szCs w:val="26"/>
              </w:rPr>
              <w:t>Citas starptautiskās saistības</w:t>
            </w:r>
          </w:p>
        </w:tc>
        <w:tc>
          <w:tcPr>
            <w:tcW w:w="2822"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iCs/>
                <w:sz w:val="26"/>
                <w:szCs w:val="26"/>
              </w:rPr>
              <w:t>Nav</w:t>
            </w:r>
          </w:p>
        </w:tc>
      </w:tr>
      <w:tr w:rsidR="00705216" w:rsidRPr="00FB1F5C" w:rsidTr="00BD3361">
        <w:tc>
          <w:tcPr>
            <w:tcW w:w="176"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iCs/>
                <w:sz w:val="26"/>
                <w:szCs w:val="26"/>
              </w:rPr>
              <w:t>3.</w:t>
            </w:r>
          </w:p>
        </w:tc>
        <w:tc>
          <w:tcPr>
            <w:tcW w:w="2002"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sz w:val="26"/>
                <w:szCs w:val="26"/>
              </w:rPr>
            </w:pPr>
            <w:r w:rsidRPr="00FB1F5C">
              <w:rPr>
                <w:sz w:val="26"/>
                <w:szCs w:val="26"/>
              </w:rPr>
              <w:t>Cita informācija</w:t>
            </w:r>
          </w:p>
        </w:tc>
        <w:tc>
          <w:tcPr>
            <w:tcW w:w="2822" w:type="pct"/>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tabs>
                <w:tab w:val="left" w:pos="2628"/>
              </w:tabs>
              <w:spacing w:before="0" w:after="0"/>
              <w:ind w:right="-99"/>
              <w:jc w:val="both"/>
              <w:rPr>
                <w:iCs/>
                <w:sz w:val="26"/>
                <w:szCs w:val="26"/>
              </w:rPr>
            </w:pPr>
            <w:r w:rsidRPr="00FB1F5C">
              <w:rPr>
                <w:iCs/>
                <w:sz w:val="26"/>
                <w:szCs w:val="26"/>
              </w:rPr>
              <w:t>Nav</w:t>
            </w:r>
          </w:p>
        </w:tc>
      </w:tr>
    </w:tbl>
    <w:p w:rsidR="00705216" w:rsidRPr="00FB1F5C" w:rsidRDefault="00705216" w:rsidP="00705216">
      <w:pPr>
        <w:pStyle w:val="naisf"/>
        <w:spacing w:before="0" w:after="0"/>
        <w:ind w:right="-99"/>
        <w:rPr>
          <w:sz w:val="26"/>
          <w:szCs w:val="26"/>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13"/>
        <w:gridCol w:w="2268"/>
        <w:gridCol w:w="1843"/>
        <w:gridCol w:w="2976"/>
      </w:tblGrid>
      <w:tr w:rsidR="00705216" w:rsidRPr="00FB1F5C" w:rsidTr="00BD3361">
        <w:trPr>
          <w:trHeight w:val="523"/>
        </w:trPr>
        <w:tc>
          <w:tcPr>
            <w:tcW w:w="9100" w:type="dxa"/>
            <w:gridSpan w:val="4"/>
            <w:tcBorders>
              <w:top w:val="single" w:sz="4" w:space="0" w:color="auto"/>
              <w:left w:val="single" w:sz="4" w:space="0" w:color="auto"/>
              <w:bottom w:val="single" w:sz="4" w:space="0" w:color="auto"/>
              <w:right w:val="single" w:sz="4" w:space="0" w:color="auto"/>
            </w:tcBorders>
            <w:vAlign w:val="center"/>
          </w:tcPr>
          <w:p w:rsidR="00705216" w:rsidRPr="00FB1F5C" w:rsidRDefault="00705216" w:rsidP="00705216">
            <w:pPr>
              <w:pStyle w:val="naisnod"/>
              <w:spacing w:before="0" w:after="0"/>
              <w:ind w:right="-99"/>
              <w:jc w:val="center"/>
              <w:rPr>
                <w:sz w:val="26"/>
                <w:szCs w:val="26"/>
              </w:rPr>
            </w:pPr>
            <w:r w:rsidRPr="00FB1F5C">
              <w:rPr>
                <w:sz w:val="26"/>
                <w:szCs w:val="26"/>
              </w:rPr>
              <w:t>1.tabula</w:t>
            </w:r>
          </w:p>
          <w:p w:rsidR="00705216" w:rsidRPr="00FB1F5C" w:rsidRDefault="00705216" w:rsidP="00705216">
            <w:pPr>
              <w:pStyle w:val="naisnod"/>
              <w:spacing w:before="0" w:after="0"/>
              <w:ind w:right="-99"/>
              <w:jc w:val="center"/>
              <w:rPr>
                <w:i/>
                <w:sz w:val="26"/>
                <w:szCs w:val="26"/>
              </w:rPr>
            </w:pPr>
            <w:r w:rsidRPr="00FB1F5C">
              <w:rPr>
                <w:sz w:val="26"/>
                <w:szCs w:val="26"/>
              </w:rPr>
              <w:t>Tiesību akta projekta atbilstība ES tiesību aktiem</w:t>
            </w:r>
          </w:p>
        </w:tc>
      </w:tr>
      <w:tr w:rsidR="00705216" w:rsidRPr="00FB1F5C" w:rsidTr="00BD3361">
        <w:trPr>
          <w:trHeight w:val="163"/>
        </w:trPr>
        <w:tc>
          <w:tcPr>
            <w:tcW w:w="9100" w:type="dxa"/>
            <w:gridSpan w:val="4"/>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rPr>
                <w:i/>
                <w:sz w:val="26"/>
                <w:szCs w:val="26"/>
              </w:rPr>
            </w:pPr>
          </w:p>
        </w:tc>
      </w:tr>
      <w:tr w:rsidR="00705216" w:rsidRPr="00FB1F5C" w:rsidTr="00BD3361">
        <w:trPr>
          <w:trHeight w:val="165"/>
        </w:trPr>
        <w:tc>
          <w:tcPr>
            <w:tcW w:w="2013"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jc w:val="center"/>
              <w:rPr>
                <w:sz w:val="26"/>
                <w:szCs w:val="26"/>
              </w:rPr>
            </w:pPr>
            <w:r w:rsidRPr="00FB1F5C">
              <w:rPr>
                <w:sz w:val="26"/>
                <w:szCs w:val="26"/>
              </w:rPr>
              <w:t>A</w:t>
            </w:r>
          </w:p>
        </w:tc>
        <w:tc>
          <w:tcPr>
            <w:tcW w:w="2268"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jc w:val="center"/>
              <w:rPr>
                <w:sz w:val="26"/>
                <w:szCs w:val="26"/>
              </w:rPr>
            </w:pPr>
            <w:r w:rsidRPr="00FB1F5C">
              <w:rPr>
                <w:sz w:val="26"/>
                <w:szCs w:val="26"/>
              </w:rPr>
              <w:t>B</w:t>
            </w:r>
          </w:p>
        </w:tc>
        <w:tc>
          <w:tcPr>
            <w:tcW w:w="1843"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jc w:val="center"/>
              <w:rPr>
                <w:sz w:val="26"/>
                <w:szCs w:val="26"/>
              </w:rPr>
            </w:pPr>
            <w:r w:rsidRPr="00FB1F5C">
              <w:rPr>
                <w:sz w:val="26"/>
                <w:szCs w:val="26"/>
              </w:rPr>
              <w:t>C</w:t>
            </w:r>
          </w:p>
        </w:tc>
        <w:tc>
          <w:tcPr>
            <w:tcW w:w="2976"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jc w:val="center"/>
              <w:rPr>
                <w:sz w:val="26"/>
                <w:szCs w:val="26"/>
              </w:rPr>
            </w:pPr>
            <w:r w:rsidRPr="00FB1F5C">
              <w:rPr>
                <w:sz w:val="26"/>
                <w:szCs w:val="26"/>
              </w:rPr>
              <w:t>D</w:t>
            </w:r>
          </w:p>
        </w:tc>
      </w:tr>
      <w:tr w:rsidR="00705216" w:rsidRPr="00FB1F5C" w:rsidTr="00BD3361">
        <w:trPr>
          <w:trHeight w:val="495"/>
        </w:trPr>
        <w:tc>
          <w:tcPr>
            <w:tcW w:w="201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II pielikums</w:t>
            </w:r>
          </w:p>
        </w:tc>
        <w:tc>
          <w:tcPr>
            <w:tcW w:w="2268"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2.pielikums</w:t>
            </w:r>
          </w:p>
        </w:tc>
        <w:tc>
          <w:tcPr>
            <w:tcW w:w="184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iCs/>
                <w:sz w:val="26"/>
                <w:szCs w:val="26"/>
              </w:rPr>
            </w:pPr>
            <w:r w:rsidRPr="00FB1F5C">
              <w:rPr>
                <w:iCs/>
                <w:sz w:val="26"/>
                <w:szCs w:val="26"/>
              </w:rPr>
              <w:t>Ieviests pilnībā</w:t>
            </w:r>
          </w:p>
        </w:tc>
        <w:tc>
          <w:tcPr>
            <w:tcW w:w="2976"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28"/>
              <w:rPr>
                <w:iCs/>
                <w:sz w:val="26"/>
                <w:szCs w:val="26"/>
              </w:rPr>
            </w:pPr>
            <w:r w:rsidRPr="00FB1F5C">
              <w:rPr>
                <w:sz w:val="26"/>
                <w:szCs w:val="26"/>
              </w:rPr>
              <w:t>Stingrākas prasības nav paredzētas.</w:t>
            </w:r>
          </w:p>
        </w:tc>
      </w:tr>
      <w:tr w:rsidR="00705216" w:rsidRPr="00FB1F5C" w:rsidTr="00BD3361">
        <w:trPr>
          <w:trHeight w:val="495"/>
        </w:trPr>
        <w:tc>
          <w:tcPr>
            <w:tcW w:w="201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III pielikums</w:t>
            </w:r>
          </w:p>
        </w:tc>
        <w:tc>
          <w:tcPr>
            <w:tcW w:w="2268"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3.pielikums</w:t>
            </w:r>
          </w:p>
        </w:tc>
        <w:tc>
          <w:tcPr>
            <w:tcW w:w="184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iCs/>
                <w:sz w:val="26"/>
                <w:szCs w:val="26"/>
              </w:rPr>
            </w:pPr>
            <w:r w:rsidRPr="00FB1F5C">
              <w:rPr>
                <w:iCs/>
                <w:sz w:val="26"/>
                <w:szCs w:val="26"/>
              </w:rPr>
              <w:t>Ieviests pilnībā</w:t>
            </w:r>
          </w:p>
        </w:tc>
        <w:tc>
          <w:tcPr>
            <w:tcW w:w="2976"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28"/>
              <w:rPr>
                <w:iCs/>
                <w:sz w:val="26"/>
                <w:szCs w:val="26"/>
              </w:rPr>
            </w:pPr>
            <w:r w:rsidRPr="00FB1F5C">
              <w:rPr>
                <w:sz w:val="26"/>
                <w:szCs w:val="26"/>
              </w:rPr>
              <w:t>Stingrākas prasības nav paredzētas.</w:t>
            </w:r>
          </w:p>
        </w:tc>
      </w:tr>
      <w:tr w:rsidR="00705216" w:rsidRPr="00FB1F5C" w:rsidTr="00BD3361">
        <w:trPr>
          <w:trHeight w:val="495"/>
        </w:trPr>
        <w:tc>
          <w:tcPr>
            <w:tcW w:w="201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IV pielikums</w:t>
            </w:r>
          </w:p>
        </w:tc>
        <w:tc>
          <w:tcPr>
            <w:tcW w:w="2268"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4.pielikums</w:t>
            </w:r>
          </w:p>
        </w:tc>
        <w:tc>
          <w:tcPr>
            <w:tcW w:w="184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iCs/>
                <w:sz w:val="26"/>
                <w:szCs w:val="26"/>
              </w:rPr>
            </w:pPr>
            <w:r w:rsidRPr="00FB1F5C">
              <w:rPr>
                <w:iCs/>
                <w:sz w:val="26"/>
                <w:szCs w:val="26"/>
              </w:rPr>
              <w:t>Ieviests pilnībā</w:t>
            </w:r>
          </w:p>
        </w:tc>
        <w:tc>
          <w:tcPr>
            <w:tcW w:w="2976"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28"/>
              <w:rPr>
                <w:iCs/>
                <w:sz w:val="26"/>
                <w:szCs w:val="26"/>
              </w:rPr>
            </w:pPr>
            <w:r w:rsidRPr="00FB1F5C">
              <w:rPr>
                <w:sz w:val="26"/>
                <w:szCs w:val="26"/>
              </w:rPr>
              <w:t>Stingrākas prasības nav paredzētas.</w:t>
            </w:r>
          </w:p>
        </w:tc>
      </w:tr>
      <w:tr w:rsidR="00705216" w:rsidRPr="00FB1F5C" w:rsidTr="00BD3361">
        <w:trPr>
          <w:trHeight w:val="495"/>
        </w:trPr>
        <w:tc>
          <w:tcPr>
            <w:tcW w:w="201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V pielikums</w:t>
            </w:r>
          </w:p>
        </w:tc>
        <w:tc>
          <w:tcPr>
            <w:tcW w:w="2268"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t>5.pielikums</w:t>
            </w:r>
          </w:p>
        </w:tc>
        <w:tc>
          <w:tcPr>
            <w:tcW w:w="184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iCs/>
                <w:sz w:val="26"/>
                <w:szCs w:val="26"/>
              </w:rPr>
            </w:pPr>
            <w:r w:rsidRPr="00FB1F5C">
              <w:rPr>
                <w:iCs/>
                <w:sz w:val="26"/>
                <w:szCs w:val="26"/>
              </w:rPr>
              <w:t>Ieviests pilnībā</w:t>
            </w:r>
          </w:p>
        </w:tc>
        <w:tc>
          <w:tcPr>
            <w:tcW w:w="2976"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28"/>
              <w:rPr>
                <w:iCs/>
                <w:sz w:val="26"/>
                <w:szCs w:val="26"/>
              </w:rPr>
            </w:pPr>
            <w:r w:rsidRPr="00FB1F5C">
              <w:rPr>
                <w:sz w:val="26"/>
                <w:szCs w:val="26"/>
              </w:rPr>
              <w:t>Stingrākas prasības nav paredzētas.</w:t>
            </w:r>
          </w:p>
        </w:tc>
      </w:tr>
      <w:tr w:rsidR="00705216" w:rsidRPr="00FB1F5C" w:rsidTr="00BD3361">
        <w:trPr>
          <w:trHeight w:val="281"/>
        </w:trPr>
        <w:tc>
          <w:tcPr>
            <w:tcW w:w="2013"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rPr>
                <w:sz w:val="26"/>
                <w:szCs w:val="26"/>
              </w:rPr>
            </w:pPr>
            <w:r w:rsidRPr="00FB1F5C">
              <w:rPr>
                <w:sz w:val="26"/>
                <w:szCs w:val="26"/>
              </w:rPr>
              <w:t>Kā ir izmantota ES tiesību aktā paredzētā rīcības brīvība dalībvalstij pārņemt vai ieviest noteiktas ES tiesību akta normas.</w:t>
            </w:r>
          </w:p>
          <w:p w:rsidR="00705216" w:rsidRPr="00FB1F5C" w:rsidRDefault="00705216" w:rsidP="00BD3361">
            <w:pPr>
              <w:pStyle w:val="naiskr"/>
              <w:spacing w:before="0" w:after="0"/>
              <w:ind w:right="-99"/>
              <w:rPr>
                <w:sz w:val="26"/>
                <w:szCs w:val="26"/>
              </w:rPr>
            </w:pPr>
            <w:r w:rsidRPr="00FB1F5C">
              <w:rPr>
                <w:sz w:val="26"/>
                <w:szCs w:val="26"/>
              </w:rPr>
              <w:t>Kādēļ?</w:t>
            </w:r>
          </w:p>
          <w:p w:rsidR="00705216" w:rsidRPr="00FB1F5C" w:rsidRDefault="00705216" w:rsidP="00BD3361">
            <w:pPr>
              <w:pStyle w:val="naiskr"/>
              <w:spacing w:before="0" w:after="0"/>
              <w:ind w:right="-99"/>
              <w:rPr>
                <w:sz w:val="26"/>
                <w:szCs w:val="26"/>
              </w:rPr>
            </w:pPr>
          </w:p>
        </w:tc>
        <w:tc>
          <w:tcPr>
            <w:tcW w:w="7087" w:type="dxa"/>
            <w:gridSpan w:val="3"/>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jc w:val="both"/>
              <w:rPr>
                <w:sz w:val="26"/>
                <w:szCs w:val="26"/>
              </w:rPr>
            </w:pPr>
            <w:r w:rsidRPr="00FB1F5C">
              <w:rPr>
                <w:iCs/>
                <w:sz w:val="26"/>
                <w:szCs w:val="26"/>
              </w:rPr>
              <w:t>Noteikumu projektā iekļautās ES tiesību akta normas neparedz rīcības brīvību dalībvalstīm. Saskaņā ar direktīvu 2008/122/EK dalībvalstīm aizliegts saglabāt vai ieviest tiesību aktos normas, kas atšķiras no noteikumiem, kas paredzēti direktīvā 2008/122/EK.</w:t>
            </w:r>
          </w:p>
        </w:tc>
      </w:tr>
      <w:tr w:rsidR="00705216" w:rsidRPr="00FB1F5C" w:rsidTr="00BD3361">
        <w:trPr>
          <w:trHeight w:val="913"/>
        </w:trPr>
        <w:tc>
          <w:tcPr>
            <w:tcW w:w="2013" w:type="dxa"/>
            <w:tcBorders>
              <w:top w:val="single" w:sz="4" w:space="0" w:color="auto"/>
              <w:left w:val="single" w:sz="4" w:space="0" w:color="auto"/>
              <w:bottom w:val="single" w:sz="4" w:space="0" w:color="auto"/>
              <w:right w:val="single" w:sz="4" w:space="0" w:color="auto"/>
            </w:tcBorders>
            <w:vAlign w:val="center"/>
          </w:tcPr>
          <w:p w:rsidR="00705216" w:rsidRPr="00FB1F5C" w:rsidRDefault="00705216" w:rsidP="00BD3361">
            <w:pPr>
              <w:pStyle w:val="naiskr"/>
              <w:spacing w:before="0" w:after="0"/>
              <w:ind w:right="-99"/>
              <w:rPr>
                <w:i/>
                <w:sz w:val="26"/>
                <w:szCs w:val="26"/>
              </w:rPr>
            </w:pPr>
            <w:r w:rsidRPr="00FB1F5C">
              <w:rPr>
                <w:sz w:val="26"/>
                <w:szCs w:val="26"/>
              </w:rPr>
              <w:t xml:space="preserve">Saistības sniegt paziņojumu ES institūcijām un ES dalībvalstīm atbilstoši normatīvajiem aktiem, kas regulē informācijas sniegšanu par tehnisko noteikumu, valsts atbalsta piešķiršanas un finanšu noteikumu (attiecībā uz </w:t>
            </w:r>
            <w:r w:rsidRPr="00FB1F5C">
              <w:rPr>
                <w:sz w:val="26"/>
                <w:szCs w:val="26"/>
              </w:rPr>
              <w:lastRenderedPageBreak/>
              <w:t>monetāro politiku) projektiem</w:t>
            </w:r>
          </w:p>
        </w:tc>
        <w:tc>
          <w:tcPr>
            <w:tcW w:w="7087" w:type="dxa"/>
            <w:gridSpan w:val="3"/>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iCs/>
                <w:sz w:val="26"/>
                <w:szCs w:val="26"/>
              </w:rPr>
              <w:lastRenderedPageBreak/>
              <w:t>Nav attiecināms.</w:t>
            </w:r>
          </w:p>
        </w:tc>
      </w:tr>
      <w:tr w:rsidR="00FB1F5C" w:rsidRPr="00FB1F5C" w:rsidTr="00BD3361">
        <w:trPr>
          <w:trHeight w:val="382"/>
        </w:trPr>
        <w:tc>
          <w:tcPr>
            <w:tcW w:w="2013" w:type="dxa"/>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rPr>
                <w:sz w:val="26"/>
                <w:szCs w:val="26"/>
              </w:rPr>
            </w:pPr>
            <w:r w:rsidRPr="00FB1F5C">
              <w:rPr>
                <w:sz w:val="26"/>
                <w:szCs w:val="26"/>
              </w:rPr>
              <w:lastRenderedPageBreak/>
              <w:t>Cita informācija</w:t>
            </w:r>
          </w:p>
        </w:tc>
        <w:tc>
          <w:tcPr>
            <w:tcW w:w="7087" w:type="dxa"/>
            <w:gridSpan w:val="3"/>
            <w:tcBorders>
              <w:top w:val="single" w:sz="4" w:space="0" w:color="auto"/>
              <w:left w:val="single" w:sz="4" w:space="0" w:color="auto"/>
              <w:bottom w:val="single" w:sz="4" w:space="0" w:color="auto"/>
              <w:right w:val="single" w:sz="4" w:space="0" w:color="auto"/>
            </w:tcBorders>
          </w:tcPr>
          <w:p w:rsidR="00705216" w:rsidRPr="00FB1F5C" w:rsidRDefault="00705216" w:rsidP="00BD3361">
            <w:pPr>
              <w:pStyle w:val="naiskr"/>
              <w:spacing w:before="0" w:after="0"/>
              <w:ind w:right="-99"/>
              <w:jc w:val="both"/>
              <w:rPr>
                <w:i/>
                <w:sz w:val="26"/>
                <w:szCs w:val="26"/>
              </w:rPr>
            </w:pPr>
            <w:r w:rsidRPr="00FB1F5C">
              <w:rPr>
                <w:sz w:val="26"/>
                <w:szCs w:val="26"/>
              </w:rPr>
              <w:t>Nav</w:t>
            </w:r>
          </w:p>
        </w:tc>
      </w:tr>
    </w:tbl>
    <w:p w:rsidR="00705216" w:rsidRPr="00FB1F5C" w:rsidRDefault="00705216" w:rsidP="00705216">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B1F5C" w:rsidRPr="00FB1F5C" w:rsidTr="00EE5DE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FB1F5C" w:rsidRDefault="00A31BCB" w:rsidP="00EE5DE0">
            <w:pPr>
              <w:ind w:firstLine="300"/>
              <w:jc w:val="center"/>
              <w:rPr>
                <w:b/>
                <w:bCs/>
                <w:sz w:val="26"/>
                <w:szCs w:val="26"/>
                <w:lang w:eastAsia="lv-LV"/>
              </w:rPr>
            </w:pPr>
            <w:r w:rsidRPr="00FB1F5C">
              <w:rPr>
                <w:b/>
                <w:bCs/>
                <w:sz w:val="26"/>
                <w:szCs w:val="26"/>
                <w:lang w:eastAsia="lv-LV"/>
              </w:rPr>
              <w:t>VI. Sabiedrības līdzdalība un komunikācijas aktivitātes</w:t>
            </w:r>
          </w:p>
        </w:tc>
      </w:tr>
      <w:tr w:rsidR="00FB1F5C" w:rsidRPr="00FB1F5C" w:rsidTr="00EE5DE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B1F5C" w:rsidRDefault="009F1E67" w:rsidP="00BF141D">
            <w:pPr>
              <w:rPr>
                <w:iCs/>
                <w:sz w:val="26"/>
                <w:szCs w:val="26"/>
              </w:rPr>
            </w:pPr>
            <w:r w:rsidRPr="004E0DDF">
              <w:rPr>
                <w:color w:val="000000"/>
                <w:sz w:val="25"/>
                <w:szCs w:val="25"/>
              </w:rPr>
              <w:t xml:space="preserve">Noteikumu projekts tiks ievietots Ekonomikas ministrijas mājas lapā </w:t>
            </w:r>
            <w:hyperlink r:id="rId9" w:history="1">
              <w:r w:rsidRPr="001423A1">
                <w:rPr>
                  <w:rStyle w:val="Hyperlink"/>
                  <w:sz w:val="25"/>
                  <w:szCs w:val="25"/>
                </w:rPr>
                <w:t>www.em.gov.lv</w:t>
              </w:r>
            </w:hyperlink>
            <w:r w:rsidRPr="004E0DDF">
              <w:rPr>
                <w:color w:val="000000"/>
                <w:sz w:val="25"/>
                <w:szCs w:val="25"/>
              </w:rPr>
              <w:t>.</w:t>
            </w:r>
            <w:r>
              <w:rPr>
                <w:color w:val="000000"/>
                <w:sz w:val="25"/>
                <w:szCs w:val="25"/>
              </w:rPr>
              <w:t xml:space="preserve"> </w:t>
            </w:r>
          </w:p>
        </w:tc>
      </w:tr>
      <w:tr w:rsidR="00FB1F5C" w:rsidRPr="00FB1F5C" w:rsidTr="00EE5DE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B1F5C" w:rsidRDefault="0084765E" w:rsidP="00EE5DE0">
            <w:pPr>
              <w:rPr>
                <w:iCs/>
                <w:sz w:val="26"/>
                <w:szCs w:val="26"/>
              </w:rPr>
            </w:pPr>
            <w:r>
              <w:rPr>
                <w:sz w:val="25"/>
                <w:szCs w:val="25"/>
              </w:rPr>
              <w:t>Projekts šo jomu neskar.</w:t>
            </w:r>
          </w:p>
        </w:tc>
      </w:tr>
      <w:tr w:rsidR="00FB1F5C" w:rsidRPr="00FB1F5C"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B1F5C" w:rsidRDefault="0084765E" w:rsidP="00EE5DE0">
            <w:pPr>
              <w:rPr>
                <w:iCs/>
                <w:sz w:val="26"/>
                <w:szCs w:val="26"/>
              </w:rPr>
            </w:pPr>
            <w:r>
              <w:rPr>
                <w:color w:val="000000"/>
                <w:sz w:val="25"/>
                <w:szCs w:val="25"/>
                <w:lang w:eastAsia="lv-LV"/>
              </w:rPr>
              <w:t>Projekts šo jomu neskar.</w:t>
            </w:r>
          </w:p>
        </w:tc>
      </w:tr>
      <w:tr w:rsidR="00FB1F5C" w:rsidRPr="00FB1F5C"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sz w:val="26"/>
                <w:szCs w:val="26"/>
                <w:lang w:eastAsia="lv-LV"/>
              </w:rPr>
            </w:pPr>
            <w:r w:rsidRPr="00FB1F5C">
              <w:rPr>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FB1F5C" w:rsidRDefault="009C01F7" w:rsidP="009C01F7">
            <w:pPr>
              <w:rPr>
                <w:iCs/>
                <w:sz w:val="26"/>
                <w:szCs w:val="26"/>
              </w:rPr>
            </w:pPr>
            <w:r w:rsidRPr="00FB1F5C">
              <w:rPr>
                <w:iCs/>
                <w:sz w:val="26"/>
                <w:szCs w:val="26"/>
              </w:rPr>
              <w:t>Nav</w:t>
            </w:r>
            <w:r w:rsidR="001125F0" w:rsidRPr="00FB1F5C">
              <w:rPr>
                <w:iCs/>
                <w:sz w:val="26"/>
                <w:szCs w:val="26"/>
              </w:rPr>
              <w:t>.</w:t>
            </w:r>
          </w:p>
        </w:tc>
      </w:tr>
    </w:tbl>
    <w:p w:rsidR="00A31BCB" w:rsidRPr="00FB1F5C" w:rsidRDefault="00A31BCB" w:rsidP="00A31BCB">
      <w:pPr>
        <w:rPr>
          <w:sz w:val="26"/>
          <w:szCs w:val="26"/>
          <w:lang w:eastAsia="lv-LV"/>
        </w:rPr>
      </w:pPr>
    </w:p>
    <w:p w:rsidR="00705216" w:rsidRPr="00FB1F5C" w:rsidRDefault="00705216" w:rsidP="00A31BCB">
      <w:pPr>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B1F5C" w:rsidRPr="00FB1F5C" w:rsidTr="00EE5DE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FB1F5C" w:rsidRDefault="00A31BCB" w:rsidP="00EE5DE0">
            <w:pPr>
              <w:ind w:firstLine="300"/>
              <w:jc w:val="center"/>
              <w:rPr>
                <w:b/>
                <w:bCs/>
                <w:sz w:val="26"/>
                <w:szCs w:val="26"/>
                <w:lang w:eastAsia="lv-LV"/>
              </w:rPr>
            </w:pPr>
            <w:r w:rsidRPr="00FB1F5C">
              <w:rPr>
                <w:b/>
                <w:bCs/>
                <w:sz w:val="26"/>
                <w:szCs w:val="26"/>
                <w:lang w:eastAsia="lv-LV"/>
              </w:rPr>
              <w:t>VII. Tiesību akta projekta izpildes nodrošināšana un tās ietekme uz institūcijām</w:t>
            </w:r>
          </w:p>
        </w:tc>
      </w:tr>
      <w:tr w:rsidR="00FB1F5C" w:rsidRPr="00FB1F5C" w:rsidTr="00EE5DE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31BCB" w:rsidRPr="00FB1F5C" w:rsidRDefault="009F1E67" w:rsidP="009F1E67">
            <w:pPr>
              <w:rPr>
                <w:iCs/>
                <w:sz w:val="26"/>
                <w:szCs w:val="26"/>
              </w:rPr>
            </w:pPr>
            <w:r w:rsidRPr="004E0DDF">
              <w:rPr>
                <w:color w:val="000000"/>
                <w:sz w:val="25"/>
                <w:szCs w:val="25"/>
              </w:rPr>
              <w:t>Noteikumu projekta izpildi nodrošinās Patērētāju tiesību aizsardzības centrs.</w:t>
            </w:r>
          </w:p>
        </w:tc>
      </w:tr>
      <w:tr w:rsidR="00FB1F5C" w:rsidRPr="00FB1F5C" w:rsidTr="00EE5DE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2.</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 xml:space="preserve">Projekta izpildes ietekme uz pārvaldes funkcijām un institucionālo struktūru. </w:t>
            </w:r>
          </w:p>
          <w:p w:rsidR="00A31BCB" w:rsidRPr="00FB1F5C" w:rsidRDefault="00A31BCB" w:rsidP="0084765E">
            <w:pPr>
              <w:rPr>
                <w:iCs/>
                <w:sz w:val="26"/>
                <w:szCs w:val="26"/>
              </w:rPr>
            </w:pPr>
            <w:r w:rsidRPr="00FB1F5C">
              <w:rPr>
                <w:iCs/>
                <w:sz w:val="26"/>
                <w:szCs w:val="26"/>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C01F7" w:rsidRPr="00FB1F5C" w:rsidRDefault="009C01F7" w:rsidP="00D61F39">
            <w:pPr>
              <w:rPr>
                <w:iCs/>
                <w:sz w:val="26"/>
                <w:szCs w:val="26"/>
              </w:rPr>
            </w:pPr>
            <w:r w:rsidRPr="00FB1F5C">
              <w:rPr>
                <w:sz w:val="26"/>
                <w:szCs w:val="26"/>
              </w:rPr>
              <w:t>Projekts šo jomu neskar</w:t>
            </w:r>
            <w:r w:rsidR="001125F0" w:rsidRPr="00FB1F5C">
              <w:rPr>
                <w:sz w:val="26"/>
                <w:szCs w:val="26"/>
              </w:rPr>
              <w:t>.</w:t>
            </w:r>
          </w:p>
        </w:tc>
      </w:tr>
      <w:tr w:rsidR="00FB1F5C" w:rsidRPr="00FB1F5C" w:rsidTr="00EE5DE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3.</w:t>
            </w:r>
          </w:p>
        </w:tc>
        <w:tc>
          <w:tcPr>
            <w:tcW w:w="1900" w:type="pct"/>
            <w:tcBorders>
              <w:top w:val="outset" w:sz="6" w:space="0" w:color="414142"/>
              <w:left w:val="outset" w:sz="6" w:space="0" w:color="414142"/>
              <w:bottom w:val="outset" w:sz="6" w:space="0" w:color="414142"/>
              <w:right w:val="outset" w:sz="6" w:space="0" w:color="414142"/>
            </w:tcBorders>
            <w:hideMark/>
          </w:tcPr>
          <w:p w:rsidR="00A31BCB" w:rsidRPr="00FB1F5C" w:rsidRDefault="00A31BCB" w:rsidP="00EE5DE0">
            <w:pPr>
              <w:rPr>
                <w:iCs/>
                <w:sz w:val="26"/>
                <w:szCs w:val="26"/>
              </w:rPr>
            </w:pPr>
            <w:r w:rsidRPr="00FB1F5C">
              <w:rPr>
                <w:iCs/>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31BCB" w:rsidRPr="00FB1F5C" w:rsidRDefault="009C01F7" w:rsidP="009C01F7">
            <w:pPr>
              <w:rPr>
                <w:iCs/>
                <w:sz w:val="26"/>
                <w:szCs w:val="26"/>
              </w:rPr>
            </w:pPr>
            <w:r w:rsidRPr="00FB1F5C">
              <w:rPr>
                <w:iCs/>
                <w:sz w:val="26"/>
                <w:szCs w:val="26"/>
              </w:rPr>
              <w:t>Nav</w:t>
            </w:r>
            <w:r w:rsidR="001125F0" w:rsidRPr="00FB1F5C">
              <w:rPr>
                <w:iCs/>
                <w:sz w:val="26"/>
                <w:szCs w:val="26"/>
              </w:rPr>
              <w:t>.</w:t>
            </w:r>
          </w:p>
        </w:tc>
      </w:tr>
    </w:tbl>
    <w:p w:rsidR="00DD2666" w:rsidRPr="00FB1F5C" w:rsidRDefault="00DD2666" w:rsidP="00A31BCB"/>
    <w:p w:rsidR="00D61F39" w:rsidRPr="00FB1F5C" w:rsidRDefault="00EA7A11" w:rsidP="00FB1F5C">
      <w:pPr>
        <w:pStyle w:val="naisf"/>
        <w:tabs>
          <w:tab w:val="left" w:pos="6946"/>
        </w:tabs>
        <w:spacing w:before="0" w:after="0"/>
        <w:rPr>
          <w:sz w:val="28"/>
          <w:szCs w:val="28"/>
        </w:rPr>
      </w:pPr>
      <w:r w:rsidRPr="00FB1F5C">
        <w:rPr>
          <w:sz w:val="28"/>
          <w:szCs w:val="28"/>
        </w:rPr>
        <w:t>Ekonomikas</w:t>
      </w:r>
      <w:r w:rsidR="00D61F39" w:rsidRPr="00FB1F5C">
        <w:rPr>
          <w:sz w:val="28"/>
          <w:szCs w:val="28"/>
        </w:rPr>
        <w:t xml:space="preserve"> ministrs</w:t>
      </w:r>
      <w:r w:rsidR="00D61F39" w:rsidRPr="00FB1F5C">
        <w:rPr>
          <w:sz w:val="28"/>
          <w:szCs w:val="28"/>
        </w:rPr>
        <w:tab/>
      </w:r>
      <w:proofErr w:type="spellStart"/>
      <w:r w:rsidRPr="00FB1F5C">
        <w:rPr>
          <w:sz w:val="28"/>
          <w:szCs w:val="28"/>
        </w:rPr>
        <w:t>V.Dombrovskis</w:t>
      </w:r>
      <w:proofErr w:type="spellEnd"/>
    </w:p>
    <w:p w:rsidR="007B17CA" w:rsidRPr="00FB1F5C" w:rsidRDefault="007B17CA" w:rsidP="00D61F39">
      <w:pPr>
        <w:jc w:val="both"/>
        <w:rPr>
          <w:sz w:val="28"/>
          <w:szCs w:val="28"/>
        </w:rPr>
      </w:pPr>
    </w:p>
    <w:p w:rsidR="00D61F39" w:rsidRPr="00FB1F5C" w:rsidRDefault="007B17CA" w:rsidP="00D61F39">
      <w:pPr>
        <w:jc w:val="both"/>
        <w:rPr>
          <w:sz w:val="28"/>
          <w:szCs w:val="28"/>
        </w:rPr>
      </w:pPr>
      <w:r w:rsidRPr="00FB1F5C">
        <w:rPr>
          <w:sz w:val="28"/>
          <w:szCs w:val="28"/>
        </w:rPr>
        <w:t>Vīza:</w:t>
      </w:r>
      <w:r w:rsidR="00D61F39" w:rsidRPr="00FB1F5C">
        <w:rPr>
          <w:sz w:val="28"/>
          <w:szCs w:val="28"/>
        </w:rPr>
        <w:t xml:space="preserve"> valsts sekretār</w:t>
      </w:r>
      <w:r w:rsidR="00EA7A11" w:rsidRPr="00FB1F5C">
        <w:rPr>
          <w:sz w:val="28"/>
          <w:szCs w:val="28"/>
        </w:rPr>
        <w:t>s</w:t>
      </w:r>
      <w:r w:rsidR="00D61F39" w:rsidRPr="00FB1F5C">
        <w:rPr>
          <w:sz w:val="28"/>
          <w:szCs w:val="28"/>
        </w:rPr>
        <w:tab/>
      </w:r>
      <w:r w:rsidR="00D61F39" w:rsidRPr="00FB1F5C">
        <w:rPr>
          <w:sz w:val="28"/>
          <w:szCs w:val="28"/>
        </w:rPr>
        <w:tab/>
      </w:r>
      <w:r w:rsidR="00D61F39" w:rsidRPr="00FB1F5C">
        <w:rPr>
          <w:sz w:val="28"/>
          <w:szCs w:val="28"/>
        </w:rPr>
        <w:tab/>
      </w:r>
      <w:r w:rsidRPr="00FB1F5C">
        <w:rPr>
          <w:sz w:val="28"/>
          <w:szCs w:val="28"/>
        </w:rPr>
        <w:tab/>
      </w:r>
      <w:r w:rsidRPr="00FB1F5C">
        <w:rPr>
          <w:sz w:val="28"/>
          <w:szCs w:val="28"/>
        </w:rPr>
        <w:tab/>
      </w:r>
      <w:r w:rsidRPr="00FB1F5C">
        <w:rPr>
          <w:sz w:val="28"/>
          <w:szCs w:val="28"/>
        </w:rPr>
        <w:tab/>
      </w:r>
      <w:r w:rsidR="001A58C0" w:rsidRPr="00FB1F5C">
        <w:rPr>
          <w:sz w:val="28"/>
          <w:szCs w:val="28"/>
        </w:rPr>
        <w:tab/>
      </w:r>
      <w:proofErr w:type="spellStart"/>
      <w:r w:rsidR="00EA7A11" w:rsidRPr="00FB1F5C">
        <w:rPr>
          <w:sz w:val="28"/>
          <w:szCs w:val="28"/>
        </w:rPr>
        <w:t>M.Lazdovskis</w:t>
      </w:r>
      <w:proofErr w:type="spellEnd"/>
    </w:p>
    <w:p w:rsidR="00FA5626" w:rsidRDefault="00FA5626" w:rsidP="00D61F39">
      <w:pPr>
        <w:jc w:val="both"/>
        <w:rPr>
          <w:sz w:val="20"/>
          <w:szCs w:val="20"/>
        </w:rPr>
      </w:pPr>
    </w:p>
    <w:p w:rsidR="00222ED9" w:rsidRDefault="00222ED9" w:rsidP="00D61F39">
      <w:pPr>
        <w:jc w:val="both"/>
        <w:rPr>
          <w:sz w:val="20"/>
          <w:szCs w:val="20"/>
        </w:rPr>
      </w:pPr>
    </w:p>
    <w:p w:rsidR="00D61F39" w:rsidRPr="008F6773" w:rsidRDefault="0045009D" w:rsidP="00D61F39">
      <w:pPr>
        <w:pStyle w:val="naisf"/>
        <w:spacing w:before="0" w:after="0"/>
        <w:rPr>
          <w:sz w:val="20"/>
          <w:szCs w:val="20"/>
        </w:rPr>
      </w:pPr>
      <w:r>
        <w:rPr>
          <w:sz w:val="20"/>
          <w:szCs w:val="20"/>
        </w:rPr>
        <w:t>08</w:t>
      </w:r>
      <w:r w:rsidR="00851A8B">
        <w:rPr>
          <w:sz w:val="20"/>
          <w:szCs w:val="20"/>
        </w:rPr>
        <w:t>.0</w:t>
      </w:r>
      <w:r w:rsidR="0012010B">
        <w:rPr>
          <w:sz w:val="20"/>
          <w:szCs w:val="20"/>
        </w:rPr>
        <w:t>7</w:t>
      </w:r>
      <w:r w:rsidR="00851A8B">
        <w:rPr>
          <w:sz w:val="20"/>
          <w:szCs w:val="20"/>
        </w:rPr>
        <w:t>.2014.</w:t>
      </w:r>
    </w:p>
    <w:p w:rsidR="00D61F39" w:rsidRPr="008F6773" w:rsidRDefault="0045009D" w:rsidP="00D61F39">
      <w:pPr>
        <w:rPr>
          <w:sz w:val="20"/>
          <w:szCs w:val="20"/>
        </w:rPr>
      </w:pPr>
      <w:r>
        <w:rPr>
          <w:sz w:val="20"/>
          <w:szCs w:val="20"/>
        </w:rPr>
        <w:t>964</w:t>
      </w:r>
      <w:bookmarkStart w:id="2" w:name="_GoBack"/>
      <w:bookmarkEnd w:id="2"/>
    </w:p>
    <w:p w:rsidR="00D61F39" w:rsidRPr="008F6773" w:rsidRDefault="00EA7A11" w:rsidP="00D61F39">
      <w:pPr>
        <w:rPr>
          <w:sz w:val="20"/>
          <w:szCs w:val="20"/>
        </w:rPr>
      </w:pPr>
      <w:r>
        <w:rPr>
          <w:sz w:val="20"/>
          <w:szCs w:val="20"/>
        </w:rPr>
        <w:t>M.Ziediņa-</w:t>
      </w:r>
      <w:proofErr w:type="spellStart"/>
      <w:r>
        <w:rPr>
          <w:sz w:val="20"/>
          <w:szCs w:val="20"/>
        </w:rPr>
        <w:t>Brigmane</w:t>
      </w:r>
      <w:proofErr w:type="spellEnd"/>
    </w:p>
    <w:p w:rsidR="00A31BCB" w:rsidRPr="00116DB7" w:rsidRDefault="00D61F39" w:rsidP="00D5650C">
      <w:pPr>
        <w:jc w:val="both"/>
        <w:rPr>
          <w:color w:val="0000FF"/>
          <w:sz w:val="20"/>
          <w:szCs w:val="20"/>
          <w:u w:val="single"/>
        </w:rPr>
      </w:pPr>
      <w:r w:rsidRPr="008F6773">
        <w:rPr>
          <w:sz w:val="20"/>
          <w:szCs w:val="20"/>
        </w:rPr>
        <w:t>67</w:t>
      </w:r>
      <w:r w:rsidR="00EA7A11">
        <w:rPr>
          <w:sz w:val="20"/>
          <w:szCs w:val="20"/>
        </w:rPr>
        <w:t>013230</w:t>
      </w:r>
      <w:r w:rsidRPr="008F6773">
        <w:rPr>
          <w:sz w:val="20"/>
          <w:szCs w:val="20"/>
        </w:rPr>
        <w:t xml:space="preserve">, </w:t>
      </w:r>
      <w:hyperlink r:id="rId10" w:history="1">
        <w:r w:rsidR="00EA7A11" w:rsidRPr="00162CA5">
          <w:rPr>
            <w:rStyle w:val="Hyperlink"/>
            <w:sz w:val="20"/>
            <w:szCs w:val="20"/>
          </w:rPr>
          <w:t>Maija.Ziedina-Brigmane@em.gov.lv</w:t>
        </w:r>
      </w:hyperlink>
      <w:r w:rsidR="00EA7A11">
        <w:rPr>
          <w:rStyle w:val="Hyperlink"/>
          <w:sz w:val="20"/>
          <w:szCs w:val="20"/>
        </w:rPr>
        <w:t xml:space="preserve"> </w:t>
      </w:r>
    </w:p>
    <w:sectPr w:rsidR="00A31BCB" w:rsidRPr="00116DB7" w:rsidSect="009023EB">
      <w:headerReference w:type="default" r:id="rId11"/>
      <w:footerReference w:type="default" r:id="rId12"/>
      <w:footerReference w:type="first" r:id="rId13"/>
      <w:pgSz w:w="11906" w:h="16838"/>
      <w:pgMar w:top="1134"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B1" w:rsidRDefault="00995CB1">
      <w:r>
        <w:separator/>
      </w:r>
    </w:p>
  </w:endnote>
  <w:endnote w:type="continuationSeparator" w:id="0">
    <w:p w:rsidR="00995CB1" w:rsidRDefault="0099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11" w:rsidRDefault="00EA7A11" w:rsidP="00EA7A11">
    <w:pPr>
      <w:pStyle w:val="Footer"/>
      <w:jc w:val="both"/>
      <w:rPr>
        <w:sz w:val="22"/>
        <w:szCs w:val="22"/>
      </w:rPr>
    </w:pPr>
    <w:r w:rsidRPr="00985C5C">
      <w:rPr>
        <w:sz w:val="20"/>
        <w:szCs w:val="20"/>
      </w:rPr>
      <w:t>EMAnot_</w:t>
    </w:r>
    <w:r w:rsidR="0045009D">
      <w:rPr>
        <w:sz w:val="20"/>
        <w:szCs w:val="20"/>
      </w:rPr>
      <w:t>0807</w:t>
    </w:r>
    <w:r w:rsidRPr="00985C5C">
      <w:rPr>
        <w:sz w:val="20"/>
        <w:szCs w:val="20"/>
      </w:rPr>
      <w:t>2014</w:t>
    </w:r>
    <w:r>
      <w:rPr>
        <w:sz w:val="20"/>
        <w:szCs w:val="20"/>
      </w:rPr>
      <w:t>_groz_136</w:t>
    </w:r>
    <w:r w:rsidRPr="00985C5C">
      <w:rPr>
        <w:sz w:val="20"/>
        <w:szCs w:val="20"/>
      </w:rPr>
      <w:t>; Ministru kabineta noteikumu projekta „Grozījumi Ministru kabineta 2011.gada 22.februāra noteikumos Nr.136 „Noteikumi par brīvdienu mītnes ilgtermiņa lietošanas tiesību līgumu, brīvdienu pakalpojumu ilgtermiņa līgumu, brīvdienu mītnes ilgtermiņa lietošanas tiesību vai brīvdienu pakalpojumu tālākpārdošanas līgumu un brīvdienu mītnes ilgtermiņa tiesību apmaiņas līgumu”” sākotnējās</w:t>
    </w:r>
    <w:r>
      <w:rPr>
        <w:sz w:val="20"/>
        <w:szCs w:val="20"/>
      </w:rPr>
      <w:t xml:space="preserve"> ietekmes novērtējuma ziņojums (anotācija)</w:t>
    </w:r>
  </w:p>
  <w:p w:rsidR="00C10FFB" w:rsidRPr="00EA7A11" w:rsidRDefault="00C10FFB" w:rsidP="00EA7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C" w:rsidRDefault="009F1E67" w:rsidP="00640F3C">
    <w:pPr>
      <w:pStyle w:val="Footer"/>
      <w:jc w:val="both"/>
      <w:rPr>
        <w:sz w:val="22"/>
        <w:szCs w:val="22"/>
      </w:rPr>
    </w:pPr>
    <w:r>
      <w:rPr>
        <w:sz w:val="20"/>
        <w:szCs w:val="20"/>
      </w:rPr>
      <w:t>EMAnot_</w:t>
    </w:r>
    <w:r w:rsidR="0045009D">
      <w:rPr>
        <w:sz w:val="20"/>
        <w:szCs w:val="20"/>
      </w:rPr>
      <w:t>08072</w:t>
    </w:r>
    <w:r w:rsidR="00985C5C" w:rsidRPr="00985C5C">
      <w:rPr>
        <w:sz w:val="20"/>
        <w:szCs w:val="20"/>
      </w:rPr>
      <w:t>014</w:t>
    </w:r>
    <w:r w:rsidR="007E0177">
      <w:rPr>
        <w:sz w:val="20"/>
        <w:szCs w:val="20"/>
      </w:rPr>
      <w:t>_groz_136</w:t>
    </w:r>
    <w:r w:rsidR="00640F3C" w:rsidRPr="00985C5C">
      <w:rPr>
        <w:sz w:val="20"/>
        <w:szCs w:val="20"/>
      </w:rPr>
      <w:t>; Ministru kabineta noteikumu projekta „Grozījumi Ministru kabineta 20</w:t>
    </w:r>
    <w:r w:rsidR="00985C5C" w:rsidRPr="00985C5C">
      <w:rPr>
        <w:sz w:val="20"/>
        <w:szCs w:val="20"/>
      </w:rPr>
      <w:t>11</w:t>
    </w:r>
    <w:r w:rsidR="00640F3C" w:rsidRPr="00985C5C">
      <w:rPr>
        <w:sz w:val="20"/>
        <w:szCs w:val="20"/>
      </w:rPr>
      <w:t xml:space="preserve">.gada </w:t>
    </w:r>
    <w:r w:rsidR="00985C5C" w:rsidRPr="00985C5C">
      <w:rPr>
        <w:sz w:val="20"/>
        <w:szCs w:val="20"/>
      </w:rPr>
      <w:t>22.februāra</w:t>
    </w:r>
    <w:r w:rsidR="00640F3C" w:rsidRPr="00985C5C">
      <w:rPr>
        <w:sz w:val="20"/>
        <w:szCs w:val="20"/>
      </w:rPr>
      <w:t xml:space="preserve"> noteikumos Nr.</w:t>
    </w:r>
    <w:r w:rsidR="00985C5C" w:rsidRPr="00985C5C">
      <w:rPr>
        <w:sz w:val="20"/>
        <w:szCs w:val="20"/>
      </w:rPr>
      <w:t>136</w:t>
    </w:r>
    <w:r w:rsidR="00640F3C" w:rsidRPr="00985C5C">
      <w:rPr>
        <w:sz w:val="20"/>
        <w:szCs w:val="20"/>
      </w:rPr>
      <w:t xml:space="preserve"> „</w:t>
    </w:r>
    <w:r w:rsidR="00985C5C" w:rsidRPr="00985C5C">
      <w:rPr>
        <w:sz w:val="20"/>
        <w:szCs w:val="20"/>
      </w:rPr>
      <w:t>Noteikumi par brīvdienu mītnes ilgtermiņa lietošanas tiesību līgumu, brīvdienu pakalpojumu ilgtermiņa līgumu, brīvdienu mītnes ilgtermiņa lietošanas tiesību vai brīvdienu pakalpojumu tālākpārdošanas līgumu un brīvdienu mītnes ilgtermiņa tiesību apmaiņas līgumu</w:t>
    </w:r>
    <w:r w:rsidR="00640F3C" w:rsidRPr="00985C5C">
      <w:rPr>
        <w:sz w:val="20"/>
        <w:szCs w:val="20"/>
      </w:rPr>
      <w:t>”” sākotnējās</w:t>
    </w:r>
    <w:r w:rsidR="00640F3C">
      <w:rPr>
        <w:sz w:val="20"/>
        <w:szCs w:val="20"/>
      </w:rPr>
      <w:t xml:space="preserve"> ietekmes novērtējuma ziņojums (anotācija)</w:t>
    </w:r>
  </w:p>
  <w:p w:rsidR="00640F3C" w:rsidRDefault="0064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B1" w:rsidRDefault="00995CB1">
      <w:r>
        <w:separator/>
      </w:r>
    </w:p>
  </w:footnote>
  <w:footnote w:type="continuationSeparator" w:id="0">
    <w:p w:rsidR="00995CB1" w:rsidRDefault="0099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9627"/>
      <w:docPartObj>
        <w:docPartGallery w:val="Page Numbers (Top of Page)"/>
        <w:docPartUnique/>
      </w:docPartObj>
    </w:sdtPr>
    <w:sdtEndPr>
      <w:rPr>
        <w:noProof/>
        <w:u w:val="single"/>
      </w:rPr>
    </w:sdtEndPr>
    <w:sdtContent>
      <w:p w:rsidR="009023EB" w:rsidRDefault="009023EB">
        <w:pPr>
          <w:pStyle w:val="Header"/>
          <w:jc w:val="center"/>
        </w:pPr>
        <w:r>
          <w:fldChar w:fldCharType="begin"/>
        </w:r>
        <w:r>
          <w:instrText xml:space="preserve"> PAGE   \* MERGEFORMAT </w:instrText>
        </w:r>
        <w:r>
          <w:fldChar w:fldCharType="separate"/>
        </w:r>
        <w:r w:rsidR="0045009D">
          <w:rPr>
            <w:noProof/>
          </w:rPr>
          <w:t>5</w:t>
        </w:r>
        <w:r>
          <w:rPr>
            <w:noProof/>
          </w:rPr>
          <w:fldChar w:fldCharType="end"/>
        </w:r>
      </w:p>
    </w:sdtContent>
  </w:sdt>
  <w:p w:rsidR="009023EB" w:rsidRDefault="0090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0B786C"/>
    <w:multiLevelType w:val="hybridMultilevel"/>
    <w:tmpl w:val="FCE81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C"/>
    <w:rsid w:val="00002537"/>
    <w:rsid w:val="0000304A"/>
    <w:rsid w:val="000246C1"/>
    <w:rsid w:val="00036237"/>
    <w:rsid w:val="000362DE"/>
    <w:rsid w:val="00071E51"/>
    <w:rsid w:val="000875AB"/>
    <w:rsid w:val="000B175B"/>
    <w:rsid w:val="000B7040"/>
    <w:rsid w:val="000C2DAB"/>
    <w:rsid w:val="000D29DC"/>
    <w:rsid w:val="000E51AD"/>
    <w:rsid w:val="000F08C4"/>
    <w:rsid w:val="001125F0"/>
    <w:rsid w:val="00114CC2"/>
    <w:rsid w:val="00116DB7"/>
    <w:rsid w:val="0012010B"/>
    <w:rsid w:val="001247E2"/>
    <w:rsid w:val="00126E4E"/>
    <w:rsid w:val="00127ACB"/>
    <w:rsid w:val="00130042"/>
    <w:rsid w:val="0014019A"/>
    <w:rsid w:val="001628D9"/>
    <w:rsid w:val="001678A3"/>
    <w:rsid w:val="0018770F"/>
    <w:rsid w:val="001A02A7"/>
    <w:rsid w:val="001A4D31"/>
    <w:rsid w:val="001A58C0"/>
    <w:rsid w:val="001B3E52"/>
    <w:rsid w:val="001C1FA1"/>
    <w:rsid w:val="001E5EF2"/>
    <w:rsid w:val="001F2A1A"/>
    <w:rsid w:val="001F7A0F"/>
    <w:rsid w:val="002044AC"/>
    <w:rsid w:val="002047AC"/>
    <w:rsid w:val="002161DE"/>
    <w:rsid w:val="0022143A"/>
    <w:rsid w:val="00222ED9"/>
    <w:rsid w:val="00236837"/>
    <w:rsid w:val="00246F73"/>
    <w:rsid w:val="00251080"/>
    <w:rsid w:val="002733FA"/>
    <w:rsid w:val="00276727"/>
    <w:rsid w:val="00276FDC"/>
    <w:rsid w:val="00284A75"/>
    <w:rsid w:val="002B3C34"/>
    <w:rsid w:val="002B3D49"/>
    <w:rsid w:val="002C4E61"/>
    <w:rsid w:val="002C7D32"/>
    <w:rsid w:val="002D4D14"/>
    <w:rsid w:val="002E1C30"/>
    <w:rsid w:val="002F2EAD"/>
    <w:rsid w:val="002F6E72"/>
    <w:rsid w:val="00306AFF"/>
    <w:rsid w:val="003136B4"/>
    <w:rsid w:val="00335C4A"/>
    <w:rsid w:val="00335FEE"/>
    <w:rsid w:val="00336183"/>
    <w:rsid w:val="00337596"/>
    <w:rsid w:val="00342F08"/>
    <w:rsid w:val="003469F0"/>
    <w:rsid w:val="00366906"/>
    <w:rsid w:val="0037076F"/>
    <w:rsid w:val="003715B1"/>
    <w:rsid w:val="00393068"/>
    <w:rsid w:val="003A638C"/>
    <w:rsid w:val="003A65FC"/>
    <w:rsid w:val="003B107C"/>
    <w:rsid w:val="003D0842"/>
    <w:rsid w:val="003F4007"/>
    <w:rsid w:val="00402282"/>
    <w:rsid w:val="0043306D"/>
    <w:rsid w:val="0045009D"/>
    <w:rsid w:val="00454423"/>
    <w:rsid w:val="00472E1D"/>
    <w:rsid w:val="00473A61"/>
    <w:rsid w:val="00482F1A"/>
    <w:rsid w:val="00495F6B"/>
    <w:rsid w:val="004A57B9"/>
    <w:rsid w:val="004A7C74"/>
    <w:rsid w:val="004B36EC"/>
    <w:rsid w:val="004D04CC"/>
    <w:rsid w:val="004E11E2"/>
    <w:rsid w:val="004E55FC"/>
    <w:rsid w:val="004E7CAC"/>
    <w:rsid w:val="004F4B99"/>
    <w:rsid w:val="005230E7"/>
    <w:rsid w:val="005277EF"/>
    <w:rsid w:val="00551073"/>
    <w:rsid w:val="005623E3"/>
    <w:rsid w:val="005709BA"/>
    <w:rsid w:val="005B635F"/>
    <w:rsid w:val="005C4219"/>
    <w:rsid w:val="005D08D9"/>
    <w:rsid w:val="005D5FF8"/>
    <w:rsid w:val="005F2F7A"/>
    <w:rsid w:val="005F34B4"/>
    <w:rsid w:val="005F6248"/>
    <w:rsid w:val="00624A73"/>
    <w:rsid w:val="006400C3"/>
    <w:rsid w:val="00640F3C"/>
    <w:rsid w:val="00652241"/>
    <w:rsid w:val="00670F9A"/>
    <w:rsid w:val="00682959"/>
    <w:rsid w:val="006866FD"/>
    <w:rsid w:val="006A56C7"/>
    <w:rsid w:val="006A5DA4"/>
    <w:rsid w:val="006B063E"/>
    <w:rsid w:val="006B6806"/>
    <w:rsid w:val="006D50EF"/>
    <w:rsid w:val="006F22A8"/>
    <w:rsid w:val="00705216"/>
    <w:rsid w:val="007204DD"/>
    <w:rsid w:val="00732B6D"/>
    <w:rsid w:val="00737735"/>
    <w:rsid w:val="00740743"/>
    <w:rsid w:val="007476AE"/>
    <w:rsid w:val="007617CE"/>
    <w:rsid w:val="00765D33"/>
    <w:rsid w:val="007900DE"/>
    <w:rsid w:val="007902B6"/>
    <w:rsid w:val="00791504"/>
    <w:rsid w:val="007A0BB7"/>
    <w:rsid w:val="007A7A54"/>
    <w:rsid w:val="007B17CA"/>
    <w:rsid w:val="007C4F12"/>
    <w:rsid w:val="007C54AA"/>
    <w:rsid w:val="007C7128"/>
    <w:rsid w:val="007D5F67"/>
    <w:rsid w:val="007E0177"/>
    <w:rsid w:val="007E03B9"/>
    <w:rsid w:val="007E35FF"/>
    <w:rsid w:val="007F33F8"/>
    <w:rsid w:val="0081797F"/>
    <w:rsid w:val="00822BC6"/>
    <w:rsid w:val="0083042E"/>
    <w:rsid w:val="0084765E"/>
    <w:rsid w:val="00851A8B"/>
    <w:rsid w:val="008553AF"/>
    <w:rsid w:val="008903B7"/>
    <w:rsid w:val="008A4934"/>
    <w:rsid w:val="008D70E8"/>
    <w:rsid w:val="008F0404"/>
    <w:rsid w:val="008F17F3"/>
    <w:rsid w:val="008F6773"/>
    <w:rsid w:val="009023EB"/>
    <w:rsid w:val="0090585F"/>
    <w:rsid w:val="00912A42"/>
    <w:rsid w:val="00917187"/>
    <w:rsid w:val="009727B2"/>
    <w:rsid w:val="00985C5C"/>
    <w:rsid w:val="00995CB1"/>
    <w:rsid w:val="009A0ABF"/>
    <w:rsid w:val="009A433D"/>
    <w:rsid w:val="009C01F7"/>
    <w:rsid w:val="009C0F60"/>
    <w:rsid w:val="009C4956"/>
    <w:rsid w:val="009D0F53"/>
    <w:rsid w:val="009E3726"/>
    <w:rsid w:val="009F19F9"/>
    <w:rsid w:val="009F1E67"/>
    <w:rsid w:val="00A14327"/>
    <w:rsid w:val="00A217F2"/>
    <w:rsid w:val="00A24B4E"/>
    <w:rsid w:val="00A30834"/>
    <w:rsid w:val="00A31BCB"/>
    <w:rsid w:val="00A351DE"/>
    <w:rsid w:val="00A42A96"/>
    <w:rsid w:val="00A47F41"/>
    <w:rsid w:val="00A5358A"/>
    <w:rsid w:val="00A62B24"/>
    <w:rsid w:val="00A73230"/>
    <w:rsid w:val="00A84DE3"/>
    <w:rsid w:val="00AB4B47"/>
    <w:rsid w:val="00AF0970"/>
    <w:rsid w:val="00B23D52"/>
    <w:rsid w:val="00B31043"/>
    <w:rsid w:val="00B608F6"/>
    <w:rsid w:val="00B63AF5"/>
    <w:rsid w:val="00B63F41"/>
    <w:rsid w:val="00B750BF"/>
    <w:rsid w:val="00B7689E"/>
    <w:rsid w:val="00B90FBF"/>
    <w:rsid w:val="00B94C9C"/>
    <w:rsid w:val="00BA31E1"/>
    <w:rsid w:val="00BA5CC4"/>
    <w:rsid w:val="00BB0F61"/>
    <w:rsid w:val="00BB2BDC"/>
    <w:rsid w:val="00BC1296"/>
    <w:rsid w:val="00BC5A0C"/>
    <w:rsid w:val="00BD2684"/>
    <w:rsid w:val="00BD2DDB"/>
    <w:rsid w:val="00BD2F56"/>
    <w:rsid w:val="00BD55C6"/>
    <w:rsid w:val="00BE10A7"/>
    <w:rsid w:val="00BF141D"/>
    <w:rsid w:val="00BF4C9B"/>
    <w:rsid w:val="00C0568F"/>
    <w:rsid w:val="00C10FFB"/>
    <w:rsid w:val="00C52383"/>
    <w:rsid w:val="00C532B2"/>
    <w:rsid w:val="00C73177"/>
    <w:rsid w:val="00C77917"/>
    <w:rsid w:val="00C807FE"/>
    <w:rsid w:val="00C83858"/>
    <w:rsid w:val="00C86D31"/>
    <w:rsid w:val="00C92076"/>
    <w:rsid w:val="00CA3EF0"/>
    <w:rsid w:val="00CA4C13"/>
    <w:rsid w:val="00CC4F6A"/>
    <w:rsid w:val="00CC75DC"/>
    <w:rsid w:val="00CD3C60"/>
    <w:rsid w:val="00CE660A"/>
    <w:rsid w:val="00CF2E74"/>
    <w:rsid w:val="00D01688"/>
    <w:rsid w:val="00D0347E"/>
    <w:rsid w:val="00D10DA2"/>
    <w:rsid w:val="00D4151E"/>
    <w:rsid w:val="00D5650C"/>
    <w:rsid w:val="00D61F39"/>
    <w:rsid w:val="00D70C57"/>
    <w:rsid w:val="00D87173"/>
    <w:rsid w:val="00D922DF"/>
    <w:rsid w:val="00D97C98"/>
    <w:rsid w:val="00DB1A85"/>
    <w:rsid w:val="00DB48D0"/>
    <w:rsid w:val="00DB713F"/>
    <w:rsid w:val="00DC7590"/>
    <w:rsid w:val="00DD046E"/>
    <w:rsid w:val="00DD0EFD"/>
    <w:rsid w:val="00DD2666"/>
    <w:rsid w:val="00DD312A"/>
    <w:rsid w:val="00DD53A8"/>
    <w:rsid w:val="00E0518D"/>
    <w:rsid w:val="00E166F4"/>
    <w:rsid w:val="00E4583F"/>
    <w:rsid w:val="00E55236"/>
    <w:rsid w:val="00E613CB"/>
    <w:rsid w:val="00EA7A11"/>
    <w:rsid w:val="00ED3C10"/>
    <w:rsid w:val="00ED60DE"/>
    <w:rsid w:val="00EF3A00"/>
    <w:rsid w:val="00EF5895"/>
    <w:rsid w:val="00F108DD"/>
    <w:rsid w:val="00F140D3"/>
    <w:rsid w:val="00F17937"/>
    <w:rsid w:val="00F24C87"/>
    <w:rsid w:val="00F26855"/>
    <w:rsid w:val="00F3099C"/>
    <w:rsid w:val="00F42E66"/>
    <w:rsid w:val="00F74629"/>
    <w:rsid w:val="00F80BB6"/>
    <w:rsid w:val="00F8459C"/>
    <w:rsid w:val="00F93B0B"/>
    <w:rsid w:val="00FA5626"/>
    <w:rsid w:val="00FB1F5C"/>
    <w:rsid w:val="00FC7BC0"/>
    <w:rsid w:val="00FD0FBC"/>
    <w:rsid w:val="00FD1A80"/>
    <w:rsid w:val="00FD4F72"/>
    <w:rsid w:val="00FD68E4"/>
    <w:rsid w:val="00FF37B5"/>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paragraph" w:styleId="EnvelopeReturn">
    <w:name w:val="envelope return"/>
    <w:basedOn w:val="Normal"/>
    <w:rsid w:val="00126E4E"/>
    <w:pPr>
      <w:keepLines/>
      <w:widowControl w:val="0"/>
      <w:suppressAutoHyphens w:val="0"/>
      <w:spacing w:before="600"/>
    </w:pPr>
    <w:rPr>
      <w:sz w:val="26"/>
      <w:szCs w:val="20"/>
      <w:lang w:val="en-AU" w:eastAsia="en-US"/>
    </w:rPr>
  </w:style>
  <w:style w:type="paragraph" w:styleId="ListParagraph">
    <w:name w:val="List Paragraph"/>
    <w:basedOn w:val="Normal"/>
    <w:uiPriority w:val="34"/>
    <w:qFormat/>
    <w:rsid w:val="00126E4E"/>
    <w:pPr>
      <w:suppressAutoHyphens w:val="0"/>
      <w:spacing w:after="60"/>
      <w:ind w:left="720"/>
      <w:contextualSpacing/>
      <w:jc w:val="both"/>
    </w:pPr>
    <w:rPr>
      <w:rFonts w:eastAsia="Calibri"/>
      <w:szCs w:val="22"/>
      <w:lang w:eastAsia="en-US"/>
    </w:rPr>
  </w:style>
  <w:style w:type="character" w:customStyle="1" w:styleId="logpropertydata">
    <w:name w:val="logpropertydata"/>
    <w:basedOn w:val="DefaultParagraphFont"/>
    <w:rsid w:val="004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paragraph" w:styleId="EnvelopeReturn">
    <w:name w:val="envelope return"/>
    <w:basedOn w:val="Normal"/>
    <w:rsid w:val="00126E4E"/>
    <w:pPr>
      <w:keepLines/>
      <w:widowControl w:val="0"/>
      <w:suppressAutoHyphens w:val="0"/>
      <w:spacing w:before="600"/>
    </w:pPr>
    <w:rPr>
      <w:sz w:val="26"/>
      <w:szCs w:val="20"/>
      <w:lang w:val="en-AU" w:eastAsia="en-US"/>
    </w:rPr>
  </w:style>
  <w:style w:type="paragraph" w:styleId="ListParagraph">
    <w:name w:val="List Paragraph"/>
    <w:basedOn w:val="Normal"/>
    <w:uiPriority w:val="34"/>
    <w:qFormat/>
    <w:rsid w:val="00126E4E"/>
    <w:pPr>
      <w:suppressAutoHyphens w:val="0"/>
      <w:spacing w:after="60"/>
      <w:ind w:left="720"/>
      <w:contextualSpacing/>
      <w:jc w:val="both"/>
    </w:pPr>
    <w:rPr>
      <w:rFonts w:eastAsia="Calibri"/>
      <w:szCs w:val="22"/>
      <w:lang w:eastAsia="en-US"/>
    </w:rPr>
  </w:style>
  <w:style w:type="character" w:customStyle="1" w:styleId="logpropertydata">
    <w:name w:val="logpropertydata"/>
    <w:basedOn w:val="DefaultParagraphFont"/>
    <w:rsid w:val="004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537205321">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ja.Ziedina-Brigmane@em.gov.lv" TargetMode="External"/><Relationship Id="rId4" Type="http://schemas.microsoft.com/office/2007/relationships/stylesWithEffects" Target="stylesWithEffects.xml"/><Relationship Id="rId9" Type="http://schemas.openxmlformats.org/officeDocument/2006/relationships/hyperlink" Target="http://www.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64CF-0E08-4D7A-83AA-1B61299A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5</Pages>
  <Words>5242</Words>
  <Characters>2988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MK noteikumu projekta "Grozījumi MK 2008. gada 19.maija Noteikumos Nr.338</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2008. gada 19.maija Noteikumos Nr.338</dc:title>
  <dc:subject>MK noteikumu projekta  anotācija</dc:subject>
  <dc:creator>D.Piebalga</dc:creator>
  <cp:lastModifiedBy>Maija Ziediņa-Brigmane</cp:lastModifiedBy>
  <cp:revision>26</cp:revision>
  <cp:lastPrinted>2014-07-08T09:06:00Z</cp:lastPrinted>
  <dcterms:created xsi:type="dcterms:W3CDTF">2014-03-25T10:56:00Z</dcterms:created>
  <dcterms:modified xsi:type="dcterms:W3CDTF">2014-07-08T09:07:00Z</dcterms:modified>
</cp:coreProperties>
</file>